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beforeLines="50" w:line="360" w:lineRule="auto"/>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广西</w:t>
      </w:r>
      <w:bookmarkStart w:id="354" w:name="_GoBack"/>
      <w:bookmarkEnd w:id="354"/>
      <w:r>
        <w:rPr>
          <w:rFonts w:hint="eastAsia" w:ascii="宋体" w:hAnsi="宋体" w:cs="宋体"/>
          <w:color w:val="auto"/>
          <w:sz w:val="72"/>
          <w:szCs w:val="72"/>
          <w:highlight w:val="none"/>
        </w:rPr>
        <w:t>科联招标中心有限公司</w:t>
      </w:r>
    </w:p>
    <w:p>
      <w:pPr>
        <w:spacing w:before="120" w:beforeLines="50" w:line="360" w:lineRule="auto"/>
        <w:jc w:val="center"/>
        <w:rPr>
          <w:rFonts w:hint="eastAsia" w:ascii="宋体" w:hAnsi="宋体" w:cs="宋体"/>
          <w:b/>
          <w:color w:val="auto"/>
          <w:sz w:val="48"/>
          <w:szCs w:val="48"/>
          <w:highlight w:val="none"/>
        </w:rPr>
      </w:pPr>
    </w:p>
    <w:p>
      <w:pPr>
        <w:spacing w:before="120" w:beforeLines="50" w:line="360" w:lineRule="auto"/>
        <w:jc w:val="center"/>
        <w:rPr>
          <w:rFonts w:hint="eastAsia" w:ascii="宋体" w:hAnsi="宋体" w:cs="宋体"/>
          <w:b/>
          <w:color w:val="auto"/>
          <w:sz w:val="48"/>
          <w:szCs w:val="48"/>
          <w:highlight w:val="none"/>
        </w:rPr>
      </w:pPr>
    </w:p>
    <w:p>
      <w:pPr>
        <w:snapToGrid w:val="0"/>
        <w:spacing w:before="120" w:beforeLines="50" w:line="360" w:lineRule="auto"/>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招 标 文 件</w:t>
      </w:r>
    </w:p>
    <w:p>
      <w:pPr>
        <w:snapToGrid w:val="0"/>
        <w:spacing w:before="120" w:beforeLines="50" w:line="360" w:lineRule="auto"/>
        <w:jc w:val="center"/>
        <w:rPr>
          <w:rFonts w:hint="eastAsia" w:ascii="宋体" w:hAnsi="宋体" w:cs="宋体"/>
          <w:color w:val="auto"/>
          <w:sz w:val="30"/>
          <w:szCs w:val="72"/>
          <w:highlight w:val="none"/>
        </w:rPr>
      </w:pPr>
      <w:r>
        <w:rPr>
          <w:rFonts w:hint="eastAsia" w:ascii="宋体" w:hAnsi="宋体" w:cs="宋体"/>
          <w:color w:val="auto"/>
          <w:sz w:val="30"/>
          <w:szCs w:val="72"/>
          <w:highlight w:val="none"/>
        </w:rPr>
        <w:t>（全流程电子化</w:t>
      </w:r>
      <w:r>
        <w:rPr>
          <w:rFonts w:hint="eastAsia" w:ascii="宋体" w:hAnsi="宋体" w:cs="宋体"/>
          <w:color w:val="FF0000"/>
          <w:sz w:val="30"/>
          <w:szCs w:val="72"/>
          <w:highlight w:val="none"/>
        </w:rPr>
        <w:t>评标</w:t>
      </w:r>
      <w:r>
        <w:rPr>
          <w:rFonts w:hint="eastAsia" w:ascii="宋体" w:hAnsi="宋体" w:cs="宋体"/>
          <w:color w:val="auto"/>
          <w:sz w:val="30"/>
          <w:szCs w:val="72"/>
          <w:highlight w:val="none"/>
        </w:rPr>
        <w:t>）</w:t>
      </w:r>
    </w:p>
    <w:p>
      <w:pPr>
        <w:snapToGrid w:val="0"/>
        <w:spacing w:before="120" w:beforeLines="50" w:line="360" w:lineRule="auto"/>
        <w:rPr>
          <w:rFonts w:hint="eastAsia" w:ascii="宋体" w:hAnsi="宋体" w:cs="宋体"/>
          <w:color w:val="auto"/>
          <w:sz w:val="30"/>
          <w:szCs w:val="72"/>
          <w:highlight w:val="none"/>
        </w:rPr>
      </w:pPr>
    </w:p>
    <w:p>
      <w:pPr>
        <w:pStyle w:val="14"/>
        <w:snapToGrid w:val="0"/>
        <w:spacing w:before="50" w:after="120" w:line="360" w:lineRule="auto"/>
        <w:jc w:val="center"/>
        <w:rPr>
          <w:rFonts w:hint="eastAsia" w:hAnsi="宋体" w:cs="宋体"/>
          <w:b/>
          <w:bCs/>
          <w:color w:val="auto"/>
          <w:sz w:val="30"/>
          <w:szCs w:val="30"/>
          <w:highlight w:val="none"/>
        </w:rPr>
      </w:pPr>
      <w:r>
        <w:rPr>
          <w:rFonts w:hint="eastAsia" w:hAnsi="宋体" w:cs="宋体"/>
          <w:b/>
          <w:bCs/>
          <w:color w:val="auto"/>
          <w:sz w:val="30"/>
          <w:szCs w:val="30"/>
          <w:highlight w:val="none"/>
        </w:rPr>
        <w:t>项目</w:t>
      </w:r>
      <w:r>
        <w:rPr>
          <w:rFonts w:hint="eastAsia" w:hAnsi="宋体" w:cs="宋体"/>
          <w:b/>
          <w:bCs/>
          <w:color w:val="auto"/>
          <w:w w:val="95"/>
          <w:sz w:val="30"/>
          <w:szCs w:val="30"/>
          <w:highlight w:val="none"/>
        </w:rPr>
        <w:t>名称</w:t>
      </w:r>
      <w:r>
        <w:rPr>
          <w:rFonts w:hint="eastAsia" w:hAnsi="宋体" w:cs="宋体"/>
          <w:b/>
          <w:bCs/>
          <w:color w:val="auto"/>
          <w:sz w:val="30"/>
          <w:szCs w:val="30"/>
          <w:highlight w:val="none"/>
        </w:rPr>
        <w:t>：广西医科大学武鸣校区教学设施采购项目</w:t>
      </w:r>
    </w:p>
    <w:p>
      <w:pPr>
        <w:snapToGrid w:val="0"/>
        <w:spacing w:before="120" w:beforeLines="50" w:line="360" w:lineRule="auto"/>
        <w:jc w:val="center"/>
        <w:rPr>
          <w:rFonts w:hint="eastAsia" w:ascii="宋体" w:hAnsi="宋体" w:eastAsia="宋体" w:cs="宋体"/>
          <w:b/>
          <w:color w:val="auto"/>
          <w:sz w:val="30"/>
          <w:szCs w:val="48"/>
          <w:highlight w:val="none"/>
          <w:lang w:eastAsia="zh-CN"/>
        </w:rPr>
      </w:pPr>
      <w:r>
        <w:rPr>
          <w:rFonts w:hint="eastAsia" w:ascii="宋体" w:hAnsi="宋体" w:cs="宋体"/>
          <w:b/>
          <w:bCs/>
          <w:color w:val="auto"/>
          <w:w w:val="95"/>
          <w:sz w:val="30"/>
          <w:szCs w:val="30"/>
          <w:highlight w:val="none"/>
        </w:rPr>
        <w:t>项目</w:t>
      </w:r>
      <w:r>
        <w:rPr>
          <w:rFonts w:hint="eastAsia" w:ascii="宋体" w:hAnsi="宋体" w:cs="宋体"/>
          <w:b/>
          <w:bCs/>
          <w:color w:val="auto"/>
          <w:sz w:val="30"/>
          <w:szCs w:val="30"/>
          <w:highlight w:val="none"/>
        </w:rPr>
        <w:t>编号</w:t>
      </w:r>
      <w:r>
        <w:rPr>
          <w:rFonts w:hint="eastAsia" w:ascii="宋体" w:hAnsi="宋体" w:cs="宋体"/>
          <w:b/>
          <w:bCs/>
          <w:color w:val="auto"/>
          <w:w w:val="95"/>
          <w:sz w:val="30"/>
          <w:szCs w:val="30"/>
          <w:highlight w:val="none"/>
        </w:rPr>
        <w:t>：</w:t>
      </w:r>
      <w:r>
        <w:rPr>
          <w:rFonts w:hint="eastAsia" w:ascii="宋体" w:hAnsi="宋体" w:cs="宋体"/>
          <w:b/>
          <w:bCs/>
          <w:color w:val="auto"/>
          <w:w w:val="95"/>
          <w:sz w:val="30"/>
          <w:szCs w:val="30"/>
          <w:highlight w:val="none"/>
          <w:lang w:eastAsia="zh-CN"/>
        </w:rPr>
        <w:t>GXZC2026-G1-002848-GXKL</w:t>
      </w:r>
    </w:p>
    <w:p>
      <w:pPr>
        <w:pStyle w:val="14"/>
        <w:snapToGrid w:val="0"/>
        <w:spacing w:before="50" w:after="120" w:line="360" w:lineRule="auto"/>
        <w:ind w:firstLine="1125" w:firstLineChars="393"/>
        <w:rPr>
          <w:rFonts w:hint="eastAsia" w:hAnsi="宋体" w:cs="宋体"/>
          <w:b/>
          <w:bCs/>
          <w:color w:val="auto"/>
          <w:w w:val="95"/>
          <w:sz w:val="30"/>
          <w:szCs w:val="30"/>
          <w:highlight w:val="none"/>
        </w:rPr>
      </w:pPr>
    </w:p>
    <w:p>
      <w:pPr>
        <w:pStyle w:val="14"/>
        <w:snapToGrid w:val="0"/>
        <w:spacing w:before="50" w:after="120" w:line="360" w:lineRule="auto"/>
        <w:ind w:firstLine="1125" w:firstLineChars="393"/>
        <w:rPr>
          <w:rFonts w:hint="eastAsia" w:hAnsi="宋体" w:cs="宋体"/>
          <w:b/>
          <w:bCs/>
          <w:color w:val="auto"/>
          <w:w w:val="95"/>
          <w:sz w:val="30"/>
          <w:szCs w:val="30"/>
          <w:highlight w:val="none"/>
        </w:rPr>
      </w:pPr>
    </w:p>
    <w:p>
      <w:pPr>
        <w:pStyle w:val="14"/>
        <w:snapToGrid w:val="0"/>
        <w:spacing w:before="50" w:after="120" w:line="360" w:lineRule="auto"/>
        <w:ind w:firstLine="1125" w:firstLineChars="393"/>
        <w:rPr>
          <w:rFonts w:hint="eastAsia" w:hAnsi="宋体" w:cs="宋体"/>
          <w:b/>
          <w:bCs/>
          <w:color w:val="auto"/>
          <w:w w:val="95"/>
          <w:sz w:val="30"/>
          <w:szCs w:val="30"/>
          <w:highlight w:val="none"/>
        </w:rPr>
      </w:pPr>
    </w:p>
    <w:p>
      <w:pPr>
        <w:pStyle w:val="14"/>
        <w:snapToGrid w:val="0"/>
        <w:spacing w:before="50" w:after="120" w:line="360" w:lineRule="auto"/>
        <w:ind w:firstLine="2289" w:firstLineChars="800"/>
        <w:rPr>
          <w:rFonts w:hint="eastAsia" w:hAnsi="宋体" w:cs="宋体"/>
          <w:b/>
          <w:bCs/>
          <w:color w:val="auto"/>
          <w:w w:val="95"/>
          <w:sz w:val="30"/>
          <w:szCs w:val="30"/>
          <w:highlight w:val="none"/>
        </w:rPr>
      </w:pPr>
      <w:r>
        <w:rPr>
          <w:rFonts w:hint="eastAsia" w:hAnsi="宋体" w:cs="宋体"/>
          <w:b/>
          <w:bCs/>
          <w:color w:val="auto"/>
          <w:w w:val="95"/>
          <w:sz w:val="30"/>
          <w:szCs w:val="30"/>
          <w:highlight w:val="none"/>
        </w:rPr>
        <w:t>采购人：</w:t>
      </w:r>
      <w:r>
        <w:rPr>
          <w:rFonts w:hint="eastAsia" w:hAnsi="宋体" w:cs="宋体"/>
          <w:b/>
          <w:bCs/>
          <w:color w:val="auto"/>
          <w:sz w:val="30"/>
          <w:szCs w:val="30"/>
          <w:highlight w:val="none"/>
        </w:rPr>
        <w:t>广西医科大学</w:t>
      </w:r>
    </w:p>
    <w:p>
      <w:pPr>
        <w:pStyle w:val="14"/>
        <w:snapToGrid w:val="0"/>
        <w:spacing w:before="50" w:after="120" w:line="360" w:lineRule="auto"/>
        <w:ind w:firstLine="2289" w:firstLineChars="800"/>
        <w:rPr>
          <w:rFonts w:hint="eastAsia" w:hAnsi="宋体" w:cs="宋体"/>
          <w:b/>
          <w:bCs/>
          <w:color w:val="auto"/>
          <w:w w:val="95"/>
          <w:sz w:val="30"/>
          <w:szCs w:val="30"/>
          <w:highlight w:val="none"/>
        </w:rPr>
      </w:pPr>
      <w:r>
        <w:rPr>
          <w:rFonts w:hint="eastAsia" w:hAnsi="宋体" w:cs="宋体"/>
          <w:b/>
          <w:bCs/>
          <w:color w:val="auto"/>
          <w:w w:val="95"/>
          <w:sz w:val="30"/>
          <w:szCs w:val="30"/>
          <w:highlight w:val="none"/>
        </w:rPr>
        <w:t>采购代理机构：</w:t>
      </w:r>
      <w:bookmarkStart w:id="0" w:name="PO_3000001867_PM031"/>
      <w:r>
        <w:rPr>
          <w:rFonts w:hint="eastAsia" w:hAnsi="宋体" w:cs="宋体"/>
          <w:b/>
          <w:bCs/>
          <w:color w:val="auto"/>
          <w:w w:val="95"/>
          <w:sz w:val="30"/>
          <w:szCs w:val="30"/>
          <w:highlight w:val="none"/>
        </w:rPr>
        <w:t>广西科联招标中心有限公司</w:t>
      </w:r>
      <w:bookmarkEnd w:id="0"/>
    </w:p>
    <w:p>
      <w:pPr>
        <w:rPr>
          <w:rFonts w:hint="eastAsia" w:ascii="宋体" w:hAnsi="宋体" w:cs="宋体"/>
          <w:b/>
          <w:bCs/>
          <w:color w:val="auto"/>
          <w:w w:val="95"/>
          <w:sz w:val="30"/>
          <w:szCs w:val="30"/>
          <w:highlight w:val="none"/>
        </w:rPr>
      </w:pPr>
    </w:p>
    <w:p>
      <w:pPr>
        <w:pStyle w:val="2"/>
        <w:jc w:val="center"/>
        <w:rPr>
          <w:color w:val="auto"/>
          <w:highlight w:val="none"/>
        </w:rPr>
      </w:pPr>
      <w:r>
        <w:rPr>
          <w:rFonts w:hint="eastAsia" w:ascii="宋体" w:hAnsi="宋体" w:cs="宋体"/>
          <w:b/>
          <w:bCs/>
          <w:color w:val="auto"/>
          <w:w w:val="95"/>
          <w:sz w:val="30"/>
          <w:szCs w:val="30"/>
          <w:highlight w:val="none"/>
        </w:rPr>
        <w:t>2026年</w:t>
      </w:r>
      <w:r>
        <w:rPr>
          <w:rFonts w:hint="eastAsia" w:ascii="宋体" w:hAnsi="宋体" w:cs="宋体"/>
          <w:b/>
          <w:bCs/>
          <w:color w:val="auto"/>
          <w:w w:val="95"/>
          <w:sz w:val="30"/>
          <w:szCs w:val="30"/>
          <w:highlight w:val="none"/>
          <w:lang w:val="en-US" w:eastAsia="zh-CN"/>
        </w:rPr>
        <w:t>9</w:t>
      </w:r>
      <w:r>
        <w:rPr>
          <w:rFonts w:hint="eastAsia" w:ascii="宋体" w:hAnsi="宋体" w:cs="宋体"/>
          <w:b/>
          <w:bCs/>
          <w:color w:val="auto"/>
          <w:w w:val="95"/>
          <w:sz w:val="30"/>
          <w:szCs w:val="30"/>
          <w:highlight w:val="none"/>
        </w:rPr>
        <w:t>月</w:t>
      </w:r>
    </w:p>
    <w:p>
      <w:pPr>
        <w:pStyle w:val="14"/>
        <w:snapToGrid w:val="0"/>
        <w:spacing w:before="50" w:after="120" w:line="360" w:lineRule="auto"/>
        <w:ind w:firstLine="841" w:firstLineChars="294"/>
        <w:rPr>
          <w:rFonts w:hint="eastAsia" w:hAnsi="宋体" w:cs="宋体"/>
          <w:b/>
          <w:bCs/>
          <w:color w:val="auto"/>
          <w:w w:val="95"/>
          <w:sz w:val="30"/>
          <w:szCs w:val="30"/>
          <w:highlight w:val="none"/>
        </w:rPr>
      </w:pPr>
      <w:r>
        <w:rPr>
          <w:rFonts w:hint="eastAsia" w:hAnsi="宋体" w:cs="宋体"/>
          <w:b/>
          <w:bCs/>
          <w:color w:val="auto"/>
          <w:w w:val="95"/>
          <w:sz w:val="30"/>
          <w:szCs w:val="30"/>
          <w:highlight w:val="none"/>
        </w:rPr>
        <w:t xml:space="preserve">                   </w:t>
      </w:r>
    </w:p>
    <w:p>
      <w:pPr>
        <w:widowControl/>
        <w:spacing w:line="360" w:lineRule="auto"/>
        <w:jc w:val="left"/>
        <w:rPr>
          <w:rFonts w:hint="eastAsia" w:ascii="宋体" w:hAnsi="宋体" w:cs="宋体"/>
          <w:b/>
          <w:bCs/>
          <w:color w:val="auto"/>
          <w:w w:val="95"/>
          <w:sz w:val="30"/>
          <w:szCs w:val="30"/>
          <w:highlight w:val="none"/>
        </w:rPr>
        <w:sectPr>
          <w:pgSz w:w="11906" w:h="16838"/>
          <w:pgMar w:top="1134" w:right="1134" w:bottom="1134" w:left="1134" w:header="851" w:footer="851" w:gutter="0"/>
          <w:cols w:space="720" w:num="1"/>
          <w:docGrid w:linePitch="312" w:charSpace="0"/>
        </w:sectPr>
      </w:pPr>
    </w:p>
    <w:p>
      <w:pPr>
        <w:pStyle w:val="14"/>
        <w:snapToGrid w:val="0"/>
        <w:spacing w:before="50" w:after="120" w:line="360" w:lineRule="auto"/>
        <w:ind w:firstLine="617" w:firstLineChars="294"/>
        <w:rPr>
          <w:rFonts w:hint="eastAsia" w:hAnsi="宋体" w:cs="宋体"/>
          <w:color w:val="auto"/>
          <w:highlight w:val="none"/>
        </w:rPr>
      </w:pPr>
    </w:p>
    <w:p>
      <w:pPr>
        <w:pStyle w:val="14"/>
        <w:jc w:val="center"/>
        <w:rPr>
          <w:rFonts w:hint="eastAsia" w:ascii="方正小标宋简体" w:hAnsi="方正小标宋简体" w:eastAsia="方正小标宋简体" w:cs="方正小标宋简体"/>
          <w:b/>
          <w:color w:val="auto"/>
          <w:sz w:val="44"/>
          <w:szCs w:val="44"/>
          <w:highlight w:val="none"/>
        </w:rPr>
      </w:pPr>
      <w:r>
        <w:rPr>
          <w:rFonts w:hint="eastAsia" w:ascii="方正小标宋简体" w:hAnsi="方正小标宋简体" w:eastAsia="方正小标宋简体" w:cs="方正小标宋简体"/>
          <w:b/>
          <w:color w:val="auto"/>
          <w:sz w:val="44"/>
          <w:szCs w:val="44"/>
          <w:highlight w:val="none"/>
        </w:rPr>
        <w:t>目     录</w:t>
      </w:r>
    </w:p>
    <w:p>
      <w:pPr>
        <w:rPr>
          <w:color w:val="auto"/>
          <w:highlight w:val="none"/>
        </w:rPr>
      </w:pPr>
    </w:p>
    <w:p>
      <w:pPr>
        <w:pStyle w:val="19"/>
        <w:tabs>
          <w:tab w:val="right" w:leader="dot" w:pos="9638"/>
        </w:tabs>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color w:val="auto"/>
          <w:sz w:val="32"/>
          <w:szCs w:val="32"/>
          <w:highlight w:val="none"/>
        </w:rPr>
        <w:instrText xml:space="preserve">TOC \o "1-1" \h \u </w:instrText>
      </w:r>
      <w:r>
        <w:rPr>
          <w:rFonts w:hint="eastAsia" w:ascii="仿宋_GB2312" w:hAnsi="仿宋_GB2312" w:eastAsia="仿宋_GB2312" w:cs="仿宋_GB2312"/>
          <w:b w:val="0"/>
          <w:bCs w:val="0"/>
          <w:color w:val="auto"/>
          <w:sz w:val="32"/>
          <w:szCs w:val="32"/>
          <w:highlight w:val="none"/>
        </w:rPr>
        <w:fldChar w:fldCharType="separate"/>
      </w:r>
      <w:r>
        <w:rPr>
          <w:color w:val="auto"/>
          <w:highlight w:val="none"/>
        </w:rPr>
        <w:fldChar w:fldCharType="begin"/>
      </w:r>
      <w:r>
        <w:rPr>
          <w:color w:val="auto"/>
          <w:highlight w:val="none"/>
        </w:rPr>
        <w:instrText xml:space="preserve"> HYPERLINK \l "_Toc18386" </w:instrText>
      </w:r>
      <w:r>
        <w:rPr>
          <w:color w:val="auto"/>
          <w:highlight w:val="none"/>
        </w:rPr>
        <w:fldChar w:fldCharType="separate"/>
      </w:r>
      <w:r>
        <w:rPr>
          <w:rFonts w:hint="eastAsia" w:ascii="仿宋_GB2312" w:hAnsi="仿宋_GB2312" w:eastAsia="仿宋_GB2312" w:cs="仿宋_GB2312"/>
          <w:b w:val="0"/>
          <w:bCs w:val="0"/>
          <w:color w:val="auto"/>
          <w:sz w:val="32"/>
          <w:szCs w:val="32"/>
          <w:highlight w:val="none"/>
        </w:rPr>
        <w:t>第一章  招标公告</w:t>
      </w:r>
      <w:r>
        <w:rPr>
          <w:rFonts w:hint="eastAsia" w:ascii="仿宋_GB2312" w:hAnsi="仿宋_GB2312" w:eastAsia="仿宋_GB2312" w:cs="仿宋_GB2312"/>
          <w:b w:val="0"/>
          <w:bCs w:val="0"/>
          <w:color w:val="auto"/>
          <w:sz w:val="32"/>
          <w:szCs w:val="32"/>
          <w:highlight w:val="none"/>
        </w:rPr>
        <w:tab/>
      </w: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color w:val="auto"/>
          <w:sz w:val="32"/>
          <w:szCs w:val="32"/>
          <w:highlight w:val="none"/>
        </w:rPr>
        <w:instrText xml:space="preserve"> PAGEREF _Toc18386 </w:instrText>
      </w:r>
      <w:r>
        <w:rPr>
          <w:rFonts w:hint="eastAsia" w:ascii="仿宋_GB2312" w:hAnsi="仿宋_GB2312" w:eastAsia="仿宋_GB2312" w:cs="仿宋_GB2312"/>
          <w:b w:val="0"/>
          <w:bCs w:val="0"/>
          <w:color w:val="auto"/>
          <w:sz w:val="32"/>
          <w:szCs w:val="32"/>
          <w:highlight w:val="none"/>
        </w:rPr>
        <w:fldChar w:fldCharType="separate"/>
      </w:r>
      <w:r>
        <w:rPr>
          <w:rFonts w:hint="eastAsia" w:ascii="仿宋_GB2312" w:hAnsi="仿宋_GB2312" w:eastAsia="仿宋_GB2312" w:cs="仿宋_GB2312"/>
          <w:b w:val="0"/>
          <w:bCs w:val="0"/>
          <w:color w:val="auto"/>
          <w:sz w:val="32"/>
          <w:szCs w:val="32"/>
          <w:highlight w:val="none"/>
        </w:rPr>
        <w:t>2</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rPr>
        <w:fldChar w:fldCharType="end"/>
      </w:r>
    </w:p>
    <w:p>
      <w:pPr>
        <w:pStyle w:val="19"/>
        <w:tabs>
          <w:tab w:val="right" w:leader="dot" w:pos="9638"/>
        </w:tabs>
        <w:rPr>
          <w:rFonts w:hint="eastAsia" w:ascii="仿宋_GB2312" w:hAnsi="仿宋_GB2312" w:eastAsia="仿宋_GB2312" w:cs="仿宋_GB2312"/>
          <w:b w:val="0"/>
          <w:bCs w:val="0"/>
          <w:color w:val="auto"/>
          <w:sz w:val="32"/>
          <w:szCs w:val="32"/>
          <w:highlight w:val="none"/>
        </w:rPr>
      </w:pPr>
      <w:r>
        <w:rPr>
          <w:color w:val="auto"/>
          <w:highlight w:val="none"/>
        </w:rPr>
        <w:fldChar w:fldCharType="begin"/>
      </w:r>
      <w:r>
        <w:rPr>
          <w:color w:val="auto"/>
          <w:highlight w:val="none"/>
        </w:rPr>
        <w:instrText xml:space="preserve"> HYPERLINK \l "_Toc21791" </w:instrText>
      </w:r>
      <w:r>
        <w:rPr>
          <w:color w:val="auto"/>
          <w:highlight w:val="none"/>
        </w:rPr>
        <w:fldChar w:fldCharType="separate"/>
      </w:r>
      <w:r>
        <w:rPr>
          <w:rFonts w:hint="eastAsia" w:ascii="仿宋_GB2312" w:hAnsi="仿宋_GB2312" w:eastAsia="仿宋_GB2312" w:cs="仿宋_GB2312"/>
          <w:b w:val="0"/>
          <w:bCs w:val="0"/>
          <w:color w:val="auto"/>
          <w:sz w:val="32"/>
          <w:szCs w:val="32"/>
          <w:highlight w:val="none"/>
        </w:rPr>
        <w:t>第二章  采购需求</w:t>
      </w:r>
      <w:r>
        <w:rPr>
          <w:rFonts w:hint="eastAsia" w:ascii="仿宋_GB2312" w:hAnsi="仿宋_GB2312" w:eastAsia="仿宋_GB2312" w:cs="仿宋_GB2312"/>
          <w:b w:val="0"/>
          <w:bCs w:val="0"/>
          <w:color w:val="auto"/>
          <w:sz w:val="32"/>
          <w:szCs w:val="32"/>
          <w:highlight w:val="none"/>
        </w:rPr>
        <w:tab/>
      </w: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color w:val="auto"/>
          <w:sz w:val="32"/>
          <w:szCs w:val="32"/>
          <w:highlight w:val="none"/>
        </w:rPr>
        <w:instrText xml:space="preserve"> PAGEREF _Toc21791 </w:instrText>
      </w:r>
      <w:r>
        <w:rPr>
          <w:rFonts w:hint="eastAsia" w:ascii="仿宋_GB2312" w:hAnsi="仿宋_GB2312" w:eastAsia="仿宋_GB2312" w:cs="仿宋_GB2312"/>
          <w:b w:val="0"/>
          <w:bCs w:val="0"/>
          <w:color w:val="auto"/>
          <w:sz w:val="32"/>
          <w:szCs w:val="32"/>
          <w:highlight w:val="none"/>
        </w:rPr>
        <w:fldChar w:fldCharType="separate"/>
      </w:r>
      <w:r>
        <w:rPr>
          <w:rFonts w:hint="eastAsia" w:ascii="仿宋_GB2312" w:hAnsi="仿宋_GB2312" w:eastAsia="仿宋_GB2312" w:cs="仿宋_GB2312"/>
          <w:b w:val="0"/>
          <w:bCs w:val="0"/>
          <w:color w:val="auto"/>
          <w:sz w:val="32"/>
          <w:szCs w:val="32"/>
          <w:highlight w:val="none"/>
        </w:rPr>
        <w:t>7</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rPr>
        <w:fldChar w:fldCharType="end"/>
      </w:r>
    </w:p>
    <w:p>
      <w:pPr>
        <w:pStyle w:val="19"/>
        <w:tabs>
          <w:tab w:val="right" w:leader="dot" w:pos="9638"/>
        </w:tabs>
        <w:rPr>
          <w:rFonts w:hint="eastAsia" w:ascii="仿宋_GB2312" w:hAnsi="仿宋_GB2312" w:eastAsia="仿宋_GB2312" w:cs="仿宋_GB2312"/>
          <w:b w:val="0"/>
          <w:bCs w:val="0"/>
          <w:color w:val="auto"/>
          <w:sz w:val="32"/>
          <w:szCs w:val="32"/>
          <w:highlight w:val="none"/>
        </w:rPr>
      </w:pPr>
      <w:r>
        <w:rPr>
          <w:color w:val="auto"/>
          <w:highlight w:val="none"/>
        </w:rPr>
        <w:fldChar w:fldCharType="begin"/>
      </w:r>
      <w:r>
        <w:rPr>
          <w:color w:val="auto"/>
          <w:highlight w:val="none"/>
        </w:rPr>
        <w:instrText xml:space="preserve"> HYPERLINK \l "_Toc10316" </w:instrText>
      </w:r>
      <w:r>
        <w:rPr>
          <w:color w:val="auto"/>
          <w:highlight w:val="none"/>
        </w:rPr>
        <w:fldChar w:fldCharType="separate"/>
      </w:r>
      <w:r>
        <w:rPr>
          <w:rFonts w:hint="eastAsia" w:ascii="仿宋_GB2312" w:hAnsi="仿宋_GB2312" w:eastAsia="仿宋_GB2312" w:cs="仿宋_GB2312"/>
          <w:b w:val="0"/>
          <w:bCs w:val="0"/>
          <w:color w:val="auto"/>
          <w:sz w:val="32"/>
          <w:szCs w:val="32"/>
          <w:highlight w:val="none"/>
        </w:rPr>
        <w:t>第三章  投标人须知</w:t>
      </w:r>
      <w:r>
        <w:rPr>
          <w:rFonts w:hint="eastAsia" w:ascii="仿宋_GB2312" w:hAnsi="仿宋_GB2312" w:eastAsia="仿宋_GB2312" w:cs="仿宋_GB2312"/>
          <w:b w:val="0"/>
          <w:bCs w:val="0"/>
          <w:color w:val="auto"/>
          <w:sz w:val="32"/>
          <w:szCs w:val="32"/>
          <w:highlight w:val="none"/>
        </w:rPr>
        <w:tab/>
      </w: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color w:val="auto"/>
          <w:sz w:val="32"/>
          <w:szCs w:val="32"/>
          <w:highlight w:val="none"/>
        </w:rPr>
        <w:instrText xml:space="preserve"> PAGEREF _Toc10316 </w:instrText>
      </w:r>
      <w:r>
        <w:rPr>
          <w:rFonts w:hint="eastAsia" w:ascii="仿宋_GB2312" w:hAnsi="仿宋_GB2312" w:eastAsia="仿宋_GB2312" w:cs="仿宋_GB2312"/>
          <w:b w:val="0"/>
          <w:bCs w:val="0"/>
          <w:color w:val="auto"/>
          <w:sz w:val="32"/>
          <w:szCs w:val="32"/>
          <w:highlight w:val="none"/>
        </w:rPr>
        <w:fldChar w:fldCharType="separate"/>
      </w:r>
      <w:r>
        <w:rPr>
          <w:rFonts w:hint="eastAsia" w:ascii="仿宋_GB2312" w:hAnsi="仿宋_GB2312" w:eastAsia="仿宋_GB2312" w:cs="仿宋_GB2312"/>
          <w:b w:val="0"/>
          <w:bCs w:val="0"/>
          <w:color w:val="auto"/>
          <w:sz w:val="32"/>
          <w:szCs w:val="32"/>
          <w:highlight w:val="none"/>
        </w:rPr>
        <w:t>150</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rPr>
        <w:fldChar w:fldCharType="end"/>
      </w:r>
    </w:p>
    <w:p>
      <w:pPr>
        <w:pStyle w:val="19"/>
        <w:tabs>
          <w:tab w:val="right" w:leader="dot" w:pos="9638"/>
        </w:tabs>
        <w:rPr>
          <w:rFonts w:hint="eastAsia" w:ascii="仿宋_GB2312" w:hAnsi="仿宋_GB2312" w:eastAsia="仿宋_GB2312" w:cs="仿宋_GB2312"/>
          <w:b w:val="0"/>
          <w:bCs w:val="0"/>
          <w:color w:val="auto"/>
          <w:sz w:val="32"/>
          <w:szCs w:val="32"/>
          <w:highlight w:val="none"/>
        </w:rPr>
      </w:pPr>
      <w:r>
        <w:rPr>
          <w:color w:val="auto"/>
          <w:highlight w:val="none"/>
        </w:rPr>
        <w:fldChar w:fldCharType="begin"/>
      </w:r>
      <w:r>
        <w:rPr>
          <w:color w:val="auto"/>
          <w:highlight w:val="none"/>
        </w:rPr>
        <w:instrText xml:space="preserve"> HYPERLINK \l "_Toc28215" </w:instrText>
      </w:r>
      <w:r>
        <w:rPr>
          <w:color w:val="auto"/>
          <w:highlight w:val="none"/>
        </w:rPr>
        <w:fldChar w:fldCharType="separate"/>
      </w:r>
      <w:r>
        <w:rPr>
          <w:rFonts w:hint="eastAsia" w:ascii="仿宋_GB2312" w:hAnsi="仿宋_GB2312" w:eastAsia="仿宋_GB2312" w:cs="仿宋_GB2312"/>
          <w:b w:val="0"/>
          <w:bCs w:val="0"/>
          <w:color w:val="auto"/>
          <w:sz w:val="32"/>
          <w:szCs w:val="32"/>
          <w:highlight w:val="none"/>
        </w:rPr>
        <w:t>第四章  评标方法和评标标准</w:t>
      </w:r>
      <w:r>
        <w:rPr>
          <w:rFonts w:hint="eastAsia" w:ascii="仿宋_GB2312" w:hAnsi="仿宋_GB2312" w:eastAsia="仿宋_GB2312" w:cs="仿宋_GB2312"/>
          <w:b w:val="0"/>
          <w:bCs w:val="0"/>
          <w:color w:val="auto"/>
          <w:sz w:val="32"/>
          <w:szCs w:val="32"/>
          <w:highlight w:val="none"/>
        </w:rPr>
        <w:tab/>
      </w: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color w:val="auto"/>
          <w:sz w:val="32"/>
          <w:szCs w:val="32"/>
          <w:highlight w:val="none"/>
        </w:rPr>
        <w:instrText xml:space="preserve"> PAGEREF _Toc28215 </w:instrText>
      </w:r>
      <w:r>
        <w:rPr>
          <w:rFonts w:hint="eastAsia" w:ascii="仿宋_GB2312" w:hAnsi="仿宋_GB2312" w:eastAsia="仿宋_GB2312" w:cs="仿宋_GB2312"/>
          <w:b w:val="0"/>
          <w:bCs w:val="0"/>
          <w:color w:val="auto"/>
          <w:sz w:val="32"/>
          <w:szCs w:val="32"/>
          <w:highlight w:val="none"/>
        </w:rPr>
        <w:fldChar w:fldCharType="separate"/>
      </w:r>
      <w:r>
        <w:rPr>
          <w:rFonts w:hint="eastAsia" w:ascii="仿宋_GB2312" w:hAnsi="仿宋_GB2312" w:eastAsia="仿宋_GB2312" w:cs="仿宋_GB2312"/>
          <w:b w:val="0"/>
          <w:bCs w:val="0"/>
          <w:color w:val="auto"/>
          <w:sz w:val="32"/>
          <w:szCs w:val="32"/>
          <w:highlight w:val="none"/>
        </w:rPr>
        <w:t>179</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rPr>
        <w:fldChar w:fldCharType="end"/>
      </w:r>
    </w:p>
    <w:p>
      <w:pPr>
        <w:pStyle w:val="19"/>
        <w:tabs>
          <w:tab w:val="right" w:leader="dot" w:pos="9638"/>
        </w:tabs>
        <w:rPr>
          <w:rFonts w:hint="eastAsia" w:ascii="仿宋_GB2312" w:hAnsi="仿宋_GB2312" w:eastAsia="仿宋_GB2312" w:cs="仿宋_GB2312"/>
          <w:b w:val="0"/>
          <w:bCs w:val="0"/>
          <w:color w:val="auto"/>
          <w:sz w:val="32"/>
          <w:szCs w:val="32"/>
          <w:highlight w:val="none"/>
        </w:rPr>
      </w:pPr>
      <w:r>
        <w:rPr>
          <w:color w:val="auto"/>
          <w:highlight w:val="none"/>
        </w:rPr>
        <w:fldChar w:fldCharType="begin"/>
      </w:r>
      <w:r>
        <w:rPr>
          <w:color w:val="auto"/>
          <w:highlight w:val="none"/>
        </w:rPr>
        <w:instrText xml:space="preserve"> HYPERLINK \l "_Toc3087" </w:instrText>
      </w:r>
      <w:r>
        <w:rPr>
          <w:color w:val="auto"/>
          <w:highlight w:val="none"/>
        </w:rPr>
        <w:fldChar w:fldCharType="separate"/>
      </w:r>
      <w:r>
        <w:rPr>
          <w:rFonts w:hint="eastAsia" w:ascii="仿宋_GB2312" w:hAnsi="仿宋_GB2312" w:eastAsia="仿宋_GB2312" w:cs="仿宋_GB2312"/>
          <w:b w:val="0"/>
          <w:bCs w:val="0"/>
          <w:color w:val="auto"/>
          <w:sz w:val="32"/>
          <w:szCs w:val="32"/>
          <w:highlight w:val="none"/>
        </w:rPr>
        <w:t>第五章  拟签订的合同文本</w:t>
      </w:r>
      <w:r>
        <w:rPr>
          <w:rFonts w:hint="eastAsia" w:ascii="仿宋_GB2312" w:hAnsi="仿宋_GB2312" w:eastAsia="仿宋_GB2312" w:cs="仿宋_GB2312"/>
          <w:b w:val="0"/>
          <w:bCs w:val="0"/>
          <w:color w:val="auto"/>
          <w:sz w:val="32"/>
          <w:szCs w:val="32"/>
          <w:highlight w:val="none"/>
        </w:rPr>
        <w:tab/>
      </w: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color w:val="auto"/>
          <w:sz w:val="32"/>
          <w:szCs w:val="32"/>
          <w:highlight w:val="none"/>
        </w:rPr>
        <w:instrText xml:space="preserve"> PAGEREF _Toc3087 </w:instrText>
      </w:r>
      <w:r>
        <w:rPr>
          <w:rFonts w:hint="eastAsia" w:ascii="仿宋_GB2312" w:hAnsi="仿宋_GB2312" w:eastAsia="仿宋_GB2312" w:cs="仿宋_GB2312"/>
          <w:b w:val="0"/>
          <w:bCs w:val="0"/>
          <w:color w:val="auto"/>
          <w:sz w:val="32"/>
          <w:szCs w:val="32"/>
          <w:highlight w:val="none"/>
        </w:rPr>
        <w:fldChar w:fldCharType="separate"/>
      </w:r>
      <w:r>
        <w:rPr>
          <w:rFonts w:hint="eastAsia" w:ascii="仿宋_GB2312" w:hAnsi="仿宋_GB2312" w:eastAsia="仿宋_GB2312" w:cs="仿宋_GB2312"/>
          <w:b w:val="0"/>
          <w:bCs w:val="0"/>
          <w:color w:val="auto"/>
          <w:sz w:val="32"/>
          <w:szCs w:val="32"/>
          <w:highlight w:val="none"/>
        </w:rPr>
        <w:t>197</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rPr>
        <w:fldChar w:fldCharType="end"/>
      </w:r>
    </w:p>
    <w:p>
      <w:pPr>
        <w:pStyle w:val="19"/>
        <w:tabs>
          <w:tab w:val="right" w:leader="dot" w:pos="9638"/>
        </w:tabs>
        <w:rPr>
          <w:rFonts w:hint="eastAsia" w:ascii="仿宋_GB2312" w:hAnsi="仿宋_GB2312" w:eastAsia="仿宋_GB2312" w:cs="仿宋_GB2312"/>
          <w:b w:val="0"/>
          <w:bCs w:val="0"/>
          <w:color w:val="auto"/>
          <w:sz w:val="32"/>
          <w:szCs w:val="32"/>
          <w:highlight w:val="none"/>
        </w:rPr>
      </w:pPr>
      <w:r>
        <w:rPr>
          <w:color w:val="auto"/>
          <w:highlight w:val="none"/>
        </w:rPr>
        <w:fldChar w:fldCharType="begin"/>
      </w:r>
      <w:r>
        <w:rPr>
          <w:color w:val="auto"/>
          <w:highlight w:val="none"/>
        </w:rPr>
        <w:instrText xml:space="preserve"> HYPERLINK \l "_Toc6639" </w:instrText>
      </w:r>
      <w:r>
        <w:rPr>
          <w:color w:val="auto"/>
          <w:highlight w:val="none"/>
        </w:rPr>
        <w:fldChar w:fldCharType="separate"/>
      </w:r>
      <w:r>
        <w:rPr>
          <w:rFonts w:hint="eastAsia" w:ascii="仿宋_GB2312" w:hAnsi="仿宋_GB2312" w:eastAsia="仿宋_GB2312" w:cs="仿宋_GB2312"/>
          <w:b w:val="0"/>
          <w:bCs w:val="0"/>
          <w:color w:val="auto"/>
          <w:sz w:val="32"/>
          <w:szCs w:val="32"/>
          <w:highlight w:val="none"/>
        </w:rPr>
        <w:t>第六章  投标文件格式</w:t>
      </w:r>
      <w:r>
        <w:rPr>
          <w:rFonts w:hint="eastAsia" w:ascii="仿宋_GB2312" w:hAnsi="仿宋_GB2312" w:eastAsia="仿宋_GB2312" w:cs="仿宋_GB2312"/>
          <w:b w:val="0"/>
          <w:bCs w:val="0"/>
          <w:color w:val="auto"/>
          <w:sz w:val="32"/>
          <w:szCs w:val="32"/>
          <w:highlight w:val="none"/>
        </w:rPr>
        <w:tab/>
      </w:r>
      <w:r>
        <w:rPr>
          <w:rFonts w:hint="eastAsia" w:ascii="仿宋_GB2312" w:hAnsi="仿宋_GB2312" w:eastAsia="仿宋_GB2312" w:cs="仿宋_GB2312"/>
          <w:b w:val="0"/>
          <w:bCs w:val="0"/>
          <w:color w:val="auto"/>
          <w:sz w:val="32"/>
          <w:szCs w:val="32"/>
          <w:highlight w:val="none"/>
        </w:rPr>
        <w:fldChar w:fldCharType="begin"/>
      </w:r>
      <w:r>
        <w:rPr>
          <w:rFonts w:hint="eastAsia" w:ascii="仿宋_GB2312" w:hAnsi="仿宋_GB2312" w:eastAsia="仿宋_GB2312" w:cs="仿宋_GB2312"/>
          <w:b w:val="0"/>
          <w:bCs w:val="0"/>
          <w:color w:val="auto"/>
          <w:sz w:val="32"/>
          <w:szCs w:val="32"/>
          <w:highlight w:val="none"/>
        </w:rPr>
        <w:instrText xml:space="preserve"> PAGEREF _Toc6639 </w:instrText>
      </w:r>
      <w:r>
        <w:rPr>
          <w:rFonts w:hint="eastAsia" w:ascii="仿宋_GB2312" w:hAnsi="仿宋_GB2312" w:eastAsia="仿宋_GB2312" w:cs="仿宋_GB2312"/>
          <w:b w:val="0"/>
          <w:bCs w:val="0"/>
          <w:color w:val="auto"/>
          <w:sz w:val="32"/>
          <w:szCs w:val="32"/>
          <w:highlight w:val="none"/>
        </w:rPr>
        <w:fldChar w:fldCharType="separate"/>
      </w:r>
      <w:r>
        <w:rPr>
          <w:rFonts w:hint="eastAsia" w:ascii="仿宋_GB2312" w:hAnsi="仿宋_GB2312" w:eastAsia="仿宋_GB2312" w:cs="仿宋_GB2312"/>
          <w:b w:val="0"/>
          <w:bCs w:val="0"/>
          <w:color w:val="auto"/>
          <w:sz w:val="32"/>
          <w:szCs w:val="32"/>
          <w:highlight w:val="none"/>
        </w:rPr>
        <w:t>212</w:t>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rPr>
        <w:fldChar w:fldCharType="end"/>
      </w:r>
    </w:p>
    <w:p>
      <w:pPr>
        <w:pStyle w:val="19"/>
        <w:tabs>
          <w:tab w:val="right" w:leader="dot" w:pos="9638"/>
        </w:tabs>
        <w:rPr>
          <w:rFonts w:hint="eastAsia" w:ascii="仿宋_GB2312" w:hAnsi="仿宋_GB2312" w:eastAsia="仿宋_GB2312" w:cs="仿宋_GB2312"/>
          <w:b w:val="0"/>
          <w:bCs w:val="0"/>
          <w:color w:val="auto"/>
          <w:sz w:val="32"/>
          <w:szCs w:val="32"/>
          <w:highlight w:val="none"/>
          <w:lang w:eastAsia="zh-CN"/>
        </w:rPr>
      </w:pPr>
      <w:r>
        <w:rPr>
          <w:color w:val="auto"/>
          <w:highlight w:val="none"/>
        </w:rPr>
        <w:fldChar w:fldCharType="begin"/>
      </w:r>
      <w:r>
        <w:rPr>
          <w:color w:val="auto"/>
          <w:highlight w:val="none"/>
        </w:rPr>
        <w:instrText xml:space="preserve"> HYPERLINK \l "_Toc22405" </w:instrText>
      </w:r>
      <w:r>
        <w:rPr>
          <w:color w:val="auto"/>
          <w:highlight w:val="none"/>
        </w:rPr>
        <w:fldChar w:fldCharType="separate"/>
      </w:r>
      <w:r>
        <w:rPr>
          <w:rFonts w:hint="eastAsia" w:ascii="仿宋_GB2312" w:hAnsi="仿宋_GB2312" w:eastAsia="仿宋_GB2312" w:cs="仿宋_GB2312"/>
          <w:b w:val="0"/>
          <w:bCs w:val="0"/>
          <w:color w:val="auto"/>
          <w:sz w:val="32"/>
          <w:szCs w:val="32"/>
          <w:highlight w:val="none"/>
        </w:rPr>
        <w:t>第七章  质疑、投诉材料格式</w:t>
      </w:r>
      <w:r>
        <w:rPr>
          <w:rFonts w:hint="eastAsia" w:ascii="仿宋_GB2312" w:hAnsi="仿宋_GB2312" w:eastAsia="仿宋_GB2312" w:cs="仿宋_GB2312"/>
          <w:b w:val="0"/>
          <w:bCs w:val="0"/>
          <w:color w:val="auto"/>
          <w:sz w:val="32"/>
          <w:szCs w:val="32"/>
          <w:highlight w:val="none"/>
        </w:rPr>
        <w:tab/>
      </w:r>
      <w:r>
        <w:rPr>
          <w:rFonts w:hint="eastAsia" w:ascii="仿宋_GB2312" w:hAnsi="仿宋_GB2312" w:eastAsia="仿宋_GB2312" w:cs="仿宋_GB2312"/>
          <w:b w:val="0"/>
          <w:bCs w:val="0"/>
          <w:color w:val="auto"/>
          <w:sz w:val="32"/>
          <w:szCs w:val="32"/>
          <w:highlight w:val="none"/>
        </w:rPr>
        <w:fldChar w:fldCharType="end"/>
      </w:r>
      <w:r>
        <w:rPr>
          <w:rFonts w:hint="eastAsia" w:ascii="仿宋_GB2312" w:hAnsi="仿宋_GB2312" w:eastAsia="仿宋_GB2312" w:cs="仿宋_GB2312"/>
          <w:b w:val="0"/>
          <w:bCs w:val="0"/>
          <w:color w:val="auto"/>
          <w:sz w:val="32"/>
          <w:szCs w:val="32"/>
          <w:highlight w:val="none"/>
          <w:lang w:val="en-US" w:eastAsia="zh-CN"/>
        </w:rPr>
        <w:t>253</w:t>
      </w:r>
    </w:p>
    <w:p>
      <w:pPr>
        <w:pStyle w:val="14"/>
        <w:jc w:val="center"/>
        <w:rPr>
          <w:rFonts w:hint="eastAsia" w:hAnsi="宋体" w:cs="宋体"/>
          <w:color w:val="auto"/>
          <w:highlight w:val="none"/>
        </w:rPr>
      </w:pPr>
      <w:r>
        <w:rPr>
          <w:rFonts w:hint="eastAsia" w:ascii="仿宋_GB2312" w:hAnsi="仿宋_GB2312" w:eastAsia="仿宋_GB2312" w:cs="仿宋_GB2312"/>
          <w:color w:val="auto"/>
          <w:sz w:val="32"/>
          <w:szCs w:val="32"/>
          <w:highlight w:val="none"/>
        </w:rPr>
        <w:fldChar w:fldCharType="end"/>
      </w:r>
      <w:r>
        <w:rPr>
          <w:rFonts w:hint="eastAsia" w:hAnsi="宋体" w:cs="宋体"/>
          <w:color w:val="auto"/>
          <w:highlight w:val="none"/>
        </w:rPr>
        <w:tab/>
      </w:r>
      <w:bookmarkStart w:id="1" w:name="_Toc532545041"/>
    </w:p>
    <w:p>
      <w:pPr>
        <w:pStyle w:val="14"/>
        <w:jc w:val="center"/>
        <w:outlineLvl w:val="0"/>
        <w:rPr>
          <w:rFonts w:hint="eastAsia" w:hAnsi="宋体" w:cs="宋体"/>
          <w:b/>
          <w:color w:val="auto"/>
          <w:sz w:val="36"/>
          <w:highlight w:val="none"/>
        </w:rPr>
        <w:sectPr>
          <w:footerReference r:id="rId5" w:type="default"/>
          <w:footerReference r:id="rId6" w:type="even"/>
          <w:pgSz w:w="11906" w:h="16838"/>
          <w:pgMar w:top="1134" w:right="1020" w:bottom="1020" w:left="1134" w:header="720" w:footer="720" w:gutter="0"/>
          <w:pgNumType w:fmt="decimal" w:start="1"/>
          <w:cols w:space="720" w:num="1"/>
          <w:docGrid w:type="lines" w:linePitch="331" w:charSpace="0"/>
        </w:sectPr>
      </w:pPr>
      <w:bookmarkStart w:id="2" w:name="_Toc14935"/>
      <w:bookmarkStart w:id="3" w:name="_Toc12135"/>
      <w:bookmarkStart w:id="4" w:name="_Toc19710"/>
      <w:bookmarkStart w:id="5" w:name="_Toc23304"/>
      <w:bookmarkStart w:id="6" w:name="_Toc539"/>
      <w:bookmarkStart w:id="7" w:name="_Toc22419"/>
      <w:bookmarkStart w:id="8" w:name="_Toc18386"/>
      <w:bookmarkStart w:id="9" w:name="_Toc2182"/>
      <w:bookmarkStart w:id="10" w:name="_Toc11023"/>
      <w:bookmarkStart w:id="11" w:name="_Toc20152"/>
    </w:p>
    <w:p>
      <w:pPr>
        <w:pStyle w:val="14"/>
        <w:jc w:val="center"/>
        <w:outlineLvl w:val="0"/>
        <w:rPr>
          <w:rFonts w:hint="eastAsia" w:hAnsi="宋体" w:cs="宋体"/>
          <w:b/>
          <w:color w:val="auto"/>
          <w:sz w:val="36"/>
          <w:highlight w:val="none"/>
        </w:rPr>
      </w:pPr>
      <w:r>
        <w:rPr>
          <w:rFonts w:hint="eastAsia" w:hAnsi="宋体" w:cs="宋体"/>
          <w:b/>
          <w:color w:val="auto"/>
          <w:sz w:val="36"/>
          <w:highlight w:val="none"/>
        </w:rPr>
        <w:t>第一章  招标公告</w:t>
      </w:r>
      <w:bookmarkEnd w:id="1"/>
      <w:bookmarkEnd w:id="2"/>
      <w:bookmarkEnd w:id="3"/>
      <w:bookmarkEnd w:id="4"/>
      <w:bookmarkEnd w:id="5"/>
      <w:bookmarkEnd w:id="6"/>
      <w:bookmarkEnd w:id="7"/>
      <w:bookmarkEnd w:id="8"/>
      <w:bookmarkEnd w:id="9"/>
      <w:bookmarkEnd w:id="10"/>
      <w:bookmarkEnd w:id="11"/>
    </w:p>
    <w:p>
      <w:pPr>
        <w:pStyle w:val="14"/>
        <w:jc w:val="center"/>
        <w:rPr>
          <w:rFonts w:hint="eastAsia" w:hAnsi="宋体" w:cs="宋体"/>
          <w:b/>
          <w:bCs/>
          <w:color w:val="auto"/>
          <w:sz w:val="32"/>
          <w:szCs w:val="32"/>
          <w:highlight w:val="none"/>
        </w:rPr>
      </w:pPr>
      <w:r>
        <w:rPr>
          <w:rFonts w:hint="eastAsia" w:hAnsi="宋体" w:cs="宋体"/>
          <w:b/>
          <w:bCs/>
          <w:color w:val="auto"/>
          <w:sz w:val="32"/>
          <w:szCs w:val="32"/>
          <w:highlight w:val="none"/>
        </w:rPr>
        <w:t>广西科联招标中心有限公司</w:t>
      </w:r>
    </w:p>
    <w:p>
      <w:pPr>
        <w:pStyle w:val="14"/>
        <w:jc w:val="center"/>
        <w:rPr>
          <w:rFonts w:hint="eastAsia" w:hAnsi="宋体" w:cs="宋体"/>
          <w:b/>
          <w:bCs/>
          <w:color w:val="auto"/>
          <w:sz w:val="32"/>
          <w:szCs w:val="32"/>
          <w:highlight w:val="none"/>
        </w:rPr>
      </w:pPr>
      <w:bookmarkStart w:id="12" w:name="OLE_LINK12"/>
      <w:r>
        <w:rPr>
          <w:rFonts w:hint="eastAsia" w:hAnsi="宋体" w:cs="宋体"/>
          <w:b/>
          <w:bCs/>
          <w:color w:val="auto"/>
          <w:sz w:val="32"/>
          <w:szCs w:val="32"/>
          <w:highlight w:val="none"/>
        </w:rPr>
        <w:t>广西医科大学武鸣校区教学设施采购项目</w:t>
      </w:r>
    </w:p>
    <w:bookmarkEnd w:id="12"/>
    <w:p>
      <w:pPr>
        <w:pStyle w:val="14"/>
        <w:jc w:val="center"/>
        <w:rPr>
          <w:rFonts w:hint="eastAsia" w:hAnsi="宋体" w:cs="宋体"/>
          <w:b/>
          <w:bCs/>
          <w:color w:val="auto"/>
          <w:sz w:val="32"/>
          <w:szCs w:val="32"/>
          <w:highlight w:val="none"/>
        </w:rPr>
      </w:pPr>
      <w:r>
        <w:rPr>
          <w:rFonts w:hint="eastAsia" w:hAnsi="宋体" w:cs="宋体"/>
          <w:b/>
          <w:bCs/>
          <w:color w:val="auto"/>
          <w:sz w:val="32"/>
          <w:szCs w:val="32"/>
          <w:highlight w:val="none"/>
        </w:rPr>
        <w:t>（</w:t>
      </w:r>
      <w:r>
        <w:rPr>
          <w:rFonts w:hint="eastAsia" w:hAnsi="宋体" w:cs="宋体"/>
          <w:b/>
          <w:bCs/>
          <w:color w:val="auto"/>
          <w:sz w:val="32"/>
          <w:szCs w:val="32"/>
          <w:highlight w:val="none"/>
          <w:lang w:eastAsia="zh-CN"/>
        </w:rPr>
        <w:t>GXZC2026-G1-002848-GXKL</w:t>
      </w:r>
      <w:r>
        <w:rPr>
          <w:rFonts w:hint="eastAsia" w:hAnsi="宋体" w:cs="宋体"/>
          <w:b/>
          <w:bCs/>
          <w:color w:val="auto"/>
          <w:sz w:val="32"/>
          <w:szCs w:val="32"/>
          <w:highlight w:val="none"/>
        </w:rPr>
        <w:t>）</w:t>
      </w:r>
    </w:p>
    <w:p>
      <w:pPr>
        <w:pStyle w:val="14"/>
        <w:jc w:val="center"/>
        <w:rPr>
          <w:rFonts w:hint="eastAsia" w:hAnsi="宋体" w:cs="宋体"/>
          <w:b/>
          <w:bCs/>
          <w:color w:val="auto"/>
          <w:sz w:val="30"/>
          <w:szCs w:val="30"/>
          <w:highlight w:val="none"/>
        </w:rPr>
      </w:pPr>
      <w:r>
        <w:rPr>
          <w:rFonts w:hint="eastAsia" w:hAnsi="宋体" w:cs="宋体"/>
          <w:b/>
          <w:bCs/>
          <w:color w:val="auto"/>
          <w:sz w:val="32"/>
          <w:szCs w:val="32"/>
          <w:highlight w:val="none"/>
        </w:rPr>
        <w:t>招标公告</w:t>
      </w:r>
    </w:p>
    <w:p>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s="宋体"/>
          <w:color w:val="auto"/>
          <w:szCs w:val="21"/>
          <w:highlight w:val="none"/>
        </w:rPr>
      </w:pPr>
      <w:bookmarkStart w:id="13" w:name="OLE_LINK51"/>
      <w:r>
        <w:rPr>
          <w:rFonts w:hint="eastAsia" w:ascii="宋体" w:hAnsi="宋体" w:cs="宋体"/>
          <w:color w:val="auto"/>
          <w:szCs w:val="21"/>
          <w:highlight w:val="none"/>
        </w:rPr>
        <w:t>项目概况</w:t>
      </w:r>
    </w:p>
    <w:p>
      <w:pPr>
        <w:pBdr>
          <w:top w:val="single" w:color="auto" w:sz="4" w:space="1"/>
          <w:left w:val="single" w:color="auto" w:sz="4" w:space="4"/>
          <w:bottom w:val="single" w:color="auto" w:sz="4" w:space="1"/>
          <w:right w:val="single" w:color="auto" w:sz="4" w:space="4"/>
        </w:pBdr>
        <w:spacing w:line="360" w:lineRule="auto"/>
        <w:ind w:firstLine="525" w:firstLineChars="250"/>
        <w:rPr>
          <w:rFonts w:hint="eastAsia" w:ascii="宋体" w:hAnsi="宋体" w:cs="宋体"/>
          <w:b/>
          <w:bCs/>
          <w:color w:val="auto"/>
          <w:szCs w:val="21"/>
          <w:highlight w:val="none"/>
        </w:rPr>
      </w:pPr>
      <w:r>
        <w:rPr>
          <w:rFonts w:hint="eastAsia" w:ascii="宋体" w:hAnsi="宋体" w:cs="宋体"/>
          <w:color w:val="auto"/>
          <w:szCs w:val="21"/>
          <w:highlight w:val="none"/>
          <w:u w:val="single"/>
        </w:rPr>
        <w:t>广西医科大学武鸣校区教学设施采购项目</w:t>
      </w:r>
      <w:r>
        <w:rPr>
          <w:rFonts w:hint="eastAsia" w:ascii="宋体" w:hAnsi="宋体" w:cs="宋体"/>
          <w:color w:val="auto"/>
          <w:szCs w:val="21"/>
          <w:highlight w:val="none"/>
        </w:rPr>
        <w:t>招标项目的潜在投标人应在</w:t>
      </w:r>
      <w:r>
        <w:rPr>
          <w:rFonts w:hint="eastAsia" w:ascii="宋体" w:hAnsi="宋体" w:cs="宋体"/>
          <w:color w:val="auto"/>
          <w:szCs w:val="21"/>
          <w:highlight w:val="none"/>
          <w:u w:val="single"/>
        </w:rPr>
        <w:t>广西政府采购云平台（https://www.gcy.zfcg.gxzf.gov.cn/）</w:t>
      </w:r>
      <w:r>
        <w:rPr>
          <w:rFonts w:hint="eastAsia" w:ascii="宋体" w:hAnsi="宋体" w:cs="宋体"/>
          <w:color w:val="auto"/>
          <w:szCs w:val="21"/>
          <w:highlight w:val="none"/>
        </w:rPr>
        <w:t>获取招标文件，并于</w:t>
      </w:r>
      <w:bookmarkStart w:id="14" w:name="PO_3000001867_PM015"/>
      <w:r>
        <w:rPr>
          <w:rFonts w:hint="eastAsia" w:ascii="宋体" w:hAnsi="宋体" w:cs="宋体"/>
          <w:color w:val="auto"/>
          <w:szCs w:val="21"/>
          <w:highlight w:val="none"/>
          <w:u w:val="single"/>
        </w:rPr>
        <w:t>2026年</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23</w:t>
      </w:r>
      <w:r>
        <w:rPr>
          <w:rFonts w:hint="eastAsia" w:ascii="宋体" w:hAnsi="宋体" w:cs="宋体"/>
          <w:color w:val="auto"/>
          <w:szCs w:val="21"/>
          <w:highlight w:val="none"/>
          <w:u w:val="single"/>
        </w:rPr>
        <w:t>日</w:t>
      </w:r>
      <w:r>
        <w:rPr>
          <w:rFonts w:hint="eastAsia" w:ascii="宋体" w:hAnsi="宋体" w:cs="宋体"/>
          <w:bCs/>
          <w:color w:val="auto"/>
          <w:szCs w:val="21"/>
          <w:highlight w:val="none"/>
          <w:u w:val="single"/>
        </w:rPr>
        <w:t>09:30</w:t>
      </w:r>
      <w:bookmarkEnd w:id="14"/>
      <w:r>
        <w:rPr>
          <w:rFonts w:hint="eastAsia" w:ascii="宋体" w:hAnsi="宋体" w:cs="宋体"/>
          <w:bCs/>
          <w:color w:val="auto"/>
          <w:szCs w:val="21"/>
          <w:highlight w:val="none"/>
          <w:u w:val="single"/>
        </w:rPr>
        <w:t>（北京时间）</w:t>
      </w:r>
      <w:r>
        <w:rPr>
          <w:rFonts w:hint="eastAsia" w:ascii="宋体" w:hAnsi="宋体" w:cs="宋体"/>
          <w:bCs/>
          <w:color w:val="auto"/>
          <w:szCs w:val="21"/>
          <w:highlight w:val="none"/>
        </w:rPr>
        <w:t>前</w:t>
      </w:r>
      <w:r>
        <w:rPr>
          <w:rFonts w:hint="eastAsia" w:ascii="宋体" w:hAnsi="宋体" w:cs="宋体"/>
          <w:color w:val="auto"/>
          <w:szCs w:val="21"/>
          <w:highlight w:val="none"/>
        </w:rPr>
        <w:t>提交文件。</w:t>
      </w:r>
      <w:bookmarkStart w:id="15" w:name="_Toc35393790"/>
      <w:bookmarkStart w:id="16" w:name="_Toc35393621"/>
      <w:bookmarkStart w:id="17" w:name="_Toc28359079"/>
      <w:bookmarkStart w:id="18" w:name="_Toc28359002"/>
      <w:bookmarkStart w:id="19" w:name="_Hlk24379207"/>
    </w:p>
    <w:p>
      <w:pPr>
        <w:keepNext w:val="0"/>
        <w:keepLines w:val="0"/>
        <w:pageBreakBefore w:val="0"/>
        <w:kinsoku/>
        <w:wordWrap/>
        <w:overflowPunct/>
        <w:topLinePunct w:val="0"/>
        <w:autoSpaceDE/>
        <w:autoSpaceDN/>
        <w:bidi w:val="0"/>
        <w:adjustRightInd/>
        <w:spacing w:after="0" w:line="440" w:lineRule="atLeas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一、项目基本情况</w:t>
      </w:r>
      <w:bookmarkEnd w:id="15"/>
      <w:bookmarkEnd w:id="16"/>
      <w:bookmarkEnd w:id="17"/>
      <w:bookmarkEnd w:id="18"/>
    </w:p>
    <w:p>
      <w:pPr>
        <w:keepNext w:val="0"/>
        <w:keepLines w:val="0"/>
        <w:pageBreakBefore w:val="0"/>
        <w:kinsoku/>
        <w:wordWrap/>
        <w:overflowPunct/>
        <w:topLinePunct w:val="0"/>
        <w:autoSpaceDE/>
        <w:autoSpaceDN/>
        <w:bidi w:val="0"/>
        <w:adjustRightInd/>
        <w:spacing w:after="0" w:line="440" w:lineRule="atLeast"/>
        <w:ind w:firstLine="420" w:firstLineChars="200"/>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项目编号：</w:t>
      </w:r>
      <w:bookmarkStart w:id="20" w:name="PO_3000001867_PM001_1"/>
      <w:r>
        <w:rPr>
          <w:rFonts w:hint="eastAsia" w:ascii="宋体" w:hAnsi="宋体" w:cs="宋体"/>
          <w:color w:val="auto"/>
          <w:szCs w:val="21"/>
          <w:highlight w:val="none"/>
          <w:lang w:eastAsia="zh-CN"/>
        </w:rPr>
        <w:t>GXZC2026-G1-002848-GXKL</w:t>
      </w:r>
    </w:p>
    <w:bookmarkEnd w:id="20"/>
    <w:p>
      <w:pPr>
        <w:keepNext w:val="0"/>
        <w:keepLines w:val="0"/>
        <w:pageBreakBefore w:val="0"/>
        <w:kinsoku/>
        <w:wordWrap/>
        <w:overflowPunct/>
        <w:topLinePunct w:val="0"/>
        <w:autoSpaceDE/>
        <w:autoSpaceDN/>
        <w:bidi w:val="0"/>
        <w:adjustRightInd/>
        <w:spacing w:after="0" w:line="440" w:lineRule="atLeas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项目名称：广西医科大学武鸣校区教学设施采购项目</w:t>
      </w:r>
    </w:p>
    <w:bookmarkEnd w:id="19"/>
    <w:p>
      <w:pPr>
        <w:keepNext w:val="0"/>
        <w:keepLines w:val="0"/>
        <w:pageBreakBefore w:val="0"/>
        <w:kinsoku/>
        <w:wordWrap/>
        <w:overflowPunct/>
        <w:topLinePunct w:val="0"/>
        <w:autoSpaceDE/>
        <w:autoSpaceDN/>
        <w:bidi w:val="0"/>
        <w:adjustRightInd/>
        <w:spacing w:after="0" w:line="440" w:lineRule="atLeast"/>
        <w:ind w:firstLine="420" w:firstLineChars="200"/>
        <w:textAlignment w:val="auto"/>
        <w:rPr>
          <w:rFonts w:hint="eastAsia" w:ascii="宋体" w:hAnsi="宋体" w:cs="宋体"/>
          <w:color w:val="auto"/>
          <w:szCs w:val="21"/>
          <w:highlight w:val="none"/>
          <w:lang w:val="en-US" w:eastAsia="zh-CN"/>
        </w:rPr>
      </w:pPr>
      <w:bookmarkStart w:id="21" w:name="_Toc35393622"/>
      <w:bookmarkStart w:id="22" w:name="_Toc35393791"/>
      <w:bookmarkStart w:id="23" w:name="_Toc28359003"/>
      <w:bookmarkStart w:id="24" w:name="_Toc28359080"/>
      <w:r>
        <w:rPr>
          <w:rFonts w:hint="eastAsia" w:ascii="宋体" w:hAnsi="宋体" w:cs="宋体"/>
          <w:color w:val="auto"/>
          <w:szCs w:val="21"/>
          <w:highlight w:val="none"/>
        </w:rPr>
        <w:t>预算总金额（元）：</w:t>
      </w:r>
      <w:r>
        <w:rPr>
          <w:rFonts w:hint="eastAsia" w:ascii="宋体" w:hAnsi="宋体" w:cs="宋体"/>
          <w:color w:val="auto"/>
          <w:szCs w:val="21"/>
          <w:highlight w:val="none"/>
          <w:lang w:val="en-US" w:eastAsia="zh-CN"/>
        </w:rPr>
        <w:t>1545809</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36</w:t>
      </w:r>
    </w:p>
    <w:p>
      <w:pPr>
        <w:keepNext w:val="0"/>
        <w:keepLines w:val="0"/>
        <w:pageBreakBefore w:val="0"/>
        <w:kinsoku/>
        <w:wordWrap/>
        <w:overflowPunct/>
        <w:topLinePunct w:val="0"/>
        <w:autoSpaceDE/>
        <w:autoSpaceDN/>
        <w:bidi w:val="0"/>
        <w:adjustRightInd/>
        <w:spacing w:after="0" w:line="440" w:lineRule="atLeas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采购需求：</w:t>
      </w:r>
    </w:p>
    <w:p>
      <w:pPr>
        <w:pStyle w:val="23"/>
        <w:keepNext w:val="0"/>
        <w:keepLines w:val="0"/>
        <w:pageBreakBefore w:val="0"/>
        <w:kinsoku/>
        <w:wordWrap/>
        <w:overflowPunct/>
        <w:topLinePunct w:val="0"/>
        <w:autoSpaceDE/>
        <w:autoSpaceDN/>
        <w:bidi w:val="0"/>
        <w:adjustRightInd/>
        <w:spacing w:before="0" w:beforeAutospacing="0" w:after="0" w:afterAutospacing="0" w:line="440" w:lineRule="atLeast"/>
        <w:ind w:firstLine="632" w:firstLineChars="300"/>
        <w:textAlignment w:val="auto"/>
        <w:rPr>
          <w:rFonts w:hint="eastAsia"/>
          <w:b/>
          <w:bCs/>
          <w:color w:val="auto"/>
          <w:sz w:val="21"/>
          <w:szCs w:val="21"/>
          <w:highlight w:val="none"/>
        </w:rPr>
      </w:pPr>
      <w:r>
        <w:rPr>
          <w:rFonts w:hint="eastAsia"/>
          <w:b/>
          <w:bCs/>
          <w:color w:val="auto"/>
          <w:sz w:val="21"/>
          <w:szCs w:val="21"/>
          <w:highlight w:val="none"/>
        </w:rPr>
        <w:t>标项一</w:t>
      </w:r>
    </w:p>
    <w:p>
      <w:pPr>
        <w:pStyle w:val="23"/>
        <w:keepNext w:val="0"/>
        <w:keepLines w:val="0"/>
        <w:pageBreakBefore w:val="0"/>
        <w:kinsoku/>
        <w:wordWrap/>
        <w:overflowPunct/>
        <w:topLinePunct w:val="0"/>
        <w:autoSpaceDE/>
        <w:autoSpaceDN/>
        <w:bidi w:val="0"/>
        <w:adjustRightInd/>
        <w:spacing w:before="0" w:beforeAutospacing="0" w:after="0" w:afterAutospacing="0" w:line="440" w:lineRule="atLeast"/>
        <w:ind w:firstLine="630" w:firstLineChars="300"/>
        <w:textAlignment w:val="auto"/>
        <w:rPr>
          <w:rFonts w:hint="eastAsia"/>
          <w:color w:val="auto"/>
          <w:sz w:val="21"/>
          <w:szCs w:val="21"/>
          <w:highlight w:val="none"/>
        </w:rPr>
      </w:pPr>
      <w:r>
        <w:rPr>
          <w:rFonts w:hint="eastAsia"/>
          <w:color w:val="auto"/>
          <w:sz w:val="21"/>
          <w:szCs w:val="21"/>
          <w:highlight w:val="none"/>
        </w:rPr>
        <w:t>标项名称：广西医科大学武鸣校区教学设施采购项目（二）</w:t>
      </w:r>
    </w:p>
    <w:p>
      <w:pPr>
        <w:pStyle w:val="23"/>
        <w:keepNext w:val="0"/>
        <w:keepLines w:val="0"/>
        <w:pageBreakBefore w:val="0"/>
        <w:kinsoku/>
        <w:wordWrap/>
        <w:overflowPunct/>
        <w:topLinePunct w:val="0"/>
        <w:autoSpaceDE/>
        <w:autoSpaceDN/>
        <w:bidi w:val="0"/>
        <w:adjustRightInd/>
        <w:spacing w:before="0" w:beforeAutospacing="0" w:after="0" w:afterAutospacing="0" w:line="440" w:lineRule="atLeast"/>
        <w:ind w:firstLine="630" w:firstLineChars="300"/>
        <w:textAlignment w:val="auto"/>
        <w:rPr>
          <w:rFonts w:hint="eastAsia"/>
          <w:color w:val="auto"/>
          <w:sz w:val="21"/>
          <w:szCs w:val="21"/>
          <w:highlight w:val="none"/>
        </w:rPr>
      </w:pPr>
      <w:r>
        <w:rPr>
          <w:rFonts w:hint="eastAsia"/>
          <w:color w:val="auto"/>
          <w:sz w:val="21"/>
          <w:szCs w:val="21"/>
          <w:highlight w:val="none"/>
        </w:rPr>
        <w:t>数量：86</w:t>
      </w:r>
    </w:p>
    <w:p>
      <w:pPr>
        <w:pStyle w:val="23"/>
        <w:keepNext w:val="0"/>
        <w:keepLines w:val="0"/>
        <w:pageBreakBefore w:val="0"/>
        <w:kinsoku/>
        <w:wordWrap/>
        <w:overflowPunct/>
        <w:topLinePunct w:val="0"/>
        <w:autoSpaceDE/>
        <w:autoSpaceDN/>
        <w:bidi w:val="0"/>
        <w:adjustRightInd/>
        <w:spacing w:before="0" w:beforeAutospacing="0" w:after="0" w:afterAutospacing="0" w:line="440" w:lineRule="atLeast"/>
        <w:ind w:firstLine="630" w:firstLineChars="300"/>
        <w:textAlignment w:val="auto"/>
        <w:rPr>
          <w:rFonts w:hint="eastAsia"/>
          <w:color w:val="auto"/>
          <w:sz w:val="21"/>
          <w:szCs w:val="21"/>
          <w:highlight w:val="none"/>
        </w:rPr>
      </w:pPr>
      <w:r>
        <w:rPr>
          <w:rFonts w:hint="eastAsia"/>
          <w:color w:val="auto"/>
          <w:sz w:val="21"/>
          <w:szCs w:val="21"/>
          <w:highlight w:val="none"/>
        </w:rPr>
        <w:t>预算金额（元）：</w:t>
      </w:r>
      <w:r>
        <w:rPr>
          <w:color w:val="auto"/>
          <w:highlight w:val="none"/>
        </w:rPr>
        <w:t xml:space="preserve"> </w:t>
      </w:r>
      <w:r>
        <w:rPr>
          <w:rFonts w:hint="eastAsia"/>
          <w:color w:val="auto"/>
          <w:sz w:val="21"/>
          <w:szCs w:val="21"/>
          <w:highlight w:val="none"/>
        </w:rPr>
        <w:t>1252502.14 </w:t>
      </w:r>
    </w:p>
    <w:p>
      <w:pPr>
        <w:pStyle w:val="23"/>
        <w:keepNext w:val="0"/>
        <w:keepLines w:val="0"/>
        <w:pageBreakBefore w:val="0"/>
        <w:kinsoku/>
        <w:wordWrap/>
        <w:overflowPunct/>
        <w:topLinePunct w:val="0"/>
        <w:autoSpaceDE/>
        <w:autoSpaceDN/>
        <w:bidi w:val="0"/>
        <w:adjustRightInd/>
        <w:spacing w:before="0" w:beforeAutospacing="0" w:after="0" w:afterAutospacing="0" w:line="440" w:lineRule="atLeast"/>
        <w:ind w:firstLine="630" w:firstLineChars="300"/>
        <w:textAlignment w:val="auto"/>
        <w:rPr>
          <w:rFonts w:hint="eastAsia"/>
          <w:color w:val="auto"/>
          <w:sz w:val="21"/>
          <w:szCs w:val="21"/>
          <w:highlight w:val="none"/>
        </w:rPr>
      </w:pPr>
      <w:r>
        <w:rPr>
          <w:rFonts w:hint="eastAsia"/>
          <w:color w:val="auto"/>
          <w:sz w:val="21"/>
          <w:szCs w:val="21"/>
          <w:highlight w:val="none"/>
        </w:rPr>
        <w:t>简要规格描述或项目基本概况介绍、用途：教学互动系统（学生）1套，多媒体智能控制系统1套，机能学实验系统2套，生物机能实验系统6台，智能热板仪14台，紫外分光光度计2台，集智还原系统 60套。详见本公告附件。 </w:t>
      </w:r>
    </w:p>
    <w:p>
      <w:pPr>
        <w:pStyle w:val="23"/>
        <w:keepNext w:val="0"/>
        <w:keepLines w:val="0"/>
        <w:pageBreakBefore w:val="0"/>
        <w:kinsoku/>
        <w:wordWrap/>
        <w:overflowPunct/>
        <w:topLinePunct w:val="0"/>
        <w:autoSpaceDE/>
        <w:autoSpaceDN/>
        <w:bidi w:val="0"/>
        <w:adjustRightInd/>
        <w:spacing w:before="0" w:beforeAutospacing="0" w:after="0" w:afterAutospacing="0" w:line="440" w:lineRule="atLeast"/>
        <w:ind w:firstLine="630" w:firstLineChars="300"/>
        <w:textAlignment w:val="auto"/>
        <w:rPr>
          <w:rFonts w:hint="eastAsia"/>
          <w:color w:val="auto"/>
          <w:sz w:val="21"/>
          <w:szCs w:val="21"/>
          <w:highlight w:val="none"/>
        </w:rPr>
      </w:pPr>
      <w:r>
        <w:rPr>
          <w:rFonts w:hint="eastAsia"/>
          <w:color w:val="auto"/>
          <w:sz w:val="21"/>
          <w:szCs w:val="21"/>
          <w:highlight w:val="none"/>
        </w:rPr>
        <w:t>最高限价（如有）：1252502.14元</w:t>
      </w:r>
    </w:p>
    <w:p>
      <w:pPr>
        <w:pStyle w:val="23"/>
        <w:keepNext w:val="0"/>
        <w:keepLines w:val="0"/>
        <w:pageBreakBefore w:val="0"/>
        <w:kinsoku/>
        <w:wordWrap/>
        <w:overflowPunct/>
        <w:topLinePunct w:val="0"/>
        <w:autoSpaceDE/>
        <w:autoSpaceDN/>
        <w:bidi w:val="0"/>
        <w:adjustRightInd/>
        <w:spacing w:before="0" w:beforeAutospacing="0" w:after="0" w:afterAutospacing="0" w:line="440" w:lineRule="atLeast"/>
        <w:ind w:firstLine="630" w:firstLineChars="300"/>
        <w:textAlignment w:val="auto"/>
        <w:rPr>
          <w:rFonts w:hint="eastAsia"/>
          <w:color w:val="auto"/>
          <w:sz w:val="21"/>
          <w:szCs w:val="21"/>
          <w:highlight w:val="none"/>
          <w:lang w:bidi="ar"/>
        </w:rPr>
      </w:pPr>
      <w:r>
        <w:rPr>
          <w:rFonts w:hint="eastAsia"/>
          <w:color w:val="auto"/>
          <w:sz w:val="21"/>
          <w:szCs w:val="21"/>
          <w:highlight w:val="none"/>
          <w:lang w:eastAsia="zh-CN"/>
        </w:rPr>
        <w:t>合同履行期限</w:t>
      </w:r>
      <w:r>
        <w:rPr>
          <w:rFonts w:hint="eastAsia"/>
          <w:color w:val="auto"/>
          <w:sz w:val="21"/>
          <w:szCs w:val="21"/>
          <w:highlight w:val="none"/>
        </w:rPr>
        <w:t>：自</w:t>
      </w:r>
      <w:r>
        <w:rPr>
          <w:rFonts w:hint="eastAsia"/>
          <w:color w:val="auto"/>
          <w:sz w:val="21"/>
          <w:szCs w:val="21"/>
          <w:highlight w:val="none"/>
          <w:lang w:bidi="ar"/>
        </w:rPr>
        <w:t>合同签订之日起30个工作日内将货物运至采购人指定地点，并完成安装调试。</w:t>
      </w:r>
    </w:p>
    <w:p>
      <w:pPr>
        <w:pStyle w:val="23"/>
        <w:keepNext w:val="0"/>
        <w:keepLines w:val="0"/>
        <w:pageBreakBefore w:val="0"/>
        <w:kinsoku/>
        <w:wordWrap/>
        <w:overflowPunct/>
        <w:topLinePunct w:val="0"/>
        <w:autoSpaceDE/>
        <w:autoSpaceDN/>
        <w:bidi w:val="0"/>
        <w:adjustRightInd/>
        <w:spacing w:before="0" w:beforeAutospacing="0" w:after="0" w:afterAutospacing="0" w:line="440" w:lineRule="atLeast"/>
        <w:ind w:firstLine="630" w:firstLineChars="300"/>
        <w:textAlignment w:val="auto"/>
        <w:rPr>
          <w:rFonts w:hint="eastAsia"/>
          <w:color w:val="auto"/>
          <w:sz w:val="21"/>
          <w:szCs w:val="21"/>
          <w:highlight w:val="none"/>
        </w:rPr>
      </w:pPr>
      <w:r>
        <w:rPr>
          <w:rFonts w:hint="eastAsia"/>
          <w:color w:val="auto"/>
          <w:sz w:val="21"/>
          <w:szCs w:val="21"/>
          <w:highlight w:val="none"/>
        </w:rPr>
        <w:t>本标项（否）接受联合体投标 </w:t>
      </w:r>
    </w:p>
    <w:p>
      <w:pPr>
        <w:pStyle w:val="23"/>
        <w:keepNext w:val="0"/>
        <w:keepLines w:val="0"/>
        <w:pageBreakBefore w:val="0"/>
        <w:kinsoku/>
        <w:wordWrap/>
        <w:overflowPunct/>
        <w:topLinePunct w:val="0"/>
        <w:autoSpaceDE/>
        <w:autoSpaceDN/>
        <w:bidi w:val="0"/>
        <w:adjustRightInd/>
        <w:spacing w:before="0" w:beforeAutospacing="0" w:after="0" w:afterAutospacing="0" w:line="440" w:lineRule="atLeast"/>
        <w:ind w:firstLine="630" w:firstLineChars="300"/>
        <w:textAlignment w:val="auto"/>
        <w:rPr>
          <w:rFonts w:hint="eastAsia"/>
          <w:color w:val="auto"/>
          <w:sz w:val="21"/>
          <w:szCs w:val="21"/>
          <w:highlight w:val="none"/>
        </w:rPr>
      </w:pPr>
      <w:r>
        <w:rPr>
          <w:rFonts w:hint="eastAsia"/>
          <w:color w:val="auto"/>
          <w:sz w:val="21"/>
          <w:szCs w:val="21"/>
          <w:highlight w:val="none"/>
        </w:rPr>
        <w:t>备注：无 </w:t>
      </w:r>
    </w:p>
    <w:p>
      <w:pPr>
        <w:pStyle w:val="23"/>
        <w:keepNext w:val="0"/>
        <w:keepLines w:val="0"/>
        <w:pageBreakBefore w:val="0"/>
        <w:kinsoku/>
        <w:wordWrap/>
        <w:overflowPunct/>
        <w:topLinePunct w:val="0"/>
        <w:autoSpaceDE/>
        <w:autoSpaceDN/>
        <w:bidi w:val="0"/>
        <w:adjustRightInd/>
        <w:spacing w:before="0" w:beforeAutospacing="0" w:after="0" w:afterAutospacing="0" w:line="440" w:lineRule="atLeast"/>
        <w:ind w:firstLine="632" w:firstLineChars="300"/>
        <w:textAlignment w:val="auto"/>
        <w:rPr>
          <w:rFonts w:hint="eastAsia" w:eastAsia="宋体"/>
          <w:b/>
          <w:bCs/>
          <w:color w:val="auto"/>
          <w:sz w:val="21"/>
          <w:szCs w:val="21"/>
          <w:highlight w:val="none"/>
          <w:lang w:eastAsia="zh-CN"/>
        </w:rPr>
      </w:pPr>
      <w:r>
        <w:rPr>
          <w:rFonts w:hint="eastAsia"/>
          <w:b/>
          <w:bCs/>
          <w:color w:val="auto"/>
          <w:sz w:val="21"/>
          <w:szCs w:val="21"/>
          <w:highlight w:val="none"/>
        </w:rPr>
        <w:t>标项</w:t>
      </w:r>
      <w:r>
        <w:rPr>
          <w:rFonts w:hint="eastAsia"/>
          <w:b/>
          <w:bCs/>
          <w:color w:val="auto"/>
          <w:sz w:val="21"/>
          <w:szCs w:val="21"/>
          <w:highlight w:val="none"/>
          <w:lang w:eastAsia="zh-CN"/>
        </w:rPr>
        <w:t>二</w:t>
      </w:r>
    </w:p>
    <w:p>
      <w:pPr>
        <w:pStyle w:val="23"/>
        <w:keepNext w:val="0"/>
        <w:keepLines w:val="0"/>
        <w:pageBreakBefore w:val="0"/>
        <w:kinsoku/>
        <w:wordWrap/>
        <w:overflowPunct/>
        <w:topLinePunct w:val="0"/>
        <w:autoSpaceDE/>
        <w:autoSpaceDN/>
        <w:bidi w:val="0"/>
        <w:adjustRightInd/>
        <w:spacing w:before="0" w:beforeAutospacing="0" w:after="0" w:afterAutospacing="0" w:line="440" w:lineRule="atLeast"/>
        <w:ind w:firstLine="630" w:firstLineChars="300"/>
        <w:textAlignment w:val="auto"/>
        <w:rPr>
          <w:rFonts w:hint="eastAsia"/>
          <w:color w:val="auto"/>
          <w:sz w:val="21"/>
          <w:szCs w:val="21"/>
          <w:highlight w:val="none"/>
        </w:rPr>
      </w:pPr>
      <w:r>
        <w:rPr>
          <w:rFonts w:hint="eastAsia"/>
          <w:color w:val="auto"/>
          <w:sz w:val="21"/>
          <w:szCs w:val="21"/>
          <w:highlight w:val="none"/>
        </w:rPr>
        <w:t>标项名称：广西医科大学武鸣校区教学设施采购项目（三） </w:t>
      </w:r>
    </w:p>
    <w:p>
      <w:pPr>
        <w:pStyle w:val="23"/>
        <w:keepNext w:val="0"/>
        <w:keepLines w:val="0"/>
        <w:pageBreakBefore w:val="0"/>
        <w:kinsoku/>
        <w:wordWrap/>
        <w:overflowPunct/>
        <w:topLinePunct w:val="0"/>
        <w:autoSpaceDE/>
        <w:autoSpaceDN/>
        <w:bidi w:val="0"/>
        <w:adjustRightInd/>
        <w:spacing w:before="0" w:beforeAutospacing="0" w:after="0" w:afterAutospacing="0" w:line="440" w:lineRule="atLeast"/>
        <w:ind w:firstLine="630" w:firstLineChars="300"/>
        <w:textAlignment w:val="auto"/>
        <w:rPr>
          <w:rFonts w:hint="eastAsia"/>
          <w:color w:val="auto"/>
          <w:sz w:val="21"/>
          <w:szCs w:val="21"/>
          <w:highlight w:val="none"/>
        </w:rPr>
      </w:pPr>
      <w:r>
        <w:rPr>
          <w:rFonts w:hint="eastAsia"/>
          <w:color w:val="auto"/>
          <w:sz w:val="21"/>
          <w:szCs w:val="21"/>
          <w:highlight w:val="none"/>
        </w:rPr>
        <w:t>数量：97</w:t>
      </w:r>
    </w:p>
    <w:p>
      <w:pPr>
        <w:pStyle w:val="23"/>
        <w:keepNext w:val="0"/>
        <w:keepLines w:val="0"/>
        <w:pageBreakBefore w:val="0"/>
        <w:kinsoku/>
        <w:wordWrap/>
        <w:overflowPunct/>
        <w:topLinePunct w:val="0"/>
        <w:autoSpaceDE/>
        <w:autoSpaceDN/>
        <w:bidi w:val="0"/>
        <w:adjustRightInd/>
        <w:spacing w:before="0" w:beforeAutospacing="0" w:after="0" w:afterAutospacing="0" w:line="440" w:lineRule="atLeast"/>
        <w:ind w:firstLine="630" w:firstLineChars="300"/>
        <w:textAlignment w:val="auto"/>
        <w:rPr>
          <w:rFonts w:hint="eastAsia"/>
          <w:color w:val="auto"/>
          <w:sz w:val="21"/>
          <w:szCs w:val="21"/>
          <w:highlight w:val="none"/>
        </w:rPr>
      </w:pPr>
      <w:r>
        <w:rPr>
          <w:rFonts w:hint="eastAsia"/>
          <w:color w:val="auto"/>
          <w:sz w:val="21"/>
          <w:szCs w:val="21"/>
          <w:highlight w:val="none"/>
        </w:rPr>
        <w:t>预算金额（元）：</w:t>
      </w:r>
      <w:r>
        <w:rPr>
          <w:color w:val="auto"/>
          <w:highlight w:val="none"/>
        </w:rPr>
        <w:t xml:space="preserve"> </w:t>
      </w:r>
      <w:r>
        <w:rPr>
          <w:rFonts w:hint="eastAsia"/>
          <w:color w:val="auto"/>
          <w:sz w:val="21"/>
          <w:szCs w:val="21"/>
          <w:highlight w:val="none"/>
        </w:rPr>
        <w:t>293307.22 </w:t>
      </w:r>
    </w:p>
    <w:p>
      <w:pPr>
        <w:pStyle w:val="23"/>
        <w:keepNext w:val="0"/>
        <w:keepLines w:val="0"/>
        <w:pageBreakBefore w:val="0"/>
        <w:kinsoku/>
        <w:wordWrap/>
        <w:overflowPunct/>
        <w:topLinePunct w:val="0"/>
        <w:autoSpaceDE/>
        <w:autoSpaceDN/>
        <w:bidi w:val="0"/>
        <w:adjustRightInd/>
        <w:spacing w:before="0" w:beforeAutospacing="0" w:after="0" w:afterAutospacing="0" w:line="440" w:lineRule="atLeast"/>
        <w:ind w:firstLine="630" w:firstLineChars="300"/>
        <w:textAlignment w:val="auto"/>
        <w:rPr>
          <w:rFonts w:hint="eastAsia"/>
          <w:color w:val="auto"/>
          <w:sz w:val="21"/>
          <w:szCs w:val="21"/>
          <w:highlight w:val="none"/>
        </w:rPr>
      </w:pPr>
      <w:r>
        <w:rPr>
          <w:rFonts w:hint="eastAsia"/>
          <w:color w:val="auto"/>
          <w:sz w:val="21"/>
          <w:szCs w:val="21"/>
          <w:highlight w:val="none"/>
        </w:rPr>
        <w:t>简要规格描述或项目基本概况介绍、用途：全钢通风柜7台，可见分光光度计28台，1.5ml高速离心机2台，水浴锅2台，功放2台，电动投影幕布2台，冰箱2台，音箱2台，不锈钢器具推车4辆，电热恒温水浴箱4台，直排风通风系统1套，冰箱1台，冰柜1台，超净工作台1台，低速台式离心机2台，掌上离心机1台，电泳槽2台，电泳仪1台，多用脱色摇床1台，酶标仪(固定波长)1台，生化培养箱1台，试剂运送车1辆，微波炉1台，小型混匀器1台，电动投影幕布2个，音箱12个，功放6台，一拖四无线麦克风4套，设备机柜2台。详见本公告附件。 </w:t>
      </w:r>
    </w:p>
    <w:p>
      <w:pPr>
        <w:pStyle w:val="23"/>
        <w:keepNext w:val="0"/>
        <w:keepLines w:val="0"/>
        <w:pageBreakBefore w:val="0"/>
        <w:kinsoku/>
        <w:wordWrap/>
        <w:overflowPunct/>
        <w:topLinePunct w:val="0"/>
        <w:autoSpaceDE/>
        <w:autoSpaceDN/>
        <w:bidi w:val="0"/>
        <w:adjustRightInd/>
        <w:spacing w:before="0" w:beforeAutospacing="0" w:after="0" w:afterAutospacing="0" w:line="440" w:lineRule="atLeast"/>
        <w:ind w:firstLine="630" w:firstLineChars="300"/>
        <w:textAlignment w:val="auto"/>
        <w:rPr>
          <w:rFonts w:hint="eastAsia"/>
          <w:color w:val="auto"/>
          <w:sz w:val="21"/>
          <w:szCs w:val="21"/>
          <w:highlight w:val="none"/>
        </w:rPr>
      </w:pPr>
      <w:r>
        <w:rPr>
          <w:rFonts w:hint="eastAsia"/>
          <w:color w:val="auto"/>
          <w:sz w:val="21"/>
          <w:szCs w:val="21"/>
          <w:highlight w:val="none"/>
        </w:rPr>
        <w:t>最高限价（如有）：293307.22元</w:t>
      </w:r>
    </w:p>
    <w:p>
      <w:pPr>
        <w:pStyle w:val="23"/>
        <w:keepNext w:val="0"/>
        <w:keepLines w:val="0"/>
        <w:pageBreakBefore w:val="0"/>
        <w:kinsoku/>
        <w:wordWrap/>
        <w:overflowPunct/>
        <w:topLinePunct w:val="0"/>
        <w:autoSpaceDE/>
        <w:autoSpaceDN/>
        <w:bidi w:val="0"/>
        <w:adjustRightInd/>
        <w:spacing w:before="0" w:beforeAutospacing="0" w:after="0" w:afterAutospacing="0" w:line="440" w:lineRule="atLeast"/>
        <w:ind w:firstLine="630" w:firstLineChars="300"/>
        <w:textAlignment w:val="auto"/>
        <w:rPr>
          <w:rFonts w:hint="eastAsia"/>
          <w:color w:val="auto"/>
          <w:sz w:val="21"/>
          <w:szCs w:val="21"/>
          <w:highlight w:val="none"/>
          <w:lang w:bidi="ar"/>
        </w:rPr>
      </w:pPr>
      <w:r>
        <w:rPr>
          <w:rFonts w:hint="eastAsia"/>
          <w:color w:val="auto"/>
          <w:sz w:val="21"/>
          <w:szCs w:val="21"/>
          <w:highlight w:val="none"/>
          <w:lang w:eastAsia="zh-CN"/>
        </w:rPr>
        <w:t>合同履行期限</w:t>
      </w:r>
      <w:r>
        <w:rPr>
          <w:rFonts w:hint="eastAsia"/>
          <w:color w:val="auto"/>
          <w:sz w:val="21"/>
          <w:szCs w:val="21"/>
          <w:highlight w:val="none"/>
        </w:rPr>
        <w:t>：自</w:t>
      </w:r>
      <w:r>
        <w:rPr>
          <w:rFonts w:hint="eastAsia"/>
          <w:color w:val="auto"/>
          <w:sz w:val="21"/>
          <w:szCs w:val="21"/>
          <w:highlight w:val="none"/>
          <w:lang w:bidi="ar"/>
        </w:rPr>
        <w:t>合同签订之日起30个工作日内将货物运至采购人指定地点，并完成安装调试。</w:t>
      </w:r>
    </w:p>
    <w:p>
      <w:pPr>
        <w:pStyle w:val="23"/>
        <w:keepNext w:val="0"/>
        <w:keepLines w:val="0"/>
        <w:pageBreakBefore w:val="0"/>
        <w:kinsoku/>
        <w:wordWrap/>
        <w:overflowPunct/>
        <w:topLinePunct w:val="0"/>
        <w:autoSpaceDE/>
        <w:autoSpaceDN/>
        <w:bidi w:val="0"/>
        <w:adjustRightInd/>
        <w:spacing w:before="0" w:beforeAutospacing="0" w:after="0" w:afterAutospacing="0" w:line="440" w:lineRule="atLeast"/>
        <w:ind w:firstLine="630" w:firstLineChars="300"/>
        <w:textAlignment w:val="auto"/>
        <w:rPr>
          <w:rFonts w:hint="eastAsia"/>
          <w:color w:val="auto"/>
          <w:sz w:val="21"/>
          <w:szCs w:val="21"/>
          <w:highlight w:val="none"/>
        </w:rPr>
      </w:pPr>
      <w:r>
        <w:rPr>
          <w:rFonts w:hint="eastAsia"/>
          <w:color w:val="auto"/>
          <w:sz w:val="21"/>
          <w:szCs w:val="21"/>
          <w:highlight w:val="none"/>
        </w:rPr>
        <w:t>本标项（否）接受联合体投标 </w:t>
      </w:r>
    </w:p>
    <w:p>
      <w:pPr>
        <w:pStyle w:val="23"/>
        <w:keepNext w:val="0"/>
        <w:keepLines w:val="0"/>
        <w:pageBreakBefore w:val="0"/>
        <w:kinsoku/>
        <w:wordWrap/>
        <w:overflowPunct/>
        <w:topLinePunct w:val="0"/>
        <w:autoSpaceDE/>
        <w:autoSpaceDN/>
        <w:bidi w:val="0"/>
        <w:adjustRightInd/>
        <w:spacing w:before="0" w:beforeAutospacing="0" w:after="0" w:afterAutospacing="0" w:line="440" w:lineRule="atLeast"/>
        <w:ind w:firstLine="630" w:firstLineChars="300"/>
        <w:textAlignment w:val="auto"/>
        <w:rPr>
          <w:rFonts w:hint="eastAsia"/>
          <w:color w:val="auto"/>
          <w:sz w:val="21"/>
          <w:szCs w:val="21"/>
          <w:highlight w:val="none"/>
        </w:rPr>
      </w:pPr>
      <w:r>
        <w:rPr>
          <w:rFonts w:hint="eastAsia"/>
          <w:color w:val="auto"/>
          <w:sz w:val="21"/>
          <w:szCs w:val="21"/>
          <w:highlight w:val="none"/>
        </w:rPr>
        <w:t>备注：无</w:t>
      </w:r>
    </w:p>
    <w:p>
      <w:pPr>
        <w:keepNext w:val="0"/>
        <w:keepLines w:val="0"/>
        <w:pageBreakBefore w:val="0"/>
        <w:kinsoku/>
        <w:wordWrap/>
        <w:overflowPunct/>
        <w:topLinePunct w:val="0"/>
        <w:autoSpaceDE/>
        <w:autoSpaceDN/>
        <w:bidi w:val="0"/>
        <w:adjustRightInd/>
        <w:spacing w:after="0" w:line="440" w:lineRule="atLeas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二、申请人的资格要求：</w:t>
      </w:r>
      <w:bookmarkEnd w:id="21"/>
      <w:bookmarkEnd w:id="22"/>
      <w:bookmarkEnd w:id="23"/>
      <w:bookmarkEnd w:id="24"/>
    </w:p>
    <w:p>
      <w:pPr>
        <w:keepNext w:val="0"/>
        <w:keepLines w:val="0"/>
        <w:pageBreakBefore w:val="0"/>
        <w:kinsoku/>
        <w:wordWrap/>
        <w:overflowPunct/>
        <w:topLinePunct w:val="0"/>
        <w:autoSpaceDE/>
        <w:autoSpaceDN/>
        <w:bidi w:val="0"/>
        <w:adjustRightInd/>
        <w:spacing w:after="0" w:line="440" w:lineRule="atLeast"/>
        <w:ind w:firstLine="420" w:firstLineChars="200"/>
        <w:textAlignment w:val="auto"/>
        <w:rPr>
          <w:rFonts w:hint="eastAsia" w:ascii="宋体" w:hAnsi="宋体" w:cs="宋体"/>
          <w:color w:val="auto"/>
          <w:szCs w:val="21"/>
          <w:highlight w:val="none"/>
        </w:rPr>
      </w:pPr>
      <w:bookmarkStart w:id="25" w:name="_Hlk51746371"/>
      <w:bookmarkStart w:id="26" w:name="_Toc28359004"/>
      <w:bookmarkStart w:id="27" w:name="_Toc28359081"/>
      <w:r>
        <w:rPr>
          <w:rFonts w:hint="eastAsia" w:ascii="宋体" w:hAnsi="宋体" w:cs="宋体"/>
          <w:color w:val="auto"/>
          <w:szCs w:val="21"/>
          <w:highlight w:val="none"/>
        </w:rPr>
        <w:t>1.满足《中华人民共和国政府采购法》第二十二条规定；</w:t>
      </w:r>
    </w:p>
    <w:p>
      <w:pPr>
        <w:keepNext w:val="0"/>
        <w:keepLines w:val="0"/>
        <w:pageBreakBefore w:val="0"/>
        <w:kinsoku/>
        <w:wordWrap/>
        <w:overflowPunct/>
        <w:topLinePunct w:val="0"/>
        <w:autoSpaceDE/>
        <w:autoSpaceDN/>
        <w:bidi w:val="0"/>
        <w:adjustRightInd/>
        <w:spacing w:after="0" w:line="440" w:lineRule="atLeast"/>
        <w:ind w:firstLine="420" w:firstLineChars="200"/>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2.落实政府采购政策需满足的资格要求：无</w:t>
      </w:r>
    </w:p>
    <w:bookmarkEnd w:id="25"/>
    <w:p>
      <w:pPr>
        <w:keepNext w:val="0"/>
        <w:keepLines w:val="0"/>
        <w:pageBreakBefore w:val="0"/>
        <w:kinsoku/>
        <w:wordWrap/>
        <w:overflowPunct/>
        <w:topLinePunct w:val="0"/>
        <w:autoSpaceDE/>
        <w:autoSpaceDN/>
        <w:bidi w:val="0"/>
        <w:adjustRightInd/>
        <w:spacing w:after="0" w:line="440" w:lineRule="atLeas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3.本项目的特定资格要求：</w:t>
      </w:r>
      <w:bookmarkStart w:id="28" w:name="OLE_LINK26"/>
      <w:r>
        <w:rPr>
          <w:rFonts w:hint="eastAsia" w:ascii="宋体" w:hAnsi="宋体" w:cs="宋体"/>
          <w:color w:val="auto"/>
          <w:szCs w:val="21"/>
          <w:highlight w:val="none"/>
        </w:rPr>
        <w:t>无。</w:t>
      </w:r>
    </w:p>
    <w:bookmarkEnd w:id="28"/>
    <w:p>
      <w:pPr>
        <w:keepNext w:val="0"/>
        <w:keepLines w:val="0"/>
        <w:pageBreakBefore w:val="0"/>
        <w:kinsoku/>
        <w:wordWrap/>
        <w:overflowPunct/>
        <w:topLinePunct w:val="0"/>
        <w:autoSpaceDE/>
        <w:autoSpaceDN/>
        <w:bidi w:val="0"/>
        <w:adjustRightInd/>
        <w:spacing w:after="0" w:line="440" w:lineRule="atLeast"/>
        <w:textAlignment w:val="auto"/>
        <w:rPr>
          <w:rFonts w:hint="eastAsia" w:ascii="宋体" w:hAnsi="宋体" w:cs="宋体"/>
          <w:b/>
          <w:bCs/>
          <w:color w:val="auto"/>
          <w:szCs w:val="21"/>
          <w:highlight w:val="none"/>
        </w:rPr>
      </w:pPr>
      <w:bookmarkStart w:id="29" w:name="_Toc35393792"/>
      <w:bookmarkStart w:id="30" w:name="_Toc35393623"/>
      <w:r>
        <w:rPr>
          <w:rFonts w:hint="eastAsia" w:ascii="宋体" w:hAnsi="宋体" w:cs="宋体"/>
          <w:b/>
          <w:bCs/>
          <w:color w:val="auto"/>
          <w:szCs w:val="21"/>
          <w:highlight w:val="none"/>
        </w:rPr>
        <w:t>三、获取招标文件</w:t>
      </w:r>
      <w:bookmarkEnd w:id="26"/>
      <w:bookmarkEnd w:id="27"/>
      <w:bookmarkEnd w:id="29"/>
      <w:bookmarkEnd w:id="30"/>
    </w:p>
    <w:p>
      <w:pPr>
        <w:keepNext w:val="0"/>
        <w:keepLines w:val="0"/>
        <w:pageBreakBefore w:val="0"/>
        <w:kinsoku/>
        <w:wordWrap/>
        <w:overflowPunct/>
        <w:topLinePunct w:val="0"/>
        <w:autoSpaceDE/>
        <w:autoSpaceDN/>
        <w:bidi w:val="0"/>
        <w:adjustRightInd/>
        <w:spacing w:after="0" w:line="440" w:lineRule="atLeast"/>
        <w:ind w:firstLine="540"/>
        <w:textAlignment w:val="auto"/>
        <w:rPr>
          <w:rFonts w:hint="eastAsia" w:ascii="宋体" w:hAnsi="宋体" w:cs="宋体"/>
          <w:color w:val="auto"/>
          <w:szCs w:val="21"/>
          <w:highlight w:val="none"/>
        </w:rPr>
      </w:pPr>
      <w:bookmarkStart w:id="31" w:name="_Toc28359005"/>
      <w:bookmarkStart w:id="32" w:name="_Toc28359082"/>
      <w:bookmarkStart w:id="33" w:name="_Toc35393793"/>
      <w:bookmarkStart w:id="34" w:name="_Toc35393624"/>
      <w:r>
        <w:rPr>
          <w:rFonts w:hint="eastAsia" w:ascii="宋体" w:hAnsi="宋体" w:cs="宋体"/>
          <w:color w:val="auto"/>
          <w:szCs w:val="21"/>
          <w:highlight w:val="none"/>
        </w:rPr>
        <w:t>时间：</w:t>
      </w:r>
      <w:r>
        <w:rPr>
          <w:rFonts w:hint="eastAsia" w:ascii="宋体" w:hAnsi="宋体" w:cs="宋体"/>
          <w:bCs/>
          <w:color w:val="auto"/>
          <w:kern w:val="0"/>
          <w:szCs w:val="21"/>
          <w:highlight w:val="none"/>
          <w:u w:val="single"/>
        </w:rPr>
        <w:t>2026年</w:t>
      </w:r>
      <w:r>
        <w:rPr>
          <w:rFonts w:hint="eastAsia" w:ascii="宋体" w:hAnsi="宋体" w:cs="宋体"/>
          <w:bCs/>
          <w:color w:val="auto"/>
          <w:kern w:val="0"/>
          <w:szCs w:val="21"/>
          <w:highlight w:val="none"/>
          <w:u w:val="single"/>
          <w:lang w:val="en-US" w:eastAsia="zh-CN"/>
        </w:rPr>
        <w:t>9</w:t>
      </w:r>
      <w:r>
        <w:rPr>
          <w:rFonts w:hint="eastAsia" w:ascii="宋体" w:hAnsi="宋体" w:cs="宋体"/>
          <w:bCs/>
          <w:color w:val="auto"/>
          <w:kern w:val="0"/>
          <w:szCs w:val="21"/>
          <w:highlight w:val="none"/>
          <w:u w:val="single"/>
        </w:rPr>
        <w:t>月</w:t>
      </w:r>
      <w:r>
        <w:rPr>
          <w:rFonts w:hint="eastAsia" w:ascii="宋体" w:hAnsi="宋体" w:cs="宋体"/>
          <w:bCs/>
          <w:color w:val="auto"/>
          <w:kern w:val="0"/>
          <w:szCs w:val="21"/>
          <w:highlight w:val="none"/>
          <w:u w:val="single"/>
          <w:lang w:val="en-US" w:eastAsia="zh-CN"/>
        </w:rPr>
        <w:t>1</w:t>
      </w:r>
      <w:r>
        <w:rPr>
          <w:rFonts w:hint="eastAsia" w:ascii="宋体" w:hAnsi="宋体" w:cs="宋体"/>
          <w:bCs/>
          <w:color w:val="auto"/>
          <w:kern w:val="0"/>
          <w:szCs w:val="21"/>
          <w:highlight w:val="none"/>
          <w:u w:val="single"/>
        </w:rPr>
        <w:t>日</w:t>
      </w:r>
      <w:r>
        <w:rPr>
          <w:rFonts w:hint="eastAsia" w:ascii="宋体" w:hAnsi="宋体" w:cs="宋体"/>
          <w:bCs/>
          <w:color w:val="auto"/>
          <w:kern w:val="0"/>
          <w:szCs w:val="21"/>
          <w:highlight w:val="none"/>
        </w:rPr>
        <w:t>至</w:t>
      </w:r>
      <w:r>
        <w:rPr>
          <w:rFonts w:hint="eastAsia" w:ascii="宋体" w:hAnsi="宋体" w:cs="宋体"/>
          <w:bCs/>
          <w:color w:val="auto"/>
          <w:kern w:val="0"/>
          <w:szCs w:val="21"/>
          <w:highlight w:val="none"/>
          <w:u w:val="single"/>
        </w:rPr>
        <w:t>2026年</w:t>
      </w:r>
      <w:r>
        <w:rPr>
          <w:rFonts w:hint="eastAsia" w:ascii="宋体" w:hAnsi="宋体" w:cs="宋体"/>
          <w:bCs/>
          <w:color w:val="auto"/>
          <w:kern w:val="0"/>
          <w:szCs w:val="21"/>
          <w:highlight w:val="none"/>
          <w:u w:val="single"/>
          <w:lang w:val="en-US" w:eastAsia="zh-CN"/>
        </w:rPr>
        <w:t>9</w:t>
      </w:r>
      <w:r>
        <w:rPr>
          <w:rFonts w:hint="eastAsia" w:ascii="宋体" w:hAnsi="宋体" w:cs="宋体"/>
          <w:bCs/>
          <w:color w:val="auto"/>
          <w:kern w:val="0"/>
          <w:szCs w:val="21"/>
          <w:highlight w:val="none"/>
          <w:u w:val="single"/>
        </w:rPr>
        <w:t>月</w:t>
      </w:r>
      <w:r>
        <w:rPr>
          <w:rFonts w:hint="eastAsia" w:ascii="宋体" w:hAnsi="宋体" w:cs="宋体"/>
          <w:bCs/>
          <w:color w:val="auto"/>
          <w:kern w:val="0"/>
          <w:szCs w:val="21"/>
          <w:highlight w:val="none"/>
          <w:u w:val="single"/>
          <w:lang w:val="en-US" w:eastAsia="zh-CN"/>
        </w:rPr>
        <w:t>8</w:t>
      </w:r>
      <w:r>
        <w:rPr>
          <w:rFonts w:hint="eastAsia" w:ascii="宋体" w:hAnsi="宋体" w:cs="宋体"/>
          <w:bCs/>
          <w:color w:val="auto"/>
          <w:kern w:val="0"/>
          <w:szCs w:val="21"/>
          <w:highlight w:val="none"/>
          <w:u w:val="single"/>
        </w:rPr>
        <w:t>日</w:t>
      </w:r>
      <w:r>
        <w:rPr>
          <w:rFonts w:hint="eastAsia" w:ascii="宋体" w:hAnsi="宋体" w:cs="宋体"/>
          <w:bCs/>
          <w:color w:val="auto"/>
          <w:kern w:val="0"/>
          <w:szCs w:val="21"/>
          <w:highlight w:val="none"/>
        </w:rPr>
        <w:t>，每天上午</w:t>
      </w:r>
      <w:r>
        <w:rPr>
          <w:rFonts w:hint="eastAsia" w:ascii="宋体" w:hAnsi="宋体" w:cs="宋体"/>
          <w:bCs/>
          <w:color w:val="auto"/>
          <w:kern w:val="0"/>
          <w:szCs w:val="21"/>
          <w:highlight w:val="none"/>
          <w:u w:val="single"/>
        </w:rPr>
        <w:t>00：00</w:t>
      </w:r>
      <w:r>
        <w:rPr>
          <w:rFonts w:hint="eastAsia" w:ascii="宋体" w:hAnsi="宋体" w:cs="宋体"/>
          <w:bCs/>
          <w:color w:val="auto"/>
          <w:kern w:val="0"/>
          <w:szCs w:val="21"/>
          <w:highlight w:val="none"/>
        </w:rPr>
        <w:t>至</w:t>
      </w:r>
      <w:r>
        <w:rPr>
          <w:rFonts w:hint="eastAsia" w:ascii="宋体" w:hAnsi="宋体" w:cs="宋体"/>
          <w:bCs/>
          <w:color w:val="auto"/>
          <w:kern w:val="0"/>
          <w:szCs w:val="21"/>
          <w:highlight w:val="none"/>
          <w:u w:val="single"/>
        </w:rPr>
        <w:t>12:00</w:t>
      </w:r>
      <w:r>
        <w:rPr>
          <w:rFonts w:hint="eastAsia" w:ascii="宋体" w:hAnsi="宋体" w:cs="宋体"/>
          <w:bCs/>
          <w:color w:val="auto"/>
          <w:kern w:val="0"/>
          <w:szCs w:val="21"/>
          <w:highlight w:val="none"/>
        </w:rPr>
        <w:t>，下午</w:t>
      </w:r>
      <w:r>
        <w:rPr>
          <w:rFonts w:hint="eastAsia" w:ascii="宋体" w:hAnsi="宋体" w:cs="宋体"/>
          <w:bCs/>
          <w:color w:val="auto"/>
          <w:kern w:val="0"/>
          <w:szCs w:val="21"/>
          <w:highlight w:val="none"/>
          <w:u w:val="single"/>
        </w:rPr>
        <w:t>12:00</w:t>
      </w:r>
      <w:r>
        <w:rPr>
          <w:rFonts w:hint="eastAsia" w:ascii="宋体" w:hAnsi="宋体" w:cs="宋体"/>
          <w:bCs/>
          <w:color w:val="auto"/>
          <w:kern w:val="0"/>
          <w:szCs w:val="21"/>
          <w:highlight w:val="none"/>
        </w:rPr>
        <w:t>至</w:t>
      </w:r>
      <w:r>
        <w:rPr>
          <w:rFonts w:hint="eastAsia" w:ascii="宋体" w:hAnsi="宋体" w:cs="宋体"/>
          <w:bCs/>
          <w:color w:val="auto"/>
          <w:kern w:val="0"/>
          <w:szCs w:val="21"/>
          <w:highlight w:val="none"/>
          <w:u w:val="single"/>
        </w:rPr>
        <w:t>23:59</w:t>
      </w:r>
      <w:r>
        <w:rPr>
          <w:rFonts w:hint="eastAsia" w:ascii="宋体" w:hAnsi="宋体" w:cs="宋体"/>
          <w:bCs/>
          <w:color w:val="auto"/>
          <w:kern w:val="0"/>
          <w:szCs w:val="21"/>
          <w:highlight w:val="none"/>
        </w:rPr>
        <w:t>（北京时间，法定节假日除外）</w:t>
      </w:r>
      <w:r>
        <w:rPr>
          <w:rFonts w:hint="eastAsia" w:ascii="宋体" w:hAnsi="宋体" w:cs="宋体"/>
          <w:color w:val="auto"/>
          <w:szCs w:val="21"/>
          <w:highlight w:val="none"/>
        </w:rPr>
        <w:t>。</w:t>
      </w:r>
    </w:p>
    <w:p>
      <w:pPr>
        <w:pStyle w:val="2"/>
        <w:keepNext w:val="0"/>
        <w:keepLines w:val="0"/>
        <w:pageBreakBefore w:val="0"/>
        <w:kinsoku/>
        <w:wordWrap/>
        <w:overflowPunct/>
        <w:topLinePunct w:val="0"/>
        <w:autoSpaceDE/>
        <w:autoSpaceDN/>
        <w:bidi w:val="0"/>
        <w:adjustRightInd/>
        <w:spacing w:after="0" w:line="440" w:lineRule="atLeas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地点：</w:t>
      </w:r>
      <w:bookmarkStart w:id="35" w:name="OLE_LINK4"/>
      <w:bookmarkStart w:id="36" w:name="OLE_LINK18"/>
      <w:r>
        <w:rPr>
          <w:rFonts w:hint="eastAsia" w:ascii="宋体" w:hAnsi="宋体" w:cs="宋体"/>
          <w:color w:val="auto"/>
          <w:szCs w:val="21"/>
          <w:highlight w:val="none"/>
        </w:rPr>
        <w:t>广西政府采购云平台（</w:t>
      </w:r>
      <w:r>
        <w:rPr>
          <w:rStyle w:val="30"/>
          <w:rFonts w:hint="eastAsia" w:ascii="宋体" w:hAnsi="宋体" w:cs="宋体"/>
          <w:b w:val="0"/>
          <w:bCs w:val="0"/>
          <w:color w:val="auto"/>
          <w:szCs w:val="21"/>
          <w:highlight w:val="none"/>
        </w:rPr>
        <w:t>https://www.gcy.zfcg.gxzf.gov.cn/</w:t>
      </w:r>
      <w:r>
        <w:rPr>
          <w:rFonts w:hint="eastAsia" w:ascii="宋体" w:hAnsi="宋体" w:cs="宋体"/>
          <w:color w:val="auto"/>
          <w:szCs w:val="21"/>
          <w:highlight w:val="none"/>
        </w:rPr>
        <w:t>）</w:t>
      </w:r>
      <w:bookmarkEnd w:id="35"/>
    </w:p>
    <w:bookmarkEnd w:id="36"/>
    <w:p>
      <w:pPr>
        <w:keepNext w:val="0"/>
        <w:keepLines w:val="0"/>
        <w:pageBreakBefore w:val="0"/>
        <w:kinsoku/>
        <w:wordWrap/>
        <w:overflowPunct/>
        <w:topLinePunct w:val="0"/>
        <w:autoSpaceDE/>
        <w:autoSpaceDN/>
        <w:bidi w:val="0"/>
        <w:adjustRightInd/>
        <w:spacing w:after="0" w:line="440" w:lineRule="atLeast"/>
        <w:ind w:firstLine="420" w:firstLineChars="200"/>
        <w:textAlignment w:val="auto"/>
        <w:rPr>
          <w:rFonts w:hint="eastAsia" w:ascii="宋体" w:hAnsi="宋体" w:cs="宋体"/>
          <w:b/>
          <w:bCs/>
          <w:color w:val="auto"/>
          <w:szCs w:val="21"/>
          <w:highlight w:val="none"/>
        </w:rPr>
      </w:pPr>
      <w:r>
        <w:rPr>
          <w:rFonts w:hint="eastAsia" w:ascii="宋体" w:hAnsi="宋体" w:cs="宋体"/>
          <w:color w:val="auto"/>
          <w:szCs w:val="21"/>
          <w:highlight w:val="none"/>
        </w:rPr>
        <w:t>方式：</w:t>
      </w:r>
      <w:bookmarkStart w:id="37" w:name="OLE_LINK19"/>
      <w:r>
        <w:rPr>
          <w:rFonts w:hint="eastAsia" w:ascii="宋体" w:hAnsi="宋体" w:cs="宋体"/>
          <w:color w:val="auto"/>
          <w:szCs w:val="21"/>
          <w:highlight w:val="none"/>
        </w:rPr>
        <w:t>网上下载。本项目不发放纸质文件，潜在投标人可自行在广西政府采购云平台（</w:t>
      </w:r>
      <w:r>
        <w:rPr>
          <w:rStyle w:val="30"/>
          <w:rFonts w:hint="eastAsia" w:ascii="宋体" w:hAnsi="宋体" w:cs="宋体"/>
          <w:b w:val="0"/>
          <w:bCs w:val="0"/>
          <w:color w:val="auto"/>
          <w:szCs w:val="21"/>
          <w:highlight w:val="none"/>
        </w:rPr>
        <w:t>https://www.gcy.zfcg.gxzf.gov.cn/</w:t>
      </w:r>
      <w:r>
        <w:rPr>
          <w:rFonts w:hint="eastAsia" w:ascii="宋体" w:hAnsi="宋体" w:cs="宋体"/>
          <w:color w:val="auto"/>
          <w:szCs w:val="21"/>
          <w:highlight w:val="none"/>
        </w:rPr>
        <w:t>）下载招标文件（操作路径：登录广西政府采购云平台-项目采购-获取采购文件-找到本项目-点击“申请获取采购文件”），电子投标文件制作需要基于广西政府采购云平台获取的招标文件编制。</w:t>
      </w:r>
    </w:p>
    <w:bookmarkEnd w:id="37"/>
    <w:p>
      <w:pPr>
        <w:keepNext w:val="0"/>
        <w:keepLines w:val="0"/>
        <w:pageBreakBefore w:val="0"/>
        <w:kinsoku/>
        <w:wordWrap/>
        <w:overflowPunct/>
        <w:topLinePunct w:val="0"/>
        <w:autoSpaceDE/>
        <w:autoSpaceDN/>
        <w:bidi w:val="0"/>
        <w:adjustRightInd/>
        <w:snapToGrid w:val="0"/>
        <w:spacing w:after="0" w:line="440" w:lineRule="atLeast"/>
        <w:ind w:firstLine="472" w:firstLineChars="225"/>
        <w:textAlignment w:val="auto"/>
        <w:rPr>
          <w:rFonts w:hint="eastAsia" w:ascii="宋体" w:hAnsi="宋体" w:cs="宋体"/>
          <w:color w:val="auto"/>
          <w:szCs w:val="21"/>
          <w:highlight w:val="none"/>
        </w:rPr>
      </w:pPr>
      <w:r>
        <w:rPr>
          <w:rFonts w:hint="eastAsia" w:ascii="宋体" w:hAnsi="宋体" w:cs="宋体"/>
          <w:color w:val="auto"/>
          <w:szCs w:val="21"/>
          <w:highlight w:val="none"/>
        </w:rPr>
        <w:t>售价：人民币0元。</w:t>
      </w:r>
    </w:p>
    <w:p>
      <w:pPr>
        <w:keepNext w:val="0"/>
        <w:keepLines w:val="0"/>
        <w:pageBreakBefore w:val="0"/>
        <w:kinsoku/>
        <w:wordWrap/>
        <w:overflowPunct/>
        <w:topLinePunct w:val="0"/>
        <w:autoSpaceDE/>
        <w:autoSpaceDN/>
        <w:bidi w:val="0"/>
        <w:adjustRightInd/>
        <w:spacing w:after="0" w:line="440" w:lineRule="atLeas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四、提交投标文件</w:t>
      </w:r>
      <w:bookmarkEnd w:id="31"/>
      <w:bookmarkEnd w:id="32"/>
      <w:r>
        <w:rPr>
          <w:rFonts w:hint="eastAsia" w:ascii="宋体" w:hAnsi="宋体" w:cs="宋体"/>
          <w:b/>
          <w:bCs/>
          <w:color w:val="auto"/>
          <w:szCs w:val="21"/>
          <w:highlight w:val="none"/>
        </w:rPr>
        <w:t>截止时间、开标时间和地点</w:t>
      </w:r>
      <w:bookmarkEnd w:id="33"/>
      <w:bookmarkEnd w:id="34"/>
    </w:p>
    <w:p>
      <w:pPr>
        <w:keepNext w:val="0"/>
        <w:keepLines w:val="0"/>
        <w:pageBreakBefore w:val="0"/>
        <w:kinsoku/>
        <w:wordWrap/>
        <w:overflowPunct/>
        <w:topLinePunct w:val="0"/>
        <w:autoSpaceDE/>
        <w:autoSpaceDN/>
        <w:bidi w:val="0"/>
        <w:adjustRightInd/>
        <w:spacing w:after="0" w:line="440" w:lineRule="atLeast"/>
        <w:ind w:firstLine="420" w:firstLineChars="200"/>
        <w:textAlignment w:val="auto"/>
        <w:rPr>
          <w:rFonts w:hint="eastAsia" w:ascii="宋体" w:hAnsi="宋体" w:cs="宋体"/>
          <w:color w:val="auto"/>
          <w:szCs w:val="21"/>
          <w:highlight w:val="none"/>
          <w:u w:val="single"/>
        </w:rPr>
      </w:pPr>
      <w:r>
        <w:rPr>
          <w:rFonts w:hint="eastAsia" w:ascii="宋体" w:hAnsi="宋体" w:cs="宋体"/>
          <w:bCs/>
          <w:color w:val="auto"/>
          <w:szCs w:val="21"/>
          <w:highlight w:val="none"/>
        </w:rPr>
        <w:t>1.提交投标文件截止时间和开标时间：</w:t>
      </w:r>
      <w:bookmarkStart w:id="38" w:name="PO_3000001867_PM015_1"/>
      <w:r>
        <w:rPr>
          <w:rFonts w:hint="eastAsia" w:ascii="宋体" w:hAnsi="宋体" w:cs="宋体"/>
          <w:bCs/>
          <w:color w:val="auto"/>
          <w:szCs w:val="21"/>
          <w:highlight w:val="none"/>
          <w:u w:val="single"/>
        </w:rPr>
        <w:t>2026年</w:t>
      </w:r>
      <w:r>
        <w:rPr>
          <w:rFonts w:hint="eastAsia" w:ascii="宋体" w:hAnsi="宋体" w:cs="宋体"/>
          <w:bCs/>
          <w:color w:val="auto"/>
          <w:szCs w:val="21"/>
          <w:highlight w:val="none"/>
          <w:u w:val="single"/>
          <w:lang w:val="en-US" w:eastAsia="zh-CN"/>
        </w:rPr>
        <w:t>9</w:t>
      </w:r>
      <w:r>
        <w:rPr>
          <w:rFonts w:hint="eastAsia" w:ascii="宋体" w:hAnsi="宋体" w:cs="宋体"/>
          <w:bCs/>
          <w:color w:val="auto"/>
          <w:szCs w:val="21"/>
          <w:highlight w:val="none"/>
          <w:u w:val="single"/>
        </w:rPr>
        <w:t>月</w:t>
      </w:r>
      <w:r>
        <w:rPr>
          <w:rFonts w:hint="eastAsia" w:ascii="宋体" w:hAnsi="宋体" w:cs="宋体"/>
          <w:bCs/>
          <w:color w:val="auto"/>
          <w:szCs w:val="21"/>
          <w:highlight w:val="none"/>
          <w:u w:val="single"/>
          <w:lang w:val="en-US" w:eastAsia="zh-CN"/>
        </w:rPr>
        <w:t>23</w:t>
      </w:r>
      <w:r>
        <w:rPr>
          <w:rFonts w:hint="eastAsia" w:ascii="宋体" w:hAnsi="宋体" w:cs="宋体"/>
          <w:bCs/>
          <w:color w:val="auto"/>
          <w:szCs w:val="21"/>
          <w:highlight w:val="none"/>
          <w:u w:val="single"/>
        </w:rPr>
        <w:t>日09:30</w:t>
      </w:r>
      <w:r>
        <w:rPr>
          <w:rFonts w:hint="eastAsia" w:ascii="宋体" w:hAnsi="宋体" w:cs="宋体"/>
          <w:bCs/>
          <w:color w:val="auto"/>
          <w:szCs w:val="21"/>
          <w:highlight w:val="none"/>
        </w:rPr>
        <w:t>（北京时间）</w:t>
      </w:r>
      <w:bookmarkEnd w:id="38"/>
    </w:p>
    <w:p>
      <w:pPr>
        <w:keepNext w:val="0"/>
        <w:keepLines w:val="0"/>
        <w:pageBreakBefore w:val="0"/>
        <w:kinsoku/>
        <w:wordWrap/>
        <w:overflowPunct/>
        <w:topLinePunct w:val="0"/>
        <w:autoSpaceDE/>
        <w:autoSpaceDN/>
        <w:bidi w:val="0"/>
        <w:adjustRightInd/>
        <w:spacing w:after="0" w:line="440" w:lineRule="atLeas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2.提交投标文件和开标地点：</w:t>
      </w:r>
      <w:bookmarkStart w:id="39" w:name="OLE_LINK20"/>
      <w:r>
        <w:rPr>
          <w:rFonts w:hint="eastAsia" w:ascii="宋体" w:hAnsi="宋体" w:cs="宋体"/>
          <w:color w:val="auto"/>
          <w:szCs w:val="21"/>
          <w:highlight w:val="none"/>
        </w:rPr>
        <w:t>广西政府采购云平台（</w:t>
      </w:r>
      <w:r>
        <w:rPr>
          <w:rStyle w:val="30"/>
          <w:rFonts w:hint="eastAsia" w:ascii="宋体" w:hAnsi="宋体" w:cs="宋体"/>
          <w:b w:val="0"/>
          <w:bCs w:val="0"/>
          <w:color w:val="auto"/>
          <w:szCs w:val="21"/>
          <w:highlight w:val="none"/>
        </w:rPr>
        <w:t>https://www.gcy.zfcg.gxzf.gov.cn/</w:t>
      </w:r>
      <w:r>
        <w:rPr>
          <w:rFonts w:hint="eastAsia" w:ascii="宋体" w:hAnsi="宋体" w:cs="宋体"/>
          <w:color w:val="auto"/>
          <w:szCs w:val="21"/>
          <w:highlight w:val="none"/>
        </w:rPr>
        <w:t>）</w:t>
      </w:r>
    </w:p>
    <w:bookmarkEnd w:id="39"/>
    <w:p>
      <w:pPr>
        <w:keepNext w:val="0"/>
        <w:keepLines w:val="0"/>
        <w:pageBreakBefore w:val="0"/>
        <w:kinsoku/>
        <w:wordWrap/>
        <w:overflowPunct/>
        <w:topLinePunct w:val="0"/>
        <w:autoSpaceDE/>
        <w:autoSpaceDN/>
        <w:bidi w:val="0"/>
        <w:adjustRightInd/>
        <w:spacing w:after="0" w:line="440" w:lineRule="atLeast"/>
        <w:textAlignment w:val="auto"/>
        <w:rPr>
          <w:rFonts w:hint="eastAsia" w:ascii="宋体" w:hAnsi="宋体" w:cs="宋体"/>
          <w:b/>
          <w:bCs/>
          <w:color w:val="auto"/>
          <w:szCs w:val="21"/>
          <w:highlight w:val="none"/>
        </w:rPr>
      </w:pPr>
      <w:bookmarkStart w:id="40" w:name="_Toc28359007"/>
      <w:bookmarkStart w:id="41" w:name="_Toc35393625"/>
      <w:bookmarkStart w:id="42" w:name="_Toc35393794"/>
      <w:bookmarkStart w:id="43" w:name="_Toc28359084"/>
      <w:r>
        <w:rPr>
          <w:rFonts w:hint="eastAsia" w:ascii="宋体" w:hAnsi="宋体" w:cs="宋体"/>
          <w:b/>
          <w:bCs/>
          <w:color w:val="auto"/>
          <w:szCs w:val="21"/>
          <w:highlight w:val="none"/>
        </w:rPr>
        <w:t>五、公告期限</w:t>
      </w:r>
      <w:bookmarkEnd w:id="40"/>
      <w:bookmarkEnd w:id="41"/>
      <w:bookmarkEnd w:id="42"/>
      <w:bookmarkEnd w:id="43"/>
    </w:p>
    <w:p>
      <w:pPr>
        <w:keepNext w:val="0"/>
        <w:keepLines w:val="0"/>
        <w:pageBreakBefore w:val="0"/>
        <w:kinsoku/>
        <w:wordWrap/>
        <w:overflowPunct/>
        <w:topLinePunct w:val="0"/>
        <w:autoSpaceDE/>
        <w:autoSpaceDN/>
        <w:bidi w:val="0"/>
        <w:adjustRightInd/>
        <w:spacing w:after="0" w:line="440" w:lineRule="atLeast"/>
        <w:ind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pPr>
        <w:keepNext w:val="0"/>
        <w:keepLines w:val="0"/>
        <w:pageBreakBefore w:val="0"/>
        <w:kinsoku/>
        <w:wordWrap/>
        <w:overflowPunct/>
        <w:topLinePunct w:val="0"/>
        <w:autoSpaceDE/>
        <w:autoSpaceDN/>
        <w:bidi w:val="0"/>
        <w:adjustRightInd/>
        <w:spacing w:after="0" w:line="440" w:lineRule="atLeast"/>
        <w:textAlignment w:val="auto"/>
        <w:rPr>
          <w:rFonts w:hint="eastAsia" w:ascii="宋体" w:hAnsi="宋体" w:cs="宋体"/>
          <w:b/>
          <w:bCs/>
          <w:color w:val="auto"/>
          <w:szCs w:val="21"/>
          <w:highlight w:val="none"/>
        </w:rPr>
      </w:pPr>
      <w:bookmarkStart w:id="44" w:name="_Toc35393626"/>
      <w:bookmarkStart w:id="45" w:name="_Toc35393795"/>
      <w:r>
        <w:rPr>
          <w:rFonts w:hint="eastAsia" w:ascii="宋体" w:hAnsi="宋体" w:cs="宋体"/>
          <w:b/>
          <w:bCs/>
          <w:color w:val="auto"/>
          <w:szCs w:val="21"/>
          <w:highlight w:val="none"/>
        </w:rPr>
        <w:t>六、其他补充事宜</w:t>
      </w:r>
      <w:bookmarkEnd w:id="44"/>
      <w:bookmarkEnd w:id="45"/>
    </w:p>
    <w:p>
      <w:pPr>
        <w:keepNext w:val="0"/>
        <w:keepLines w:val="0"/>
        <w:pageBreakBefore w:val="0"/>
        <w:kinsoku/>
        <w:wordWrap/>
        <w:overflowPunct/>
        <w:topLinePunct w:val="0"/>
        <w:autoSpaceDE/>
        <w:autoSpaceDN/>
        <w:bidi w:val="0"/>
        <w:adjustRightInd/>
        <w:spacing w:after="0" w:line="440" w:lineRule="atLeast"/>
        <w:ind w:firstLine="420" w:firstLineChars="200"/>
        <w:textAlignment w:val="auto"/>
        <w:rPr>
          <w:rFonts w:hint="eastAsia" w:ascii="宋体" w:hAnsi="宋体" w:cs="宋体"/>
          <w:color w:val="auto"/>
          <w:kern w:val="0"/>
          <w:szCs w:val="21"/>
          <w:highlight w:val="none"/>
        </w:rPr>
      </w:pPr>
      <w:bookmarkStart w:id="46" w:name="OLE_LINK11"/>
      <w:r>
        <w:rPr>
          <w:rFonts w:hint="eastAsia" w:ascii="宋体" w:hAnsi="宋体" w:cs="宋体"/>
          <w:color w:val="auto"/>
          <w:kern w:val="0"/>
          <w:szCs w:val="21"/>
          <w:highlight w:val="none"/>
        </w:rPr>
        <w:t>1.投标保证金：</w:t>
      </w:r>
    </w:p>
    <w:p>
      <w:pPr>
        <w:keepNext w:val="0"/>
        <w:keepLines w:val="0"/>
        <w:pageBreakBefore w:val="0"/>
        <w:kinsoku/>
        <w:wordWrap/>
        <w:overflowPunct/>
        <w:topLinePunct w:val="0"/>
        <w:autoSpaceDE/>
        <w:autoSpaceDN/>
        <w:bidi w:val="0"/>
        <w:adjustRightInd/>
        <w:spacing w:after="0" w:line="440" w:lineRule="atLeast"/>
        <w:ind w:firstLine="843" w:firstLineChars="400"/>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本项目需要缴</w:t>
      </w:r>
      <w:r>
        <w:rPr>
          <w:rFonts w:hint="eastAsia" w:ascii="宋体" w:hAnsi="宋体" w:cs="宋体"/>
          <w:b/>
          <w:bCs/>
          <w:color w:val="auto"/>
          <w:kern w:val="0"/>
          <w:szCs w:val="21"/>
          <w:highlight w:val="none"/>
        </w:rPr>
        <w:t>纳</w:t>
      </w:r>
      <w:r>
        <w:rPr>
          <w:rFonts w:hint="eastAsia" w:ascii="宋体" w:hAnsi="宋体" w:cs="宋体"/>
          <w:b/>
          <w:bCs/>
          <w:color w:val="auto"/>
          <w:szCs w:val="21"/>
          <w:highlight w:val="none"/>
        </w:rPr>
        <w:t>投标保证金，相关要求：</w:t>
      </w:r>
    </w:p>
    <w:p>
      <w:pPr>
        <w:keepNext w:val="0"/>
        <w:keepLines w:val="0"/>
        <w:pageBreakBefore w:val="0"/>
        <w:kinsoku/>
        <w:wordWrap/>
        <w:overflowPunct/>
        <w:topLinePunct w:val="0"/>
        <w:autoSpaceDE/>
        <w:autoSpaceDN/>
        <w:bidi w:val="0"/>
        <w:adjustRightInd/>
        <w:spacing w:after="0" w:line="440" w:lineRule="atLeast"/>
        <w:ind w:firstLine="840" w:firstLineChars="400"/>
        <w:textAlignment w:val="auto"/>
        <w:rPr>
          <w:rFonts w:hint="eastAsia" w:ascii="宋体" w:hAnsi="宋体" w:cs="宋体"/>
          <w:b/>
          <w:bCs/>
          <w:i/>
          <w:iCs/>
          <w:color w:val="auto"/>
          <w:kern w:val="0"/>
          <w:szCs w:val="21"/>
          <w:highlight w:val="none"/>
        </w:rPr>
      </w:pPr>
      <w:r>
        <w:rPr>
          <w:rFonts w:hint="eastAsia" w:ascii="宋体" w:hAnsi="宋体" w:cs="宋体"/>
          <w:color w:val="auto"/>
          <w:kern w:val="0"/>
          <w:szCs w:val="21"/>
          <w:highlight w:val="none"/>
        </w:rPr>
        <w:t>投标保证金金额：</w:t>
      </w:r>
      <w:r>
        <w:rPr>
          <w:rFonts w:hint="eastAsia" w:ascii="宋体" w:hAnsi="宋体" w:cs="宋体"/>
          <w:b/>
          <w:bCs/>
          <w:color w:val="auto"/>
          <w:kern w:val="0"/>
          <w:szCs w:val="21"/>
          <w:highlight w:val="none"/>
        </w:rPr>
        <w:t>标项</w:t>
      </w:r>
      <w:r>
        <w:rPr>
          <w:rFonts w:hint="eastAsia" w:ascii="宋体" w:hAnsi="宋体" w:cs="宋体"/>
          <w:b/>
          <w:bCs/>
          <w:color w:val="auto"/>
          <w:kern w:val="0"/>
          <w:szCs w:val="21"/>
          <w:highlight w:val="none"/>
          <w:lang w:eastAsia="zh-CN"/>
        </w:rPr>
        <w:t>一</w:t>
      </w:r>
      <w:r>
        <w:rPr>
          <w:rFonts w:hint="eastAsia" w:ascii="宋体" w:hAnsi="宋体" w:cs="宋体"/>
          <w:b/>
          <w:bCs/>
          <w:color w:val="auto"/>
          <w:kern w:val="0"/>
          <w:szCs w:val="21"/>
          <w:highlight w:val="none"/>
        </w:rPr>
        <w:t>：12500元；标项</w:t>
      </w:r>
      <w:r>
        <w:rPr>
          <w:rFonts w:hint="eastAsia" w:ascii="宋体" w:hAnsi="宋体" w:cs="宋体"/>
          <w:b/>
          <w:bCs/>
          <w:color w:val="auto"/>
          <w:kern w:val="0"/>
          <w:szCs w:val="21"/>
          <w:highlight w:val="none"/>
          <w:lang w:eastAsia="zh-CN"/>
        </w:rPr>
        <w:t>二</w:t>
      </w:r>
      <w:r>
        <w:rPr>
          <w:rFonts w:hint="eastAsia" w:ascii="宋体" w:hAnsi="宋体" w:cs="宋体"/>
          <w:b/>
          <w:bCs/>
          <w:color w:val="auto"/>
          <w:kern w:val="0"/>
          <w:szCs w:val="21"/>
          <w:highlight w:val="none"/>
        </w:rPr>
        <w:t>：2900元。</w:t>
      </w:r>
    </w:p>
    <w:p>
      <w:pPr>
        <w:pStyle w:val="45"/>
        <w:keepNext w:val="0"/>
        <w:keepLines w:val="0"/>
        <w:pageBreakBefore w:val="0"/>
        <w:kinsoku/>
        <w:wordWrap/>
        <w:overflowPunct/>
        <w:topLinePunct w:val="0"/>
        <w:autoSpaceDE/>
        <w:autoSpaceDN/>
        <w:bidi w:val="0"/>
        <w:adjustRightInd/>
        <w:spacing w:after="0" w:line="440" w:lineRule="atLeast"/>
        <w:ind w:left="495"/>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投标保证金的缴纳方式：以银行转账、支票、汇票、本票或者金融机构、担保机构出具的保函等非现金形式提交。采用银行转账方式的，在投标截止时间前交至采购代理机构指定账户并且到账。缴纳投标保证金指定账户的信息：</w:t>
      </w:r>
    </w:p>
    <w:p>
      <w:pPr>
        <w:pStyle w:val="45"/>
        <w:keepNext w:val="0"/>
        <w:keepLines w:val="0"/>
        <w:pageBreakBefore w:val="0"/>
        <w:kinsoku/>
        <w:wordWrap/>
        <w:overflowPunct/>
        <w:topLinePunct w:val="0"/>
        <w:autoSpaceDE/>
        <w:autoSpaceDN/>
        <w:bidi w:val="0"/>
        <w:adjustRightInd/>
        <w:spacing w:after="0" w:line="440" w:lineRule="atLeast"/>
        <w:ind w:left="495"/>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开户银行：招商银行南宁市金浦路支行</w:t>
      </w:r>
    </w:p>
    <w:p>
      <w:pPr>
        <w:pStyle w:val="45"/>
        <w:keepNext w:val="0"/>
        <w:keepLines w:val="0"/>
        <w:pageBreakBefore w:val="0"/>
        <w:kinsoku/>
        <w:wordWrap/>
        <w:overflowPunct/>
        <w:topLinePunct w:val="0"/>
        <w:autoSpaceDE/>
        <w:autoSpaceDN/>
        <w:bidi w:val="0"/>
        <w:adjustRightInd/>
        <w:spacing w:after="0" w:line="440" w:lineRule="atLeast"/>
        <w:ind w:left="495"/>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开户名称：广西科联招标中心有限公司</w:t>
      </w:r>
    </w:p>
    <w:p>
      <w:pPr>
        <w:keepNext w:val="0"/>
        <w:keepLines w:val="0"/>
        <w:pageBreakBefore w:val="0"/>
        <w:kinsoku/>
        <w:wordWrap/>
        <w:overflowPunct/>
        <w:topLinePunct w:val="0"/>
        <w:autoSpaceDE/>
        <w:autoSpaceDN/>
        <w:bidi w:val="0"/>
        <w:adjustRightInd/>
        <w:spacing w:after="0" w:line="440" w:lineRule="atLeast"/>
        <w:ind w:firstLine="843" w:firstLineChars="4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标项一：银行账号：7719011969103330000000877</w:t>
      </w:r>
    </w:p>
    <w:p>
      <w:pPr>
        <w:keepNext w:val="0"/>
        <w:keepLines w:val="0"/>
        <w:pageBreakBefore w:val="0"/>
        <w:kinsoku/>
        <w:wordWrap/>
        <w:overflowPunct/>
        <w:topLinePunct w:val="0"/>
        <w:autoSpaceDE/>
        <w:autoSpaceDN/>
        <w:bidi w:val="0"/>
        <w:adjustRightInd/>
        <w:spacing w:after="0" w:line="440" w:lineRule="atLeast"/>
        <w:ind w:firstLine="843" w:firstLineChars="4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标项二：银行账号：7719011969103330000000878</w:t>
      </w:r>
    </w:p>
    <w:p>
      <w:pPr>
        <w:pStyle w:val="45"/>
        <w:keepNext w:val="0"/>
        <w:keepLines w:val="0"/>
        <w:pageBreakBefore w:val="0"/>
        <w:kinsoku/>
        <w:wordWrap/>
        <w:overflowPunct/>
        <w:topLinePunct w:val="0"/>
        <w:autoSpaceDE/>
        <w:autoSpaceDN/>
        <w:bidi w:val="0"/>
        <w:adjustRightInd/>
        <w:spacing w:after="0" w:line="440" w:lineRule="atLeast"/>
        <w:ind w:firstLine="840" w:firstLineChars="400"/>
        <w:textAlignment w:val="auto"/>
        <w:rPr>
          <w:rFonts w:hint="eastAsia" w:ascii="宋体" w:hAnsi="宋体" w:cs="宋体"/>
          <w:color w:val="auto"/>
          <w:szCs w:val="21"/>
          <w:highlight w:val="none"/>
        </w:rPr>
      </w:pPr>
      <w:r>
        <w:rPr>
          <w:rFonts w:hint="eastAsia" w:ascii="宋体" w:hAnsi="宋体" w:cs="宋体"/>
          <w:color w:val="auto"/>
          <w:kern w:val="0"/>
          <w:szCs w:val="21"/>
          <w:highlight w:val="none"/>
        </w:rPr>
        <w:t>采用支票、汇票、本票或者保函等方式的，</w:t>
      </w:r>
      <w:r>
        <w:rPr>
          <w:rFonts w:hint="eastAsia" w:ascii="宋体" w:hAnsi="宋体" w:cs="宋体"/>
          <w:color w:val="auto"/>
          <w:szCs w:val="21"/>
          <w:highlight w:val="none"/>
        </w:rPr>
        <w:t>投标人必须</w:t>
      </w:r>
      <w:r>
        <w:rPr>
          <w:rFonts w:hint="eastAsia" w:ascii="宋体" w:hAnsi="宋体" w:cs="宋体"/>
          <w:color w:val="auto"/>
          <w:kern w:val="0"/>
          <w:szCs w:val="21"/>
          <w:highlight w:val="none"/>
        </w:rPr>
        <w:t>在投标截止时间前</w:t>
      </w:r>
      <w:r>
        <w:rPr>
          <w:rFonts w:hint="eastAsia" w:ascii="宋体" w:hAnsi="宋体" w:cs="宋体"/>
          <w:color w:val="auto"/>
          <w:szCs w:val="21"/>
          <w:highlight w:val="none"/>
        </w:rPr>
        <w:t>将支票、汇票、本票或者金融、担保机构出具的保函（</w:t>
      </w:r>
      <w:r>
        <w:rPr>
          <w:rFonts w:hint="eastAsia" w:ascii="宋体" w:hAnsi="宋体" w:cs="宋体"/>
          <w:color w:val="auto"/>
          <w:kern w:val="0"/>
          <w:szCs w:val="21"/>
          <w:highlight w:val="none"/>
        </w:rPr>
        <w:t>电子保函除外</w:t>
      </w:r>
      <w:r>
        <w:rPr>
          <w:rFonts w:hint="eastAsia" w:ascii="宋体" w:hAnsi="宋体" w:cs="宋体"/>
          <w:color w:val="auto"/>
          <w:szCs w:val="21"/>
          <w:highlight w:val="none"/>
        </w:rPr>
        <w:t>）等原件提交给采购代理机构</w:t>
      </w:r>
      <w:r>
        <w:rPr>
          <w:rFonts w:hint="eastAsia" w:ascii="宋体" w:hAnsi="宋体" w:cs="宋体"/>
          <w:color w:val="auto"/>
          <w:kern w:val="0"/>
          <w:szCs w:val="21"/>
          <w:highlight w:val="none"/>
        </w:rPr>
        <w:t>。</w:t>
      </w:r>
      <w:r>
        <w:rPr>
          <w:rFonts w:hint="eastAsia" w:ascii="宋体" w:hAnsi="宋体" w:cs="宋体"/>
          <w:b/>
          <w:bCs/>
          <w:color w:val="auto"/>
          <w:kern w:val="0"/>
          <w:szCs w:val="21"/>
          <w:highlight w:val="none"/>
        </w:rPr>
        <w:t>否则视为无效投标保证金</w:t>
      </w:r>
      <w:r>
        <w:rPr>
          <w:rFonts w:hint="eastAsia" w:ascii="宋体" w:hAnsi="宋体" w:cs="宋体"/>
          <w:color w:val="auto"/>
          <w:kern w:val="0"/>
          <w:szCs w:val="21"/>
          <w:highlight w:val="none"/>
        </w:rPr>
        <w:t>。</w:t>
      </w:r>
    </w:p>
    <w:p>
      <w:pPr>
        <w:keepNext w:val="0"/>
        <w:keepLines w:val="0"/>
        <w:pageBreakBefore w:val="0"/>
        <w:kinsoku/>
        <w:wordWrap/>
        <w:overflowPunct/>
        <w:topLinePunct w:val="0"/>
        <w:autoSpaceDE/>
        <w:autoSpaceDN/>
        <w:bidi w:val="0"/>
        <w:adjustRightInd/>
        <w:spacing w:after="0" w:line="440" w:lineRule="atLeast"/>
        <w:ind w:firstLine="315" w:firstLineChars="150"/>
        <w:textAlignment w:val="auto"/>
        <w:rPr>
          <w:rFonts w:hint="eastAsia" w:ascii="宋体" w:hAnsi="宋体" w:cs="宋体"/>
          <w:color w:val="auto"/>
          <w:kern w:val="0"/>
          <w:szCs w:val="21"/>
          <w:highlight w:val="none"/>
        </w:rPr>
      </w:pPr>
      <w:bookmarkStart w:id="47" w:name="_Hlk37429585"/>
      <w:bookmarkStart w:id="48" w:name="_Hlk37429595"/>
      <w:r>
        <w:rPr>
          <w:rFonts w:hint="eastAsia" w:ascii="宋体" w:hAnsi="宋体" w:cs="宋体"/>
          <w:color w:val="auto"/>
          <w:kern w:val="0"/>
          <w:szCs w:val="21"/>
          <w:highlight w:val="none"/>
        </w:rPr>
        <w:t>2.网上查询地址</w:t>
      </w:r>
    </w:p>
    <w:bookmarkEnd w:id="47"/>
    <w:bookmarkEnd w:id="48"/>
    <w:p>
      <w:pPr>
        <w:keepNext w:val="0"/>
        <w:keepLines w:val="0"/>
        <w:pageBreakBefore w:val="0"/>
        <w:kinsoku/>
        <w:wordWrap/>
        <w:overflowPunct/>
        <w:topLinePunct w:val="0"/>
        <w:autoSpaceDE/>
        <w:autoSpaceDN/>
        <w:bidi w:val="0"/>
        <w:adjustRightInd/>
        <w:spacing w:after="0" w:line="440" w:lineRule="atLeast"/>
        <w:ind w:firstLine="420" w:firstLineChars="200"/>
        <w:textAlignment w:val="auto"/>
        <w:rPr>
          <w:rFonts w:hint="eastAsia" w:ascii="宋体" w:hAnsi="宋体" w:cs="宋体"/>
          <w:color w:val="auto"/>
          <w:kern w:val="0"/>
          <w:szCs w:val="21"/>
          <w:highlight w:val="none"/>
        </w:rPr>
      </w:pPr>
      <w:bookmarkStart w:id="49" w:name="_Hlk37429674"/>
      <w:r>
        <w:rPr>
          <w:rFonts w:hint="eastAsia" w:ascii="宋体" w:hAnsi="宋体" w:cs="宋体"/>
          <w:color w:val="auto"/>
          <w:szCs w:val="21"/>
          <w:highlight w:val="none"/>
        </w:rPr>
        <w:t>http://www.ccgp.gov.cn/（中国政府采购网）、http://www.ccgp-guangxi.gov.cn/</w:t>
      </w:r>
      <w:r>
        <w:rPr>
          <w:rFonts w:hint="eastAsia" w:ascii="宋体" w:hAnsi="宋体" w:cs="宋体"/>
          <w:color w:val="auto"/>
          <w:kern w:val="0"/>
          <w:szCs w:val="21"/>
          <w:highlight w:val="none"/>
        </w:rPr>
        <w:t xml:space="preserve"> (中国政府采购网广西分网)、http://gxggzy.gxzf.gov.cn/（广西壮族自治区公共资源交易中心）</w:t>
      </w:r>
    </w:p>
    <w:p>
      <w:pPr>
        <w:keepNext w:val="0"/>
        <w:keepLines w:val="0"/>
        <w:pageBreakBefore w:val="0"/>
        <w:kinsoku/>
        <w:wordWrap/>
        <w:overflowPunct/>
        <w:topLinePunct w:val="0"/>
        <w:autoSpaceDE/>
        <w:autoSpaceDN/>
        <w:bidi w:val="0"/>
        <w:adjustRightInd/>
        <w:spacing w:after="0" w:line="440" w:lineRule="atLeast"/>
        <w:ind w:firstLine="315" w:firstLineChars="150"/>
        <w:textAlignment w:val="auto"/>
        <w:rPr>
          <w:rFonts w:hint="eastAsia" w:ascii="宋体" w:hAnsi="宋体" w:cs="宋体"/>
          <w:color w:val="auto"/>
          <w:kern w:val="0"/>
          <w:szCs w:val="21"/>
          <w:highlight w:val="none"/>
        </w:rPr>
      </w:pPr>
      <w:r>
        <w:rPr>
          <w:rFonts w:hint="eastAsia" w:ascii="宋体" w:hAnsi="宋体" w:cs="宋体"/>
          <w:color w:val="auto"/>
          <w:szCs w:val="21"/>
          <w:highlight w:val="none"/>
        </w:rPr>
        <w:t>3.</w:t>
      </w:r>
      <w:r>
        <w:rPr>
          <w:rFonts w:hint="eastAsia" w:ascii="宋体" w:hAnsi="宋体" w:cs="宋体"/>
          <w:color w:val="auto"/>
          <w:kern w:val="0"/>
          <w:szCs w:val="21"/>
          <w:highlight w:val="none"/>
        </w:rPr>
        <w:t>本项目需要落实的政府采购政策：</w:t>
      </w:r>
      <w:bookmarkStart w:id="50" w:name="PO_3000001867_PM023"/>
    </w:p>
    <w:bookmarkEnd w:id="50"/>
    <w:p>
      <w:pPr>
        <w:keepNext w:val="0"/>
        <w:keepLines w:val="0"/>
        <w:pageBreakBefore w:val="0"/>
        <w:kinsoku/>
        <w:wordWrap/>
        <w:overflowPunct/>
        <w:topLinePunct w:val="0"/>
        <w:autoSpaceDE/>
        <w:autoSpaceDN/>
        <w:bidi w:val="0"/>
        <w:adjustRightInd/>
        <w:spacing w:after="0" w:line="440" w:lineRule="atLeast"/>
        <w:ind w:firstLine="735" w:firstLineChars="35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（1）政府采购促进中小企业发展。</w:t>
      </w:r>
    </w:p>
    <w:p>
      <w:pPr>
        <w:keepNext w:val="0"/>
        <w:keepLines w:val="0"/>
        <w:pageBreakBefore w:val="0"/>
        <w:kinsoku/>
        <w:wordWrap/>
        <w:overflowPunct/>
        <w:topLinePunct w:val="0"/>
        <w:autoSpaceDE/>
        <w:autoSpaceDN/>
        <w:bidi w:val="0"/>
        <w:adjustRightInd/>
        <w:spacing w:after="0" w:line="440" w:lineRule="atLeast"/>
        <w:ind w:firstLine="735" w:firstLineChars="35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（2）政府采购支持采用本国产品的政策。</w:t>
      </w:r>
    </w:p>
    <w:p>
      <w:pPr>
        <w:keepNext w:val="0"/>
        <w:keepLines w:val="0"/>
        <w:pageBreakBefore w:val="0"/>
        <w:kinsoku/>
        <w:wordWrap/>
        <w:overflowPunct/>
        <w:topLinePunct w:val="0"/>
        <w:autoSpaceDE/>
        <w:autoSpaceDN/>
        <w:bidi w:val="0"/>
        <w:adjustRightInd/>
        <w:spacing w:after="0" w:line="440" w:lineRule="atLeast"/>
        <w:ind w:firstLine="735" w:firstLineChars="35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（3）强制采购节能产品；优先采购节能产品、环境标志产品。</w:t>
      </w:r>
    </w:p>
    <w:p>
      <w:pPr>
        <w:keepNext w:val="0"/>
        <w:keepLines w:val="0"/>
        <w:pageBreakBefore w:val="0"/>
        <w:kinsoku/>
        <w:wordWrap/>
        <w:overflowPunct/>
        <w:topLinePunct w:val="0"/>
        <w:autoSpaceDE/>
        <w:autoSpaceDN/>
        <w:bidi w:val="0"/>
        <w:adjustRightInd/>
        <w:spacing w:after="0" w:line="440" w:lineRule="atLeast"/>
        <w:ind w:firstLine="735" w:firstLineChars="35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（4）政府采购促进残疾人就业政策。</w:t>
      </w:r>
    </w:p>
    <w:p>
      <w:pPr>
        <w:keepNext w:val="0"/>
        <w:keepLines w:val="0"/>
        <w:pageBreakBefore w:val="0"/>
        <w:kinsoku/>
        <w:wordWrap/>
        <w:overflowPunct/>
        <w:topLinePunct w:val="0"/>
        <w:autoSpaceDE/>
        <w:autoSpaceDN/>
        <w:bidi w:val="0"/>
        <w:adjustRightInd/>
        <w:spacing w:after="0" w:line="440" w:lineRule="atLeast"/>
        <w:ind w:firstLine="735" w:firstLineChars="35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（5）政府采购支持监狱企业发展。</w:t>
      </w:r>
    </w:p>
    <w:p>
      <w:pPr>
        <w:keepNext w:val="0"/>
        <w:keepLines w:val="0"/>
        <w:pageBreakBefore w:val="0"/>
        <w:kinsoku/>
        <w:wordWrap/>
        <w:overflowPunct/>
        <w:topLinePunct w:val="0"/>
        <w:autoSpaceDE/>
        <w:autoSpaceDN/>
        <w:bidi w:val="0"/>
        <w:adjustRightInd/>
        <w:spacing w:after="0" w:line="440" w:lineRule="atLeast"/>
        <w:ind w:firstLine="735" w:firstLineChars="35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（6）在政府采购中实施本国产品标准及相关政策。</w:t>
      </w:r>
    </w:p>
    <w:p>
      <w:pPr>
        <w:keepNext w:val="0"/>
        <w:keepLines w:val="0"/>
        <w:pageBreakBefore w:val="0"/>
        <w:kinsoku/>
        <w:wordWrap/>
        <w:overflowPunct/>
        <w:topLinePunct w:val="0"/>
        <w:autoSpaceDE/>
        <w:autoSpaceDN/>
        <w:bidi w:val="0"/>
        <w:adjustRightInd/>
        <w:snapToGrid w:val="0"/>
        <w:spacing w:after="0" w:line="440" w:lineRule="atLeas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4.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pPr>
        <w:keepNext w:val="0"/>
        <w:keepLines w:val="0"/>
        <w:pageBreakBefore w:val="0"/>
        <w:kinsoku/>
        <w:wordWrap/>
        <w:overflowPunct/>
        <w:topLinePunct w:val="0"/>
        <w:autoSpaceDE/>
        <w:autoSpaceDN/>
        <w:bidi w:val="0"/>
        <w:adjustRightInd/>
        <w:spacing w:after="0" w:line="440" w:lineRule="atLeast"/>
        <w:ind w:firstLine="420" w:firstLineChars="200"/>
        <w:textAlignment w:val="auto"/>
        <w:rPr>
          <w:rFonts w:hint="eastAsia" w:ascii="宋体" w:hAnsi="宋体" w:cs="宋体"/>
          <w:color w:val="auto"/>
          <w:kern w:val="0"/>
          <w:szCs w:val="21"/>
          <w:highlight w:val="none"/>
        </w:rPr>
      </w:pPr>
      <w:r>
        <w:rPr>
          <w:rFonts w:hint="eastAsia" w:ascii="宋体" w:hAnsi="宋体" w:cs="宋体"/>
          <w:color w:val="auto"/>
          <w:szCs w:val="21"/>
          <w:highlight w:val="none"/>
        </w:rPr>
        <w:t>5.对在“信用中国”网站(https://www.creditchina.gov.cn/) 、中国政府采购网(http://www.ccgp.gov.cn/)被列入失信被执行人、重大税收违法失信主体、政府采购严重违法失信行为记录名单及其他不符合《中华人民共和国政府采购法》第二十二条规定条件的供应商，不得参与政府采购活动。</w:t>
      </w:r>
    </w:p>
    <w:bookmarkEnd w:id="49"/>
    <w:p>
      <w:pPr>
        <w:keepNext w:val="0"/>
        <w:keepLines w:val="0"/>
        <w:pageBreakBefore w:val="0"/>
        <w:kinsoku/>
        <w:wordWrap/>
        <w:overflowPunct/>
        <w:topLinePunct w:val="0"/>
        <w:autoSpaceDE/>
        <w:autoSpaceDN/>
        <w:bidi w:val="0"/>
        <w:adjustRightInd/>
        <w:spacing w:after="0" w:line="440" w:lineRule="atLeast"/>
        <w:ind w:firstLine="422" w:firstLineChars="200"/>
        <w:textAlignment w:val="auto"/>
        <w:rPr>
          <w:rFonts w:hint="eastAsia" w:ascii="宋体" w:hAnsi="宋体" w:cs="宋体"/>
          <w:b/>
          <w:bCs/>
          <w:color w:val="auto"/>
          <w:kern w:val="0"/>
          <w:szCs w:val="21"/>
          <w:highlight w:val="none"/>
        </w:rPr>
      </w:pPr>
      <w:r>
        <w:rPr>
          <w:rFonts w:hint="eastAsia" w:ascii="宋体" w:hAnsi="宋体" w:cs="宋体"/>
          <w:b/>
          <w:bCs/>
          <w:color w:val="auto"/>
          <w:szCs w:val="21"/>
          <w:highlight w:val="none"/>
        </w:rPr>
        <w:t>6.在线投标的有关说明</w:t>
      </w:r>
      <w:r>
        <w:rPr>
          <w:rFonts w:hint="eastAsia" w:ascii="宋体" w:hAnsi="宋体" w:cs="宋体"/>
          <w:b/>
          <w:bCs/>
          <w:color w:val="auto"/>
          <w:kern w:val="0"/>
          <w:szCs w:val="21"/>
          <w:highlight w:val="none"/>
        </w:rPr>
        <w:t>：</w:t>
      </w:r>
    </w:p>
    <w:p>
      <w:pPr>
        <w:keepNext w:val="0"/>
        <w:keepLines w:val="0"/>
        <w:pageBreakBefore w:val="0"/>
        <w:widowControl/>
        <w:kinsoku/>
        <w:wordWrap/>
        <w:overflowPunct/>
        <w:topLinePunct w:val="0"/>
        <w:autoSpaceDE/>
        <w:autoSpaceDN/>
        <w:bidi w:val="0"/>
        <w:adjustRightInd/>
        <w:spacing w:after="0" w:line="440" w:lineRule="atLeas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投标文件提交方式：本项目为全流程电子化项目，通过广西政府采购云平台（https://www.gcy.zfcg.gxzf.gov.cn/）实行在线电子投标，供应商应先安装广西政府采购云平台新版客户端（新版客户端下载路径：广西政府采购网（访问地址http://zfcg.gxzf.gov.cn/）—办事指南—下载专区），并按照本项目招标文件和广西政府采购云平台的要求编制、加密后在投标截止时间前通过网络上传至广西政府采购云平台，</w:t>
      </w:r>
      <w:r>
        <w:rPr>
          <w:rFonts w:hint="eastAsia" w:ascii="宋体" w:hAnsi="宋体" w:cs="宋体"/>
          <w:b/>
          <w:color w:val="auto"/>
          <w:szCs w:val="21"/>
          <w:highlight w:val="none"/>
        </w:rPr>
        <w:t>投标人在广西政府采购云平台提交电子版投标文件时，请填写参加远程开标活动经办人联系方式</w:t>
      </w:r>
      <w:r>
        <w:rPr>
          <w:rFonts w:hint="eastAsia" w:ascii="宋体" w:hAnsi="宋体" w:cs="宋体"/>
          <w:color w:val="auto"/>
          <w:szCs w:val="21"/>
          <w:highlight w:val="none"/>
        </w:rPr>
        <w:t>。</w:t>
      </w:r>
    </w:p>
    <w:p>
      <w:pPr>
        <w:keepNext w:val="0"/>
        <w:keepLines w:val="0"/>
        <w:pageBreakBefore w:val="0"/>
        <w:widowControl/>
        <w:kinsoku/>
        <w:wordWrap/>
        <w:overflowPunct/>
        <w:topLinePunct w:val="0"/>
        <w:autoSpaceDE/>
        <w:autoSpaceDN/>
        <w:bidi w:val="0"/>
        <w:adjustRightInd/>
        <w:spacing w:after="0" w:line="440" w:lineRule="atLeas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（2）未进行网上注册并办理数字证书（CA认证）的供应商将无法参与本项目政府采购活动，潜在投标人应当在投标截止时间前，完成电子交易平台上的CA数字证书办理及投标文件的提交。</w:t>
      </w:r>
    </w:p>
    <w:p>
      <w:pPr>
        <w:keepNext w:val="0"/>
        <w:keepLines w:val="0"/>
        <w:pageBreakBefore w:val="0"/>
        <w:widowControl/>
        <w:kinsoku/>
        <w:wordWrap/>
        <w:overflowPunct/>
        <w:topLinePunct w:val="0"/>
        <w:autoSpaceDE/>
        <w:autoSpaceDN/>
        <w:bidi w:val="0"/>
        <w:adjustRightInd/>
        <w:spacing w:after="0" w:line="440" w:lineRule="atLeas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（3）为确保网上操作合法、有效和安全，请投标人确保在电子投标过程中能够对相关数据电文进行加密和使用电子签章，妥善保管CA数字证书并使用有效的CA数字证书参与整个招标活动。</w:t>
      </w:r>
    </w:p>
    <w:p>
      <w:pPr>
        <w:keepNext w:val="0"/>
        <w:keepLines w:val="0"/>
        <w:pageBreakBefore w:val="0"/>
        <w:kinsoku/>
        <w:wordWrap/>
        <w:overflowPunct/>
        <w:topLinePunct w:val="0"/>
        <w:autoSpaceDE/>
        <w:autoSpaceDN/>
        <w:bidi w:val="0"/>
        <w:adjustRightInd/>
        <w:spacing w:after="0" w:line="440" w:lineRule="atLeast"/>
        <w:ind w:firstLine="422" w:firstLineChars="200"/>
        <w:textAlignment w:val="auto"/>
        <w:rPr>
          <w:rFonts w:hint="eastAsia" w:ascii="宋体" w:hAnsi="宋体" w:cs="宋体"/>
          <w:bCs/>
          <w:color w:val="auto"/>
          <w:szCs w:val="21"/>
          <w:highlight w:val="none"/>
          <w:u w:val="single"/>
        </w:rPr>
      </w:pPr>
      <w:r>
        <w:rPr>
          <w:rFonts w:hint="eastAsia" w:ascii="宋体" w:hAnsi="宋体" w:cs="宋体"/>
          <w:b/>
          <w:color w:val="auto"/>
          <w:szCs w:val="21"/>
          <w:highlight w:val="none"/>
          <w:u w:val="single"/>
        </w:rPr>
        <w:t>注：投标人应当在投标截止时间前完成电子版投标文件的上传、提交，投标截止时间前可以补充、修改或者撤回投标文件。补充或者修改投标文件的，应当先行撤回原文件，补充、修改后重新上传、提交。投标截止时间前未完成上传、提交的，视为撤回投标文件。投标截止时间以后上传提交的投标文件广西政府采购云平台将予以拒收。</w:t>
      </w:r>
    </w:p>
    <w:p>
      <w:pPr>
        <w:keepNext w:val="0"/>
        <w:keepLines w:val="0"/>
        <w:pageBreakBefore w:val="0"/>
        <w:kinsoku/>
        <w:wordWrap/>
        <w:overflowPunct/>
        <w:topLinePunct w:val="0"/>
        <w:autoSpaceDE/>
        <w:autoSpaceDN/>
        <w:bidi w:val="0"/>
        <w:adjustRightInd/>
        <w:snapToGrid w:val="0"/>
        <w:spacing w:after="0" w:line="440" w:lineRule="atLeast"/>
        <w:ind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（4）CA证书在线解密：投标人投标时，需携带制作投标文件时用来加密的有效数字证书（CA认证）登录</w:t>
      </w:r>
      <w:r>
        <w:rPr>
          <w:rFonts w:hint="eastAsia" w:ascii="宋体" w:hAnsi="宋体" w:cs="宋体"/>
          <w:color w:val="auto"/>
          <w:szCs w:val="21"/>
          <w:highlight w:val="none"/>
        </w:rPr>
        <w:t>广西政府采购云平台</w:t>
      </w:r>
      <w:r>
        <w:rPr>
          <w:rFonts w:hint="eastAsia" w:ascii="宋体" w:hAnsi="宋体" w:cs="宋体"/>
          <w:color w:val="auto"/>
          <w:kern w:val="0"/>
          <w:szCs w:val="21"/>
          <w:highlight w:val="none"/>
        </w:rPr>
        <w:t>电子开标大厅现场按规定时间对加密的投标文件进行解密。</w:t>
      </w:r>
    </w:p>
    <w:p>
      <w:pPr>
        <w:keepNext w:val="0"/>
        <w:keepLines w:val="0"/>
        <w:pageBreakBefore w:val="0"/>
        <w:kinsoku/>
        <w:wordWrap/>
        <w:overflowPunct/>
        <w:topLinePunct w:val="0"/>
        <w:autoSpaceDE/>
        <w:autoSpaceDN/>
        <w:bidi w:val="0"/>
        <w:adjustRightInd/>
        <w:spacing w:after="0" w:line="440" w:lineRule="atLeast"/>
        <w:ind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（5）若对项目采购电子交易系统操作有疑问，可登录</w:t>
      </w:r>
      <w:r>
        <w:rPr>
          <w:rFonts w:hint="eastAsia" w:ascii="宋体" w:hAnsi="宋体" w:cs="宋体"/>
          <w:color w:val="auto"/>
          <w:szCs w:val="21"/>
          <w:highlight w:val="none"/>
        </w:rPr>
        <w:t>广西政府采购云平台（https://www.gcy.zfcg.gxzf.gov.cn/）</w:t>
      </w:r>
      <w:r>
        <w:rPr>
          <w:rFonts w:hint="eastAsia" w:ascii="宋体" w:hAnsi="宋体" w:cs="宋体"/>
          <w:color w:val="auto"/>
          <w:kern w:val="0"/>
          <w:szCs w:val="21"/>
          <w:highlight w:val="none"/>
        </w:rPr>
        <w:t>，点击右侧咨询小采，获取采小蜜智能服务管家帮助，或拨打</w:t>
      </w:r>
      <w:r>
        <w:rPr>
          <w:rFonts w:hint="eastAsia" w:ascii="宋体" w:hAnsi="宋体" w:cs="宋体"/>
          <w:color w:val="auto"/>
          <w:szCs w:val="21"/>
          <w:highlight w:val="none"/>
        </w:rPr>
        <w:t>广西政府采购云平台</w:t>
      </w:r>
      <w:r>
        <w:rPr>
          <w:rFonts w:hint="eastAsia" w:ascii="宋体" w:hAnsi="宋体" w:cs="宋体"/>
          <w:color w:val="auto"/>
          <w:kern w:val="0"/>
          <w:szCs w:val="21"/>
          <w:highlight w:val="none"/>
        </w:rPr>
        <w:t>服务热线95763获取热线服务帮助。</w:t>
      </w:r>
    </w:p>
    <w:p>
      <w:pPr>
        <w:keepNext w:val="0"/>
        <w:keepLines w:val="0"/>
        <w:pageBreakBefore w:val="0"/>
        <w:kinsoku/>
        <w:wordWrap/>
        <w:overflowPunct/>
        <w:topLinePunct w:val="0"/>
        <w:autoSpaceDE/>
        <w:autoSpaceDN/>
        <w:bidi w:val="0"/>
        <w:adjustRightInd/>
        <w:spacing w:after="0" w:line="440" w:lineRule="atLeast"/>
        <w:ind w:firstLine="420" w:firstLineChars="200"/>
        <w:textAlignment w:val="auto"/>
        <w:rPr>
          <w:rFonts w:hint="eastAsia" w:ascii="宋体" w:hAnsi="宋体" w:cs="宋体"/>
          <w:b/>
          <w:bCs/>
          <w:color w:val="auto"/>
          <w:szCs w:val="21"/>
          <w:highlight w:val="none"/>
        </w:rPr>
      </w:pPr>
      <w:bookmarkStart w:id="51" w:name="_Toc35393796"/>
      <w:bookmarkStart w:id="52" w:name="_Toc28359008"/>
      <w:bookmarkStart w:id="53" w:name="_Toc35393627"/>
      <w:bookmarkStart w:id="54" w:name="_Toc28359085"/>
      <w:r>
        <w:rPr>
          <w:rFonts w:hint="eastAsia" w:ascii="宋体" w:hAnsi="宋体" w:cs="宋体"/>
          <w:color w:val="auto"/>
          <w:kern w:val="0"/>
          <w:szCs w:val="21"/>
          <w:highlight w:val="none"/>
        </w:rPr>
        <w:t>7.银行、保险、石油石化、电力、电信等有行业特殊情况的，法人的分支机构经法人授权后可以分支机构的身份参加政府采购。如投标人为分支机构的，必须在投标文件中同时提供经法人授权投标人以分支机构名义参加投标的</w:t>
      </w:r>
      <w:r>
        <w:rPr>
          <w:rFonts w:hint="eastAsia" w:ascii="宋体" w:hAnsi="宋体" w:cs="宋体"/>
          <w:color w:val="auto"/>
          <w:szCs w:val="21"/>
          <w:highlight w:val="none"/>
        </w:rPr>
        <w:t>授权委托书、法人营业执照及分支机构营业执照的扫描件</w:t>
      </w:r>
      <w:r>
        <w:rPr>
          <w:rFonts w:hint="eastAsia" w:ascii="宋体" w:hAnsi="宋体" w:cs="宋体"/>
          <w:color w:val="auto"/>
          <w:kern w:val="0"/>
          <w:szCs w:val="21"/>
          <w:highlight w:val="none"/>
        </w:rPr>
        <w:t>。</w:t>
      </w:r>
    </w:p>
    <w:bookmarkEnd w:id="46"/>
    <w:p>
      <w:pPr>
        <w:keepNext w:val="0"/>
        <w:keepLines w:val="0"/>
        <w:pageBreakBefore w:val="0"/>
        <w:kinsoku/>
        <w:wordWrap/>
        <w:overflowPunct/>
        <w:topLinePunct w:val="0"/>
        <w:autoSpaceDE/>
        <w:autoSpaceDN/>
        <w:bidi w:val="0"/>
        <w:adjustRightInd/>
        <w:spacing w:after="0" w:line="440" w:lineRule="atLeas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七、对本次招标提出询问，请按以下方式联系。</w:t>
      </w:r>
      <w:bookmarkEnd w:id="51"/>
      <w:bookmarkEnd w:id="52"/>
      <w:bookmarkEnd w:id="53"/>
      <w:bookmarkEnd w:id="54"/>
    </w:p>
    <w:p>
      <w:pPr>
        <w:keepNext w:val="0"/>
        <w:keepLines w:val="0"/>
        <w:pageBreakBefore w:val="0"/>
        <w:kinsoku/>
        <w:wordWrap/>
        <w:overflowPunct/>
        <w:topLinePunct w:val="0"/>
        <w:autoSpaceDE/>
        <w:autoSpaceDN/>
        <w:bidi w:val="0"/>
        <w:adjustRightInd/>
        <w:spacing w:after="0" w:line="440" w:lineRule="atLeast"/>
        <w:ind w:firstLine="630" w:firstLineChars="3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1.采购人信息</w:t>
      </w:r>
    </w:p>
    <w:p>
      <w:pPr>
        <w:keepNext w:val="0"/>
        <w:keepLines w:val="0"/>
        <w:pageBreakBefore w:val="0"/>
        <w:kinsoku/>
        <w:wordWrap/>
        <w:overflowPunct/>
        <w:topLinePunct w:val="0"/>
        <w:autoSpaceDE/>
        <w:autoSpaceDN/>
        <w:bidi w:val="0"/>
        <w:adjustRightInd/>
        <w:spacing w:after="0" w:line="440" w:lineRule="atLeast"/>
        <w:ind w:firstLine="630" w:firstLineChars="3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名  称：广西医科大学</w:t>
      </w:r>
    </w:p>
    <w:p>
      <w:pPr>
        <w:keepNext w:val="0"/>
        <w:keepLines w:val="0"/>
        <w:pageBreakBefore w:val="0"/>
        <w:kinsoku/>
        <w:wordWrap/>
        <w:overflowPunct/>
        <w:topLinePunct w:val="0"/>
        <w:autoSpaceDE/>
        <w:autoSpaceDN/>
        <w:bidi w:val="0"/>
        <w:adjustRightInd/>
        <w:spacing w:after="0" w:line="440" w:lineRule="atLeast"/>
        <w:ind w:firstLine="630" w:firstLineChars="3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地  址：广西南宁市青秀区双拥路22号</w:t>
      </w:r>
    </w:p>
    <w:p>
      <w:pPr>
        <w:keepNext w:val="0"/>
        <w:keepLines w:val="0"/>
        <w:pageBreakBefore w:val="0"/>
        <w:kinsoku/>
        <w:wordWrap/>
        <w:overflowPunct/>
        <w:topLinePunct w:val="0"/>
        <w:autoSpaceDE/>
        <w:autoSpaceDN/>
        <w:bidi w:val="0"/>
        <w:adjustRightInd/>
        <w:spacing w:after="0" w:line="440" w:lineRule="atLeast"/>
        <w:ind w:firstLine="630" w:firstLineChars="3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联系人：黄敏；联系电话：0771-5358884      </w:t>
      </w:r>
    </w:p>
    <w:p>
      <w:pPr>
        <w:keepNext w:val="0"/>
        <w:keepLines w:val="0"/>
        <w:pageBreakBefore w:val="0"/>
        <w:kinsoku/>
        <w:wordWrap/>
        <w:overflowPunct/>
        <w:topLinePunct w:val="0"/>
        <w:autoSpaceDE/>
        <w:autoSpaceDN/>
        <w:bidi w:val="0"/>
        <w:adjustRightInd/>
        <w:spacing w:after="0" w:line="440" w:lineRule="atLeast"/>
        <w:ind w:firstLine="630" w:firstLineChars="3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2.采购代理机构信息</w:t>
      </w:r>
    </w:p>
    <w:p>
      <w:pPr>
        <w:keepNext w:val="0"/>
        <w:keepLines w:val="0"/>
        <w:pageBreakBefore w:val="0"/>
        <w:kinsoku/>
        <w:wordWrap/>
        <w:overflowPunct/>
        <w:topLinePunct w:val="0"/>
        <w:autoSpaceDE/>
        <w:autoSpaceDN/>
        <w:bidi w:val="0"/>
        <w:adjustRightInd/>
        <w:spacing w:after="0" w:line="440" w:lineRule="atLeast"/>
        <w:ind w:firstLine="630" w:firstLineChars="3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名称：</w:t>
      </w:r>
      <w:bookmarkStart w:id="55" w:name="PO_3000001867_PM031_1"/>
      <w:r>
        <w:rPr>
          <w:rFonts w:hint="eastAsia" w:ascii="宋体" w:hAnsi="宋体" w:cs="宋体"/>
          <w:color w:val="auto"/>
          <w:szCs w:val="21"/>
          <w:highlight w:val="none"/>
        </w:rPr>
        <w:t>广西科联招标中心有限公司</w:t>
      </w:r>
      <w:bookmarkEnd w:id="55"/>
    </w:p>
    <w:p>
      <w:pPr>
        <w:keepNext w:val="0"/>
        <w:keepLines w:val="0"/>
        <w:pageBreakBefore w:val="0"/>
        <w:kinsoku/>
        <w:wordWrap/>
        <w:overflowPunct/>
        <w:topLinePunct w:val="0"/>
        <w:autoSpaceDE/>
        <w:autoSpaceDN/>
        <w:bidi w:val="0"/>
        <w:adjustRightInd/>
        <w:spacing w:after="0" w:line="440" w:lineRule="atLeast"/>
        <w:ind w:firstLine="630" w:firstLineChars="3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地址：</w:t>
      </w:r>
      <w:bookmarkStart w:id="56" w:name="PO_3000001867_PM035"/>
      <w:r>
        <w:rPr>
          <w:rFonts w:hint="eastAsia" w:ascii="宋体" w:hAnsi="宋体" w:cs="宋体"/>
          <w:color w:val="auto"/>
          <w:szCs w:val="21"/>
          <w:highlight w:val="none"/>
        </w:rPr>
        <w:t>广西南宁市大学东路170号</w:t>
      </w:r>
      <w:bookmarkEnd w:id="56"/>
    </w:p>
    <w:p>
      <w:pPr>
        <w:keepNext w:val="0"/>
        <w:keepLines w:val="0"/>
        <w:pageBreakBefore w:val="0"/>
        <w:kinsoku/>
        <w:wordWrap/>
        <w:overflowPunct/>
        <w:topLinePunct w:val="0"/>
        <w:autoSpaceDE/>
        <w:autoSpaceDN/>
        <w:bidi w:val="0"/>
        <w:adjustRightInd/>
        <w:spacing w:after="0" w:line="440" w:lineRule="atLeast"/>
        <w:ind w:firstLine="630" w:firstLineChars="3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联系方式：0771-2273830</w:t>
      </w:r>
    </w:p>
    <w:p>
      <w:pPr>
        <w:keepNext w:val="0"/>
        <w:keepLines w:val="0"/>
        <w:pageBreakBefore w:val="0"/>
        <w:kinsoku/>
        <w:wordWrap/>
        <w:overflowPunct/>
        <w:topLinePunct w:val="0"/>
        <w:autoSpaceDE/>
        <w:autoSpaceDN/>
        <w:bidi w:val="0"/>
        <w:adjustRightInd/>
        <w:spacing w:after="0" w:line="440" w:lineRule="atLeast"/>
        <w:ind w:firstLine="630" w:firstLineChars="3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3.项目联系方式</w:t>
      </w:r>
    </w:p>
    <w:p>
      <w:pPr>
        <w:keepNext w:val="0"/>
        <w:keepLines w:val="0"/>
        <w:pageBreakBefore w:val="0"/>
        <w:kinsoku/>
        <w:wordWrap/>
        <w:overflowPunct/>
        <w:topLinePunct w:val="0"/>
        <w:autoSpaceDE/>
        <w:autoSpaceDN/>
        <w:bidi w:val="0"/>
        <w:adjustRightInd/>
        <w:spacing w:after="0" w:line="440" w:lineRule="atLeast"/>
        <w:ind w:firstLine="630" w:firstLineChars="3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项目联系人：胡政</w:t>
      </w:r>
      <w:r>
        <w:rPr>
          <w:rFonts w:hint="eastAsia" w:ascii="宋体" w:hAnsi="宋体" w:cs="宋体"/>
          <w:color w:val="auto"/>
          <w:szCs w:val="21"/>
          <w:highlight w:val="none"/>
        </w:rPr>
        <w:tab/>
      </w:r>
    </w:p>
    <w:p>
      <w:pPr>
        <w:keepNext w:val="0"/>
        <w:keepLines w:val="0"/>
        <w:pageBreakBefore w:val="0"/>
        <w:kinsoku/>
        <w:wordWrap/>
        <w:overflowPunct/>
        <w:topLinePunct w:val="0"/>
        <w:autoSpaceDE/>
        <w:autoSpaceDN/>
        <w:bidi w:val="0"/>
        <w:adjustRightInd/>
        <w:spacing w:after="0" w:line="440" w:lineRule="atLeast"/>
        <w:ind w:firstLine="630" w:firstLineChars="300"/>
        <w:textAlignment w:val="auto"/>
        <w:rPr>
          <w:rFonts w:hint="eastAsia" w:ascii="宋体" w:hAnsi="宋体" w:cs="宋体"/>
          <w:color w:val="auto"/>
          <w:szCs w:val="21"/>
          <w:highlight w:val="none"/>
        </w:rPr>
      </w:pPr>
      <w:r>
        <w:rPr>
          <w:rFonts w:hint="eastAsia" w:ascii="宋体" w:hAnsi="宋体" w:cs="宋体"/>
          <w:color w:val="auto"/>
          <w:szCs w:val="21"/>
          <w:highlight w:val="none"/>
        </w:rPr>
        <w:t>电话：0771-2273830</w:t>
      </w:r>
      <w:bookmarkEnd w:id="13"/>
    </w:p>
    <w:p>
      <w:pPr>
        <w:spacing w:line="360" w:lineRule="auto"/>
        <w:jc w:val="left"/>
        <w:rPr>
          <w:rFonts w:hint="eastAsia" w:ascii="宋体" w:hAnsi="宋体" w:cs="宋体"/>
          <w:color w:val="auto"/>
          <w:szCs w:val="21"/>
          <w:highlight w:val="none"/>
        </w:rPr>
      </w:pPr>
    </w:p>
    <w:p>
      <w:pPr>
        <w:pStyle w:val="14"/>
        <w:jc w:val="center"/>
        <w:outlineLvl w:val="0"/>
        <w:rPr>
          <w:rFonts w:hint="eastAsia" w:hAnsi="宋体" w:cs="宋体"/>
          <w:b/>
          <w:color w:val="auto"/>
          <w:sz w:val="36"/>
          <w:highlight w:val="none"/>
        </w:rPr>
      </w:pPr>
      <w:r>
        <w:rPr>
          <w:rFonts w:hint="eastAsia" w:hAnsi="宋体" w:cs="宋体"/>
          <w:color w:val="auto"/>
          <w:szCs w:val="21"/>
          <w:highlight w:val="none"/>
        </w:rPr>
        <w:br w:type="page"/>
      </w:r>
      <w:bookmarkStart w:id="57" w:name="_Toc532545042"/>
      <w:bookmarkStart w:id="58" w:name="_Toc10157"/>
      <w:bookmarkStart w:id="59" w:name="_Toc10599"/>
      <w:bookmarkStart w:id="60" w:name="_Toc21791"/>
      <w:bookmarkStart w:id="61" w:name="_Toc12160"/>
      <w:bookmarkStart w:id="62" w:name="_Toc15135"/>
      <w:bookmarkStart w:id="63" w:name="_Toc4656"/>
      <w:bookmarkStart w:id="64" w:name="_Toc32271"/>
      <w:bookmarkStart w:id="65" w:name="_Toc23540"/>
      <w:bookmarkStart w:id="66" w:name="_Toc22518"/>
      <w:bookmarkStart w:id="67" w:name="_Toc28626"/>
      <w:bookmarkStart w:id="68" w:name="_Toc5131"/>
      <w:bookmarkStart w:id="69" w:name="OLE_LINK42"/>
      <w:r>
        <w:rPr>
          <w:rFonts w:hint="eastAsia" w:hAnsi="宋体" w:cs="宋体"/>
          <w:b/>
          <w:color w:val="auto"/>
          <w:sz w:val="36"/>
          <w:highlight w:val="none"/>
        </w:rPr>
        <w:t xml:space="preserve">第二章  </w:t>
      </w:r>
      <w:bookmarkEnd w:id="57"/>
      <w:bookmarkStart w:id="70" w:name="OLE_LINK36"/>
      <w:r>
        <w:rPr>
          <w:rFonts w:hint="eastAsia" w:hAnsi="宋体" w:cs="宋体"/>
          <w:b/>
          <w:color w:val="auto"/>
          <w:sz w:val="36"/>
          <w:highlight w:val="none"/>
        </w:rPr>
        <w:t>采购需求</w:t>
      </w:r>
      <w:bookmarkEnd w:id="58"/>
      <w:bookmarkEnd w:id="59"/>
      <w:bookmarkEnd w:id="60"/>
      <w:bookmarkEnd w:id="61"/>
      <w:bookmarkEnd w:id="62"/>
      <w:bookmarkEnd w:id="63"/>
      <w:bookmarkEnd w:id="64"/>
      <w:bookmarkEnd w:id="65"/>
      <w:bookmarkEnd w:id="66"/>
      <w:bookmarkEnd w:id="67"/>
      <w:bookmarkEnd w:id="68"/>
    </w:p>
    <w:bookmarkEnd w:id="69"/>
    <w:p>
      <w:pPr>
        <w:adjustRightInd w:val="0"/>
        <w:spacing w:line="340" w:lineRule="exact"/>
        <w:rPr>
          <w:rFonts w:hint="eastAsia" w:ascii="宋体" w:hAnsi="宋体" w:cs="宋体"/>
          <w:b/>
          <w:color w:val="auto"/>
          <w:szCs w:val="21"/>
          <w:highlight w:val="none"/>
        </w:rPr>
      </w:pPr>
      <w:r>
        <w:rPr>
          <w:rFonts w:hint="eastAsia" w:ascii="宋体" w:hAnsi="宋体" w:cs="宋体"/>
          <w:b/>
          <w:color w:val="auto"/>
          <w:szCs w:val="21"/>
          <w:highlight w:val="none"/>
        </w:rPr>
        <w:t>说明：</w:t>
      </w:r>
    </w:p>
    <w:p>
      <w:pPr>
        <w:spacing w:line="360" w:lineRule="auto"/>
        <w:ind w:firstLine="420" w:firstLineChars="200"/>
        <w:jc w:val="left"/>
        <w:rPr>
          <w:rFonts w:hint="eastAsia" w:ascii="宋体" w:hAnsi="宋体" w:cs="宋体"/>
          <w:i/>
          <w:iCs/>
          <w:color w:val="auto"/>
          <w:szCs w:val="21"/>
          <w:highlight w:val="none"/>
        </w:rPr>
      </w:pPr>
      <w:r>
        <w:rPr>
          <w:rFonts w:hint="eastAsia" w:ascii="宋体" w:hAnsi="宋体" w:cs="宋体"/>
          <w:color w:val="auto"/>
          <w:highlight w:val="none"/>
        </w:rPr>
        <w:t>1. 为落实政府采购政策需满足的要求</w:t>
      </w:r>
    </w:p>
    <w:p>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（1）本招标文件所称中小企业必须符合《政府采购促进中小企业发展管理办法》（财库〔2020〕46号）的规定。</w:t>
      </w:r>
    </w:p>
    <w:p>
      <w:pPr>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（2）根据《财政部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附件1），</w:t>
      </w:r>
      <w:r>
        <w:rPr>
          <w:rFonts w:hint="eastAsia" w:ascii="宋体" w:hAnsi="宋体" w:cs="宋体"/>
          <w:b/>
          <w:bCs/>
          <w:color w:val="auto"/>
          <w:szCs w:val="21"/>
          <w:highlight w:val="none"/>
        </w:rPr>
        <w:t>投标人的投标货物必须使用政府强制采购的节能产品，投标人必须在投标文件中提供所投标产品有效期内的节能产品认证证书复印件（加盖投标人公章），否则投标文件作无效处理</w:t>
      </w:r>
      <w:r>
        <w:rPr>
          <w:rFonts w:hint="eastAsia" w:ascii="宋体" w:hAnsi="宋体" w:cs="宋体"/>
          <w:color w:val="auto"/>
          <w:szCs w:val="21"/>
          <w:highlight w:val="none"/>
        </w:rPr>
        <w:t>。如本项目包含的货物属于品目清单内非标注“★”的产品时，应优先采购，具体详见“第四章 评标方法和评标标准”。</w:t>
      </w:r>
    </w:p>
    <w:p>
      <w:pPr>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2.采购需求中带“</w:t>
      </w:r>
      <w:bookmarkStart w:id="71" w:name="OLE_LINK21"/>
      <w:r>
        <w:rPr>
          <w:rFonts w:hint="eastAsia" w:ascii="宋体" w:hAnsi="宋体" w:cs="宋体"/>
          <w:color w:val="auto"/>
          <w:szCs w:val="21"/>
          <w:highlight w:val="none"/>
        </w:rPr>
        <w:t>▲</w:t>
      </w:r>
      <w:bookmarkEnd w:id="71"/>
      <w:r>
        <w:rPr>
          <w:rFonts w:hint="eastAsia" w:ascii="宋体" w:hAnsi="宋体" w:cs="宋体"/>
          <w:color w:val="auto"/>
          <w:szCs w:val="21"/>
          <w:highlight w:val="none"/>
        </w:rPr>
        <w:t>”的条款为实质性条款，不满足作无效响应处理。“</w:t>
      </w:r>
      <w:r>
        <w:rPr>
          <w:rFonts w:hint="eastAsia" w:ascii="宋体" w:hAnsi="宋体" w:cs="宋体"/>
          <w:color w:val="auto"/>
          <w:kern w:val="0"/>
          <w:szCs w:val="21"/>
          <w:highlight w:val="none"/>
          <w:lang w:bidi="ar"/>
        </w:rPr>
        <w:t>●</w:t>
      </w:r>
      <w:r>
        <w:rPr>
          <w:rFonts w:hint="eastAsia" w:ascii="宋体" w:hAnsi="宋体" w:cs="宋体"/>
          <w:color w:val="auto"/>
          <w:szCs w:val="21"/>
          <w:highlight w:val="none"/>
        </w:rPr>
        <w:t>”条款为重要技术参数及配置条款。</w:t>
      </w:r>
    </w:p>
    <w:p>
      <w:pPr>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3.采购需求中出现的品牌、型号或者制造商仅起参考作用，不属于指定品牌、型号或者制造商的情形。投标人可参照或者选用其他相当的品牌、型号或者制造商替代，但选用的投标产品技术参数及配置必须满足采购要求。</w:t>
      </w:r>
    </w:p>
    <w:p>
      <w:pPr>
        <w:spacing w:line="360" w:lineRule="auto"/>
        <w:ind w:firstLine="424" w:firstLineChars="202"/>
        <w:jc w:val="left"/>
        <w:rPr>
          <w:rFonts w:hint="eastAsia" w:ascii="宋体" w:hAnsi="宋体" w:cs="宋体"/>
          <w:color w:val="auto"/>
          <w:highlight w:val="none"/>
        </w:rPr>
      </w:pPr>
      <w:r>
        <w:rPr>
          <w:rFonts w:hint="eastAsia" w:ascii="宋体" w:hAnsi="宋体" w:cs="宋体"/>
          <w:color w:val="auto"/>
          <w:szCs w:val="21"/>
          <w:highlight w:val="none"/>
        </w:rPr>
        <w:t>4.投标人必须对投标文件中提供的证明材料和资质文件真实性负责，如出现虚假应标情况，投标人除了应接受有关部门的处罚外，还应依据《中华人民共和国民法典》的相关条款来进行赔偿。</w:t>
      </w:r>
    </w:p>
    <w:p>
      <w:pPr>
        <w:tabs>
          <w:tab w:val="left" w:pos="180"/>
          <w:tab w:val="left" w:pos="1620"/>
        </w:tabs>
        <w:spacing w:line="460" w:lineRule="exact"/>
        <w:ind w:firstLine="420" w:firstLineChars="200"/>
        <w:jc w:val="left"/>
        <w:rPr>
          <w:rFonts w:hint="eastAsia" w:ascii="宋体" w:hAnsi="宋体" w:cs="宋体"/>
          <w:color w:val="auto"/>
          <w:highlight w:val="none"/>
        </w:rPr>
      </w:pPr>
      <w:r>
        <w:rPr>
          <w:rFonts w:hint="eastAsia" w:ascii="宋体" w:hAnsi="宋体" w:cs="宋体"/>
          <w:color w:val="auto"/>
          <w:highlight w:val="none"/>
        </w:rPr>
        <w:t>5.投标人应对投标内容所涉及的专利承担法律责任，并负责保护采购人的利益不受任何损害。一切由于文字、商标、技术和软件专利授权引起的法律裁决、诉讼和赔偿费用均由中标人负责。</w:t>
      </w:r>
    </w:p>
    <w:p>
      <w:pPr>
        <w:tabs>
          <w:tab w:val="left" w:pos="180"/>
          <w:tab w:val="left" w:pos="1620"/>
        </w:tabs>
        <w:spacing w:line="460" w:lineRule="exact"/>
        <w:ind w:firstLine="420" w:firstLineChars="200"/>
        <w:jc w:val="left"/>
        <w:rPr>
          <w:rFonts w:hint="eastAsia" w:ascii="宋体" w:hAnsi="宋体" w:cs="宋体"/>
          <w:color w:val="auto"/>
          <w:highlight w:val="none"/>
        </w:rPr>
      </w:pPr>
      <w:r>
        <w:rPr>
          <w:rFonts w:hint="eastAsia" w:ascii="宋体" w:hAnsi="宋体" w:cs="宋体"/>
          <w:color w:val="auto"/>
          <w:highlight w:val="none"/>
        </w:rPr>
        <w:t>6.本项目所有采购标的对应的中小企业划分标准所属行业</w:t>
      </w:r>
      <w:r>
        <w:rPr>
          <w:rFonts w:hint="eastAsia" w:ascii="宋体" w:hAnsi="宋体" w:cs="宋体"/>
          <w:color w:val="auto"/>
          <w:highlight w:val="none"/>
          <w:lang w:eastAsia="zh-CN"/>
        </w:rPr>
        <w:t>名称</w:t>
      </w:r>
      <w:r>
        <w:rPr>
          <w:rFonts w:hint="eastAsia" w:ascii="宋体" w:hAnsi="宋体" w:cs="宋体"/>
          <w:color w:val="auto"/>
          <w:highlight w:val="none"/>
        </w:rPr>
        <w:t>：详见采购需求一览表</w:t>
      </w:r>
    </w:p>
    <w:p>
      <w:pPr>
        <w:tabs>
          <w:tab w:val="left" w:pos="180"/>
          <w:tab w:val="left" w:pos="1620"/>
        </w:tabs>
        <w:spacing w:line="460" w:lineRule="exact"/>
        <w:ind w:firstLine="420" w:firstLineChars="200"/>
        <w:jc w:val="left"/>
        <w:rPr>
          <w:rFonts w:hint="eastAsia" w:ascii="宋体" w:hAnsi="宋体" w:cs="宋体"/>
          <w:color w:val="auto"/>
          <w:highlight w:val="none"/>
        </w:rPr>
      </w:pPr>
    </w:p>
    <w:p>
      <w:pPr>
        <w:tabs>
          <w:tab w:val="left" w:pos="180"/>
          <w:tab w:val="left" w:pos="1620"/>
        </w:tabs>
        <w:spacing w:line="460" w:lineRule="exact"/>
        <w:jc w:val="left"/>
        <w:rPr>
          <w:rFonts w:hint="eastAsia" w:ascii="宋体" w:hAnsi="宋体" w:cs="宋体"/>
          <w:color w:val="auto"/>
          <w:highlight w:val="none"/>
        </w:rPr>
      </w:pPr>
      <w:r>
        <w:rPr>
          <w:rFonts w:hint="eastAsia" w:ascii="宋体" w:hAnsi="宋体" w:cs="宋体"/>
          <w:color w:val="auto"/>
          <w:highlight w:val="none"/>
        </w:rPr>
        <w:br w:type="page"/>
      </w:r>
    </w:p>
    <w:bookmarkEnd w:id="70"/>
    <w:p>
      <w:pPr>
        <w:outlineLvl w:val="0"/>
        <w:rPr>
          <w:rFonts w:hint="eastAsia" w:ascii="宋体" w:hAnsi="宋体" w:cs="宋体"/>
          <w:b/>
          <w:bCs/>
          <w:color w:val="auto"/>
          <w:sz w:val="24"/>
          <w:highlight w:val="none"/>
        </w:rPr>
      </w:pPr>
      <w:r>
        <w:rPr>
          <w:rFonts w:hint="eastAsia" w:ascii="宋体" w:hAnsi="宋体" w:cs="宋体"/>
          <w:b/>
          <w:bCs/>
          <w:color w:val="auto"/>
          <w:sz w:val="24"/>
          <w:highlight w:val="none"/>
        </w:rPr>
        <w:t>标项一</w:t>
      </w:r>
    </w:p>
    <w:tbl>
      <w:tblPr>
        <w:tblStyle w:val="27"/>
        <w:tblW w:w="974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59"/>
        <w:gridCol w:w="500"/>
        <w:gridCol w:w="700"/>
        <w:gridCol w:w="750"/>
        <w:gridCol w:w="641"/>
        <w:gridCol w:w="4050"/>
        <w:gridCol w:w="823"/>
        <w:gridCol w:w="941"/>
        <w:gridCol w:w="88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459" w:type="dxa"/>
            <w:vMerge w:val="restart"/>
            <w:tcBorders>
              <w:top w:val="single" w:color="auto" w:sz="4" w:space="0"/>
              <w:left w:val="single" w:color="auto" w:sz="4"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需求一览表</w:t>
            </w:r>
          </w:p>
        </w:tc>
        <w:tc>
          <w:tcPr>
            <w:tcW w:w="500"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spacing w:after="0" w:line="440" w:lineRule="atLeast"/>
              <w:jc w:val="center"/>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700" w:type="dxa"/>
            <w:tcBorders>
              <w:top w:val="single" w:color="auto" w:sz="4" w:space="0"/>
              <w:left w:val="single" w:color="auto" w:sz="4" w:space="0"/>
              <w:bottom w:val="single" w:color="auto" w:sz="4" w:space="0"/>
              <w:right w:val="single" w:color="auto" w:sz="4" w:space="0"/>
            </w:tcBorders>
            <w:vAlign w:val="center"/>
          </w:tcPr>
          <w:p>
            <w:pPr>
              <w:spacing w:after="0" w:line="440" w:lineRule="atLeast"/>
              <w:jc w:val="center"/>
              <w:rPr>
                <w:rFonts w:hint="eastAsia" w:ascii="宋体" w:hAnsi="宋体" w:cs="宋体"/>
                <w:b/>
                <w:bCs/>
                <w:color w:val="auto"/>
                <w:szCs w:val="21"/>
                <w:highlight w:val="none"/>
              </w:rPr>
            </w:pPr>
            <w:r>
              <w:rPr>
                <w:rFonts w:hint="eastAsia" w:ascii="宋体" w:hAnsi="宋体" w:cs="宋体"/>
                <w:b/>
                <w:bCs/>
                <w:color w:val="auto"/>
                <w:szCs w:val="21"/>
                <w:highlight w:val="none"/>
              </w:rPr>
              <w:t>标的名称</w:t>
            </w:r>
          </w:p>
        </w:tc>
        <w:tc>
          <w:tcPr>
            <w:tcW w:w="750" w:type="dxa"/>
            <w:tcBorders>
              <w:top w:val="single" w:color="auto" w:sz="4" w:space="0"/>
              <w:left w:val="single" w:color="auto" w:sz="4" w:space="0"/>
              <w:bottom w:val="single" w:color="auto" w:sz="4" w:space="0"/>
              <w:right w:val="single" w:color="auto" w:sz="4" w:space="0"/>
            </w:tcBorders>
            <w:vAlign w:val="center"/>
          </w:tcPr>
          <w:p>
            <w:pPr>
              <w:spacing w:after="0" w:line="440" w:lineRule="atLeast"/>
              <w:jc w:val="center"/>
              <w:rPr>
                <w:rFonts w:hint="eastAsia" w:ascii="宋体" w:hAnsi="宋体" w:cs="宋体"/>
                <w:b/>
                <w:bCs/>
                <w:color w:val="auto"/>
                <w:szCs w:val="21"/>
                <w:highlight w:val="none"/>
              </w:rPr>
            </w:pPr>
            <w:r>
              <w:rPr>
                <w:rFonts w:hint="eastAsia" w:ascii="宋体" w:hAnsi="宋体" w:cs="宋体"/>
                <w:b/>
                <w:bCs/>
                <w:color w:val="auto"/>
                <w:szCs w:val="21"/>
                <w:highlight w:val="none"/>
              </w:rPr>
              <w:t>数量</w:t>
            </w:r>
          </w:p>
        </w:tc>
        <w:tc>
          <w:tcPr>
            <w:tcW w:w="641" w:type="dxa"/>
            <w:tcBorders>
              <w:top w:val="single" w:color="auto" w:sz="4" w:space="0"/>
              <w:left w:val="single" w:color="auto" w:sz="4" w:space="0"/>
              <w:bottom w:val="single" w:color="auto" w:sz="4" w:space="0"/>
              <w:right w:val="single" w:color="auto" w:sz="4" w:space="0"/>
            </w:tcBorders>
            <w:vAlign w:val="center"/>
          </w:tcPr>
          <w:p>
            <w:pPr>
              <w:spacing w:after="0" w:line="440" w:lineRule="atLeast"/>
              <w:jc w:val="center"/>
              <w:rPr>
                <w:rFonts w:hint="eastAsia" w:ascii="宋体" w:hAnsi="宋体" w:cs="宋体"/>
                <w:b/>
                <w:bCs/>
                <w:color w:val="auto"/>
                <w:szCs w:val="21"/>
                <w:highlight w:val="none"/>
              </w:rPr>
            </w:pPr>
            <w:r>
              <w:rPr>
                <w:rFonts w:hint="eastAsia" w:ascii="宋体" w:hAnsi="宋体" w:cs="宋体"/>
                <w:b/>
                <w:bCs/>
                <w:color w:val="auto"/>
                <w:szCs w:val="21"/>
                <w:highlight w:val="none"/>
              </w:rPr>
              <w:t>单位</w:t>
            </w:r>
          </w:p>
        </w:tc>
        <w:tc>
          <w:tcPr>
            <w:tcW w:w="4050" w:type="dxa"/>
            <w:tcBorders>
              <w:top w:val="single" w:color="auto" w:sz="4" w:space="0"/>
              <w:left w:val="single" w:color="auto" w:sz="4" w:space="0"/>
              <w:bottom w:val="single" w:color="auto" w:sz="4" w:space="0"/>
              <w:right w:val="single" w:color="auto" w:sz="4" w:space="0"/>
            </w:tcBorders>
            <w:vAlign w:val="center"/>
          </w:tcPr>
          <w:p>
            <w:pPr>
              <w:spacing w:after="0" w:line="440" w:lineRule="atLeast"/>
              <w:jc w:val="center"/>
              <w:rPr>
                <w:rFonts w:hint="eastAsia" w:ascii="宋体" w:hAnsi="宋体" w:cs="宋体"/>
                <w:b/>
                <w:bCs/>
                <w:color w:val="auto"/>
                <w:szCs w:val="21"/>
                <w:highlight w:val="none"/>
              </w:rPr>
            </w:pPr>
            <w:r>
              <w:rPr>
                <w:rFonts w:hint="eastAsia" w:ascii="宋体" w:hAnsi="宋体" w:cs="宋体"/>
                <w:b/>
                <w:bCs/>
                <w:color w:val="auto"/>
                <w:szCs w:val="21"/>
                <w:highlight w:val="none"/>
              </w:rPr>
              <w:t>技术参数及配置</w:t>
            </w:r>
          </w:p>
        </w:tc>
        <w:tc>
          <w:tcPr>
            <w:tcW w:w="823"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center"/>
              <w:textAlignment w:val="center"/>
              <w:rPr>
                <w:rFonts w:hint="eastAsia" w:ascii="宋体" w:hAnsi="宋体" w:cs="宋体"/>
                <w:b/>
                <w:bCs/>
                <w:color w:val="auto"/>
                <w:szCs w:val="21"/>
                <w:highlight w:val="none"/>
              </w:rPr>
            </w:pPr>
            <w:r>
              <w:rPr>
                <w:rFonts w:hint="eastAsia" w:ascii="宋体" w:hAnsi="宋体" w:cs="宋体"/>
                <w:b/>
                <w:bCs/>
                <w:color w:val="auto"/>
                <w:kern w:val="0"/>
                <w:szCs w:val="21"/>
                <w:highlight w:val="none"/>
                <w:lang w:bidi="ar"/>
              </w:rPr>
              <w:t>分项预算（元）</w:t>
            </w:r>
          </w:p>
        </w:tc>
        <w:tc>
          <w:tcPr>
            <w:tcW w:w="941"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center"/>
              <w:textAlignment w:val="center"/>
              <w:rPr>
                <w:rFonts w:hint="eastAsia" w:ascii="宋体" w:hAnsi="宋体" w:cs="宋体"/>
                <w:b/>
                <w:bCs/>
                <w:color w:val="auto"/>
                <w:szCs w:val="21"/>
                <w:highlight w:val="none"/>
              </w:rPr>
            </w:pPr>
            <w:r>
              <w:rPr>
                <w:rFonts w:hint="eastAsia" w:ascii="宋体" w:hAnsi="宋体" w:cs="宋体"/>
                <w:b/>
                <w:bCs/>
                <w:color w:val="auto"/>
                <w:kern w:val="0"/>
                <w:szCs w:val="21"/>
                <w:highlight w:val="none"/>
                <w:lang w:bidi="ar"/>
              </w:rPr>
              <w:t>分项预算合计（元）</w:t>
            </w:r>
          </w:p>
        </w:tc>
        <w:tc>
          <w:tcPr>
            <w:tcW w:w="883"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center"/>
              <w:textAlignment w:val="center"/>
              <w:rPr>
                <w:rFonts w:hint="eastAsia" w:ascii="宋体" w:hAnsi="宋体" w:cs="宋体"/>
                <w:b/>
                <w:bCs/>
                <w:color w:val="auto"/>
                <w:szCs w:val="21"/>
                <w:highlight w:val="none"/>
              </w:rPr>
            </w:pPr>
            <w:r>
              <w:rPr>
                <w:rFonts w:hint="eastAsia" w:ascii="宋体" w:hAnsi="宋体" w:cs="宋体"/>
                <w:b/>
                <w:bCs/>
                <w:color w:val="auto"/>
                <w:kern w:val="0"/>
                <w:szCs w:val="21"/>
                <w:highlight w:val="none"/>
                <w:lang w:bidi="ar"/>
              </w:rPr>
              <w:t>中小企业划分标准所属行业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教学互动系统（学生）</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套</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教学互动系统（学生）含学生数码显微镜</w:t>
            </w:r>
          </w:p>
          <w:p>
            <w:pPr>
              <w:widowControl/>
              <w:spacing w:after="0" w:line="440" w:lineRule="atLeast"/>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一、教师端 1台</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数码显微镜：光学系统：无限远光学补正系统，光学系统在视野内提供图像</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1.载物台：双层高硬度无伸出式平台，台面尺寸≥127× 182mm，平台行程≥76mm（X）× 30mm（Y）,采用同步带传动、无伸出式结构，能避免齿条划伤钢丝。平台标尺具有手轮指示，可选用X及Y向移动手轮；</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▲2.调焦机构：同轴粗微调机构，两侧均具有粗、微调机构，微调格值≤0.2μm，粗调每转≥37.7mm,调焦范围向上2mm，向下13mm；具有卸力保护装置，到达限位位置后继续旋转粗调机器能够实现自动卸力；</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▲3.限位结构：可任意设置上限位定位焦面，可切片，限位装置于粗动手轮前侧，可进行左右互换，可避免镜身中置；</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▲4.聚光镜：阿贝式聚光镜(N.A 1.25)，使用彩色聚光镜光栏指示标贴，标贴指示颜色与物镜倍率色环相对应，结合外凸式结构，可找到不同物镜时光栏对应的正确位置。可固定的聚光镜安装方式；</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照明系统：≥60000小时超长寿命LED光源，采用复眼照明系统，照明均匀。照明系统内置由多透镜组成的网状复眼光学部件，可从低倍（4X）到高倍（100X），在观察、拍照的时候，可以避免普通单个透镜形成的图像中央亮、四周暗的缺陷，显微镜在任何放大倍率下都能够获得显微图像；</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6.双目观察筒：360°可旋转铰链式双目头，可调节眼点高度30°倾斜，瞳距调节范围50-75mm,眼点高度≥370 mm，支持视场数≥20。观察头具有防脱落设计，松开观察头锁螺丝来旋转观察头方向时，观察头不会掉落；</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▲7.目镜：10X大视场目镜，屈光度可调节，视场数20mm；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▲8.物镜转盘：内倾式4孔物镜转盘，内倾式结构。与机身连接处做防尘设计；</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▲9.物镜：平场消色差物镜</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4X（N.A.≥0.1 W.D≥25mm）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10X（N.A.≥0.25 W.D≥6.7mm）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40X（N.A.≥0.65 W.D≥0.6mm）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100X油（N.A.≥1.25 W.D≥0.14mm）; </w:t>
            </w:r>
          </w:p>
          <w:p>
            <w:pPr>
              <w:widowControl/>
              <w:spacing w:after="0" w:line="440" w:lineRule="atLeast"/>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▲10.防霉装置：双目观察筒、目镜、物镜采用防霉技术并做了防霉处理，显微镜在温湿环境下可正常使用；</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11.光源开关:前置的光源开关及调光手轮，配合双色光源状态指示灯，可以根据指示灯颜色了解显微镜的状态。具有休眠按钮，在不关闭整体电源的情况下关闭照明光源；</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12.机身结构：具备抗震底脚，可过滤环境震波；</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▲13.安全锁：显微镜带有安全锁；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14.便携性：整机重量≤5.2kg（双目）；</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15.操作指南：扫描显微镜上粘贴有在线指南二维码，在线指南提供有视频使用说明，可查看有关操作和清洁程序的信息；</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16.防霉结构设计：镀膜防霉技术，镜体、目镜筒和物镜都做了防霉处理</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▲17.摄像系统:</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（1）图像设备：≥1600万像素高清数字成像系统</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t xml:space="preserve">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（2）分辨率：4608×3456有效像素，靶面尺寸1/2.33英寸</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（3）帧率：3.5～47 帧/秒</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t xml:space="preserve">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（4）信噪比：≥41 dB</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（5）数据接口速度：≥USB2.0</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（6）扫描方式：逐行扫描</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t xml:space="preserve">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（7）曝光方式：自动/手动曝光</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t xml:space="preserve">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（8）白平衡方式：自动/手动白平衡。</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18.教师端数字显微图像处理终端（端口）： 24英寸显示器，  CPU 频率：≥2.1GHz， 16GB 内存、硬盘容量1TB +512GB SSD。</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二、学生数码显微镜 95台</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1.光学系统：无限远光学补正系统；</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▲2.载物台：双层高硬度无伸出式平台，台面尺寸≥127× 182mm，平台行程≥76mm（X）× 30mm（Y）,能同步带传动、无伸出式结构，可避免齿条划伤钢丝。平台标尺具有手轮指示，可正确选用X及Y向移动手轮；</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▲3.调焦机构：同轴粗微调机构，两侧均具有粗、微调机构，微调格值≤0.2μm，粗调每转≥37.7mm,调焦范围向上2mm，向下13mm；具有卸力保护装置，到达限位位置后继续旋转粗调机器能够实现自动卸力；</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▲4.限位结构：可任意设置上限位定位焦面，可切片，限位装置于粗动手轮前侧，可进行左右互换，可避免镜身中置；</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▲5.聚光镜：阿贝式聚光镜(N.A 1.25)，使用彩色聚光镜光栏指示标贴，标贴指示颜色与物镜倍率色环相对应，结合外凸式结构，可找到不同物镜时光栏对应的正确位置。可固定的聚光镜安装方式；</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照明系统：≥60000小时超长寿命LED光源，采用复眼照明系统，照明均匀。照明系统内置的多透镜组成的网状复眼光学部件，可从低倍（4X）到高倍（100X），在观察、拍照的时候，可以避免普通单个透镜形成的图像中央亮、四周暗的缺陷，显微镜在任何放大倍率下都能够获得显微图像；</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7.双目观察筒：360°可旋转铰链式双目头，可调节眼点高度30°倾斜，瞳距调节范围50-75mm,眼点高度≥370 mm，视场数≥20。观察头具有防脱落设计，松开观察头锁螺丝来旋转观察头方向时，观察头不会掉落；</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8.目镜：10X大视场目镜，屈光度可调节，视场数20mm；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9.物镜转盘：内倾式4孔物镜转盘，内倾式结构。与机身连接处做防尘设计；</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10.物镜：平场消色差物镜</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4X（N.A.≥0.1 W.D≥25mm）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10X（N.A.≥0.25 W.D≥6.7mm）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40X（N.A.≥0.65 W.D≥0.6mm）;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▲100X油（N.A.≥1.25 W.D≥0.14mm）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11.防霉装置：双目观察筒、目镜、物镜采用防霉技术并做了防霉处理，显微镜在温湿环境下能正常使用；</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▲12.光源开关:前置的光源开关及调光手轮，配合双色光源状态指示灯，可以了解显微镜的状态。具有休眠按钮，在不关闭整体电源的情况下关闭照明光源；</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▲13.机身结构：具备抗震底脚，可过滤环境的震波；</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14.安全锁：显微镜带有安全锁；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15.便携性：整机重量≤5.2kg（双目）；</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▲16.操作指南：扫描显微镜上有在线指南二维码，在线指南提供有视频使用说明，可查看有关操作和清洁程序的信息；</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▲17.图像成像系统：显微摄像机（含学生端30台）：≥500万像素1/2英寸逐行扫描传感器；</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▲18.USB3.0接口 分辨率能达到≥2560×1920  自动/手动白平衡；</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19.数字显微图像处理终端（30端口）：≥24英寸显示器，CPU频率：≥2.1GHz，内存容量≥16GB，硬盘容量：≥512GSSD。</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三、数码显微镜无线互动系统控制软件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1.全中文界面设计，支持主窗口功能按钮、浮动工具条、右键菜单、快捷键操作方式；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2.无线网络环境下可以支持≥60个用户；</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3.具备防杀进程、断线保护、卸载密码保护辅助功能；</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4.文件分发和提交可以拖拽添加文件，可添加不同目录下的文件或文件目录。</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四、功能要求</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1.屏幕广播：将教师机屏幕和教师讲话实时广播给单一、部分或全体学生，可选择全屏或窗口方式。窗口模式下或教师机与学生机分辨率不同情况下，学生机可以以不同的窗口方式接收广播；</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2.屏幕广播：屏幕广播时可调节多种画面质量；</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3.屏幕笔：辅助工具具备显示项目、添加注释，添加批注；</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4.网络视频：实现教师机播放的视频可同步广播到学生机；</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5.共享白板：教师可共享白板、桌面或图片与选定的学生共同完成相同的学习任务，学生也可以单独完成；</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视频直播：通过USB摄像头将教师的画面实时广播到学生机，具有视频设备的提示画面。语音广播：教师机、学生机麦克风或其他输入设备（如磁带、CD）的声音可广播给教师、学生，教学过程中已登录的学生和教师可收听该声音；</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7.语音对讲：教师选择任意一名已登录学生与其进行双向语音交谈，除教师和此学生外，其他学生不会受到干扰，可以动态切换对讲对象；</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8.学生演示：教师选定一台学生机作为示范，由此学生代替教师进行示范教学；</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9.分组教学：通过分组教学，将学生分成几个组进行合作学习。小组长可使用功能来辅导同伴，例如：广播教学、语音教学、语音对话、监视、远程控制、远程设置、文件分发、远程命令和网络影院；</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10.讨论：教师可组织学生使用文字、图片、手写板开展讨论，可进行分组讨论或主题讨论，教师可将学生分成若干组，同组的组员之间可以相互讨论，教师可以参加任意组的讨论；主题讨论是由教师建立若干个主题，学生可选择自己感兴趣的主题开展讨论；</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11.文件分发：教师将教师机不同盘符中的目录或文件一起发送至主机的某目录下。目录不存在可自动新建此目录；如果盘符不存在或路径非法，则不允许分发；文件已存在的，可选择自动覆盖或保留原始文件；</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12.作业提交：学生把做好的作业直接提交到教师机，教师端自动生成学生姓名命名的文件夹；</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13.网络快照：教师可以在监控学生的时候，对学生画面拍照，可保存学生画面的截图；</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14.屏幕监视：教师机可以监视单一、部分、全体学生机的屏幕，教师机每屏可监视多个学生屏幕（≥16个）。教师机监控的同屏幕各窗口间、屏幕与屏幕间可以控制、切换。可手动或自动循环监视。</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五、无线智能AP中枢工作站 </w:t>
            </w:r>
          </w:p>
          <w:p>
            <w:pPr>
              <w:widowControl/>
              <w:spacing w:after="0" w:line="440" w:lineRule="atLeast"/>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1.无线传输：①传输速度：广播≤0.5秒，转播≤1秒，监控≤1秒；</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2.7×24小时连续工作不掉线；</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3.不少于60个学生端可同步响应教师指令，时差不超过1秒；</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 传输数据完整，不丢包、具备抗干扰；</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▲5.一个无线AP同时可连接不少于60个学生端；</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6.安装位置：根据教室实际需要，安装在教室天花板或墙壁上；</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7.满足≥100平方米面积使用。</w:t>
            </w:r>
          </w:p>
          <w:p>
            <w:pPr>
              <w:spacing w:after="0" w:line="440" w:lineRule="atLeast"/>
              <w:rPr>
                <w:rFonts w:hint="eastAsia"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6 \* CHINESENUM3 \* MERGEFORMAT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六</w:t>
            </w:r>
            <w:r>
              <w:rPr>
                <w:rFonts w:hint="eastAsia" w:ascii="宋体" w:hAnsi="宋体" w:cs="宋体"/>
                <w:color w:val="auto"/>
                <w:szCs w:val="21"/>
                <w:highlight w:val="none"/>
              </w:rPr>
              <w:fldChar w:fldCharType="end"/>
            </w:r>
            <w:r>
              <w:rPr>
                <w:rFonts w:hint="eastAsia" w:ascii="宋体" w:hAnsi="宋体" w:cs="宋体"/>
                <w:color w:val="auto"/>
                <w:szCs w:val="21"/>
                <w:highlight w:val="none"/>
              </w:rPr>
              <w:t>、其它配置</w:t>
            </w:r>
          </w:p>
          <w:p>
            <w:pPr>
              <w:spacing w:after="0" w:line="440" w:lineRule="atLeast"/>
              <w:rPr>
                <w:rFonts w:hint="eastAsia" w:ascii="宋体" w:hAnsi="宋体" w:cs="宋体"/>
                <w:color w:val="auto"/>
                <w:kern w:val="0"/>
                <w:szCs w:val="21"/>
                <w:highlight w:val="none"/>
                <w:lang w:bidi="ar"/>
              </w:rPr>
            </w:pPr>
            <w:r>
              <w:rPr>
                <w:rFonts w:hint="eastAsia" w:ascii="宋体" w:hAnsi="宋体" w:cs="宋体"/>
                <w:color w:val="auto"/>
                <w:szCs w:val="21"/>
                <w:highlight w:val="none"/>
              </w:rPr>
              <w:t>1.升降板</w:t>
            </w:r>
            <w:r>
              <w:rPr>
                <w:rFonts w:hint="eastAsia" w:ascii="宋体" w:hAnsi="宋体" w:cs="宋体"/>
                <w:color w:val="auto"/>
                <w:kern w:val="0"/>
                <w:szCs w:val="21"/>
                <w:highlight w:val="none"/>
                <w:lang w:bidi="ar"/>
              </w:rPr>
              <w:t>；尺寸：≥4000mm×2100mm</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2.结构：中间放画框幕布，两侧放两组升降绿板，每组由两块同等大小的书写板组成，画框幕布由升降板整体包住，幕布内嵌黑板一侧里面。安装：隐形安装，没有外露的挂接件；</w:t>
            </w:r>
          </w:p>
          <w:p>
            <w:pPr>
              <w:spacing w:after="0" w:line="440" w:lineRule="atLeas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3.白色带磁性板2块：尺寸（宽*长）约：90*120cm；</w:t>
            </w:r>
          </w:p>
          <w:p>
            <w:pPr>
              <w:spacing w:after="0" w:line="440" w:lineRule="atLeast"/>
              <w:rPr>
                <w:rFonts w:hint="eastAsia" w:ascii="宋体" w:hAnsi="宋体" w:cs="宋体"/>
                <w:color w:val="auto"/>
                <w:szCs w:val="21"/>
                <w:highlight w:val="none"/>
              </w:rPr>
            </w:pPr>
            <w:r>
              <w:rPr>
                <w:rFonts w:hint="eastAsia" w:ascii="宋体" w:hAnsi="宋体" w:cs="宋体"/>
                <w:color w:val="auto"/>
                <w:kern w:val="0"/>
                <w:szCs w:val="21"/>
                <w:highlight w:val="none"/>
                <w:lang w:bidi="ar"/>
              </w:rPr>
              <w:t>4.</w:t>
            </w:r>
            <w:r>
              <w:rPr>
                <w:rFonts w:hint="eastAsia" w:ascii="宋体" w:hAnsi="宋体" w:cs="宋体"/>
                <w:color w:val="auto"/>
                <w:szCs w:val="21"/>
                <w:highlight w:val="none"/>
              </w:rPr>
              <w:t>显微镜工作台</w:t>
            </w:r>
          </w:p>
          <w:p>
            <w:pPr>
              <w:spacing w:after="0" w:line="440" w:lineRule="atLeast"/>
              <w:rPr>
                <w:rFonts w:hint="eastAsia" w:ascii="宋体" w:hAnsi="宋体" w:eastAsia="宋体" w:cs="宋体"/>
                <w:color w:val="auto"/>
                <w:kern w:val="0"/>
                <w:szCs w:val="21"/>
                <w:highlight w:val="none"/>
                <w:lang w:eastAsia="zh-CN" w:bidi="ar"/>
              </w:rPr>
            </w:pPr>
            <w:r>
              <w:rPr>
                <w:rFonts w:hint="eastAsia" w:ascii="宋体" w:hAnsi="宋体" w:cs="宋体"/>
                <w:color w:val="auto"/>
                <w:szCs w:val="21"/>
                <w:highlight w:val="none"/>
              </w:rPr>
              <w:t>工作台2张；</w:t>
            </w:r>
            <w:r>
              <w:rPr>
                <w:rFonts w:hint="eastAsia" w:ascii="宋体" w:hAnsi="宋体" w:cs="宋体"/>
                <w:color w:val="auto"/>
                <w:kern w:val="0"/>
                <w:szCs w:val="21"/>
                <w:highlight w:val="none"/>
                <w:lang w:bidi="ar"/>
              </w:rPr>
              <w:t>尺寸约 ：2000*750*850mm；台面：实芯理化板厚度为≥12.0mm钢制框架：采用约40×60δ1.2mmC型钢材；柜体部分：柜体采用≥15mm厚。柜体规格：约L*500*600mm，五金配件：轨道采用≥400mm三节轨道。铰链可选用110°合金铰链</w:t>
            </w:r>
            <w:r>
              <w:rPr>
                <w:rFonts w:hint="eastAsia" w:ascii="宋体" w:hAnsi="宋体" w:cs="宋体"/>
                <w:color w:val="auto"/>
                <w:kern w:val="0"/>
                <w:szCs w:val="21"/>
                <w:highlight w:val="none"/>
                <w:lang w:val="en-US" w:eastAsia="zh-CN" w:bidi="ar"/>
              </w:rPr>
              <w:t>。</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930751.99</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930751.99</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pacing w:val="-12"/>
                <w:kern w:val="0"/>
                <w:szCs w:val="21"/>
                <w:highlight w:val="none"/>
              </w:rPr>
              <w:t>软件和信息技术服</w:t>
            </w:r>
            <w:r>
              <w:rPr>
                <w:rFonts w:hint="eastAsia" w:ascii="宋体" w:hAnsi="宋体" w:cs="宋体"/>
                <w:color w:val="auto"/>
                <w:kern w:val="0"/>
                <w:szCs w:val="21"/>
                <w:highlight w:val="none"/>
              </w:rPr>
              <w:t>务业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6"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多媒体智能控制系统</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套</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▲1．铝合金拉丝面板，不锈钢按键，≥3路强电电源控制，内置投影机保护模块，投影机具备延时关机功能 ，一键式联动控制管理功能；</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2．面板集成万能电源座、网络、双层USB、视频、MIC、笔记本VGA、立体声座接口；</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▲3．内置≥3路VGA输入(含1路前置)，2路VGA输出，带宽300MHz，-3db，自带长线驱动器。2路视频输入，2路视频输出，阻抗75Ω，带宽100MHz，4路音频输入，1路音频输出，频响20Hz～20kHz +1/-3dB ，1路麦克风输入 。1路可编程RS232控制功能，1路万维网接口，具有银幕升、降、停控制，内置有线电视调制器。独立外置电源供电；</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▲4．投影机代码内置，≥4路拨码开关，通过拨码可设置投影机控制代码，无需电脑软件。具备批量安装。1路红外控制能控制投影机；</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5．具有数据保存功能，可导入导出232码，能批量安装；</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6．开口尺寸约：190*70MM。</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1693.57</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1693.57</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3</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机能学实验系统</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套</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生物信号采集与处理系统技术参数</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一、硬件参数</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●1. 采样通道接口：4个物理采样通道，1个12导联全导联心电接口；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 物理采样通道扩展：任意一个物理采样通道可扩展至8个实际数据采样通道，总计可进行32通道数据同时采样，并可对各个通道参数进行调节。如在一个物理通道上连接无线人体生理信号仪，该物理通道可同时采集体位、心电、呼吸、肺活量、脉搏、血氧、收缩压、舒张压等8个信号；</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 实时传感器类型自动识别：系统能自动识别任意物理通道连接的传感器类型，同时在仪器面板和软件界面上有具体传感器类型和参数提示；</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 传感器定标信息自动存储：定标信息随传感器移动，更换设备无须再次定标。</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●5. 量程：±50μV ~±1V；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 滤波器：同时具备硬件模拟滤波器、DSP 5阶贝塞尔滤波器、软件数字滤波器：</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低通：1、 2、 5、 10、 20、 50、 100、 200、 500、 1k、2k、 5k, 10k,20k, 50k，合计15档 ；高通（时间常数）：DC、5S、2s、1s、0.5s、0.2s、0.1s、0.05s、0.02s、0.01s、0.005s、0.002s、0.001s，合计13档 ；50Hz陷波：开、关两档可调；</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●7.采样率：800KHz （物理通道最大200ksps*4，12导联通道 2ksps*12）；</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●8. AD转换器：16位4通道同步采样；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 共模抑制比（CMMR）：&gt;100DB;</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10. 输入阻抗：10M@DC；</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11. 等效输入噪声：电压峰峰值 &lt; 2.0μV，信噪比：&gt; 100dB；</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●12. 支持采样方式：连续采样、刺激触发采样、外部触发采样、程控采样；</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13. 系统级联：2~4台设备级联；</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14. 电源:DC 12V；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15. 环境监测功能：可实时监测温度、湿度、大气压，并同步记录到实验数据文件中；</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●16. 信号采集设备使用情况记录和显示：自动记录设备使用情况，包括首次使用日期，最近使用日期，累计使用时间和次数等，使用情况记录在硬件中并可以在采集软件界面中显示；</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●17. 具有监听、记滴功能；</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●18. 设备高级程控刺激器，刺激器参数包括：波形：方波、三角波、正弦波、余弦波、半正弦波、直流波、用户编辑任意波形；模式：恒流、恒压两种输出方式；电压：-110V~110V；电流：-150mA~+150mA；时间步长：0.05ms。</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二、软件参数</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 软件显示通道数：1~64通道可变，默认显示通道数为4通道，当同时采集12道全导联心电波形时软件界面上同时显示12道心电波形；</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 同时打开反演文件数：4个，可在同一软件界面上同时比较显示4个反演波形；</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 实时采样和反演同时进行：在信号实时采样过程中，可在实时采样软件上同时打开以前记录的文件进行查看、对比、分析操作；</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 可播放反演文件声音：反演文件时，在波形反演同时可播放该波形声音，比如播放减压神经放电声音；</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 通道差异化采样率设置：不同通道可设置不同采样率进行数据采样、不同采样率的信号波形可同步记录及同步显示；</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 通道波形颜色设置：可单通道、全部通道进行波形颜色、背景颜色、格线颜色及风格设置；</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 波形截图水印功能：波形截图的复制、粘贴自动添加水印；</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 具有反演文件列表窗口：用户可通过直接点击列表文件名快捷打开反演文件；</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 具有浮动快速启动窗口：用户可直接启动停止实验；</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▲10.具备嵌入软件界面的实验报告编辑功能；设备所测数据可以在国产设备上进行全功能反演分析；</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12.  软件实验模块内嵌web电子教材：在一个实验模块页面内用生动形象的、图片、动图、视频讲解实验原理、目的、器材、步骤、操作过程；</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13. 专业实验知识展示：可以Flash文件和流媒体形式展示各种专业实验技能；</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▲14. 中文版操作软件，支持PC、手机移动端全功能访问，课件设计符合手机横屏操作要求，载入和显示时间小于5秒；</w:t>
            </w:r>
          </w:p>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15. 软件自动升级功能：软件自动搜索服务器上的最新版本软件并提醒用户升级，用户确认后可自动升级；</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16. 用户意见自动收集：软件中含用户意见收集窗口，用户输入的任何意见可直接传到软件开发商；</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●17. 数据导出：可导出原始实验数据及分析结果；</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●18.  通用数据处理：微分、积分、频率直方图、序列密度直方图、非序列密度直方图、频谱分析、平均血压、记滴趋势分析以及基于包络算法的心率曲线分析；</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19.  专用数据处理：血流动力学实验参数分析、心肌细胞动作电位参数测量、心功能参数分析，突触后电位分析，心率变异分析，心电向量图分析，能提供分析的DEMO数据供用户演示和学习；</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▲20. 心率变异分析：可显示Lorenz图，RR间期直方图，RR间期差值图，速度图以及功率谱分析图；心率变异可分析不低于23个时域、频域以及非线性指标，包括：Range、SDNN、DNN Mean,RMSSD、NNxx、CV、TP、VLFP、LFP、HFP、LF/HF、VLI、VAI、SD1以及SD2；分析参数可调，包括但不限于：分析通道、分析数据类型、分析起始时间，分析时长、FFT点数，参考RR间期、最大RR间期；LTP数据分析功能：分析LTP波形最大斜率、平均斜率、直线回归斜率、自动标记关键点坐标；包含范围测量、自动测量、叠加波形、查找标签（波序号、自定义）、导出测量表（范围测量、自动测量结果）、显示/隐藏刺激线、显示LTP波位置功能；</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●21.  数据测量：单点测量、带Mark标记的两点测量、区间测量、实时测量，可测量出波形的最大、最小、平均值，时间、频率、面积参数；</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22.  药理学参数计算工具：药物拮抗参数（PA2、PD2）测定功能，按照Bliss法计算LD50、ED50值、计算t检验和半衰期值；</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23. 固件自动升级：软件会判断硬件产品上固件软件是否为最新版本，对低版本的固件自动完成升级；</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24. 软件功能配置：文件路径、软件外观信息可以通过统一配置界面进行修改，在该界面上还能查看系统信息；</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25. 刺激器参数冻结：在刺激过程中参数不能被用户修改，防止误操作；</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26. 实验模块参数查看和修改：可以对系统默认、用户自定义实验参数进行查看及修改；</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27. 实验模块自定义功能：可以设计自定义的实验模块，选择传感器、通道、采样率参数；</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28. 数据监控窗口：通过该窗口可以显示实时值、频率、最大值、最小值；</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29. 实验模块：系统内置不低于50个预先设定参数的实验模块；</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▲30. 支持人体指脉无创连续血压仪连接及数据采集：无线传输，无振动无噪音，测量范围0~299mmHg，精度 ±1mmHg；实时数据非模拟波形；</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▲31. 支持微型植入压力测量传感器的数据采集：探头测量范围-20mmHg~200mmHg，直接植入动物体内；</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▲32. AI实验助手功能：系统提供不低于60个实验课题的AI对话问答服务，其中聚焦模式可以回答相关课题内容，开放模式可提供搜索内容，支持两种模式任意切换，支持语音对话；                                               33.实验数据管理功能：实验数据上传功能：支持信息化集成化信号采集与处理系统实现一键上传实验数据，本组实验学生可共享数据；系统具备从数据创建到销毁全生命周期的管理能力，包括数据分类、归档、长期存储及安全删除功能</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34.实验数据下载功能：支持教师下载本组实验数据，并导入信息化集成化信号采集与处理系统反演查看；</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35.数据共享权限控制功能：在基本的上传下载功能上，还具备细粒度的权限控制，各角色（包括学生、助教、教授等）严格按照授权范围访问数据；支持基于角色的访问控制（RBAC），并详实记录所有数据访问与修改日志，可以进行审计；</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36.实验报告管理功能：在线上传功能：支持学生实验报告在线上传，提交至教师评阅。在线评阅功能：支持教师在线查阅实验报告具体内容，在线组件对报告进行自由书写和标注；支持对实验报告进行评分及评语的保存与提交；支持自动记录审批历史。批阅下载功能：支持学生查看已批阅的实验报告；</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37.手机考试功能：支持在线考试：系统提供跨PC端与移动端的在线考试功能，涵盖与技能题；</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38.智能化试卷构建：组卷过程中，支持按照难度等级智能化组卷，支持通过试题包或试题名称手动搜索并添加新试题。试卷管理：对于组卷成功的试题，支持单题及批量分数设置；支持试卷导出和打印、答案的导出功能；</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39.互动式评阅机制：支持在主观题考试中设置学生互评或教师自评，评阅结束后系统自动计算评分平均值；</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40.考试异常恢复功能：若考试因故中断，支持恢复考试状态，考生能够继续答题；支持断网重连后的考试恢复；</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41.考生状态管理：系统支持对单个或批量考生的状态重置，考生可继续参与考试；</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42.自动批阅功能：支持客观题和技能题自动批阅；</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▲43.试题分析报告：考试结束后，提供试题分析报告，包括正确率、难度系数、区分度数据，并支持导出；</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44.在线监考功能：具备在线监考能力，包括支持在线查看作答人员、在线查看考卷与进度、实时群发消息、私发消息，具备要求回答、强制收卷以及单独对考生强制收卷功能</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t xml:space="preserve">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45.主控台一套：内存：32G DDR4 3200MHz；</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硬盘：1T 。</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31123.57</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62247.14</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4</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生物机能实验系统</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6</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台</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一、硬件参数（终端配置）</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1.采样通道接口：4个物理采样通道，1个12导联全导联心电接口；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物理采样通道扩展：任意一个物理采样通道可扩展至8个实际数据采样通道，总计可进行32通道数据同时采样，并可对各个通道参数进行调节。如在一个物理通道上连接无线人体生理信号仪，该物理通道可同时采集体位、心电、呼吸、肺活量、脉搏、血氧、收缩压、舒张压等8个信号；</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▲3.实时传感器类型自动识别：系统能自动识别任意物理通道连接的传感器类型，同时在仪器面板和软件界面上有具体传感器类型和参数提示；</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4.传感器定标信息自动存储：定标信息随传感器移动，更换设备无须再次定标；</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5.量程：±50μV ~±1V；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6.滤波器：同时具备硬件模拟滤波器、DSP 5阶贝塞尔滤波器、软件数字滤波器</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1）低通：1、 2、 5、 10、 20、 50、 100、 200、 500、 1k、2k、 5k, 10k,20k, 50k，合计15档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2)高通（时间常数）：DC、5S、2s、1s、0.5s、0.2s、0.1s、0.05s、0.02s、0.01s、0.005s、0.002s、0.001s，合计13档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3）50Hz陷波：开、关两档可调；</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11.11.21.31.41.51.61.77.最大采样率：800KHz （物理通道最大200ksps*4，12导联通道 2ksps*12）。</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8.AD转换器：16位4通道同步采样；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9.共模抑制比（CMMR）：&gt;100DB</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10.输入阻抗：10M@DC；</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11.等效输入噪声：电压峰峰值 &lt; 2.0μV，信噪比：&gt; 100dB；</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12.支持多种采样方式：连续采样、刺激触发采样、外部触发采样、程控采样；</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13.系统级联：2~4台设备级联；</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14.电源:DC 12V；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15.环境监测功能：可实时监测温度、湿度、大气压，并同步记录到实验数据文件中；</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16.信号采集设备使用情况记录和显示：自动记录设备使用情况，包括首次使用日期，最近使用日期，累计使用时间和次数等，使用情况记录在硬件中并可以在采集软件界面中显示；</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17.具有监听、记滴功能；</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▲18.设备高级程控刺激器参数包括：</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1）波形：方波、三角波、正弦波、余弦波、半正弦波、直流波、用户编辑任意波形；</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2）模式：恒流、恒压两种输出方式；</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3）电压：-110V~110V；</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4）电流：-150mA~+150mA；</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5）时间步长：0.05ms。</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19.配套控制终端一套：内存：16G DDR4 3200MHz；硬盘：512G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二、软件参数</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121.软件显示通道数：1~64通道可变，默认显示通道数为4通道，当同时采集12道全导联心电波形时软件界面上同时显示12道心电波形；</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2.同时打开反演文件数：4个，可在同一软件界面上同时比较显示4个反演波形；</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3.实时采样和反演同时进行：在信号实时采样过程中，可在实时采样软件上同时打开以前记录的文件进行查看、对比、分析等操作；</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4.可播放反演文件声音：反演文件时，在波形反演同时可播放该波形声音，比如播放减压神经放电声音；</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5.通道差异化采样率设置：不同通道可设置不同采样率进行数据采样、不同采样率的信号波形可同步记录及同步显示；</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6.通道波形颜色设置：可单通道、全部通道进行波形颜色、背景颜色、格线颜色及风格设置；</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7.波形截图水印功能：波形截图的复制、粘贴自动添加水印；</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8.具有反演文件列表窗口：用户可通过直接点击列表文件名快捷打开反演文件；</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9.具有浮动快速启动窗口：用户可直接启动停止实验；</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10.嵌入软件界面的实验报告编辑功能；</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11.实验数据上传到数据中心，实验设备使用情况可收集并上传至实验室信息管理系统进行统计；</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12. 软件实验模块内嵌web电子教材：在一个实验模块页面内用生动形象的、图片、动图、视频讲解实验原理、目的、器材、步骤、操作过程；</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13.专业实验知识展示：可以Flash文件和流媒体等形式展示各种专业实验技能；</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▲14. 中文版操作软件。 支持PC、手机移动端全功能访问，课件设计符合手机横屏操作</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15.软件自动升级功能：软件自动搜索服务器上的最新版本软件并提醒用户升级，用户确认后可自动升级；</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16.用户意见自动收集：软件中含用户意见收集窗口，用户输入的任何意见可直接传到软件服务商；</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17.数据导出：可导出原始实验数据及分析结果；</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18. 通用数据处理：微分、积分、频率直方图、序列密度直方图、非序列密度直方图、频谱分析、平均血压、记滴趋势分析以及基于包络算法的心率曲线分析等；</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19. 专用数据处理：血流动力学实验参数分析、心肌细胞动作电位参数测量、心功能参数分析，突触后电位分析，心率变异分析，心电向量图分析等，提供分析的DEMO数据供用户演示和学习；</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▲20.专业的心率变异分析：可显示Lorenz图，RR间期直方图，RR间期差值图，速度图以及功率谱分析图；心率变异可分析不低于23个时域、频域以及非线性指标，包括：Range、SDNN、DNN Mean,RMSSD、NNxx、CV、TP、VLFP、LFP、HFP、LF/HF、VLI、VAI、SD1以及SD2；分析参数可调，包括：分析通道、分析数据类型、分析起始时间，分析时长、FFT点数，参考RR间期、最大RR间期；LTP数据分析功能：分析LTP波形最大斜率、平均斜率、直线回归斜率、自动标记关键点坐标；包含范围测量、自动测量、叠加波形、查找标签（波序号、自定义）、导出测量表（范围测量、自动测量结果）、显示/隐藏刺激线、显示LTP波位置功能；</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21. 数据测量：单点测量、带Mark标记的两点测量、区间测量、实时测量，可测量出波形的最大、最小、平均值，时间、频率、面积等参数；</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22. 药理学参数计算工具：药物拮抗参数（PA2、PD2）测定功能，按照Bliss法计算LD50、ED50值、计算t检验和半衰期值；</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23.固件自动升级：软件会判断硬件产品上固件软件是否为最新版本，对低版本的固件自动完成升级；</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24.软件功能配置：文件路径、软件外观信息可以通过统一配置界面进行修改，界面上能查看系统信息；</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25.刺激器参数冻结：在刺激过程中参数不能被用户修改；</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26.实验模块参数查看和修改：可以对系统默认、用户自定义实验参数进行查看及修改；</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27.实验模块自定义功能：可以设计自定义的实验模块，可选择传感器、通道、采样率参数；</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28.数据监控窗口：通过该窗口可以显示实时值、频率、最大值、最小值；</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29.实验模块：系统内置不低于50个预先设定参数的实验模块。</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28943.57</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173661.42</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5</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智能热板仪</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14</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台</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1.从室温加热到55°C的时间:≤10分钟</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t xml:space="preserve">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2.温度显示精度: 0.1℃℃2</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t xml:space="preserve">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3.温度控制精度:0.1°C</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4.时间显示精度:0.01s4</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t xml:space="preserve">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5.时间显示范围:0.01秒~99分59.99秒温</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t xml:space="preserve"> </w:t>
            </w:r>
          </w:p>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6.温度传感器: PT100数字温度传感器</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t xml:space="preserve">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7.温度传感器分辨率: 0.0625℃C</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t xml:space="preserve">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8.温度设置范围:室温~80℃℃</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9.显示方式:5寸触摸屏，所有指标同时显示</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t xml:space="preserve">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10.显示内容: 实际温度、设定温度、痛阈时间、抬脚次数、组总时间、万年历、输出</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t xml:space="preserve">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11.数据输出:带USB接口，数据可外部存储</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t xml:space="preserve">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12.机内数据保存量:500组数据</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t xml:space="preserve">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13.记录方式: 脚踏开关、触摸开关</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t xml:space="preserve">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14.工作温度:0℃℃~45°C14</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t xml:space="preserve">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15.空气相对湿度:15~80%RH</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16.电源电压: AC110~220V±20V16</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t xml:space="preserve">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17.紐憝禺劢杮电源频50Hz+2HZ</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t xml:space="preserve">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18.输入功率:≤300W</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t xml:space="preserve">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19.主机外形尺寸约:330mmx280mmx150mm</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t xml:space="preserve">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20.重量约: 3Kg</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21.可靠性:MTBF&gt;10000。</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4128.68</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57801.52</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6</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紫外分光光度计</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台</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1.波长驱动：自动波长；</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2.波长范围：200-1000nm；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3.波长准确度：±2nm；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4.波长重复性：0.5nm；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5.光谱带宽：4nm；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6.透射比准确率：±0.5%T；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7.透射比重复性：0.2%T；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8.透射比范围：0.0-200%T；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9.光度范围：-3-3A,0-200%T,0-9999C；</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10.杂散光：0.2%T@220nm/360nm；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11.稳定性：±0.002A/h@500nm；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12.显示方式：128×64位点阵液晶显示；</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13.通讯方式：USB接口；</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14.数据输出设备一台；</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15.分析软件：支持；</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16.噪声水平：0.001A/2min@500nm；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17.基线平直度0.002A/h。</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4893.85</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9787.7</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7</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集智还原系统 </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60</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套</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rPr>
                <w:rFonts w:hint="eastAsia" w:ascii="宋体" w:hAnsi="宋体" w:cs="宋体"/>
                <w:color w:val="auto"/>
                <w:szCs w:val="21"/>
                <w:highlight w:val="none"/>
              </w:rPr>
            </w:pPr>
            <w:r>
              <w:rPr>
                <w:rFonts w:hint="eastAsia" w:ascii="宋体" w:hAnsi="宋体" w:cs="宋体"/>
                <w:color w:val="auto"/>
                <w:szCs w:val="21"/>
                <w:highlight w:val="none"/>
              </w:rPr>
              <w:t>1.管理软件支持C/S与B/S混合架构管理，控制台支持多语言（中文简、繁体、英文）</w:t>
            </w:r>
            <w:r>
              <w:rPr>
                <w:rFonts w:hint="eastAsia" w:ascii="宋体" w:hAnsi="宋体" w:cs="宋体"/>
                <w:color w:val="auto"/>
                <w:kern w:val="0"/>
                <w:szCs w:val="21"/>
                <w:highlight w:val="none"/>
                <w:lang w:bidi="ar"/>
              </w:rPr>
              <w:t>；</w:t>
            </w:r>
          </w:p>
          <w:p>
            <w:pPr>
              <w:widowControl/>
              <w:spacing w:after="0" w:line="440" w:lineRule="atLeast"/>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w:t>
            </w:r>
            <w:r>
              <w:rPr>
                <w:rFonts w:hint="eastAsia" w:ascii="宋体" w:hAnsi="宋体" w:cs="宋体"/>
                <w:color w:val="auto"/>
                <w:szCs w:val="21"/>
                <w:highlight w:val="none"/>
              </w:rPr>
              <w:t>2.界面上具备资源概览功能，包括镜像数量、 磁盘数量、分组数量。具备终端统计功能，包含终端总量、在线数量、 离线数量、一键唤醒全部终端、一键关闭全部终端；具备部署进度统计功能，包括完成部署、在整部署、正在分析、以及异常终端统计</w:t>
            </w:r>
            <w:r>
              <w:rPr>
                <w:rFonts w:hint="eastAsia" w:ascii="宋体" w:hAnsi="宋体" w:cs="宋体"/>
                <w:color w:val="auto"/>
                <w:kern w:val="0"/>
                <w:szCs w:val="21"/>
                <w:highlight w:val="none"/>
                <w:lang w:bidi="ar"/>
              </w:rPr>
              <w:t>；</w:t>
            </w:r>
          </w:p>
          <w:p>
            <w:pPr>
              <w:widowControl/>
              <w:spacing w:after="0" w:line="440" w:lineRule="atLeast"/>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w:t>
            </w:r>
            <w:r>
              <w:rPr>
                <w:rFonts w:hint="eastAsia" w:ascii="宋体" w:hAnsi="宋体" w:cs="宋体"/>
                <w:color w:val="auto"/>
                <w:szCs w:val="21"/>
                <w:highlight w:val="none"/>
              </w:rPr>
              <w:t>3.终端云管理平台支持在电脑操作系统上部署；</w:t>
            </w:r>
          </w:p>
          <w:p>
            <w:pPr>
              <w:widowControl/>
              <w:spacing w:after="0" w:line="440" w:lineRule="atLeast"/>
              <w:jc w:val="left"/>
              <w:rPr>
                <w:rFonts w:hint="eastAsia" w:ascii="宋体" w:hAnsi="宋体" w:cs="宋体"/>
                <w:color w:val="auto"/>
                <w:szCs w:val="21"/>
                <w:highlight w:val="none"/>
              </w:rPr>
            </w:pPr>
            <w:r>
              <w:rPr>
                <w:rFonts w:hint="eastAsia" w:ascii="宋体" w:hAnsi="宋体" w:cs="宋体"/>
                <w:color w:val="auto"/>
                <w:szCs w:val="21"/>
                <w:highlight w:val="none"/>
              </w:rPr>
              <w:t>4.支持授权信息展示，快捷入口（首次使用、上传更新、重新部署），服务器概况图形化展示（负载状态、CPU使用率、内存使用率、硬盘使用率、在线终端），终端状态图形化展示、支持一键唤醒、关机和重启；</w:t>
            </w:r>
          </w:p>
          <w:p>
            <w:pPr>
              <w:widowControl/>
              <w:spacing w:after="0" w:line="440" w:lineRule="atLeast"/>
              <w:jc w:val="left"/>
              <w:rPr>
                <w:rFonts w:hint="eastAsia" w:ascii="宋体" w:hAnsi="宋体" w:cs="宋体"/>
                <w:color w:val="auto"/>
                <w:szCs w:val="21"/>
                <w:highlight w:val="none"/>
              </w:rPr>
            </w:pPr>
            <w:r>
              <w:rPr>
                <w:rFonts w:hint="eastAsia" w:ascii="宋体" w:hAnsi="宋体" w:cs="宋体"/>
                <w:color w:val="auto"/>
                <w:szCs w:val="21"/>
                <w:highlight w:val="none"/>
              </w:rPr>
              <w:t>5.支持批量管理设置终端机计算机名、IP地址等配置信息。针对不同的群组指定不同的部署策略、虚拟磁盘</w:t>
            </w:r>
            <w:r>
              <w:rPr>
                <w:rFonts w:hint="eastAsia" w:ascii="宋体" w:hAnsi="宋体" w:cs="宋体"/>
                <w:color w:val="auto"/>
                <w:kern w:val="0"/>
                <w:szCs w:val="21"/>
                <w:highlight w:val="none"/>
                <w:lang w:bidi="ar"/>
              </w:rPr>
              <w:t>；</w:t>
            </w:r>
          </w:p>
          <w:p>
            <w:pPr>
              <w:widowControl/>
              <w:spacing w:after="0" w:line="440" w:lineRule="atLeast"/>
              <w:jc w:val="left"/>
              <w:rPr>
                <w:rFonts w:hint="eastAsia" w:ascii="宋体" w:hAnsi="宋体" w:cs="宋体"/>
                <w:color w:val="auto"/>
                <w:szCs w:val="21"/>
                <w:highlight w:val="none"/>
              </w:rPr>
            </w:pPr>
            <w:r>
              <w:rPr>
                <w:rFonts w:hint="eastAsia" w:ascii="宋体" w:hAnsi="宋体" w:cs="宋体"/>
                <w:color w:val="auto"/>
                <w:szCs w:val="21"/>
                <w:highlight w:val="none"/>
              </w:rPr>
              <w:t>6.软件支持磁盘虚拟化技术，可实现不同品牌所有的计算机终端集中统一管理</w:t>
            </w:r>
            <w:r>
              <w:rPr>
                <w:rFonts w:hint="eastAsia" w:ascii="宋体" w:hAnsi="宋体" w:cs="宋体"/>
                <w:color w:val="auto"/>
                <w:kern w:val="0"/>
                <w:szCs w:val="21"/>
                <w:highlight w:val="none"/>
                <w:lang w:bidi="ar"/>
              </w:rPr>
              <w:t>；</w:t>
            </w:r>
          </w:p>
          <w:p>
            <w:pPr>
              <w:widowControl/>
              <w:spacing w:after="0" w:line="440" w:lineRule="atLeast"/>
              <w:jc w:val="left"/>
              <w:rPr>
                <w:rFonts w:hint="eastAsia" w:ascii="宋体" w:hAnsi="宋体" w:cs="宋体"/>
                <w:color w:val="auto"/>
                <w:szCs w:val="21"/>
                <w:highlight w:val="none"/>
              </w:rPr>
            </w:pPr>
            <w:r>
              <w:rPr>
                <w:rFonts w:hint="eastAsia" w:ascii="宋体" w:hAnsi="宋体" w:cs="宋体"/>
                <w:color w:val="auto"/>
                <w:szCs w:val="21"/>
                <w:highlight w:val="none"/>
              </w:rPr>
              <w:t>7.支持同传网络探测与网络速度监控，可实时监控所管理的终端的网络速度和部署进度</w:t>
            </w:r>
            <w:r>
              <w:rPr>
                <w:rFonts w:hint="eastAsia" w:ascii="宋体" w:hAnsi="宋体" w:cs="宋体"/>
                <w:color w:val="auto"/>
                <w:kern w:val="0"/>
                <w:szCs w:val="21"/>
                <w:highlight w:val="none"/>
                <w:lang w:bidi="ar"/>
              </w:rPr>
              <w:t>；</w:t>
            </w:r>
          </w:p>
          <w:p>
            <w:pPr>
              <w:widowControl/>
              <w:spacing w:after="0" w:line="440" w:lineRule="atLeast"/>
              <w:jc w:val="left"/>
              <w:rPr>
                <w:rFonts w:hint="eastAsia" w:ascii="宋体" w:hAnsi="宋体" w:cs="宋体"/>
                <w:color w:val="auto"/>
                <w:szCs w:val="21"/>
                <w:highlight w:val="none"/>
              </w:rPr>
            </w:pPr>
            <w:r>
              <w:rPr>
                <w:rFonts w:hint="eastAsia" w:ascii="宋体" w:hAnsi="宋体" w:cs="宋体"/>
                <w:color w:val="auto"/>
                <w:szCs w:val="21"/>
                <w:highlight w:val="none"/>
              </w:rPr>
              <w:t>8.支持跨网段部署，软件负载要求，单台服务器可管理客户端≥500台</w:t>
            </w:r>
            <w:r>
              <w:rPr>
                <w:rFonts w:hint="eastAsia" w:ascii="宋体" w:hAnsi="宋体" w:cs="宋体"/>
                <w:color w:val="auto"/>
                <w:kern w:val="0"/>
                <w:szCs w:val="21"/>
                <w:highlight w:val="none"/>
                <w:lang w:bidi="ar"/>
              </w:rPr>
              <w:t>；</w:t>
            </w:r>
          </w:p>
          <w:p>
            <w:pPr>
              <w:widowControl/>
              <w:spacing w:after="0" w:line="440" w:lineRule="atLeast"/>
              <w:jc w:val="left"/>
              <w:rPr>
                <w:rFonts w:hint="eastAsia" w:ascii="宋体" w:hAnsi="宋体" w:cs="宋体"/>
                <w:color w:val="auto"/>
                <w:szCs w:val="21"/>
                <w:highlight w:val="none"/>
              </w:rPr>
            </w:pPr>
            <w:r>
              <w:rPr>
                <w:rFonts w:hint="eastAsia" w:ascii="宋体" w:hAnsi="宋体" w:cs="宋体"/>
                <w:color w:val="auto"/>
                <w:szCs w:val="21"/>
                <w:highlight w:val="none"/>
              </w:rPr>
              <w:t>9.服务端软件支持一键升级，服务端升级后对未升级的客户端也可以统一管理</w:t>
            </w:r>
            <w:r>
              <w:rPr>
                <w:rFonts w:hint="eastAsia" w:ascii="宋体" w:hAnsi="宋体" w:cs="宋体"/>
                <w:color w:val="auto"/>
                <w:kern w:val="0"/>
                <w:szCs w:val="21"/>
                <w:highlight w:val="none"/>
                <w:lang w:bidi="ar"/>
              </w:rPr>
              <w:t>；</w:t>
            </w:r>
          </w:p>
          <w:p>
            <w:pPr>
              <w:widowControl/>
              <w:spacing w:after="0" w:line="440" w:lineRule="atLeast"/>
              <w:jc w:val="left"/>
              <w:rPr>
                <w:rFonts w:hint="eastAsia" w:ascii="宋体" w:hAnsi="宋体" w:cs="宋体"/>
                <w:color w:val="auto"/>
                <w:szCs w:val="21"/>
                <w:highlight w:val="none"/>
              </w:rPr>
            </w:pPr>
            <w:r>
              <w:rPr>
                <w:rFonts w:hint="eastAsia" w:ascii="宋体" w:hAnsi="宋体" w:cs="宋体"/>
                <w:color w:val="auto"/>
                <w:szCs w:val="21"/>
                <w:highlight w:val="none"/>
              </w:rPr>
              <w:t>10.支持从服务器端发起对客户端进行远程开机、关机、重启，支持管理员远程控制客户端</w:t>
            </w:r>
            <w:r>
              <w:rPr>
                <w:rFonts w:hint="eastAsia" w:ascii="宋体" w:hAnsi="宋体" w:cs="宋体"/>
                <w:color w:val="auto"/>
                <w:kern w:val="0"/>
                <w:szCs w:val="21"/>
                <w:highlight w:val="none"/>
                <w:lang w:bidi="ar"/>
              </w:rPr>
              <w:t>；</w:t>
            </w:r>
          </w:p>
          <w:p>
            <w:pPr>
              <w:widowControl/>
              <w:spacing w:after="0" w:line="440" w:lineRule="atLeast"/>
              <w:jc w:val="left"/>
              <w:rPr>
                <w:rFonts w:hint="eastAsia" w:ascii="宋体" w:hAnsi="宋体" w:cs="宋体"/>
                <w:color w:val="auto"/>
                <w:szCs w:val="21"/>
                <w:highlight w:val="none"/>
              </w:rPr>
            </w:pPr>
            <w:r>
              <w:rPr>
                <w:rFonts w:hint="eastAsia" w:ascii="宋体" w:hAnsi="宋体" w:cs="宋体"/>
                <w:color w:val="auto"/>
                <w:szCs w:val="21"/>
                <w:highlight w:val="none"/>
              </w:rPr>
              <w:t>11.支持操作系统快照节点间的任意切换及恢复，切换恢复后不会删除或影响其他快照节点，且每个操作系统下的快照节点数量不少于12个</w:t>
            </w:r>
            <w:r>
              <w:rPr>
                <w:rFonts w:hint="eastAsia" w:ascii="宋体" w:hAnsi="宋体" w:cs="宋体"/>
                <w:color w:val="auto"/>
                <w:kern w:val="0"/>
                <w:szCs w:val="21"/>
                <w:highlight w:val="none"/>
                <w:lang w:bidi="ar"/>
              </w:rPr>
              <w:t>；</w:t>
            </w:r>
          </w:p>
          <w:p>
            <w:pPr>
              <w:widowControl/>
              <w:spacing w:after="0" w:line="440" w:lineRule="atLeast"/>
              <w:jc w:val="left"/>
              <w:rPr>
                <w:rFonts w:hint="eastAsia" w:ascii="宋体" w:hAnsi="宋体" w:cs="宋体"/>
                <w:color w:val="auto"/>
                <w:szCs w:val="21"/>
                <w:highlight w:val="none"/>
              </w:rPr>
            </w:pPr>
            <w:r>
              <w:rPr>
                <w:rFonts w:hint="eastAsia" w:ascii="宋体" w:hAnsi="宋体" w:cs="宋体"/>
                <w:color w:val="auto"/>
                <w:szCs w:val="21"/>
                <w:highlight w:val="none"/>
              </w:rPr>
              <w:t>12.支持客户端IP占位功能，实现新客户端加入服务端时，不会由于单点的故障，而影响整体的计算机名和IP排序管理</w:t>
            </w:r>
            <w:r>
              <w:rPr>
                <w:rFonts w:hint="eastAsia" w:ascii="宋体" w:hAnsi="宋体" w:cs="宋体"/>
                <w:color w:val="auto"/>
                <w:kern w:val="0"/>
                <w:szCs w:val="21"/>
                <w:highlight w:val="none"/>
                <w:lang w:bidi="ar"/>
              </w:rPr>
              <w:t>；</w:t>
            </w:r>
          </w:p>
          <w:p>
            <w:pPr>
              <w:widowControl/>
              <w:spacing w:after="0" w:line="440" w:lineRule="atLeast"/>
              <w:jc w:val="left"/>
              <w:rPr>
                <w:rFonts w:hint="eastAsia" w:ascii="宋体" w:hAnsi="宋体" w:cs="宋体"/>
                <w:color w:val="auto"/>
                <w:szCs w:val="21"/>
                <w:highlight w:val="none"/>
              </w:rPr>
            </w:pPr>
            <w:r>
              <w:rPr>
                <w:rFonts w:hint="eastAsia" w:ascii="宋体" w:hAnsi="宋体" w:cs="宋体"/>
                <w:color w:val="auto"/>
                <w:szCs w:val="21"/>
                <w:highlight w:val="none"/>
              </w:rPr>
              <w:t>13.支持批量设定终端的计算机名称和IP地址信息，并针对不同的系统可设置不同的计算机名称和IP地址；</w:t>
            </w:r>
          </w:p>
          <w:p>
            <w:pPr>
              <w:widowControl/>
              <w:spacing w:after="0" w:line="440" w:lineRule="atLeast"/>
              <w:jc w:val="left"/>
              <w:rPr>
                <w:rFonts w:hint="eastAsia" w:ascii="宋体" w:hAnsi="宋体" w:cs="宋体"/>
                <w:color w:val="auto"/>
                <w:szCs w:val="21"/>
                <w:highlight w:val="none"/>
              </w:rPr>
            </w:pPr>
            <w:r>
              <w:rPr>
                <w:rFonts w:hint="eastAsia" w:ascii="宋体" w:hAnsi="宋体" w:cs="宋体"/>
                <w:color w:val="auto"/>
                <w:szCs w:val="21"/>
                <w:highlight w:val="none"/>
              </w:rPr>
              <w:t>14.教师授课时，支持管理员一键禁用、启用所有客户端的键盘、鼠标</w:t>
            </w:r>
            <w:r>
              <w:rPr>
                <w:rFonts w:hint="eastAsia" w:ascii="宋体" w:hAnsi="宋体" w:eastAsia="宋体" w:cs="宋体"/>
                <w:color w:val="auto"/>
                <w:sz w:val="21"/>
                <w:szCs w:val="21"/>
                <w:highlight w:val="none"/>
                <w:lang w:eastAsia="zh-CN"/>
              </w:rPr>
              <w:t>；</w:t>
            </w:r>
          </w:p>
          <w:p>
            <w:pPr>
              <w:widowControl/>
              <w:spacing w:after="0" w:line="440" w:lineRule="atLeast"/>
              <w:jc w:val="left"/>
              <w:rPr>
                <w:rFonts w:hint="eastAsia" w:ascii="宋体" w:hAnsi="宋体" w:cs="宋体"/>
                <w:color w:val="auto"/>
                <w:szCs w:val="21"/>
                <w:highlight w:val="none"/>
              </w:rPr>
            </w:pPr>
            <w:r>
              <w:rPr>
                <w:rFonts w:hint="eastAsia" w:ascii="宋体" w:hAnsi="宋体" w:cs="宋体"/>
                <w:color w:val="auto"/>
                <w:szCs w:val="21"/>
                <w:highlight w:val="none"/>
              </w:rPr>
              <w:t>15.系统需软件预注册功能，一台客户机上传更新并注册软件后，其他客户机只需要重启即可自动注册；</w:t>
            </w:r>
          </w:p>
          <w:p>
            <w:pPr>
              <w:widowControl/>
              <w:spacing w:after="0" w:line="440" w:lineRule="atLeast"/>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w:t>
            </w:r>
            <w:r>
              <w:rPr>
                <w:rFonts w:hint="eastAsia" w:ascii="宋体" w:hAnsi="宋体" w:cs="宋体"/>
                <w:color w:val="auto"/>
                <w:szCs w:val="21"/>
                <w:highlight w:val="none"/>
              </w:rPr>
              <w:t>16.本次配置1套授权，能满足60套还原系统管理服务器的使用需求</w:t>
            </w:r>
            <w:r>
              <w:rPr>
                <w:rFonts w:hint="eastAsia" w:ascii="宋体" w:hAnsi="宋体" w:cs="宋体"/>
                <w:color w:val="auto"/>
                <w:kern w:val="0"/>
                <w:szCs w:val="21"/>
                <w:highlight w:val="none"/>
                <w:lang w:bidi="ar"/>
              </w:rPr>
              <w:t>；</w:t>
            </w:r>
          </w:p>
          <w:p>
            <w:pPr>
              <w:widowControl/>
              <w:spacing w:after="0" w:line="440" w:lineRule="atLeast"/>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w:t>
            </w:r>
            <w:r>
              <w:rPr>
                <w:rFonts w:hint="eastAsia" w:ascii="宋体" w:hAnsi="宋体" w:cs="宋体"/>
                <w:color w:val="auto"/>
                <w:szCs w:val="21"/>
                <w:highlight w:val="none"/>
              </w:rPr>
              <w:t>17.双硬盘支持，支持NVME，M.2固态硬盘，同时支持容量不同的固态硬盘和机械硬盘，并能组成一个全新的虚拟磁盘，虚拟磁盘空间可按需分配，同时兼容新老机型部署</w:t>
            </w:r>
            <w:r>
              <w:rPr>
                <w:rFonts w:hint="eastAsia" w:ascii="宋体" w:hAnsi="宋体" w:cs="宋体"/>
                <w:color w:val="auto"/>
                <w:kern w:val="0"/>
                <w:szCs w:val="21"/>
                <w:highlight w:val="none"/>
                <w:lang w:bidi="ar"/>
              </w:rPr>
              <w:t>；</w:t>
            </w:r>
          </w:p>
          <w:p>
            <w:pPr>
              <w:widowControl/>
              <w:spacing w:after="0" w:line="440" w:lineRule="atLeast"/>
              <w:jc w:val="left"/>
              <w:rPr>
                <w:rFonts w:hint="eastAsia" w:ascii="宋体" w:hAnsi="宋体" w:cs="宋体"/>
                <w:color w:val="auto"/>
                <w:szCs w:val="21"/>
                <w:highlight w:val="none"/>
              </w:rPr>
            </w:pPr>
            <w:r>
              <w:rPr>
                <w:rFonts w:hint="eastAsia" w:ascii="宋体" w:hAnsi="宋体" w:cs="宋体"/>
                <w:color w:val="auto"/>
                <w:szCs w:val="21"/>
                <w:highlight w:val="none"/>
              </w:rPr>
              <w:t>18.管理分组及桌面分配：支持将客户端进行分组的方式管理，管理员可根据配置好的镜像分配给相应的分组，支持P2P部署功能，可在正常上课的同时边部署边使用，支持分区共享，支持断点续传，不需要强制一次下发完成</w:t>
            </w:r>
            <w:r>
              <w:rPr>
                <w:rFonts w:hint="eastAsia" w:ascii="宋体" w:hAnsi="宋体" w:cs="宋体"/>
                <w:color w:val="auto"/>
                <w:kern w:val="0"/>
                <w:szCs w:val="21"/>
                <w:highlight w:val="none"/>
                <w:lang w:bidi="ar"/>
              </w:rPr>
              <w:t>；</w:t>
            </w:r>
          </w:p>
          <w:p>
            <w:pPr>
              <w:widowControl/>
              <w:spacing w:after="0" w:line="440" w:lineRule="atLeast"/>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w:t>
            </w:r>
            <w:r>
              <w:rPr>
                <w:rFonts w:hint="eastAsia" w:ascii="宋体" w:hAnsi="宋体" w:cs="宋体"/>
                <w:color w:val="auto"/>
                <w:szCs w:val="21"/>
                <w:highlight w:val="none"/>
              </w:rPr>
              <w:t>19.终端在无操作系统的裸机状态下，开机设置网络启动后，连上服务端即可使用，无须提前网络部署或对终端硬盘进行任何的操作</w:t>
            </w:r>
            <w:r>
              <w:rPr>
                <w:rFonts w:hint="eastAsia" w:ascii="宋体" w:hAnsi="宋体" w:cs="宋体"/>
                <w:color w:val="auto"/>
                <w:kern w:val="0"/>
                <w:szCs w:val="21"/>
                <w:highlight w:val="none"/>
                <w:lang w:bidi="ar"/>
              </w:rPr>
              <w:t>；</w:t>
            </w:r>
          </w:p>
          <w:p>
            <w:pPr>
              <w:widowControl/>
              <w:spacing w:after="0" w:line="440" w:lineRule="atLeast"/>
              <w:jc w:val="left"/>
              <w:rPr>
                <w:rFonts w:hint="eastAsia" w:ascii="宋体" w:hAnsi="宋体" w:cs="宋体"/>
                <w:color w:val="auto"/>
                <w:szCs w:val="21"/>
                <w:highlight w:val="none"/>
              </w:rPr>
            </w:pPr>
            <w:r>
              <w:rPr>
                <w:rFonts w:hint="eastAsia" w:ascii="宋体" w:hAnsi="宋体" w:cs="宋体"/>
                <w:color w:val="auto"/>
                <w:szCs w:val="21"/>
                <w:highlight w:val="none"/>
              </w:rPr>
              <w:t>20.支持客户端双硬盘的统一部署和保护还原，支持每次/天/周/月及手动还原等多种恢复策略</w:t>
            </w:r>
            <w:r>
              <w:rPr>
                <w:rFonts w:hint="eastAsia" w:ascii="宋体" w:hAnsi="宋体" w:cs="宋体"/>
                <w:color w:val="auto"/>
                <w:kern w:val="0"/>
                <w:szCs w:val="21"/>
                <w:highlight w:val="none"/>
                <w:lang w:bidi="ar"/>
              </w:rPr>
              <w:t>；</w:t>
            </w:r>
          </w:p>
          <w:p>
            <w:pPr>
              <w:widowControl/>
              <w:spacing w:after="0" w:line="440" w:lineRule="atLeast"/>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w:t>
            </w:r>
            <w:r>
              <w:rPr>
                <w:rFonts w:hint="eastAsia" w:ascii="宋体" w:hAnsi="宋体" w:cs="宋体"/>
                <w:color w:val="auto"/>
                <w:szCs w:val="21"/>
                <w:highlight w:val="none"/>
              </w:rPr>
              <w:t>21.支持客户端共存操作系统数量不少于64个，并需具有系统部署策略</w:t>
            </w:r>
            <w:r>
              <w:rPr>
                <w:rFonts w:hint="eastAsia" w:ascii="宋体" w:hAnsi="宋体" w:cs="宋体"/>
                <w:color w:val="auto"/>
                <w:kern w:val="0"/>
                <w:szCs w:val="21"/>
                <w:highlight w:val="none"/>
                <w:lang w:bidi="ar"/>
              </w:rPr>
              <w:t>；</w:t>
            </w:r>
          </w:p>
          <w:p>
            <w:pPr>
              <w:widowControl/>
              <w:spacing w:after="0" w:line="440" w:lineRule="atLeast"/>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w:t>
            </w:r>
            <w:r>
              <w:rPr>
                <w:rFonts w:hint="eastAsia" w:ascii="宋体" w:hAnsi="宋体" w:cs="宋体"/>
                <w:color w:val="auto"/>
                <w:szCs w:val="21"/>
                <w:highlight w:val="none"/>
              </w:rPr>
              <w:t>22.终端支持在断网或服务端宕机的情况下，可部署至本地硬盘的所有操作系统，系统可正常使用和每次开机还原，能提供单机保存的管理接口。</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275.98</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16558.8</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pacing w:val="-12"/>
                <w:kern w:val="0"/>
                <w:szCs w:val="21"/>
                <w:highlight w:val="none"/>
              </w:rPr>
              <w:t>软件和信息技术服</w:t>
            </w:r>
            <w:r>
              <w:rPr>
                <w:rFonts w:hint="eastAsia" w:ascii="宋体" w:hAnsi="宋体" w:cs="宋体"/>
                <w:color w:val="auto"/>
                <w:kern w:val="0"/>
                <w:szCs w:val="21"/>
                <w:highlight w:val="none"/>
              </w:rPr>
              <w:t>务业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tcBorders>
              <w:top w:val="single" w:color="auto" w:sz="4" w:space="0"/>
              <w:left w:val="single" w:color="auto" w:sz="4" w:space="0"/>
              <w:bottom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r>
              <w:rPr>
                <w:rFonts w:hint="eastAsia" w:ascii="宋体" w:hAnsi="宋体" w:cs="宋体"/>
                <w:b/>
                <w:color w:val="auto"/>
                <w:szCs w:val="21"/>
                <w:highlight w:val="none"/>
              </w:rPr>
              <w:t>商务条款</w:t>
            </w:r>
          </w:p>
        </w:tc>
        <w:tc>
          <w:tcPr>
            <w:tcW w:w="9288" w:type="dxa"/>
            <w:gridSpan w:val="8"/>
            <w:tcBorders>
              <w:top w:val="single" w:color="auto" w:sz="4" w:space="0"/>
              <w:left w:val="single" w:color="auto" w:sz="4" w:space="0"/>
              <w:bottom w:val="single" w:color="auto" w:sz="4" w:space="0"/>
              <w:right w:val="single" w:color="auto" w:sz="4" w:space="0"/>
            </w:tcBorders>
          </w:tcPr>
          <w:p>
            <w:pPr>
              <w:widowControl/>
              <w:spacing w:after="0" w:line="440" w:lineRule="atLeast"/>
              <w:jc w:val="left"/>
              <w:textAlignment w:val="center"/>
              <w:rPr>
                <w:rFonts w:hint="eastAsia" w:ascii="宋体" w:hAnsi="宋体" w:cs="宋体"/>
                <w:b/>
                <w:bCs/>
                <w:color w:val="auto"/>
                <w:kern w:val="0"/>
                <w:szCs w:val="21"/>
                <w:highlight w:val="none"/>
                <w:lang w:bidi="ar"/>
              </w:rPr>
            </w:pPr>
            <w:r>
              <w:rPr>
                <w:rFonts w:hint="eastAsia" w:ascii="宋体" w:hAnsi="宋体" w:cs="宋体"/>
                <w:color w:val="auto"/>
                <w:szCs w:val="21"/>
                <w:highlight w:val="none"/>
              </w:rPr>
              <w:t>▲</w:t>
            </w:r>
            <w:r>
              <w:rPr>
                <w:rFonts w:hint="eastAsia" w:ascii="宋体" w:hAnsi="宋体" w:cs="宋体"/>
                <w:b/>
                <w:bCs/>
                <w:color w:val="auto"/>
                <w:kern w:val="0"/>
                <w:szCs w:val="21"/>
                <w:highlight w:val="none"/>
                <w:lang w:bidi="ar"/>
              </w:rPr>
              <w:t>1.合同签订要求</w:t>
            </w:r>
          </w:p>
          <w:p>
            <w:pPr>
              <w:widowControl/>
              <w:spacing w:after="0" w:line="440" w:lineRule="atLeast"/>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（1）中标人自中标通知书发出之日起25日内与采购人签订合同。</w:t>
            </w:r>
          </w:p>
          <w:p>
            <w:pPr>
              <w:widowControl/>
              <w:spacing w:after="0" w:line="440" w:lineRule="atLeast"/>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（2）中标人不得将项目转包，如发现有转包行为，采购人有权按中标候选人推荐顺序确定中标人，也可以重新组织采购。</w:t>
            </w:r>
          </w:p>
          <w:p>
            <w:pPr>
              <w:widowControl/>
              <w:spacing w:after="0" w:line="440" w:lineRule="atLeast"/>
              <w:jc w:val="left"/>
              <w:textAlignment w:val="center"/>
              <w:rPr>
                <w:rFonts w:hint="eastAsia"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2.交付要求</w:t>
            </w:r>
          </w:p>
          <w:p>
            <w:pPr>
              <w:widowControl/>
              <w:spacing w:after="0" w:line="440" w:lineRule="atLeast"/>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w:t>
            </w:r>
            <w:r>
              <w:rPr>
                <w:rFonts w:hint="eastAsia" w:ascii="宋体" w:hAnsi="宋体" w:cs="宋体"/>
                <w:color w:val="auto"/>
                <w:kern w:val="0"/>
                <w:szCs w:val="21"/>
                <w:highlight w:val="none"/>
                <w:lang w:bidi="ar"/>
              </w:rPr>
              <w:t>（1）交付时间：自合同签订之日起30个工作日内将货物运至采购人指定地点，并完成安装调试。</w:t>
            </w:r>
          </w:p>
          <w:p>
            <w:pPr>
              <w:widowControl/>
              <w:spacing w:after="0" w:line="440" w:lineRule="atLeast"/>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（2）交付地点：</w:t>
            </w:r>
            <w:r>
              <w:rPr>
                <w:rStyle w:val="40"/>
                <w:rFonts w:hint="eastAsia" w:ascii="宋体" w:hAnsi="宋体" w:cs="宋体"/>
                <w:color w:val="auto"/>
                <w:kern w:val="0"/>
                <w:highlight w:val="none"/>
                <w:lang w:bidi="ar"/>
              </w:rPr>
              <w:t>广西医科大学武鸣校区，</w:t>
            </w:r>
            <w:r>
              <w:rPr>
                <w:rFonts w:hint="eastAsia" w:ascii="宋体" w:hAnsi="宋体" w:cs="宋体"/>
                <w:color w:val="auto"/>
                <w:kern w:val="0"/>
                <w:szCs w:val="21"/>
                <w:highlight w:val="none"/>
                <w:lang w:bidi="ar"/>
              </w:rPr>
              <w:t>采购人指定地点</w:t>
            </w:r>
          </w:p>
          <w:p>
            <w:pPr>
              <w:widowControl/>
              <w:spacing w:after="0" w:line="440" w:lineRule="atLeast"/>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中标人提供不符合合同规定的货物/服务，采购人有权拒绝接受。中标人应根据货物不同的特性和要求采取防潮、防雨、防锈、防震、防腐等保护措施，以保证货物安全无损地到达采购人指定地点，中标人应承担因包装不当导致交付的合同标的物受损的责任。</w:t>
            </w:r>
          </w:p>
          <w:p>
            <w:pPr>
              <w:widowControl/>
              <w:spacing w:after="0" w:line="440" w:lineRule="atLeast"/>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安装调试：中标人负责在采购人指定的时间内，按照要求完成货物的安装调试。中标人应严格遵守安全法律法规，采取安全保障措施，保证人员安全。因中标人原因造成的人员伤亡和财产损失，均由中标人承担。</w:t>
            </w:r>
          </w:p>
          <w:p>
            <w:pPr>
              <w:widowControl/>
              <w:spacing w:after="0" w:line="440" w:lineRule="atLeast"/>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（5）中标人应将所提供货物的装箱清单、用户手册、原厂保修卡、随机资料、工具和备品、备件等一并进行交付，如有缺失应及时补齐，否则视为逾期交货。</w:t>
            </w:r>
          </w:p>
          <w:p>
            <w:pPr>
              <w:widowControl/>
              <w:spacing w:after="0" w:line="440" w:lineRule="atLeast"/>
              <w:jc w:val="left"/>
              <w:textAlignment w:val="center"/>
              <w:rPr>
                <w:rFonts w:hint="eastAsia"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3.验收方法及要求</w:t>
            </w:r>
          </w:p>
          <w:p>
            <w:pPr>
              <w:widowControl/>
              <w:spacing w:after="0" w:line="440" w:lineRule="atLeast"/>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（1）中标人按要求完成交付后，应以书面形式正式向采购人递交验收申请书，采购人收到验收申请书后，按照采购人单位规定流程组织项目验收。</w:t>
            </w:r>
          </w:p>
          <w:p>
            <w:pPr>
              <w:widowControl/>
              <w:spacing w:after="0" w:line="440" w:lineRule="atLeast"/>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验收内容应按照合同内容逐项进行验收，包括但不限于全部设备、产品、型号、规格、数量、外型、外观、包装及资料、文件（如装箱单、保修单、随箱介质等）/各项服务等里程碑的交付物，所提供的货物/服务是否符合本合同要求，如符合，则认为验收合格，采购人应在验收单上签字确认；如不符合，双方均有权向相关部门申请鉴定，鉴定费由中标人承担，验收结果以采购人签署的验收证明为准。</w:t>
            </w:r>
          </w:p>
          <w:p>
            <w:pPr>
              <w:widowControl/>
              <w:spacing w:after="0" w:line="440" w:lineRule="atLeast"/>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（3）在验收过程中发现中标人有违约问题，暂缓资金结算，待违约问题解决后，方可办理资金结算事宜，在此期间，采购人不承担逾期付款责任。</w:t>
            </w:r>
          </w:p>
          <w:p>
            <w:pPr>
              <w:widowControl/>
              <w:spacing w:after="0" w:line="440" w:lineRule="atLeast"/>
              <w:jc w:val="left"/>
              <w:textAlignment w:val="center"/>
              <w:rPr>
                <w:rFonts w:hint="eastAsia" w:ascii="宋体" w:hAnsi="宋体" w:cs="宋体"/>
                <w:b/>
                <w:bCs/>
                <w:color w:val="auto"/>
                <w:kern w:val="0"/>
                <w:szCs w:val="21"/>
                <w:highlight w:val="none"/>
                <w:lang w:bidi="ar"/>
              </w:rPr>
            </w:pPr>
            <w:r>
              <w:rPr>
                <w:rFonts w:hint="eastAsia" w:ascii="宋体" w:hAnsi="宋体" w:cs="宋体"/>
                <w:color w:val="auto"/>
                <w:kern w:val="0"/>
                <w:szCs w:val="21"/>
                <w:highlight w:val="none"/>
                <w:lang w:bidi="ar"/>
              </w:rPr>
              <w:t>（4）</w:t>
            </w:r>
            <w:r>
              <w:rPr>
                <w:rFonts w:hint="eastAsia" w:ascii="宋体" w:hAnsi="宋体" w:cs="宋体"/>
                <w:color w:val="auto"/>
                <w:szCs w:val="21"/>
                <w:highlight w:val="none"/>
              </w:rPr>
              <w:t>如国家法律法规对产品有强制性认证的要求，中标供应商验收时提交产品有效的强制性认证证明材料</w:t>
            </w:r>
            <w:r>
              <w:rPr>
                <w:rFonts w:hint="eastAsia" w:ascii="宋体" w:hAnsi="宋体" w:cs="宋体"/>
                <w:color w:val="auto"/>
                <w:kern w:val="0"/>
                <w:szCs w:val="21"/>
                <w:highlight w:val="none"/>
                <w:lang w:bidi="ar"/>
              </w:rPr>
              <w:t>（技术要求中有特别要求的按特别要求）</w:t>
            </w:r>
            <w:r>
              <w:rPr>
                <w:rFonts w:hint="eastAsia" w:ascii="宋体" w:hAnsi="宋体" w:cs="宋体"/>
                <w:color w:val="auto"/>
                <w:szCs w:val="21"/>
                <w:highlight w:val="none"/>
              </w:rPr>
              <w:t>。</w:t>
            </w:r>
          </w:p>
          <w:p>
            <w:pPr>
              <w:widowControl/>
              <w:spacing w:after="0" w:line="440" w:lineRule="atLeast"/>
              <w:jc w:val="left"/>
              <w:textAlignment w:val="center"/>
              <w:rPr>
                <w:rFonts w:hint="eastAsia"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4.培训要求</w:t>
            </w:r>
          </w:p>
          <w:p>
            <w:pPr>
              <w:widowControl/>
              <w:spacing w:after="0" w:line="440" w:lineRule="atLeast"/>
              <w:ind w:firstLine="210" w:firstLineChars="100"/>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提供设备使用相关技术的培训；培训不少于5天。</w:t>
            </w:r>
          </w:p>
          <w:p>
            <w:pPr>
              <w:widowControl/>
              <w:spacing w:after="0" w:line="440" w:lineRule="atLeast"/>
              <w:jc w:val="left"/>
              <w:textAlignment w:val="center"/>
              <w:rPr>
                <w:rFonts w:hint="eastAsia" w:ascii="宋体" w:hAnsi="宋体" w:cs="宋体"/>
                <w:b/>
                <w:bCs/>
                <w:color w:val="auto"/>
                <w:kern w:val="0"/>
                <w:szCs w:val="21"/>
                <w:highlight w:val="none"/>
                <w:lang w:bidi="ar"/>
              </w:rPr>
            </w:pPr>
            <w:r>
              <w:rPr>
                <w:rFonts w:hint="eastAsia" w:ascii="宋体" w:hAnsi="宋体" w:cs="宋体"/>
                <w:color w:val="auto"/>
                <w:szCs w:val="21"/>
                <w:highlight w:val="none"/>
              </w:rPr>
              <w:t>▲</w:t>
            </w:r>
            <w:r>
              <w:rPr>
                <w:rFonts w:hint="eastAsia" w:ascii="宋体" w:hAnsi="宋体" w:cs="宋体"/>
                <w:b/>
                <w:bCs/>
                <w:color w:val="auto"/>
                <w:kern w:val="0"/>
                <w:szCs w:val="21"/>
                <w:highlight w:val="none"/>
                <w:lang w:bidi="ar"/>
              </w:rPr>
              <w:t>5.支付要求</w:t>
            </w:r>
          </w:p>
          <w:p>
            <w:pPr>
              <w:widowControl/>
              <w:snapToGrid w:val="0"/>
              <w:spacing w:after="0" w:line="400" w:lineRule="exact"/>
              <w:ind w:firstLine="420" w:firstLineChars="200"/>
              <w:jc w:val="left"/>
              <w:textAlignment w:val="auto"/>
              <w:rPr>
                <w:rFonts w:hint="eastAsia" w:ascii="宋体" w:hAnsi="宋体"/>
                <w:color w:val="auto"/>
                <w:szCs w:val="21"/>
                <w:highlight w:val="none"/>
              </w:rPr>
            </w:pPr>
            <w:r>
              <w:rPr>
                <w:rFonts w:hint="eastAsia" w:ascii="宋体" w:hAnsi="宋体" w:cs="宋体"/>
                <w:color w:val="auto"/>
                <w:szCs w:val="21"/>
                <w:highlight w:val="none"/>
              </w:rPr>
              <w:t>自签订合同之日起十个工作日内，采购人支付合同款总额30%作为预付款，货物交付并验收合格，中标人提供相应金额真实、合法、有效的正式发票后，采购人十个工作日内支付剩余款项。</w:t>
            </w:r>
            <w:r>
              <w:rPr>
                <w:rFonts w:hint="eastAsia" w:ascii="宋体" w:hAnsi="宋体"/>
                <w:color w:val="auto"/>
                <w:szCs w:val="21"/>
                <w:highlight w:val="none"/>
              </w:rPr>
              <w:t>【乙方应提供货款全额的发票（货物采购须开具增值税专用发票）】。</w:t>
            </w:r>
          </w:p>
          <w:p>
            <w:pPr>
              <w:widowControl/>
              <w:snapToGrid w:val="0"/>
              <w:spacing w:after="0" w:line="400" w:lineRule="exact"/>
              <w:jc w:val="left"/>
              <w:textAlignment w:val="auto"/>
              <w:rPr>
                <w:rFonts w:hint="eastAsia"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6.售后服务要求</w:t>
            </w:r>
          </w:p>
          <w:p>
            <w:pPr>
              <w:tabs>
                <w:tab w:val="center" w:pos="4680"/>
                <w:tab w:val="right" w:pos="9360"/>
              </w:tabs>
              <w:snapToGrid w:val="0"/>
              <w:spacing w:after="0" w:line="440" w:lineRule="atLeast"/>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1）按国家有关产品“三包”规定执行“三包”，质保不少于5年（技术要求中有特别要求的按特别要求）。自设备验收合格并能正常使用之日算起。如投标文件中提供产品生产厂家对质保期的承诺，与投标人承诺不一致的，以生产厂家承诺为准</w:t>
            </w:r>
            <w:r>
              <w:rPr>
                <w:rFonts w:hint="eastAsia" w:ascii="宋体" w:hAnsi="宋体" w:cs="宋体"/>
                <w:color w:val="auto"/>
                <w:szCs w:val="21"/>
                <w:highlight w:val="none"/>
              </w:rPr>
              <w:t>。</w:t>
            </w:r>
          </w:p>
          <w:p>
            <w:pPr>
              <w:tabs>
                <w:tab w:val="center" w:pos="4680"/>
                <w:tab w:val="right" w:pos="9360"/>
              </w:tabs>
              <w:snapToGrid w:val="0"/>
              <w:spacing w:after="0" w:line="440" w:lineRule="atLeast"/>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（2）</w:t>
            </w:r>
            <w:r>
              <w:rPr>
                <w:rFonts w:hint="eastAsia" w:ascii="宋体" w:hAnsi="宋体" w:cs="宋体"/>
                <w:color w:val="auto"/>
                <w:szCs w:val="21"/>
                <w:highlight w:val="none"/>
              </w:rPr>
              <w:t>质保期内，中标人负责更换所有设备维修配件，更换的零配件为原厂全新零配件。</w:t>
            </w:r>
          </w:p>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（3）</w:t>
            </w:r>
            <w:r>
              <w:rPr>
                <w:rFonts w:hint="eastAsia" w:ascii="宋体" w:hAnsi="宋体" w:cs="宋体"/>
                <w:color w:val="auto"/>
                <w:szCs w:val="21"/>
                <w:highlight w:val="none"/>
              </w:rPr>
              <w:t>在接到电话通知后，4小时内做出响应，24小时内到达维修现场。一般问题应在48小时内解决，重大问题或其它无法迅速解决的问题应在一周内解决，若出现问题无法解决，二个工作日内提供与原设备技术参数要求相同或高于原设备技术参数要求的备用产品，以保证采购人的正常工作。</w:t>
            </w:r>
          </w:p>
          <w:p>
            <w:pPr>
              <w:numPr>
                <w:ilvl w:val="255"/>
                <w:numId w:val="0"/>
              </w:numPr>
              <w:tabs>
                <w:tab w:val="center" w:pos="4153"/>
                <w:tab w:val="right" w:pos="8306"/>
              </w:tabs>
              <w:snapToGrid w:val="0"/>
              <w:spacing w:after="0" w:line="440" w:lineRule="atLeast"/>
              <w:jc w:val="left"/>
              <w:rPr>
                <w:rFonts w:hint="eastAsia" w:ascii="宋体" w:hAnsi="宋体" w:cs="宋体"/>
                <w:b/>
                <w:bCs/>
                <w:color w:val="auto"/>
                <w:kern w:val="0"/>
                <w:szCs w:val="21"/>
                <w:highlight w:val="none"/>
                <w:lang w:bidi="ar"/>
              </w:rPr>
            </w:pPr>
            <w:r>
              <w:rPr>
                <w:rFonts w:hint="eastAsia" w:ascii="宋体" w:hAnsi="宋体" w:cs="宋体"/>
                <w:color w:val="auto"/>
                <w:szCs w:val="21"/>
                <w:highlight w:val="none"/>
              </w:rPr>
              <w:t>▲</w:t>
            </w:r>
            <w:r>
              <w:rPr>
                <w:rFonts w:hint="eastAsia" w:ascii="宋体" w:hAnsi="宋体" w:cs="宋体"/>
                <w:b/>
                <w:bCs/>
                <w:color w:val="auto"/>
                <w:kern w:val="0"/>
                <w:szCs w:val="21"/>
                <w:highlight w:val="none"/>
                <w:lang w:bidi="ar"/>
              </w:rPr>
              <w:t>7.报价要求</w:t>
            </w:r>
          </w:p>
          <w:p>
            <w:pPr>
              <w:spacing w:after="0" w:line="440" w:lineRule="atLeast"/>
              <w:rPr>
                <w:rFonts w:hint="eastAsia" w:ascii="宋体" w:hAnsi="宋体" w:cs="宋体"/>
                <w:color w:val="auto"/>
                <w:szCs w:val="21"/>
                <w:highlight w:val="none"/>
              </w:rPr>
            </w:pPr>
            <w:r>
              <w:rPr>
                <w:rFonts w:hint="eastAsia" w:ascii="宋体" w:hAnsi="宋体" w:cs="宋体"/>
                <w:color w:val="auto"/>
                <w:szCs w:val="21"/>
                <w:highlight w:val="none"/>
              </w:rPr>
              <w:t>本项目报价为产品送达采购人指定地点进行安装，经采购人验收合格所发生的一切费用，其包括但不限于以下费用：产品（含主要设备、配件、辅材）供应、运输装卸费、保险费、安装费、调试费、税费、产品检验检测、本项目所有平台、系统对接费、操作人员培训费、管理费、验收费、售后服务、质保期技术支持及维护费用、必要的保险费用和各项税金、招标代理服务费等与本项目相关的一切费用</w:t>
            </w: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tcBorders>
              <w:top w:val="single" w:color="auto" w:sz="4" w:space="0"/>
              <w:left w:val="single" w:color="auto" w:sz="4" w:space="0"/>
              <w:right w:val="single" w:color="auto" w:sz="4" w:space="0"/>
            </w:tcBorders>
            <w:vAlign w:val="center"/>
          </w:tcPr>
          <w:p>
            <w:pPr>
              <w:spacing w:after="0" w:line="440" w:lineRule="atLeast"/>
              <w:jc w:val="center"/>
              <w:rPr>
                <w:rFonts w:hint="eastAsia" w:ascii="宋体" w:hAnsi="宋体" w:cs="宋体"/>
                <w:b/>
                <w:color w:val="auto"/>
                <w:szCs w:val="21"/>
                <w:highlight w:val="none"/>
              </w:rPr>
            </w:pPr>
            <w:r>
              <w:rPr>
                <w:rFonts w:hint="eastAsia" w:ascii="宋体" w:hAnsi="宋体" w:cs="宋体"/>
                <w:b/>
                <w:bCs/>
                <w:color w:val="auto"/>
                <w:szCs w:val="21"/>
                <w:highlight w:val="none"/>
              </w:rPr>
              <w:t>其他说明</w:t>
            </w:r>
          </w:p>
        </w:tc>
        <w:tc>
          <w:tcPr>
            <w:tcW w:w="9288" w:type="dxa"/>
            <w:gridSpan w:val="8"/>
            <w:tcBorders>
              <w:top w:val="single" w:color="auto" w:sz="4" w:space="0"/>
              <w:left w:val="single" w:color="auto" w:sz="4" w:space="0"/>
              <w:bottom w:val="single" w:color="auto" w:sz="4" w:space="0"/>
              <w:right w:val="single" w:color="auto" w:sz="4" w:space="0"/>
            </w:tcBorders>
          </w:tcPr>
          <w:p>
            <w:pPr>
              <w:widowControl/>
              <w:tabs>
                <w:tab w:val="left" w:pos="180"/>
                <w:tab w:val="left" w:pos="1620"/>
              </w:tabs>
              <w:spacing w:after="0" w:line="440" w:lineRule="atLeast"/>
              <w:rPr>
                <w:rFonts w:hint="eastAsia" w:ascii="宋体" w:hAnsi="宋体" w:cs="宋体"/>
                <w:color w:val="auto"/>
                <w:szCs w:val="21"/>
                <w:highlight w:val="none"/>
              </w:rPr>
            </w:pPr>
            <w:r>
              <w:rPr>
                <w:rFonts w:hint="eastAsia" w:ascii="宋体" w:hAnsi="宋体" w:cs="宋体"/>
                <w:color w:val="auto"/>
                <w:szCs w:val="21"/>
                <w:highlight w:val="none"/>
              </w:rPr>
              <w:t>1.进口产品说明：本项目货物不接受进口产品（即通过中国海关报关验放进入中国境内且产自关境外的产品）参与投标，如有进口产品参与投标的作无效标处理。</w:t>
            </w:r>
          </w:p>
          <w:p>
            <w:pPr>
              <w:widowControl/>
              <w:tabs>
                <w:tab w:val="left" w:pos="180"/>
                <w:tab w:val="left" w:pos="1620"/>
              </w:tabs>
              <w:spacing w:after="0" w:line="440" w:lineRule="atLeast"/>
              <w:rPr>
                <w:rFonts w:hint="eastAsia" w:ascii="宋体" w:hAnsi="宋体" w:cs="宋体"/>
                <w:color w:val="auto"/>
                <w:szCs w:val="21"/>
                <w:highlight w:val="none"/>
              </w:rPr>
            </w:pPr>
            <w:r>
              <w:rPr>
                <w:rFonts w:hint="eastAsia" w:ascii="宋体" w:hAnsi="宋体" w:cs="宋体"/>
                <w:color w:val="auto"/>
                <w:szCs w:val="21"/>
                <w:highlight w:val="none"/>
              </w:rPr>
              <w:t>2.核心产品：本项目的核心产品为“需求一览表”中第</w:t>
            </w:r>
            <w:r>
              <w:rPr>
                <w:rFonts w:hint="eastAsia" w:ascii="宋体" w:hAnsi="宋体" w:cs="宋体"/>
                <w:color w:val="auto"/>
                <w:szCs w:val="21"/>
                <w:highlight w:val="none"/>
                <w:u w:val="single"/>
              </w:rPr>
              <w:t xml:space="preserve"> 1 </w:t>
            </w:r>
            <w:r>
              <w:rPr>
                <w:rFonts w:hint="eastAsia" w:ascii="宋体" w:hAnsi="宋体" w:cs="宋体"/>
                <w:color w:val="auto"/>
                <w:szCs w:val="21"/>
                <w:highlight w:val="none"/>
              </w:rPr>
              <w:t>项标的产品：</w:t>
            </w:r>
            <w:r>
              <w:rPr>
                <w:rFonts w:hint="eastAsia" w:ascii="宋体" w:hAnsi="宋体" w:cs="宋体"/>
                <w:color w:val="auto"/>
                <w:szCs w:val="21"/>
                <w:highlight w:val="none"/>
                <w:u w:val="single"/>
              </w:rPr>
              <w:t>教学互动系统（学生）</w:t>
            </w:r>
            <w:r>
              <w:rPr>
                <w:rFonts w:hint="eastAsia" w:ascii="宋体" w:hAnsi="宋体" w:cs="宋体"/>
                <w:color w:val="auto"/>
                <w:szCs w:val="21"/>
                <w:highlight w:val="none"/>
              </w:rPr>
              <w:t>。</w:t>
            </w:r>
          </w:p>
          <w:p>
            <w:pPr>
              <w:widowControl/>
              <w:tabs>
                <w:tab w:val="left" w:pos="180"/>
                <w:tab w:val="left" w:pos="1620"/>
              </w:tabs>
              <w:spacing w:after="0" w:line="440" w:lineRule="atLeast"/>
              <w:rPr>
                <w:rFonts w:hint="eastAsia" w:ascii="宋体" w:hAnsi="宋体" w:cs="宋体"/>
                <w:color w:val="auto"/>
                <w:szCs w:val="21"/>
                <w:highlight w:val="none"/>
              </w:rPr>
            </w:pPr>
            <w:r>
              <w:rPr>
                <w:rFonts w:hint="eastAsia" w:ascii="宋体" w:hAnsi="宋体" w:cs="宋体"/>
                <w:color w:val="auto"/>
                <w:szCs w:val="21"/>
                <w:highlight w:val="none"/>
              </w:rPr>
              <w:t>3.中标人未按规定的时间完成合同履约，导致采购人损失的，采购人有权单方面终止合同，所造成的损失由中标人承担。</w:t>
            </w:r>
          </w:p>
          <w:p>
            <w:pPr>
              <w:widowControl/>
              <w:tabs>
                <w:tab w:val="left" w:pos="180"/>
                <w:tab w:val="left" w:pos="1620"/>
              </w:tabs>
              <w:spacing w:after="0" w:line="440" w:lineRule="atLeast"/>
              <w:rPr>
                <w:rFonts w:hint="eastAsia" w:ascii="宋体" w:hAnsi="宋体" w:cs="宋体"/>
                <w:color w:val="auto"/>
                <w:szCs w:val="21"/>
                <w:highlight w:val="none"/>
              </w:rPr>
            </w:pPr>
            <w:r>
              <w:rPr>
                <w:rFonts w:hint="eastAsia" w:ascii="宋体" w:hAnsi="宋体" w:cs="宋体"/>
                <w:color w:val="auto"/>
                <w:szCs w:val="21"/>
                <w:highlight w:val="none"/>
              </w:rPr>
              <w:t>4.中标人提供的货物或服务如侵犯了第三方合法权益而引发的任何纠纷或诉讼，均由中标人负责交涉且承担全部赔偿责任，包括因知识产权造成采购人的经济损失。</w:t>
            </w:r>
          </w:p>
          <w:p>
            <w:pPr>
              <w:widowControl/>
              <w:tabs>
                <w:tab w:val="left" w:pos="180"/>
                <w:tab w:val="left" w:pos="1620"/>
              </w:tabs>
              <w:spacing w:after="0" w:line="440" w:lineRule="atLeast"/>
              <w:rPr>
                <w:rFonts w:hint="eastAsia" w:ascii="宋体" w:hAnsi="宋体" w:cs="宋体"/>
                <w:color w:val="auto"/>
                <w:szCs w:val="21"/>
                <w:highlight w:val="none"/>
              </w:rPr>
            </w:pPr>
            <w:r>
              <w:rPr>
                <w:rFonts w:hint="eastAsia" w:ascii="宋体" w:hAnsi="宋体" w:cs="宋体"/>
                <w:color w:val="auto"/>
                <w:szCs w:val="21"/>
                <w:highlight w:val="none"/>
              </w:rPr>
              <w:t>5.根据《国务院办公厅关于在政府采购中实施本国产品标准及相关政策的通知》（国办发〔2025〕34号）的规定，政府采购活动中既有本国产品又有非本国产品参与竞争的，依法对符合政策要求的本国产品给予价格评审优惠，具体详见“第四章 评标方法和评标标准”。产品在中国境内生产的组件成本，按照《中国境内生产的组件成本核算基本规则》（见附件3）计算。</w:t>
            </w:r>
          </w:p>
        </w:tc>
      </w:tr>
    </w:tbl>
    <w:p>
      <w:pPr>
        <w:rPr>
          <w:rFonts w:hint="eastAsia" w:ascii="宋体" w:hAnsi="宋体" w:cs="宋体"/>
          <w:b/>
          <w:bCs/>
          <w:color w:val="auto"/>
          <w:sz w:val="24"/>
          <w:highlight w:val="none"/>
        </w:rPr>
      </w:pPr>
    </w:p>
    <w:p>
      <w:pPr>
        <w:widowControl/>
        <w:jc w:val="left"/>
        <w:rPr>
          <w:rFonts w:hint="eastAsia" w:ascii="宋体" w:hAnsi="宋体" w:cs="宋体"/>
          <w:b/>
          <w:bCs/>
          <w:color w:val="auto"/>
          <w:sz w:val="24"/>
          <w:highlight w:val="none"/>
        </w:rPr>
      </w:pPr>
      <w:r>
        <w:rPr>
          <w:rFonts w:hint="eastAsia" w:ascii="宋体" w:hAnsi="宋体" w:cs="宋体"/>
          <w:b/>
          <w:bCs/>
          <w:color w:val="auto"/>
          <w:sz w:val="24"/>
          <w:highlight w:val="none"/>
        </w:rPr>
        <w:br w:type="page"/>
      </w:r>
    </w:p>
    <w:p>
      <w:pPr>
        <w:outlineLvl w:val="0"/>
        <w:rPr>
          <w:rFonts w:hint="eastAsia" w:ascii="宋体" w:hAnsi="宋体" w:eastAsia="宋体" w:cs="宋体"/>
          <w:b/>
          <w:bCs/>
          <w:color w:val="auto"/>
          <w:sz w:val="24"/>
          <w:highlight w:val="none"/>
          <w:lang w:eastAsia="zh-CN"/>
        </w:rPr>
      </w:pPr>
      <w:r>
        <w:rPr>
          <w:rFonts w:hint="eastAsia" w:ascii="宋体" w:hAnsi="宋体" w:cs="宋体"/>
          <w:b/>
          <w:bCs/>
          <w:color w:val="auto"/>
          <w:sz w:val="24"/>
          <w:highlight w:val="none"/>
        </w:rPr>
        <w:t>标项</w:t>
      </w:r>
      <w:r>
        <w:rPr>
          <w:rFonts w:hint="eastAsia" w:ascii="宋体" w:hAnsi="宋体" w:cs="宋体"/>
          <w:b/>
          <w:bCs/>
          <w:color w:val="auto"/>
          <w:sz w:val="24"/>
          <w:highlight w:val="none"/>
          <w:lang w:eastAsia="zh-CN"/>
        </w:rPr>
        <w:t>二</w:t>
      </w:r>
    </w:p>
    <w:tbl>
      <w:tblPr>
        <w:tblStyle w:val="27"/>
        <w:tblW w:w="974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59"/>
        <w:gridCol w:w="500"/>
        <w:gridCol w:w="700"/>
        <w:gridCol w:w="750"/>
        <w:gridCol w:w="641"/>
        <w:gridCol w:w="4050"/>
        <w:gridCol w:w="823"/>
        <w:gridCol w:w="941"/>
        <w:gridCol w:w="88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459" w:type="dxa"/>
            <w:vMerge w:val="restart"/>
            <w:tcBorders>
              <w:top w:val="single" w:color="auto" w:sz="4" w:space="0"/>
              <w:left w:val="single" w:color="auto" w:sz="4"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需求一览表</w:t>
            </w:r>
          </w:p>
        </w:tc>
        <w:tc>
          <w:tcPr>
            <w:tcW w:w="500"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spacing w:after="0" w:line="440" w:lineRule="atLeast"/>
              <w:jc w:val="center"/>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700" w:type="dxa"/>
            <w:tcBorders>
              <w:top w:val="single" w:color="auto" w:sz="4" w:space="0"/>
              <w:left w:val="single" w:color="auto" w:sz="4" w:space="0"/>
              <w:bottom w:val="single" w:color="auto" w:sz="4" w:space="0"/>
              <w:right w:val="single" w:color="auto" w:sz="4" w:space="0"/>
            </w:tcBorders>
            <w:vAlign w:val="center"/>
          </w:tcPr>
          <w:p>
            <w:pPr>
              <w:spacing w:after="0" w:line="440" w:lineRule="atLeast"/>
              <w:jc w:val="center"/>
              <w:rPr>
                <w:rFonts w:hint="eastAsia" w:ascii="宋体" w:hAnsi="宋体" w:cs="宋体"/>
                <w:b/>
                <w:bCs/>
                <w:color w:val="auto"/>
                <w:szCs w:val="21"/>
                <w:highlight w:val="none"/>
              </w:rPr>
            </w:pPr>
            <w:r>
              <w:rPr>
                <w:rFonts w:hint="eastAsia" w:ascii="宋体" w:hAnsi="宋体" w:cs="宋体"/>
                <w:b/>
                <w:bCs/>
                <w:color w:val="auto"/>
                <w:szCs w:val="21"/>
                <w:highlight w:val="none"/>
              </w:rPr>
              <w:t>标的名称</w:t>
            </w:r>
          </w:p>
        </w:tc>
        <w:tc>
          <w:tcPr>
            <w:tcW w:w="750" w:type="dxa"/>
            <w:tcBorders>
              <w:top w:val="single" w:color="auto" w:sz="4" w:space="0"/>
              <w:left w:val="single" w:color="auto" w:sz="4" w:space="0"/>
              <w:bottom w:val="single" w:color="auto" w:sz="4" w:space="0"/>
              <w:right w:val="single" w:color="auto" w:sz="4" w:space="0"/>
            </w:tcBorders>
            <w:vAlign w:val="center"/>
          </w:tcPr>
          <w:p>
            <w:pPr>
              <w:spacing w:after="0" w:line="440" w:lineRule="atLeast"/>
              <w:jc w:val="center"/>
              <w:rPr>
                <w:rFonts w:hint="eastAsia" w:ascii="宋体" w:hAnsi="宋体" w:cs="宋体"/>
                <w:b/>
                <w:bCs/>
                <w:color w:val="auto"/>
                <w:szCs w:val="21"/>
                <w:highlight w:val="none"/>
              </w:rPr>
            </w:pPr>
            <w:r>
              <w:rPr>
                <w:rFonts w:hint="eastAsia" w:ascii="宋体" w:hAnsi="宋体" w:cs="宋体"/>
                <w:b/>
                <w:bCs/>
                <w:color w:val="auto"/>
                <w:szCs w:val="21"/>
                <w:highlight w:val="none"/>
              </w:rPr>
              <w:t>数量</w:t>
            </w:r>
          </w:p>
        </w:tc>
        <w:tc>
          <w:tcPr>
            <w:tcW w:w="641" w:type="dxa"/>
            <w:tcBorders>
              <w:top w:val="single" w:color="auto" w:sz="4" w:space="0"/>
              <w:left w:val="single" w:color="auto" w:sz="4" w:space="0"/>
              <w:bottom w:val="single" w:color="auto" w:sz="4" w:space="0"/>
              <w:right w:val="single" w:color="auto" w:sz="4" w:space="0"/>
            </w:tcBorders>
            <w:vAlign w:val="center"/>
          </w:tcPr>
          <w:p>
            <w:pPr>
              <w:spacing w:after="0" w:line="440" w:lineRule="atLeast"/>
              <w:jc w:val="center"/>
              <w:rPr>
                <w:rFonts w:hint="eastAsia" w:ascii="宋体" w:hAnsi="宋体" w:cs="宋体"/>
                <w:b/>
                <w:bCs/>
                <w:color w:val="auto"/>
                <w:szCs w:val="21"/>
                <w:highlight w:val="none"/>
              </w:rPr>
            </w:pPr>
            <w:r>
              <w:rPr>
                <w:rFonts w:hint="eastAsia" w:ascii="宋体" w:hAnsi="宋体" w:cs="宋体"/>
                <w:b/>
                <w:bCs/>
                <w:color w:val="auto"/>
                <w:szCs w:val="21"/>
                <w:highlight w:val="none"/>
              </w:rPr>
              <w:t>单位</w:t>
            </w:r>
          </w:p>
        </w:tc>
        <w:tc>
          <w:tcPr>
            <w:tcW w:w="4050" w:type="dxa"/>
            <w:tcBorders>
              <w:top w:val="single" w:color="auto" w:sz="4" w:space="0"/>
              <w:left w:val="single" w:color="auto" w:sz="4" w:space="0"/>
              <w:bottom w:val="single" w:color="auto" w:sz="4" w:space="0"/>
              <w:right w:val="single" w:color="auto" w:sz="4" w:space="0"/>
            </w:tcBorders>
            <w:vAlign w:val="center"/>
          </w:tcPr>
          <w:p>
            <w:pPr>
              <w:spacing w:after="0" w:line="440" w:lineRule="atLeast"/>
              <w:jc w:val="center"/>
              <w:rPr>
                <w:rFonts w:hint="eastAsia" w:ascii="宋体" w:hAnsi="宋体" w:cs="宋体"/>
                <w:b/>
                <w:bCs/>
                <w:color w:val="auto"/>
                <w:szCs w:val="21"/>
                <w:highlight w:val="none"/>
              </w:rPr>
            </w:pPr>
            <w:r>
              <w:rPr>
                <w:rFonts w:hint="eastAsia" w:ascii="宋体" w:hAnsi="宋体" w:cs="宋体"/>
                <w:b/>
                <w:bCs/>
                <w:color w:val="auto"/>
                <w:szCs w:val="21"/>
                <w:highlight w:val="none"/>
              </w:rPr>
              <w:t>技术参数及配置</w:t>
            </w:r>
          </w:p>
        </w:tc>
        <w:tc>
          <w:tcPr>
            <w:tcW w:w="823"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center"/>
              <w:textAlignment w:val="center"/>
              <w:rPr>
                <w:rFonts w:hint="eastAsia" w:ascii="宋体" w:hAnsi="宋体" w:cs="宋体"/>
                <w:b/>
                <w:bCs/>
                <w:color w:val="auto"/>
                <w:szCs w:val="21"/>
                <w:highlight w:val="none"/>
              </w:rPr>
            </w:pPr>
            <w:r>
              <w:rPr>
                <w:rFonts w:hint="eastAsia" w:ascii="宋体" w:hAnsi="宋体" w:cs="宋体"/>
                <w:b/>
                <w:bCs/>
                <w:color w:val="auto"/>
                <w:kern w:val="0"/>
                <w:szCs w:val="21"/>
                <w:highlight w:val="none"/>
                <w:lang w:bidi="ar"/>
              </w:rPr>
              <w:t>分项预算（元）</w:t>
            </w:r>
          </w:p>
        </w:tc>
        <w:tc>
          <w:tcPr>
            <w:tcW w:w="941"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center"/>
              <w:textAlignment w:val="center"/>
              <w:rPr>
                <w:rFonts w:hint="eastAsia" w:ascii="宋体" w:hAnsi="宋体" w:cs="宋体"/>
                <w:b/>
                <w:bCs/>
                <w:color w:val="auto"/>
                <w:szCs w:val="21"/>
                <w:highlight w:val="none"/>
              </w:rPr>
            </w:pPr>
            <w:r>
              <w:rPr>
                <w:rFonts w:hint="eastAsia" w:ascii="宋体" w:hAnsi="宋体" w:cs="宋体"/>
                <w:b/>
                <w:bCs/>
                <w:color w:val="auto"/>
                <w:kern w:val="0"/>
                <w:szCs w:val="21"/>
                <w:highlight w:val="none"/>
                <w:lang w:bidi="ar"/>
              </w:rPr>
              <w:t>分项预算合计（元）</w:t>
            </w:r>
          </w:p>
        </w:tc>
        <w:tc>
          <w:tcPr>
            <w:tcW w:w="883"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center"/>
              <w:textAlignment w:val="center"/>
              <w:rPr>
                <w:rFonts w:hint="eastAsia" w:ascii="宋体" w:hAnsi="宋体" w:cs="宋体"/>
                <w:b/>
                <w:bCs/>
                <w:color w:val="auto"/>
                <w:szCs w:val="21"/>
                <w:highlight w:val="none"/>
              </w:rPr>
            </w:pPr>
            <w:r>
              <w:rPr>
                <w:rFonts w:hint="eastAsia" w:ascii="宋体" w:hAnsi="宋体" w:cs="宋体"/>
                <w:b/>
                <w:bCs/>
                <w:color w:val="auto"/>
                <w:kern w:val="0"/>
                <w:szCs w:val="21"/>
                <w:highlight w:val="none"/>
                <w:lang w:bidi="ar"/>
              </w:rPr>
              <w:t>中小企业划分标准所属行业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全钢通风柜</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7</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台</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技术参数：</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1.通风柜主柜体部件，规格：约1500*850*2350mm；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（1）上箱体：</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采用</w:t>
            </w:r>
            <w:r>
              <w:rPr>
                <w:rFonts w:hint="eastAsia" w:ascii="宋体" w:hAnsi="宋体" w:cs="宋体"/>
                <w:color w:val="auto"/>
                <w:szCs w:val="21"/>
                <w:highlight w:val="none"/>
              </w:rPr>
              <w:t>≥</w:t>
            </w:r>
            <w:r>
              <w:rPr>
                <w:rFonts w:hint="eastAsia" w:ascii="宋体" w:hAnsi="宋体" w:cs="宋体"/>
                <w:color w:val="auto"/>
                <w:kern w:val="0"/>
                <w:szCs w:val="21"/>
                <w:highlight w:val="none"/>
                <w:lang w:bidi="ar"/>
              </w:rPr>
              <w:t>1.0mm厚镀锌钢板，激光数控切割，左.右旁板、前楣板、下横板一体成型，左.右旁板采用欧式窄边设计，规格：约1200mm×850mm×2350mm；喷涂环氧树脂粉末高温烘烤固化，有附着力.表面硬度能耐腐蚀性；内衬及导流板选用</w:t>
            </w:r>
            <w:r>
              <w:rPr>
                <w:rFonts w:hint="eastAsia" w:ascii="宋体" w:hAnsi="宋体" w:cs="宋体"/>
                <w:color w:val="auto"/>
                <w:szCs w:val="21"/>
                <w:highlight w:val="none"/>
              </w:rPr>
              <w:t>≥</w:t>
            </w:r>
            <w:r>
              <w:rPr>
                <w:rFonts w:hint="eastAsia" w:ascii="宋体" w:hAnsi="宋体" w:cs="宋体"/>
                <w:color w:val="auto"/>
                <w:kern w:val="0"/>
                <w:szCs w:val="21"/>
                <w:highlight w:val="none"/>
                <w:lang w:bidi="ar"/>
              </w:rPr>
              <w:t>5mm抗倍特板，内部分段式排风设计，可消除排气死角与不同密度气体的排放；控制面板设在外立柱侧面板上，方便观察与操作</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（2）下箱体：</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采用</w:t>
            </w:r>
            <w:r>
              <w:rPr>
                <w:rFonts w:hint="eastAsia" w:ascii="宋体" w:hAnsi="宋体" w:cs="宋体"/>
                <w:color w:val="auto"/>
                <w:szCs w:val="21"/>
                <w:highlight w:val="none"/>
              </w:rPr>
              <w:t>≥</w:t>
            </w:r>
            <w:r>
              <w:rPr>
                <w:rFonts w:hint="eastAsia" w:ascii="宋体" w:hAnsi="宋体" w:cs="宋体"/>
                <w:color w:val="auto"/>
                <w:kern w:val="0"/>
                <w:szCs w:val="21"/>
                <w:highlight w:val="none"/>
                <w:lang w:bidi="ar"/>
              </w:rPr>
              <w:t>1.0mm厚的镀锌钢板，激光切割折弯制做，表面环氧树脂粉末喷涂；铰链采用304不锈钢材料，开启度为约145°；下柜体铰链和合页可以互换使用，方便维修；调整脚说明：采用直径约φ10mm注塑调整脚，具备防震、防潮、耐腐蚀，并且可根据室内地坪适当调整柜体高度，可调节高度为</w:t>
            </w:r>
            <w:r>
              <w:rPr>
                <w:rFonts w:hint="eastAsia" w:ascii="宋体" w:hAnsi="宋体" w:cs="宋体"/>
                <w:color w:val="auto"/>
                <w:szCs w:val="21"/>
                <w:highlight w:val="none"/>
              </w:rPr>
              <w:t>≥</w:t>
            </w:r>
            <w:r>
              <w:rPr>
                <w:rFonts w:hint="eastAsia" w:ascii="宋体" w:hAnsi="宋体" w:cs="宋体"/>
                <w:color w:val="auto"/>
                <w:kern w:val="0"/>
                <w:szCs w:val="21"/>
                <w:highlight w:val="none"/>
                <w:lang w:bidi="ar"/>
              </w:rPr>
              <w:t>30mm；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（3）固定视窗：≥5mm厚钢化玻璃；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（4）移动视窗：≥5mm厚钢化玻璃，滑动自如，无段平衡装置，可停留于轨道任何位置。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2.通风柜台面：</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台面：采用≥12mm厚实芯理化板台面。具备耐高温，耐强酸、强碱、强有机溶剂、染色剂等各种化学试剂腐蚀</w:t>
            </w:r>
            <w:r>
              <w:rPr>
                <w:rFonts w:hint="eastAsia" w:ascii="宋体" w:hAnsi="宋体" w:cs="宋体"/>
                <w:color w:val="auto"/>
                <w:sz w:val="21"/>
                <w:szCs w:val="21"/>
                <w:highlight w:val="none"/>
                <w:lang w:eastAsia="zh-CN"/>
              </w:rPr>
              <w: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3.供电系统：</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（1）插座：插座配有≥3个10A 220V五孔多功能插座。配备防尘、防溅带有自动闭合功能防护盖的安全插座，国标220V/10A五孔插座3个，国标220V/16A三孔插座1个，适合实验室内仪器设备。供电线路要求12kW以上，满足2个电炉同时使用；</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（2）照明：采用圆形节能孔灯，隐藏于顶板上，灯接口不与通风柜内实验气体直接接触，易更换；</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（3）控制面板：具有插座、日光灯、风机、风阀开停控制开关；</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（4）有通风柜专用的供电箱。</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4.通风系统：</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带PP离心风机（耐腐蚀），配备离心风机配电、PVC风管、弯头、直通等配件。离心风机安装室外，具备防水防晒。PVC风管约10米；</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5.售后服务：</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质保期内上门维修或更换，出现故障时，维修工程师24小时内上门服务。</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11692.99</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81850.93</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可见分光光度计</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28</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台</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1.光学系统：衍射光栅C-T单色器；</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2.光源：卤素灯10W/8V；</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3.波长范围：（360～1000）nm；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4.波长准确度：±3.0nm；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5.波长重复性：≤1.5nm；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6.带宽：6nm；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7.透射比准确度：±0.8%T；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8.透射比重复性：≤0.3%T；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9.杂散光：≤1.0%T（360nm，NaNO2）；</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10.仪器尺寸：约350mm×300mm×220mm。</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1487.84</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41659.52</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3</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1.5ml高速离心机</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台</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 最高转速[rpm]: 15000rpm (200-15000rpm), 步长：10rpm；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 最大相对离心力[xg]: 21380×g，步长：10×g；</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 转速精度: ±20 rpm；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4. 温度设定范围 </w:t>
            </w:r>
            <w:r>
              <w:rPr>
                <w:rFonts w:hint="eastAsia" w:ascii="宋体" w:hAnsi="宋体" w:cs="宋体"/>
                <w:color w:val="auto"/>
                <w:szCs w:val="21"/>
                <w:highlight w:val="none"/>
              </w:rPr>
              <w:t>-20℃-40℃</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 转子容量: 5ml×18;0.2ml/0.5ml/1.5ml/ 2ml×24;0.5ml×36;PCR8排管×4；</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 定时: 30秒-99分-HOLD (连续运行)；</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 驱动电机: 无刷直流电机；</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 安全性能: 双门锁、超速、状态诊断系统；</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 电源: 单相，AC220V-240V, 50Hz/60Hz, 5A；</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10. AC110V-120V, 50Hz/60Hz,8A；</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11. 噪音(dB): ≤64；</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12. 加减速度: 25s↑25s↓；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13. 尺寸(毫米): 约(长)280×(深)364×(高)266；</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14. 重量:约 12kg；</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15. 其它功能：具备转速/加速度转换功能、瞬时离心功能、运行进程显示、声音提示功能。</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8432.64</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16865.28</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4</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水浴锅</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台</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一、参数详情</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1.温度范围：室温+5℃ ~ 95℃；</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2.温度波动度：±0.05℃；</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3.温度均匀度：±0.05℃；</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4.显示分辨率：0.01℃；</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5.控温方式：PID 微电脑智能控制（自动调节加热功率，稳定至设定温度）。</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二、槽体与容量</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1.内胆尺寸：（深×宽×高）：约 340mm×260mm×740mm；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2.槽体材质：不锈钢；</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3.外壳材质：冷轧钢板+喷塑。</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三、加热与循环</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1.加热功率：约 1.5~2.0kW；</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2循环方式：内循环；</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3.泵流量：约 20~30L/min（可连接外部设备）。</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四、安全与设计</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1.安全保护：</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1.1过温保护（自动切断加热）；</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1.2漏电保护；</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1.3电机或电路过载保护；</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1.4操作界面：液晶显示屏+按键控制（支持温度设定、实时显示、报警提示）。</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2.定时功能：温度校准功能（可通过外部标准温度计校准）。</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五、电源与尺寸</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1.电源要求：AC 220V±10% / 50H；</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2.外形尺寸（长×宽×高）：约 400mm×300mm×500mm；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3.净重：约 20~25kg。</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六、适用场景</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1.实验室样品恒温（如：化学反应、生物培养）；</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2.分析仪器控温（如：粘度计、旋光仪、电化学仪器的恒温浴槽）；</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3.精密测量（如：温度环境的实验）。</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1430.13</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2860.26</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5</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功放</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台</w:t>
            </w:r>
          </w:p>
        </w:tc>
        <w:tc>
          <w:tcPr>
            <w:tcW w:w="4050" w:type="dxa"/>
            <w:tcBorders>
              <w:left w:val="single" w:color="auto" w:sz="4" w:space="0"/>
              <w:bottom w:val="single" w:color="000000" w:sz="8" w:space="0"/>
              <w:right w:val="single" w:color="auto" w:sz="4" w:space="0"/>
            </w:tcBorders>
            <w:vAlign w:val="center"/>
          </w:tcPr>
          <w:p>
            <w:pPr>
              <w:pStyle w:val="11"/>
              <w:widowControl/>
              <w:spacing w:after="0" w:line="440" w:lineRule="atLeas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一、功能要求</w:t>
            </w:r>
          </w:p>
          <w:p>
            <w:pPr>
              <w:pStyle w:val="11"/>
              <w:widowControl/>
              <w:spacing w:after="0" w:line="440" w:lineRule="atLeas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1.带LED显示屏，采用机架式铝合金黑色机身设计；</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2.自带数码播放器，支持WMA、MP3格式的音乐；具有手机蓝牙5.0音乐播放功能。</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前面板≥4个按键，可实现音乐上下首切换，音乐开停功能，模式转换。按键可切换多媒体和外接音源；</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3.具有录音功能、反馈抑制功能；</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4.前面板3路大二芯 MIC接口输入；后面板3路MIC接口：其中2路带幻象供电的卡侬头接口，一路大二芯接口；</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5.功能调节旋钮采用暗藏式设计。具有话筒音量调节旋钮5个，回响和延时调节旋钮各1个，高音、中音、低音旋钮各1个；音乐高音、中音、低音旋钮各1个；</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6.具有话筒总音量调节旋钮1个、音乐总音量调节旋钮1个、混响音量旋钮1个；</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7.支持2路线路输入、1路线路输出；</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8.具有4个功率输出接线端子，可实现A/B组功率输出</w:t>
            </w:r>
            <w:r>
              <w:rPr>
                <w:rFonts w:hint="eastAsia" w:ascii="宋体" w:hAnsi="宋体" w:cs="宋体"/>
                <w:color w:val="auto"/>
                <w:kern w:val="0"/>
                <w:szCs w:val="21"/>
                <w:highlight w:val="none"/>
                <w:lang w:eastAsia="zh-CN" w:bidi="ar"/>
              </w:rPr>
              <w:t>。</w:t>
            </w:r>
            <w:r>
              <w:rPr>
                <w:rFonts w:hint="eastAsia" w:ascii="宋体" w:hAnsi="宋体" w:cs="宋体"/>
                <w:color w:val="auto"/>
                <w:kern w:val="0"/>
                <w:szCs w:val="21"/>
                <w:highlight w:val="none"/>
                <w:lang w:bidi="ar"/>
              </w:rPr>
              <w:t xml:space="preserve">                                                                                                                                                                                                             二、技术参数：</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1.额定功率：2*200w；</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2.额定阻抗：8Ω；</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3.频率响应：线路输入20Hz-20KHz，话筒60Hz-14KHz；</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4.线路音调控制：高音11KHz±12dB,中音1KHz±10dB低音90Hz±12dB；</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5.话筒音调控制：高音11KHz±10dB,高音1KHz±8dB低音90Hz±10dB；</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6.失真度：≤0.5%；</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7.信噪比：≥80</w:t>
            </w:r>
            <w:r>
              <w:rPr>
                <w:rFonts w:hint="eastAsia" w:ascii="宋体" w:hAnsi="宋体" w:cs="宋体"/>
                <w:color w:val="auto"/>
                <w:szCs w:val="21"/>
                <w:highlight w:val="none"/>
              </w:rPr>
              <w:t>dB</w:t>
            </w:r>
            <w:r>
              <w:rPr>
                <w:rFonts w:hint="eastAsia" w:ascii="宋体" w:hAnsi="宋体" w:cs="宋体"/>
                <w:color w:val="auto"/>
                <w:kern w:val="0"/>
                <w:szCs w:val="21"/>
                <w:highlight w:val="none"/>
                <w:lang w:bidi="ar"/>
              </w:rPr>
              <w:t>(A计权）。</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1969.37</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3938.74</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6</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电动投影幕布</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台</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1.技术参数：120寸16：9幕布，投影尺寸约2590mm*1620mm高清白塑幕面，亮度系数β≥1.0；有效散射角2α≥160°；</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2.外壳由金属板冲压机械加工成型，表面静电喷涂装饰</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3.配超静音同步电机可调节内置限位，上下精准。幕面为经高温处理的PVC浆融性机制幕，白昼成像清晰；</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4.幕面材料无任何气味，幕面平整。不卷边，不发黄，具有防霉、防潮、阻燃特点。</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844.06</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1688.12</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5"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7</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冰箱</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台</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技术参数配置（CSP）：</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1.有效容积 ：有效容积≥300L；</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2.整体结构：立式，上下双发泡门，采用喷涂钢板外壳和热锌板喷粉内胆，防菌防腐蚀；冷藏室容积≥200L，冷冻室容积≥100L；</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▲3.温度控制:微电脑控制,触摸按键，大屏幕LED显示，可同时显示冷藏、冷冻室温度，冷藏显示精度0.1℃，冷冻显示精度1℃，冷藏温度范围2～8℃，冷冻温度-10~-30 ℃ 温度可自行调节；</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w:t>
            </w:r>
            <w:r>
              <w:rPr>
                <w:rFonts w:hint="eastAsia" w:ascii="宋体" w:hAnsi="宋体" w:cs="宋体"/>
                <w:color w:val="auto"/>
                <w:szCs w:val="21"/>
                <w:highlight w:val="none"/>
              </w:rPr>
              <w:t>核心组件：压缩机2个，风机1个，蒸发器2个，冷凝器2个；</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w:t>
            </w:r>
            <w:r>
              <w:rPr>
                <w:rFonts w:hint="eastAsia" w:ascii="宋体" w:hAnsi="宋体" w:cs="宋体"/>
                <w:color w:val="auto"/>
                <w:szCs w:val="21"/>
                <w:highlight w:val="none"/>
              </w:rPr>
              <w:t>采用碳氢制冷剂，制冷剂用量符合国家标准要求，单制冷系统制冷剂用量≤50g；</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6.门体结构：发泡门设计，避光保存；</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7.制冷系统：冷藏、冷冻独立制冷系统，可单独停用；</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▲8.温度均匀性：采用保温材料，风冷系统，冷藏室温度均匀性≤2℃，波动性≤2℃，冷冻室温度均匀性≤2℃；</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▲9.安全系统：多重故障报警，具有蜂鸣报警和灯光闪烁两种报警方式，可实现超温报警、传感故障报警、断电报警、开门报警、环温高报警、电池电量低报警，可远程报警、网络监控；</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10.数据存储：可选配数据存储模块，数据可导出数据及图表格式，温度数据可存储十年，实现温度数据的可追溯性；</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11.数据打印：温度记录可打印，冷藏、冷冻同时打印，可实现实时打印、定时打印，并有追溯打印功能，打印数据信息可保存一年；</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12.温度监控：配有两个测试孔，可接入温度监控设备，对箱内温度进行监测；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13.箱内配置：冷藏室冷冻室内搁架间距可调节；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14.柜内照明：内设LED照明灯；</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15.固定移动：产品配有4个脚轮和2个平衡底脚；</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16.安全保障：双门双锁扣设计，每个锁扣均可外挂锁；</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17.停电报警：内置高容量电池，断电后能继续显示箱内的实时温度，持续时间24小时；</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▲18.冷凝蒸发：冷冻室为隐藏蒸发器设计，冷冻室双重密封。</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2725</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5450</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8</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音箱</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台</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系统类型：两路两单元低音音箱；</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1.频率响应：30Hz-18kHz±3dB；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2.灵敏度：95dB/1W/1M@±2dB；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3.额定功率：150W/8Ω ；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4.峰值功率：300W/8Ω；                                                                                                                                                                                                                                       5.高音：3”x2；</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6.低音：10"×1只；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7.连接器：2P HiFi线盒；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8.箱体材质： ≥12mm高密度纤维板；</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9.表面处理：黑色PVC胶皮；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10.尺寸：(WHD) 约 510×280×300mm；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11.重量：约8KG。</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1140.62</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2281.24</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6"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9</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不锈钢器具推车</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4</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辆</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1.规格：约1000*600*850mm，双层；</w:t>
            </w:r>
          </w:p>
          <w:p>
            <w:pPr>
              <w:widowControl/>
              <w:spacing w:after="0" w:line="440" w:lineRule="atLeast"/>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2.采用304不锈钢材料制作，板材厚度≥1.2mm，管材厚度≥1.2mm；</w:t>
            </w:r>
          </w:p>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3.配四只4寸静音脚轮。</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1199</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4796</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10</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电热恒温水浴箱</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4</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台</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1.电源电压：220V/50Hz；</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●2.功率：1000W；</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3.控温范围：RT+5℃-100℃；</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4.温度波动：±0.2℃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5.跟踪报警：＋2℃±0.5℃；</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6.工作室尺寸(mm):约600×300×190；</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7.外包装尺寸（mm)：约670×350×300。</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1345.46</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5381.84</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11</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直排风通风系统</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套</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含Ф250离心风机，Ф250PVC风管2米、Ф250 90°弯头2个，Ф250 45°弯头1个，百叶1个，连接线2米一套，风机吊架一套（吊丝杆1米长）。</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2373.11</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2373.11</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12</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冰箱</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台</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 总容积 250升（冷藏室160L + 冷冻室90L）；</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 能效等级 一级能效（日均耗电约0.58度）；</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 制冷方式 风冷无霜；</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 噪音值 38分贝；</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 面板材质 钢化玻璃面板；</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 尺寸(宽×深×高)：约 595×650×1800mm。</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1960.91</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1960.91</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13</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冰柜</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台</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1.温区：单温柜，立式玻璃门，单温冷藏，温度 0℃≤t≤10℃， 有效容积390L,开门方式侧开门；</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●2.制冷方式：风直冷；</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3.控温方式：机械控温；</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4.制冷循环：单循环。</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2647.61</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2647.61</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14</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超净工作台</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台</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一、技术参数：</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1、双人双面净化工作；</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2、洁净度：100级@≥0.5um；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3、菌落数：≤0.5个/皿.时(Φ90mm 培养平皿)；</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4、平均风速：0．25--0．45m/s(快．慢双速)；</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5、振动/半峰值：≤5μm(X.Y.Z方向)；</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6、噪声：62dB(A)；</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7、照度：≥300Lx；</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8、电源：AC/50HZ/220V；</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9、功耗：0.8KW；</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10、重量：&lt;250kg；</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11、过滤器规格及数量：约1350×550×38mm，一个；</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●12、荧光灯/紫外灯规格及数量：照明荧光灯：16W，2 支；紫外杀菌灯：15W，2 支。</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13、适用人数：双人双面；</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14、外形尺寸(mm)：约1540×680×1600；</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15、工作区尺寸 (mm)：约870×650×520。</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二、产品要求：</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1、垂直流形，准闭合式台面，可防止外部气流透入及操作异味对人体的刺激；</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2、采用可调风量风机系统，接角型开关、无级调节电压大小。</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8363.21</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8363.21</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15</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低速台式离心机</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台</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一、功能要求：</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●1.微机控制，直流无刷电机驱动</w:t>
            </w:r>
            <w:r>
              <w:rPr>
                <w:rFonts w:hint="eastAsia" w:ascii="宋体" w:hAnsi="宋体" w:cs="宋体"/>
                <w:color w:val="auto"/>
                <w:szCs w:val="21"/>
                <w:highlight w:val="none"/>
              </w:rPr>
              <w: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2.触摸面板，可编程操作，主机运行参数可根据采购人需求设置且自动存储</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3.液晶屏显示</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4.实时rpm/RCF之间读数换算与设定;</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5.配备电子门锁，设有门盖自锁、超速保护功能；故障自动报警功能</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 一键瞬时离心功能，短时离心无需设置参数，按住即可快速离心；</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 采用电子门锁，设有超速、不平衡、门盖保护功能；</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 配备10mL和50mL容量转子；</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9.带有应急开门拉绳，断电情况时，样品可正常取出；</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10.机体采用全钢机身；</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11.具有隔音设计，噪音≤65dB；</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12.具有转子参数锁定功能；</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13.离心结束后，离心机盖自动打开</w:t>
            </w:r>
            <w:r>
              <w:rPr>
                <w:rFonts w:hint="eastAsia" w:ascii="宋体" w:hAnsi="宋体" w:cs="宋体"/>
                <w:color w:val="auto"/>
                <w:kern w:val="0"/>
                <w:szCs w:val="21"/>
                <w:highlight w:val="none"/>
                <w:lang w:eastAsia="zh-CN" w:bidi="ar"/>
              </w:rPr>
              <w: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二、技术指标:</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1.最高转速：5500rpm；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2.最大相对离心力：4900g；</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3.最大容量：1000ml；（4X250ml）；</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4.离心腔直径：φ380mm；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5.转速精度：±20r/min；</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6.噪音：≤65dB (A)；</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7.定时范围：1min～99min；</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8.功率：450W；</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9.外形尺寸：约525×430×360(mm)；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10.净重：约40kg；</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11.配置：主机加转子8*50ml/32*15ml/64*5ml。</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8072.44</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16144.88</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16</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掌上离心机</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台</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一、产品要求：</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1.三合一大半径8孔位转子，兼容1.5ml、0.5ml、 0.2ml三种离心管；</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2.采用高频宽电压电源技术，输入电压范围85-265V AC；</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3.配置LED数码显示，可设定时间和转速；</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4.采用免维护电机。</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二、技术参数：</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●1.最高转速：12000rpm；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2.最大相对离心力：7500g；</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3.最大容量：8 x 1.5ml/2.0ml，4 x 8 x0.2ml排管PCR板转子；</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4.定时范围：1-99min；</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5.电源：85V-265V  50-60 Hz；</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6.总功率：45W；</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7.整机噪声：≤ 45dB（A）；</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8.外形尺寸：约196 x 176 x 122 (mm)；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9.净重：约1.2kg。</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1090</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1090</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17</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电泳槽</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台</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 .具备三根铂金电极，上样量大于等于16个载玻片；</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 .带有调节腿</w:t>
            </w:r>
            <w:r>
              <w:rPr>
                <w:rFonts w:hint="eastAsia" w:ascii="宋体" w:hAnsi="宋体" w:cs="宋体"/>
                <w:color w:val="auto"/>
                <w:szCs w:val="21"/>
                <w:highlight w:val="none"/>
              </w:rPr>
              <w: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 .可调节游杆；</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 透明上盖；</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 外型尺寸约（L×W×H）：约（370×270×110）mm；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6.凝胶板规格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 电介质规格约：长70或 90（mm），宽250mm，双排；</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 重量：约2kg；</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 缓冲液总容量：1000ml；</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●10. 配置清单包含以下：电泳仪（主体）/1 个；电泳仪（上盖）/1 个；游杆/4 根；</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调节腿/4 个；电泳导线/1 付。</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1350.44</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2700.88</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18</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电泳仪</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台</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一、技术参数：</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 输出类型：恒压、恒流、恒功率输出（连续可调）；</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 输出范围：10～600V、1～1000mA、1～300W；</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 分 辨 率：电压（1V）、电流（1mA）、功率（1W）；</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 定时范围：1分钟～99小时59分钟；</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 伏时范围：1～99999V-hr/增量1V-hr；</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 显示：带背光的LCD液晶屏；</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 输出插孔：4组；</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 外形尺寸（L×W×H）约：263×275×125（mm）；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 净重约：4.4（kg）。</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二、性能</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 触摸按键，双核微处理器智能控制；</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 可增加快捷键；</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 可同时显示预设值和实际输出值；</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 可存储100个电泳方法；</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 具有自动记忆、自动关断功能；</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 具有分步控制功能（可编辑10组，每组可10个程序自动连接运行）；</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 具有暂停控制功能（含实时微调），暂停期间的调整不影响电泳仪的控制精度和稳定性；</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 具有标准、定时、伏时、分步运行功能；</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 具有恒压、恒流、恒功率、误操作、故障智能提示功能；</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10. 具有过载、空载、漏电保护功能。</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817.5</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817.5</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19</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多用脱色摇床</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台</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1.频率：40-240转/分；</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2.回转半径：15mm；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3.定时： 0-120分钟；</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4.平台尺寸：240 X 200 mm；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5.功率： 35W窗体顶端。</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4761.27</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4761.27</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20</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酶标仪(固定波长)</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台</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 光源： LED光源，自动校准，无需预热；</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 光学系统：双通道系统：8 个测量通道、1 个参比通道；</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 滤光片：可同时放置≥8 个滤光片，可配405，450，492 和 620nm 滤光片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 光电检测器：硅光电二极管检测器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 支持板型：96 孔板或板条；</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 检测模式：终点法，动力学法，多标记测量；</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 波长范围：400 - 750 nm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 带宽（50%透光）：10±2 nm；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 测量范围：0-4.0 OD；</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10. 准确度：在 450/492nm 时 0.000-2.000 OD ≤(1.0% + 0.010 OD)；</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在 450/492nm 时 2.000-3.000 OD ≤(1.5% + 0.010 OD)；</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11. 线性：0.0-2.0 OD ≤1%；2.0-3.0 OD≤1.5%；</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12. 精密度：在 450/492nm 时 0.000-2.000 OD≤(0.5% + 0.005 OD)</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在 450/492nm 时 2.000-3.000 OD ≤(1.0% + 0.005 OD)；</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13. 测量分辨率：0.0001 OD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14. 通信接口：USB 接口；</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15. 振荡模式：线性振荡 4 种速度可调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16. 测量方式：可选择常规测量，精密测量和中心测量方式；</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17. 数据分析软件功能：</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17.1 支持所有定性分析：空白、标准、质控吸光度，浓度值，阴阳值，换算数据，医生备注等；</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17.2 支持定量分析，包括主要曲线拟合模式、点对点、线性和非线性回归、多项式曲线、对数曲线、四参数和五参数拟合；</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17.3 具备多种动力学数据的分析简化功能，如平均和最大斜率、酶动力学参数等；</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17.4 全面的QC功能：板间质控样本结果与趋势分析，绘制Levy-Jennings质控图谱；</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17.5 支持多格式数据导入和导出（Excel/ASCII/ASTM）；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17.6 支持中英文等九种语言，并配有分析的实例及软件自学教程；</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17.7 支持保存及调用实验模板，一键完成实验方案的输入；</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17.8 支持自动保存实验数据，检测结束后数据分析，检测报告自动打印；</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17.9 支持自动判断检测结果是否满足验证标准要求；</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18.拓展功能：可与全自动液体处理工作站整合、可外接二维码扫描仪、堆栈等设备；</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19.产品配置：主机、8位滤光片轮（配置包含405，450，492，620nm滤光片）、数据处理分析软件、中文说明书、数据连接线、电源线；</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20.终端一套；内存：8GB DDR4 3200MHz；硬盘：512GB；</w:t>
            </w:r>
          </w:p>
          <w:p>
            <w:pPr>
              <w:tabs>
                <w:tab w:val="center" w:pos="4153"/>
                <w:tab w:val="right" w:pos="8306"/>
              </w:tabs>
              <w:snapToGrid w:val="0"/>
              <w:spacing w:after="0" w:line="440" w:lineRule="atLeast"/>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21.配备数据分析软件。</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43946.69</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43946.69</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21</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生化培养箱</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台</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1.生物安全柜，30%气体外排，70%气体循环；能在净高为2300mm的实验室内正常安装使用；</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2.双人操作，工作区宽度≥1500mm；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3.前窗10度倾角设计；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4.所有污染部位均应处于负压状态或被负压通道和负压通风系统包围；</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5.玻璃门上沿有气幕保护，可防止工作区内外气体交互；</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 .凹盘式工作台，可防止液体倾洒后外溢；</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7.主过滤器：采用过滤器ULPA，工作区洁净度等级10级；</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8.外排过滤器：采用过滤器HEPA；</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9.前窗玻璃：防紫外线钢化玻璃；</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10.电源线插头具有漏电保护功能；</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11.底脚不锈钢材质，高度可调，调节螺栓内置，无裸露螺纹；</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12.负压通道设计异物过滤装置；</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13.风机：具有热保护装置，可自动根据过滤器堵塞情况调节转速；</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14.风速：平均送风风速在0.25～0.50m/s；吸入口风速≥0.5m/s；</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15.噪声：≤67dB（A）；</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16.人员保护：碘化钾法测试，前窗操作口的保护因子≥1×105；</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17.产品保护：琼脂培养皿上的枯草芽孢杆菌芽孢不超过5CFU；</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18.交叉污染保护：琼脂培养皿上的枯草芽孢杆菌芽孢不超过2CFU；</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19.实时数字显示系统运行情况，下降气流流速和流入气流流速可同时显示；</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20.前窗玻璃手拉式开启；</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21.打开前窗后，紫外灯应自动关闭，风机、荧光灯自动开始运行；关闭前窗后，风机和荧光灯自动关闭；</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22.可预约紫外灯消毒时间，可设置两个时段自动运行；</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23.数字显示过滤器剩余使用寿命，寿命剩余10%时自动提示；</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24.可查询紫外灯累计工作时间；</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25.有开门高度警示功能，开门超高或过低均有声光报警提示；</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26.有监测气流波动功能，气流波动超过20%有声光报警提示；</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27.有关门监测功能，未关严门有声光报警提示；</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28.有过滤器监测功能，过滤器堵塞或破损均有声光报警提示。</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5450</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5450</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6"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22</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试剂运送车</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辆</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 xml:space="preserve">1.规格：单扶手/两层/无抽屉；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2.层数：2层；</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3.护栏：双层均带护栏；</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4.滑轮：TPR材质静音轮；</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●5.车身材质：ABS塑料，不锈钢；</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6.车身颜色：蓝色；</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7.外形尺寸：540mm*370mm*900mm±10mm；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8.重量：约11kg。</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654</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654</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23</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微波炉</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台</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1.主体颜色：银色</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2.操作方式：微电脑式</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t xml:space="preserve">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3.底盘类型：平板式</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t xml:space="preserve">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4.内胆材质：不锈钢</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t xml:space="preserve">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5.容量：约25L</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t xml:space="preserve">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6.功能：光波功能，烧烤功能，预约功能，童锁功能</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t xml:space="preserve">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▲7.微波功率800-1100w</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t xml:space="preserve">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8.烧烤功率800-1000w</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t xml:space="preserve">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9.门锁类型手拉式</w:t>
            </w:r>
            <w:r>
              <w:rPr>
                <w:rFonts w:hint="eastAsia" w:ascii="宋体" w:hAnsi="宋体" w:eastAsia="宋体" w:cs="宋体"/>
                <w:color w:val="auto"/>
                <w:sz w:val="21"/>
                <w:szCs w:val="21"/>
                <w:highlight w:val="none"/>
                <w:lang w:eastAsia="zh-CN"/>
              </w:rPr>
              <w:t>；</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10.规格参数：额定电压220V，额定频率50Hz；内腔尺寸：约197mmx340mmx333mm;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11.加热：900w；</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12.包装清单：微波炉x1台、烤架x1个、说明书及保修卡x各1张。</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389.13</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389.13</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24</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小型混匀器</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台</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1.电源：AC220V 50HZ；</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2.整机电流：＜130mA；</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3.功耗：30w；</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4.振动频率：＞2000次；</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5.振幅：＞6mm。</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580</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580</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25</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电动投影幕布</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个</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120寸16:10电动幕带无线遥控：                                                                                                                                                                              1.增益可调(2.0-3.0)；</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2.高对比度，完整256灰阶 (白/灰)；</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●3.色温5000-6500K；</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4.RGB比例准确1:1:1；</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5.增益/视角比平衡3.0增益55度视角；</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6.无任何物理和化学拼接，整张板材；</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7.幕面喷涂技术:数控喷涂；</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8.幕面喷涂均匀度:99%；</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9.核心材料:"还原-结晶体"；</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10.适应明亮环境；</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11.材料制作工艺:PVC复合压制；</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12.涂层表面可清水冲洗。</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844.06</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1688.12</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26</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音箱</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12</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个</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1.喇叭单元：LF：1×10″，HF：1×1″；</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2.额定阻抗：8Ω；</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3.额定功率：300W；</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4.灵 敏 度：94dB±3dB 1w/1m；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5.最大声压： 116±3dB；</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6.频率响应： 45HZ-20KHZ；</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7.材质：木质；</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8.产品净重约： 14KG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9.产品尺寸约：330（前宽）×200（后宽）×280（深度）×490（高度）mm。</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813.62</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9763.44</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27</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功放</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6</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台</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1.采用配对大功率管作输出，卡包功放；</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2.双混响芯片，MP3+蓝牙功能，自动抑制啸叫功能；</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3.采用电磁屏蔽环形变压器供电；</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4.采用数码混响IC，话筒有立体声效果、卡拉OK杜比降噪系统；</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5.本机设有安全保护系统，自动故障检测功能；</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6.温控无极变速风扇；</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7.输出功率/8Ω：150W*2；</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8.输出功率/4Ω：260W*2；</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9.频率响应：20-20KHz；</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●10.信噪比：70db；</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11.输入灵敏度：mic:12mV  MUSIC:300mV；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12.重量约：14KG；</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13.尺寸约：486*350*132mm。</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1641.01</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9846.06</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6"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28</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一拖四无线麦克风</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4</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套</w:t>
            </w:r>
          </w:p>
        </w:tc>
        <w:tc>
          <w:tcPr>
            <w:tcW w:w="4050"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一、功能要求：</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1.采用ID码导频技术，ID随机码16位，能解决同频、串频现象；</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2.系统采用数字音码锁定技术，能阻隔环境中信号干扰；</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3.接收机采用全金属机身，标准1U高度，配置挂耳可安装于标准机柜；</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●4.接收机采用四通道UHF无线通信，每个通道150个频点可选，可切换频点总数600个；</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5.采用彩色TFT显示屏，能调节菜单功能；</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6.发射器采用LCD显示屏，可实时反馈系统工作状态，可实时反馈系统工作状态，可显示电池电量、信号强度、工作频率；</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7.内设自动扫频功能，可选出频点；</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8.接收机音频信号输出口总数6个，1*6.3mm混合输出，1*XLR混合平衡输出，4*XLR通道平衡输出；</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9.配置：主机*1+桌面鹅颈麦克风*4。</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二、技术参数：</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1.频率范围：610-690MHz(±0.1MHz)；</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2.信噪比95±5dBu@A计权；</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3.有效无线传输距离150m（空旷距离）；</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4.每个通道150个频点可选；</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5.动态范围：90dB；</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6.失真度：&lt;0.5%；</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7.频率响应：30-20KHz/±2dB；</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8.信噪比：90dB；</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9.接收灵敏度：-95dBm；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10.电源供应：DC12V-18V 1.5A；</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11.音频输出接口6个：1*6.3mm混合输出，1*XLR混合平衡输出，4*XLR通道平衡输出；</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12.主机尺寸（长*宽*高）约：420.4x188x45mm；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13.主机重量约：1270g。</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三、桌面无线话筒：</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1.频率切换：红外同步；</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2.发射功率：20mW；</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3.调製方式：DQPSK；</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4.高次谐波：低于主波基准40dB以上；</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5.使用电池：1.5V AA电池3节；</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6.连续使用时间：&gt;10小时；</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7.尺寸约：156.5x116.3x68.5mm；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8.重量约：800g；</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9.鹅颈咪杆长度约：426mm。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四、手持无线麦克风：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1.载波频段：UHF640-690MHz可选；</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2.频宽：50MHz；</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3.频率切换：红外线同步；</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4.输出功率：30mW；</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5.谐波辐射：&lt;-50dBc；</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6.使用电池：1.5V AA电池2节；</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7.电池使用时间：&gt;8小时。</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1060.59</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4242.36</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vMerge w:val="continue"/>
            <w:tcBorders>
              <w:left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p>
        </w:tc>
        <w:tc>
          <w:tcPr>
            <w:tcW w:w="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after="0" w:line="440" w:lineRule="atLeast"/>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29</w:t>
            </w:r>
          </w:p>
        </w:tc>
        <w:tc>
          <w:tcPr>
            <w:tcW w:w="70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设备机柜</w:t>
            </w:r>
          </w:p>
        </w:tc>
        <w:tc>
          <w:tcPr>
            <w:tcW w:w="750" w:type="dxa"/>
            <w:tcBorders>
              <w:top w:val="single" w:color="auto" w:sz="4" w:space="0"/>
              <w:left w:val="single" w:color="auto" w:sz="4" w:space="0"/>
              <w:bottom w:val="single" w:color="auto" w:sz="4"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w:t>
            </w:r>
          </w:p>
        </w:tc>
        <w:tc>
          <w:tcPr>
            <w:tcW w:w="641" w:type="dxa"/>
            <w:tcBorders>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台</w:t>
            </w:r>
          </w:p>
        </w:tc>
        <w:tc>
          <w:tcPr>
            <w:tcW w:w="4050" w:type="dxa"/>
            <w:tcBorders>
              <w:left w:val="single" w:color="auto" w:sz="4" w:space="0"/>
              <w:bottom w:val="single" w:color="000000" w:sz="8" w:space="0"/>
              <w:right w:val="single" w:color="auto" w:sz="4" w:space="0"/>
            </w:tcBorders>
            <w:vAlign w:val="center"/>
          </w:tcPr>
          <w:p>
            <w:pPr>
              <w:widowControl/>
              <w:tabs>
                <w:tab w:val="center" w:pos="4153"/>
                <w:tab w:val="right" w:pos="8306"/>
              </w:tabs>
              <w:snapToGrid w:val="0"/>
              <w:spacing w:after="0" w:line="440" w:lineRule="atLeast"/>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1.规格约：宽 600mm×深 600mm×高 1000mm；标高 42U，单条安装立柱提供上、中、下 3 个固定点；</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2.材料：主框架采用标准六立柱框架结构，机柜选冷轧钢板材料，承重部件安装（立柱、托板、L 型托架）材料厚度≥2.0mm，前、后门板材料厚度≥1.2mm；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3.结构：框架式标准六立柱结构，支持进线方式，配置侧密闭气流遏制组件。前、后门网孔设计，透风率高达 72%以上；</w:t>
            </w:r>
          </w:p>
          <w:p>
            <w:pPr>
              <w:numPr>
                <w:ilvl w:val="0"/>
                <w:numId w:val="1"/>
              </w:numPr>
              <w:snapToGrid w:val="0"/>
              <w:spacing w:after="0" w:line="440" w:lineRule="atLeast"/>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屏蔽网线1箱</w:t>
            </w:r>
            <w:r>
              <w:rPr>
                <w:rFonts w:hint="eastAsia" w:ascii="宋体" w:hAnsi="宋体" w:cs="宋体"/>
                <w:color w:val="auto"/>
                <w:szCs w:val="21"/>
                <w:highlight w:val="none"/>
              </w:rPr>
              <w:t>（≥305米/箱）</w:t>
            </w:r>
            <w:r>
              <w:rPr>
                <w:rFonts w:hint="eastAsia" w:ascii="宋体" w:hAnsi="宋体" w:cs="宋体"/>
                <w:color w:val="auto"/>
                <w:kern w:val="0"/>
                <w:szCs w:val="21"/>
                <w:highlight w:val="none"/>
                <w:lang w:bidi="ar"/>
              </w:rPr>
              <w:t>：采用4对双绞线结构，8根线芯，每两根线芯相互缠绕形成一个线对，分别为橙白/橙、绿白/绿、蓝白/蓝、棕白/棕；</w:t>
            </w:r>
          </w:p>
          <w:p>
            <w:pPr>
              <w:spacing w:after="0" w:line="440" w:lineRule="atLeas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5.音频线300米：接口：卡侬头音频线，线规：20 - 24AWG，导体：无氧铜，屏蔽：具有屏蔽设计；</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6.窗帘24米：尺寸约：2400cm*280cm，包括窗帘杆等五金件及安装。</w:t>
            </w:r>
          </w:p>
        </w:tc>
        <w:tc>
          <w:tcPr>
            <w:tcW w:w="823"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4558.06</w:t>
            </w:r>
          </w:p>
        </w:tc>
        <w:tc>
          <w:tcPr>
            <w:tcW w:w="941" w:type="dxa"/>
            <w:tcBorders>
              <w:left w:val="single" w:color="auto" w:sz="4" w:space="0"/>
              <w:bottom w:val="single" w:color="000000" w:sz="8" w:space="0"/>
              <w:right w:val="single" w:color="auto" w:sz="4" w:space="0"/>
            </w:tcBorders>
            <w:vAlign w:val="center"/>
          </w:tcPr>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9116.12</w:t>
            </w:r>
          </w:p>
        </w:tc>
        <w:tc>
          <w:tcPr>
            <w:tcW w:w="883" w:type="dxa"/>
            <w:tcBorders>
              <w:left w:val="single" w:color="auto" w:sz="4" w:space="0"/>
              <w:bottom w:val="single" w:color="000000" w:sz="8" w:space="0"/>
              <w:right w:val="single" w:color="auto" w:sz="4" w:space="0"/>
            </w:tcBorders>
            <w:vAlign w:val="center"/>
          </w:tcPr>
          <w:p>
            <w:pPr>
              <w:spacing w:after="0" w:line="4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tcBorders>
              <w:top w:val="single" w:color="auto" w:sz="4" w:space="0"/>
              <w:left w:val="single" w:color="auto" w:sz="4" w:space="0"/>
              <w:bottom w:val="single" w:color="auto" w:sz="4" w:space="0"/>
              <w:right w:val="single" w:color="auto" w:sz="4" w:space="0"/>
            </w:tcBorders>
            <w:vAlign w:val="center"/>
          </w:tcPr>
          <w:p>
            <w:pPr>
              <w:spacing w:after="0" w:line="440" w:lineRule="atLeast"/>
              <w:rPr>
                <w:rFonts w:hint="eastAsia" w:ascii="宋体" w:hAnsi="宋体" w:cs="宋体"/>
                <w:color w:val="auto"/>
                <w:szCs w:val="21"/>
                <w:highlight w:val="none"/>
              </w:rPr>
            </w:pPr>
            <w:r>
              <w:rPr>
                <w:rFonts w:hint="eastAsia" w:ascii="宋体" w:hAnsi="宋体" w:cs="宋体"/>
                <w:b/>
                <w:color w:val="auto"/>
                <w:szCs w:val="21"/>
                <w:highlight w:val="none"/>
              </w:rPr>
              <w:t>商务条款</w:t>
            </w:r>
          </w:p>
        </w:tc>
        <w:tc>
          <w:tcPr>
            <w:tcW w:w="9288" w:type="dxa"/>
            <w:gridSpan w:val="8"/>
            <w:tcBorders>
              <w:top w:val="single" w:color="auto" w:sz="4" w:space="0"/>
              <w:left w:val="single" w:color="auto" w:sz="4" w:space="0"/>
              <w:bottom w:val="single" w:color="auto" w:sz="4" w:space="0"/>
              <w:right w:val="single" w:color="auto" w:sz="4" w:space="0"/>
            </w:tcBorders>
          </w:tcPr>
          <w:p>
            <w:pPr>
              <w:widowControl/>
              <w:spacing w:after="0" w:line="440" w:lineRule="atLeast"/>
              <w:jc w:val="left"/>
              <w:textAlignment w:val="center"/>
              <w:rPr>
                <w:rFonts w:hint="eastAsia" w:ascii="宋体" w:hAnsi="宋体" w:cs="宋体"/>
                <w:b/>
                <w:bCs/>
                <w:color w:val="auto"/>
                <w:kern w:val="0"/>
                <w:szCs w:val="21"/>
                <w:highlight w:val="none"/>
                <w:lang w:bidi="ar"/>
              </w:rPr>
            </w:pPr>
            <w:r>
              <w:rPr>
                <w:rFonts w:hint="eastAsia" w:ascii="宋体" w:hAnsi="宋体" w:cs="宋体"/>
                <w:color w:val="auto"/>
                <w:szCs w:val="21"/>
                <w:highlight w:val="none"/>
              </w:rPr>
              <w:t>▲</w:t>
            </w:r>
            <w:r>
              <w:rPr>
                <w:rFonts w:hint="eastAsia" w:ascii="宋体" w:hAnsi="宋体" w:cs="宋体"/>
                <w:b/>
                <w:bCs/>
                <w:color w:val="auto"/>
                <w:kern w:val="0"/>
                <w:szCs w:val="21"/>
                <w:highlight w:val="none"/>
                <w:lang w:bidi="ar"/>
              </w:rPr>
              <w:t>1.合同签订要求</w:t>
            </w:r>
          </w:p>
          <w:p>
            <w:pPr>
              <w:widowControl/>
              <w:spacing w:after="0" w:line="440" w:lineRule="atLeast"/>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（1）中标人自中标通知书发出之日起25日内与采购人签订合同。</w:t>
            </w:r>
          </w:p>
          <w:p>
            <w:pPr>
              <w:widowControl/>
              <w:spacing w:after="0" w:line="440" w:lineRule="atLeast"/>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（2）中标人不得将项目转包，如发现有转包行为，采购人有权按中标候选人推荐顺序确定中标人，也可以重新组织采购。</w:t>
            </w:r>
          </w:p>
          <w:p>
            <w:pPr>
              <w:widowControl/>
              <w:spacing w:after="0" w:line="440" w:lineRule="atLeast"/>
              <w:jc w:val="left"/>
              <w:textAlignment w:val="center"/>
              <w:rPr>
                <w:rFonts w:hint="eastAsia"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2.交付要求</w:t>
            </w:r>
          </w:p>
          <w:p>
            <w:pPr>
              <w:widowControl/>
              <w:spacing w:after="0" w:line="440" w:lineRule="atLeast"/>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w:t>
            </w:r>
            <w:r>
              <w:rPr>
                <w:rFonts w:hint="eastAsia" w:ascii="宋体" w:hAnsi="宋体" w:cs="宋体"/>
                <w:color w:val="auto"/>
                <w:kern w:val="0"/>
                <w:szCs w:val="21"/>
                <w:highlight w:val="none"/>
                <w:lang w:bidi="ar"/>
              </w:rPr>
              <w:t>（1）交付时间：自合同签订之日起30个工作日内将货物运至采购人指定地点，并完成安装调试。（2）交付地点：</w:t>
            </w:r>
            <w:r>
              <w:rPr>
                <w:rStyle w:val="40"/>
                <w:rFonts w:hint="eastAsia" w:ascii="宋体" w:hAnsi="宋体" w:cs="宋体"/>
                <w:color w:val="auto"/>
                <w:kern w:val="0"/>
                <w:highlight w:val="none"/>
                <w:lang w:bidi="ar"/>
              </w:rPr>
              <w:t>广西医科大学武鸣校区，</w:t>
            </w:r>
            <w:r>
              <w:rPr>
                <w:rFonts w:hint="eastAsia" w:ascii="宋体" w:hAnsi="宋体" w:cs="宋体"/>
                <w:color w:val="auto"/>
                <w:kern w:val="0"/>
                <w:szCs w:val="21"/>
                <w:highlight w:val="none"/>
                <w:lang w:bidi="ar"/>
              </w:rPr>
              <w:t>采购人指定地点。</w:t>
            </w:r>
          </w:p>
          <w:p>
            <w:pPr>
              <w:widowControl/>
              <w:spacing w:after="0" w:line="440" w:lineRule="atLeast"/>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中标人提供不符合合同规定的货物/服务，采购人有权拒绝接受。中标人应根据货物不同的特性和要求采取防潮、防雨、防锈、防震、防腐等保护措施，以保证货物安全无损地到达采购人指定地点，中标人应承担因包装不当导致交付的合同标的物受损的责任。</w:t>
            </w:r>
          </w:p>
          <w:p>
            <w:pPr>
              <w:widowControl/>
              <w:spacing w:after="0" w:line="440" w:lineRule="atLeast"/>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安装调试：中标人负责在采购人指定的时间内，按照要求完成货物的安装调试。中标人应严格遵守安全法律法规，采取安全保障措施，保证人员安全。因中标人原因造成的人员伤亡和财产损失，均由中标人承担。</w:t>
            </w:r>
          </w:p>
          <w:p>
            <w:pPr>
              <w:widowControl/>
              <w:spacing w:after="0" w:line="440" w:lineRule="atLeast"/>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（5）中标人应将所提供货物的装箱清单、用户手册、原厂保修卡、随机资料、工具和备品、备件等一并进行交付，如有缺失应及时补齐，否则视为逾期交货。</w:t>
            </w:r>
          </w:p>
          <w:p>
            <w:pPr>
              <w:widowControl/>
              <w:spacing w:after="0" w:line="440" w:lineRule="atLeast"/>
              <w:jc w:val="left"/>
              <w:textAlignment w:val="center"/>
              <w:rPr>
                <w:rFonts w:hint="eastAsia"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3.验收方法及要求</w:t>
            </w:r>
          </w:p>
          <w:p>
            <w:pPr>
              <w:widowControl/>
              <w:spacing w:after="0" w:line="440" w:lineRule="atLeast"/>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（1）中标人按要求完成交付后，应以书面形式正式向采购人递交验收申请书，采购人收到验收申请书后，按照采购人单位规定流程组织项目验收。</w:t>
            </w:r>
          </w:p>
          <w:p>
            <w:pPr>
              <w:widowControl/>
              <w:spacing w:after="0" w:line="440" w:lineRule="atLeast"/>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验收内容应按照合同内容逐项进行验收，包括但不限于全部设备、产品、型号、规格、数量、外型、外观、包装及资料、文件（如装箱单、保修单、随箱介质等）/各项服务等里程碑的交付物，所提供的货物/服务是否符合本合同要求，如符合，则认为验收合格，采购人应在验收单上签字确认；如不符合，双方均有权向相关部门申请鉴定，鉴定费由中标人承担，验收结果以采购人签署的验收证明为准。</w:t>
            </w:r>
          </w:p>
          <w:p>
            <w:pPr>
              <w:widowControl/>
              <w:spacing w:after="0" w:line="440" w:lineRule="atLeast"/>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（3）在验收过程中发现中标人有违约问题，暂缓资金结算，待违约问题解决后，方可办理资金结算事宜，在此期间，采购人不承担逾期付款责任。</w:t>
            </w:r>
          </w:p>
          <w:p>
            <w:pPr>
              <w:widowControl/>
              <w:spacing w:after="0" w:line="440" w:lineRule="atLeast"/>
              <w:jc w:val="left"/>
              <w:textAlignment w:val="center"/>
              <w:rPr>
                <w:rFonts w:hint="eastAsia" w:ascii="宋体" w:hAnsi="宋体" w:cs="宋体"/>
                <w:b/>
                <w:bCs/>
                <w:color w:val="auto"/>
                <w:kern w:val="0"/>
                <w:szCs w:val="21"/>
                <w:highlight w:val="none"/>
                <w:lang w:bidi="ar"/>
              </w:rPr>
            </w:pPr>
            <w:r>
              <w:rPr>
                <w:rFonts w:hint="eastAsia" w:ascii="宋体" w:hAnsi="宋体" w:cs="宋体"/>
                <w:color w:val="auto"/>
                <w:kern w:val="0"/>
                <w:szCs w:val="21"/>
                <w:highlight w:val="none"/>
                <w:lang w:bidi="ar"/>
              </w:rPr>
              <w:t>（4）</w:t>
            </w:r>
            <w:r>
              <w:rPr>
                <w:rFonts w:hint="eastAsia" w:ascii="宋体" w:hAnsi="宋体" w:cs="宋体"/>
                <w:color w:val="auto"/>
                <w:szCs w:val="21"/>
                <w:highlight w:val="none"/>
              </w:rPr>
              <w:t>如国家法律法规对产品有强制性认证的要求，中标供应商验收时提交产品有效的强制性认证证明材料</w:t>
            </w:r>
            <w:r>
              <w:rPr>
                <w:rFonts w:hint="eastAsia" w:ascii="宋体" w:hAnsi="宋体" w:cs="宋体"/>
                <w:color w:val="auto"/>
                <w:kern w:val="0"/>
                <w:szCs w:val="21"/>
                <w:highlight w:val="none"/>
                <w:lang w:bidi="ar"/>
              </w:rPr>
              <w:t>（技术要求中有特别要求的按特别要求）</w:t>
            </w:r>
            <w:r>
              <w:rPr>
                <w:rFonts w:hint="eastAsia" w:ascii="宋体" w:hAnsi="宋体" w:cs="宋体"/>
                <w:color w:val="auto"/>
                <w:szCs w:val="21"/>
                <w:highlight w:val="none"/>
              </w:rPr>
              <w:t>。</w:t>
            </w:r>
          </w:p>
          <w:p>
            <w:pPr>
              <w:widowControl/>
              <w:spacing w:after="0" w:line="440" w:lineRule="atLeast"/>
              <w:jc w:val="left"/>
              <w:textAlignment w:val="center"/>
              <w:rPr>
                <w:rFonts w:hint="eastAsia"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4.培训要求</w:t>
            </w:r>
          </w:p>
          <w:p>
            <w:pPr>
              <w:widowControl/>
              <w:spacing w:after="0" w:line="440" w:lineRule="atLeast"/>
              <w:ind w:firstLine="210" w:firstLineChars="100"/>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提供设备使用相关技术的培训；培训不少于5天。</w:t>
            </w:r>
          </w:p>
          <w:p>
            <w:pPr>
              <w:widowControl/>
              <w:spacing w:after="0" w:line="440" w:lineRule="atLeast"/>
              <w:jc w:val="left"/>
              <w:textAlignment w:val="center"/>
              <w:rPr>
                <w:rFonts w:hint="eastAsia" w:ascii="宋体" w:hAnsi="宋体" w:cs="宋体"/>
                <w:b/>
                <w:bCs/>
                <w:color w:val="auto"/>
                <w:kern w:val="0"/>
                <w:szCs w:val="21"/>
                <w:highlight w:val="none"/>
                <w:lang w:bidi="ar"/>
              </w:rPr>
            </w:pPr>
            <w:r>
              <w:rPr>
                <w:rFonts w:hint="eastAsia" w:ascii="宋体" w:hAnsi="宋体" w:cs="宋体"/>
                <w:color w:val="auto"/>
                <w:szCs w:val="21"/>
                <w:highlight w:val="none"/>
              </w:rPr>
              <w:t>▲</w:t>
            </w:r>
            <w:r>
              <w:rPr>
                <w:rFonts w:hint="eastAsia" w:ascii="宋体" w:hAnsi="宋体" w:cs="宋体"/>
                <w:b/>
                <w:bCs/>
                <w:color w:val="auto"/>
                <w:kern w:val="0"/>
                <w:szCs w:val="21"/>
                <w:highlight w:val="none"/>
                <w:lang w:bidi="ar"/>
              </w:rPr>
              <w:t>5.支付要求</w:t>
            </w:r>
          </w:p>
          <w:p>
            <w:pPr>
              <w:widowControl/>
              <w:snapToGrid w:val="0"/>
              <w:spacing w:after="0" w:line="400" w:lineRule="exact"/>
              <w:ind w:firstLine="420" w:firstLineChars="200"/>
              <w:jc w:val="left"/>
              <w:textAlignment w:val="auto"/>
              <w:rPr>
                <w:rFonts w:hint="eastAsia" w:ascii="宋体" w:hAnsi="宋体" w:cs="宋体"/>
                <w:b/>
                <w:bCs/>
                <w:color w:val="auto"/>
                <w:kern w:val="0"/>
                <w:szCs w:val="21"/>
                <w:highlight w:val="none"/>
                <w:lang w:bidi="ar"/>
              </w:rPr>
            </w:pPr>
            <w:r>
              <w:rPr>
                <w:rFonts w:hint="eastAsia" w:ascii="宋体" w:hAnsi="宋体" w:cs="宋体"/>
                <w:color w:val="auto"/>
                <w:szCs w:val="21"/>
                <w:highlight w:val="none"/>
              </w:rPr>
              <w:t>自签订合同之日起十个工作日内，采购人支付合同款总额30%作为预付款，货物交付并验收合格，中标人提供相应金额真实、合法、有效的正式发票后，采购人十个工作日内支付剩余款项。</w:t>
            </w:r>
            <w:r>
              <w:rPr>
                <w:rFonts w:hint="eastAsia" w:ascii="宋体" w:hAnsi="宋体"/>
                <w:color w:val="auto"/>
                <w:szCs w:val="21"/>
                <w:highlight w:val="none"/>
              </w:rPr>
              <w:t>【乙方应提供货款全额的发票（货物采购须开具增值税专用发票）】。</w:t>
            </w:r>
            <w:r>
              <w:rPr>
                <w:rFonts w:hint="eastAsia" w:ascii="宋体" w:hAnsi="宋体" w:cs="宋体"/>
                <w:color w:val="auto"/>
                <w:kern w:val="0"/>
                <w:szCs w:val="21"/>
                <w:highlight w:val="none"/>
              </w:rPr>
              <w:t xml:space="preserve">  </w:t>
            </w:r>
          </w:p>
          <w:p>
            <w:pPr>
              <w:widowControl/>
              <w:spacing w:after="0" w:line="440" w:lineRule="atLeast"/>
              <w:jc w:val="left"/>
              <w:textAlignment w:val="center"/>
              <w:rPr>
                <w:rFonts w:hint="eastAsia"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6.售后服务要求</w:t>
            </w:r>
          </w:p>
          <w:p>
            <w:pPr>
              <w:tabs>
                <w:tab w:val="center" w:pos="4680"/>
                <w:tab w:val="right" w:pos="9360"/>
              </w:tabs>
              <w:snapToGrid w:val="0"/>
              <w:spacing w:after="0" w:line="440" w:lineRule="atLeast"/>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kern w:val="0"/>
                <w:szCs w:val="21"/>
                <w:highlight w:val="none"/>
                <w:lang w:bidi="ar"/>
              </w:rPr>
              <w:t>（1）按国家有关产品“三包”规定执行“三包”，质保不少于5年（技术要求中有特别要求的按特别要求）。自设备验收合格并能正常使用之日算起。如投标文件中提供产品生产厂家对质保期的承诺，与投标人承诺不一致的，以生产厂家承诺为准</w:t>
            </w:r>
            <w:r>
              <w:rPr>
                <w:rFonts w:hint="eastAsia" w:ascii="宋体" w:hAnsi="宋体" w:cs="宋体"/>
                <w:color w:val="auto"/>
                <w:szCs w:val="21"/>
                <w:highlight w:val="none"/>
              </w:rPr>
              <w:t>。</w:t>
            </w:r>
          </w:p>
          <w:p>
            <w:pPr>
              <w:tabs>
                <w:tab w:val="center" w:pos="4680"/>
                <w:tab w:val="right" w:pos="9360"/>
              </w:tabs>
              <w:snapToGrid w:val="0"/>
              <w:spacing w:after="0" w:line="440" w:lineRule="atLeast"/>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（2）</w:t>
            </w:r>
            <w:r>
              <w:rPr>
                <w:rFonts w:hint="eastAsia" w:ascii="宋体" w:hAnsi="宋体" w:cs="宋体"/>
                <w:color w:val="auto"/>
                <w:szCs w:val="21"/>
                <w:highlight w:val="none"/>
              </w:rPr>
              <w:t>质保期内，中标人负责更换所有设备维修配件，更换的零配件为原厂全新零配件。</w:t>
            </w:r>
          </w:p>
          <w:p>
            <w:pPr>
              <w:widowControl/>
              <w:spacing w:after="0" w:line="440" w:lineRule="atLeast"/>
              <w:jc w:val="left"/>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（3）</w:t>
            </w:r>
            <w:r>
              <w:rPr>
                <w:rFonts w:hint="eastAsia" w:ascii="宋体" w:hAnsi="宋体" w:cs="宋体"/>
                <w:color w:val="auto"/>
                <w:szCs w:val="21"/>
                <w:highlight w:val="none"/>
              </w:rPr>
              <w:t>在接到电话通知后，4小时内做出响应，24小时内到达维修现场。一般问题应在48小时内解决，重大问题或其它无法迅速解决的问题应在一周内解决，若出现问题无法解决，二个工作日内提供与原设备技术参数要求相同或高于原设备技术参数要求的备用产品，以保证采购人的正常工作。</w:t>
            </w:r>
          </w:p>
          <w:p>
            <w:pPr>
              <w:numPr>
                <w:ilvl w:val="255"/>
                <w:numId w:val="0"/>
              </w:numPr>
              <w:tabs>
                <w:tab w:val="center" w:pos="4153"/>
                <w:tab w:val="right" w:pos="8306"/>
              </w:tabs>
              <w:snapToGrid w:val="0"/>
              <w:spacing w:after="0" w:line="440" w:lineRule="atLeast"/>
              <w:jc w:val="left"/>
              <w:rPr>
                <w:rFonts w:hint="eastAsia" w:ascii="宋体" w:hAnsi="宋体" w:cs="宋体"/>
                <w:b/>
                <w:bCs/>
                <w:color w:val="auto"/>
                <w:kern w:val="0"/>
                <w:szCs w:val="21"/>
                <w:highlight w:val="none"/>
                <w:lang w:bidi="ar"/>
              </w:rPr>
            </w:pPr>
            <w:r>
              <w:rPr>
                <w:rFonts w:hint="eastAsia" w:ascii="宋体" w:hAnsi="宋体" w:cs="宋体"/>
                <w:color w:val="auto"/>
                <w:szCs w:val="21"/>
                <w:highlight w:val="none"/>
              </w:rPr>
              <w:t>▲</w:t>
            </w:r>
            <w:r>
              <w:rPr>
                <w:rFonts w:hint="eastAsia" w:ascii="宋体" w:hAnsi="宋体" w:cs="宋体"/>
                <w:b/>
                <w:bCs/>
                <w:color w:val="auto"/>
                <w:kern w:val="0"/>
                <w:szCs w:val="21"/>
                <w:highlight w:val="none"/>
                <w:lang w:bidi="ar"/>
              </w:rPr>
              <w:t>7.报价要求</w:t>
            </w:r>
          </w:p>
          <w:p>
            <w:pPr>
              <w:spacing w:after="0" w:line="440" w:lineRule="atLeast"/>
              <w:rPr>
                <w:rFonts w:hint="eastAsia" w:ascii="宋体" w:hAnsi="宋体" w:cs="宋体"/>
                <w:color w:val="auto"/>
                <w:szCs w:val="21"/>
                <w:highlight w:val="none"/>
              </w:rPr>
            </w:pPr>
            <w:r>
              <w:rPr>
                <w:rFonts w:hint="eastAsia" w:ascii="宋体" w:hAnsi="宋体" w:cs="宋体"/>
                <w:color w:val="auto"/>
                <w:szCs w:val="21"/>
                <w:highlight w:val="none"/>
              </w:rPr>
              <w:t>本项目报价为产品送达采购人指定地点进行安装，经采购人验收合格所发生的一切费用，其包括但不限于以下费用：产品（含主要设备、配件、辅材）供应、运输装卸费、保险费、安装费、调试费、税费、产品检验检测、本项目所有平台、系统对接费、操作人员培训费、管理费、验收费、售后服务、质保期技术支持及维护费用、必要的保险费用和各项税金、招标代理服务费等与本项目相关的一切费用</w:t>
            </w:r>
            <w:r>
              <w:rPr>
                <w:rFonts w:hint="eastAsia" w:ascii="宋体" w:hAnsi="宋体" w:cs="宋体"/>
                <w:color w:val="auto"/>
                <w:sz w:val="21"/>
                <w:szCs w:val="21"/>
                <w:highlight w:val="none"/>
                <w:lang w:eastAsia="zh-CN"/>
              </w:rPr>
              <w:t>。</w:t>
            </w:r>
            <w:r>
              <w:rPr>
                <w:rFonts w:hint="eastAsia" w:ascii="宋体" w:hAnsi="宋体" w:cs="宋体"/>
                <w:color w:val="auto"/>
                <w:szCs w:val="21"/>
                <w:highlight w:val="none"/>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459" w:type="dxa"/>
            <w:tcBorders>
              <w:top w:val="single" w:color="auto" w:sz="4" w:space="0"/>
              <w:left w:val="single" w:color="auto" w:sz="4" w:space="0"/>
              <w:right w:val="single" w:color="auto" w:sz="4" w:space="0"/>
            </w:tcBorders>
            <w:vAlign w:val="center"/>
          </w:tcPr>
          <w:p>
            <w:pPr>
              <w:spacing w:after="0" w:line="440" w:lineRule="atLeast"/>
              <w:jc w:val="center"/>
              <w:rPr>
                <w:rFonts w:hint="eastAsia" w:ascii="宋体" w:hAnsi="宋体" w:cs="宋体"/>
                <w:b/>
                <w:color w:val="auto"/>
                <w:szCs w:val="21"/>
                <w:highlight w:val="none"/>
              </w:rPr>
            </w:pPr>
            <w:r>
              <w:rPr>
                <w:rFonts w:hint="eastAsia" w:ascii="宋体" w:hAnsi="宋体" w:cs="宋体"/>
                <w:b/>
                <w:bCs/>
                <w:color w:val="auto"/>
                <w:szCs w:val="21"/>
                <w:highlight w:val="none"/>
              </w:rPr>
              <w:t>其他说明</w:t>
            </w:r>
          </w:p>
        </w:tc>
        <w:tc>
          <w:tcPr>
            <w:tcW w:w="9288" w:type="dxa"/>
            <w:gridSpan w:val="8"/>
            <w:tcBorders>
              <w:top w:val="single" w:color="auto" w:sz="4" w:space="0"/>
              <w:left w:val="single" w:color="auto" w:sz="4" w:space="0"/>
              <w:bottom w:val="single" w:color="auto" w:sz="4" w:space="0"/>
              <w:right w:val="single" w:color="auto" w:sz="4" w:space="0"/>
            </w:tcBorders>
          </w:tcPr>
          <w:p>
            <w:pPr>
              <w:widowControl/>
              <w:tabs>
                <w:tab w:val="left" w:pos="180"/>
                <w:tab w:val="left" w:pos="1620"/>
              </w:tabs>
              <w:spacing w:after="0" w:line="440" w:lineRule="atLeast"/>
              <w:rPr>
                <w:rFonts w:hint="eastAsia" w:ascii="宋体" w:hAnsi="宋体" w:cs="宋体"/>
                <w:color w:val="auto"/>
                <w:szCs w:val="21"/>
                <w:highlight w:val="none"/>
              </w:rPr>
            </w:pPr>
            <w:r>
              <w:rPr>
                <w:rFonts w:hint="eastAsia" w:ascii="宋体" w:hAnsi="宋体" w:cs="宋体"/>
                <w:color w:val="auto"/>
                <w:szCs w:val="21"/>
                <w:highlight w:val="none"/>
              </w:rPr>
              <w:t>1.进口产品说明：本项目货物不接受进口产品（即通过中国海关报关验放进入中国境内且产自关境外的产品）参与投标，如有进口产品参与投标的作无效标处理。</w:t>
            </w:r>
          </w:p>
          <w:p>
            <w:pPr>
              <w:widowControl/>
              <w:tabs>
                <w:tab w:val="left" w:pos="180"/>
                <w:tab w:val="left" w:pos="1620"/>
              </w:tabs>
              <w:spacing w:after="0" w:line="440" w:lineRule="atLeast"/>
              <w:rPr>
                <w:rFonts w:hint="eastAsia" w:ascii="宋体" w:hAnsi="宋体" w:cs="宋体"/>
                <w:color w:val="auto"/>
                <w:szCs w:val="21"/>
                <w:highlight w:val="none"/>
              </w:rPr>
            </w:pPr>
            <w:r>
              <w:rPr>
                <w:rFonts w:hint="eastAsia" w:ascii="宋体" w:hAnsi="宋体" w:cs="宋体"/>
                <w:color w:val="auto"/>
                <w:szCs w:val="21"/>
                <w:highlight w:val="none"/>
              </w:rPr>
              <w:t>2.核心产品：本项目的核心产品为“需求一览表”中第</w:t>
            </w:r>
            <w:r>
              <w:rPr>
                <w:rFonts w:hint="eastAsia" w:ascii="宋体" w:hAnsi="宋体" w:cs="宋体"/>
                <w:color w:val="auto"/>
                <w:szCs w:val="21"/>
                <w:highlight w:val="none"/>
                <w:u w:val="single"/>
              </w:rPr>
              <w:t xml:space="preserve"> 20  </w:t>
            </w:r>
            <w:r>
              <w:rPr>
                <w:rFonts w:hint="eastAsia" w:ascii="宋体" w:hAnsi="宋体" w:cs="宋体"/>
                <w:color w:val="auto"/>
                <w:szCs w:val="21"/>
                <w:highlight w:val="none"/>
              </w:rPr>
              <w:t>项标的产品：</w:t>
            </w:r>
            <w:r>
              <w:rPr>
                <w:rFonts w:hint="eastAsia" w:ascii="宋体" w:hAnsi="宋体" w:cs="宋体"/>
                <w:color w:val="auto"/>
                <w:szCs w:val="21"/>
                <w:highlight w:val="none"/>
                <w:u w:val="single"/>
              </w:rPr>
              <w:t xml:space="preserve"> 酶标仪(固定波长) </w:t>
            </w:r>
            <w:r>
              <w:rPr>
                <w:rFonts w:hint="eastAsia" w:ascii="宋体" w:hAnsi="宋体" w:cs="宋体"/>
                <w:color w:val="auto"/>
                <w:szCs w:val="21"/>
                <w:highlight w:val="none"/>
              </w:rPr>
              <w:t>。</w:t>
            </w:r>
          </w:p>
          <w:p>
            <w:pPr>
              <w:widowControl/>
              <w:tabs>
                <w:tab w:val="left" w:pos="180"/>
                <w:tab w:val="left" w:pos="1620"/>
              </w:tabs>
              <w:spacing w:after="0" w:line="440" w:lineRule="atLeast"/>
              <w:rPr>
                <w:rFonts w:hint="eastAsia" w:ascii="宋体" w:hAnsi="宋体" w:cs="宋体"/>
                <w:color w:val="auto"/>
                <w:szCs w:val="21"/>
                <w:highlight w:val="none"/>
              </w:rPr>
            </w:pPr>
            <w:r>
              <w:rPr>
                <w:rFonts w:hint="eastAsia" w:ascii="宋体" w:hAnsi="宋体" w:cs="宋体"/>
                <w:color w:val="auto"/>
                <w:szCs w:val="21"/>
                <w:highlight w:val="none"/>
              </w:rPr>
              <w:t>3.中标人未按规定的时间完成合同履约，导致采购人损失的，采购人有权单方面终止合同，所造成的损失由中标人承担。</w:t>
            </w:r>
          </w:p>
          <w:p>
            <w:pPr>
              <w:widowControl/>
              <w:tabs>
                <w:tab w:val="left" w:pos="180"/>
                <w:tab w:val="left" w:pos="1620"/>
              </w:tabs>
              <w:spacing w:after="0" w:line="440" w:lineRule="atLeast"/>
              <w:rPr>
                <w:rFonts w:hint="eastAsia" w:ascii="宋体" w:hAnsi="宋体" w:cs="宋体"/>
                <w:color w:val="auto"/>
                <w:szCs w:val="21"/>
                <w:highlight w:val="none"/>
              </w:rPr>
            </w:pPr>
            <w:r>
              <w:rPr>
                <w:rFonts w:hint="eastAsia" w:ascii="宋体" w:hAnsi="宋体" w:cs="宋体"/>
                <w:color w:val="auto"/>
                <w:szCs w:val="21"/>
                <w:highlight w:val="none"/>
              </w:rPr>
              <w:t>4.中标人提供的货物或服务如侵犯了第三方合法权益而引发的任何纠纷或诉讼，均由中标人负责交涉且承担全部赔偿责任，包括因知识产权造成采购人的经济损失。</w:t>
            </w:r>
          </w:p>
          <w:p>
            <w:pPr>
              <w:widowControl/>
              <w:tabs>
                <w:tab w:val="left" w:pos="180"/>
                <w:tab w:val="left" w:pos="1620"/>
              </w:tabs>
              <w:spacing w:after="0" w:line="440" w:lineRule="atLeast"/>
              <w:rPr>
                <w:rFonts w:hint="eastAsia" w:ascii="宋体" w:hAnsi="宋体" w:cs="宋体"/>
                <w:color w:val="auto"/>
                <w:szCs w:val="21"/>
                <w:highlight w:val="none"/>
              </w:rPr>
            </w:pPr>
            <w:r>
              <w:rPr>
                <w:rFonts w:hint="eastAsia" w:ascii="宋体" w:hAnsi="宋体" w:cs="宋体"/>
                <w:color w:val="auto"/>
                <w:szCs w:val="21"/>
                <w:highlight w:val="none"/>
              </w:rPr>
              <w:t>5.根据《国务院办公厅关于在政府采购中实施本国产品标准及相关政策的通知》（国办发〔2025〕34号）的规定，政府采购活动中既有本国产品又有非本国产品参与竞争的，依法对符合政策要求的本国产品给予价格评审优惠，具体详见“第四章 评标方法和评标标准”。产品在中国境内生产的组件成本，按照《中国境内生产的组件成本核算基本规则》（见附件3）计算。</w:t>
            </w:r>
          </w:p>
        </w:tc>
      </w:tr>
    </w:tbl>
    <w:p>
      <w:pPr>
        <w:rPr>
          <w:rFonts w:hint="eastAsia" w:ascii="宋体" w:hAnsi="宋体" w:cs="宋体"/>
          <w:b/>
          <w:bCs/>
          <w:color w:val="auto"/>
          <w:sz w:val="24"/>
          <w:highlight w:val="none"/>
        </w:rPr>
      </w:pPr>
    </w:p>
    <w:p>
      <w:pPr>
        <w:widowControl/>
        <w:jc w:val="left"/>
        <w:rPr>
          <w:rFonts w:hint="eastAsia" w:ascii="宋体" w:hAnsi="宋体" w:cs="宋体"/>
          <w:b/>
          <w:bCs/>
          <w:color w:val="auto"/>
          <w:sz w:val="24"/>
          <w:highlight w:val="none"/>
        </w:rPr>
      </w:pPr>
      <w:r>
        <w:rPr>
          <w:rFonts w:hint="eastAsia" w:ascii="宋体" w:hAnsi="宋体" w:cs="宋体"/>
          <w:b/>
          <w:bCs/>
          <w:color w:val="auto"/>
          <w:sz w:val="24"/>
          <w:highlight w:val="none"/>
        </w:rPr>
        <w:br w:type="page"/>
      </w:r>
    </w:p>
    <w:p>
      <w:pPr>
        <w:spacing w:line="428" w:lineRule="exact"/>
        <w:ind w:left="119"/>
        <w:rPr>
          <w:rFonts w:hint="eastAsia" w:ascii="宋体" w:hAnsi="宋体" w:cs="宋体"/>
          <w:color w:val="auto"/>
          <w:sz w:val="32"/>
          <w:szCs w:val="32"/>
          <w:highlight w:val="none"/>
        </w:rPr>
      </w:pPr>
      <w:r>
        <w:rPr>
          <w:rFonts w:hint="eastAsia" w:ascii="宋体" w:hAnsi="宋体" w:cs="宋体"/>
          <w:color w:val="auto"/>
          <w:highlight w:val="none"/>
        </w:rPr>
        <w:t xml:space="preserve"> </w:t>
      </w:r>
      <w:r>
        <w:rPr>
          <w:rFonts w:hint="eastAsia" w:ascii="宋体" w:hAnsi="宋体" w:cs="宋体"/>
          <w:color w:val="auto"/>
          <w:sz w:val="32"/>
          <w:szCs w:val="32"/>
          <w:highlight w:val="none"/>
        </w:rPr>
        <w:t>附件1</w:t>
      </w:r>
    </w:p>
    <w:p>
      <w:pPr>
        <w:spacing w:before="7"/>
        <w:rPr>
          <w:rFonts w:hint="eastAsia" w:ascii="宋体" w:hAnsi="宋体" w:cs="宋体"/>
          <w:color w:val="auto"/>
          <w:sz w:val="17"/>
          <w:szCs w:val="17"/>
          <w:highlight w:val="none"/>
        </w:rPr>
      </w:pPr>
    </w:p>
    <w:p>
      <w:pPr>
        <w:spacing w:line="528" w:lineRule="exact"/>
        <w:jc w:val="center"/>
        <w:rPr>
          <w:rFonts w:hint="eastAsia" w:ascii="宋体" w:hAnsi="宋体" w:cs="宋体"/>
          <w:color w:val="auto"/>
          <w:sz w:val="40"/>
          <w:szCs w:val="40"/>
          <w:highlight w:val="none"/>
        </w:rPr>
      </w:pPr>
      <w:r>
        <w:rPr>
          <w:rFonts w:hint="eastAsia" w:ascii="宋体" w:hAnsi="宋体" w:cs="宋体"/>
          <w:color w:val="auto"/>
          <w:sz w:val="40"/>
          <w:szCs w:val="40"/>
          <w:highlight w:val="none"/>
        </w:rPr>
        <w:t>节能产品政府采购品目清单</w:t>
      </w:r>
    </w:p>
    <w:tbl>
      <w:tblPr>
        <w:tblStyle w:val="27"/>
        <w:tblW w:w="9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1"/>
        <w:gridCol w:w="916"/>
        <w:gridCol w:w="1516"/>
        <w:gridCol w:w="1612"/>
        <w:gridCol w:w="4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41" w:type="dxa"/>
          </w:tcPr>
          <w:p>
            <w:pPr>
              <w:widowControl/>
              <w:jc w:val="center"/>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品目序号</w:t>
            </w:r>
          </w:p>
        </w:tc>
        <w:tc>
          <w:tcPr>
            <w:tcW w:w="4044" w:type="dxa"/>
            <w:gridSpan w:val="3"/>
            <w:vAlign w:val="center"/>
          </w:tcPr>
          <w:p>
            <w:pPr>
              <w:widowControl/>
              <w:jc w:val="center"/>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名称</w:t>
            </w:r>
          </w:p>
        </w:tc>
        <w:tc>
          <w:tcPr>
            <w:tcW w:w="4335" w:type="dxa"/>
            <w:vAlign w:val="center"/>
          </w:tcPr>
          <w:p>
            <w:pPr>
              <w:widowControl/>
              <w:jc w:val="center"/>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依据的标准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restart"/>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c>
          <w:tcPr>
            <w:tcW w:w="916" w:type="dxa"/>
            <w:vMerge w:val="restart"/>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A020101计算机设备</w:t>
            </w:r>
          </w:p>
        </w:tc>
        <w:tc>
          <w:tcPr>
            <w:tcW w:w="15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★A02010104台式计算机</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pPr>
              <w:widowControl/>
              <w:jc w:val="left"/>
              <w:rPr>
                <w:rFonts w:hint="eastAsia" w:ascii="宋体" w:hAnsi="宋体" w:cs="宋体"/>
                <w:color w:val="auto"/>
                <w:kern w:val="0"/>
                <w:sz w:val="20"/>
                <w:szCs w:val="20"/>
                <w:highlight w:val="none"/>
              </w:rPr>
            </w:pPr>
          </w:p>
        </w:tc>
        <w:tc>
          <w:tcPr>
            <w:tcW w:w="916" w:type="dxa"/>
            <w:vMerge w:val="continue"/>
            <w:vAlign w:val="center"/>
          </w:tcPr>
          <w:p>
            <w:pPr>
              <w:widowControl/>
              <w:jc w:val="left"/>
              <w:rPr>
                <w:rFonts w:hint="eastAsia" w:ascii="宋体" w:hAnsi="宋体" w:cs="宋体"/>
                <w:color w:val="auto"/>
                <w:kern w:val="0"/>
                <w:sz w:val="20"/>
                <w:szCs w:val="20"/>
                <w:highlight w:val="none"/>
              </w:rPr>
            </w:pPr>
          </w:p>
        </w:tc>
        <w:tc>
          <w:tcPr>
            <w:tcW w:w="15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★A02010105便携式计算机</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Merge w:val="continue"/>
            <w:vAlign w:val="center"/>
          </w:tcPr>
          <w:p>
            <w:pPr>
              <w:widowControl/>
              <w:jc w:val="left"/>
              <w:rPr>
                <w:rFonts w:hint="eastAsia" w:ascii="宋体" w:hAnsi="宋体" w:cs="宋体"/>
                <w:color w:val="auto"/>
                <w:kern w:val="0"/>
                <w:sz w:val="20"/>
                <w:szCs w:val="20"/>
                <w:highlight w:val="none"/>
              </w:rPr>
            </w:pPr>
          </w:p>
        </w:tc>
        <w:tc>
          <w:tcPr>
            <w:tcW w:w="916" w:type="dxa"/>
            <w:vMerge w:val="continue"/>
            <w:vAlign w:val="center"/>
          </w:tcPr>
          <w:p>
            <w:pPr>
              <w:widowControl/>
              <w:jc w:val="left"/>
              <w:rPr>
                <w:rFonts w:hint="eastAsia" w:ascii="宋体" w:hAnsi="宋体" w:cs="宋体"/>
                <w:color w:val="auto"/>
                <w:kern w:val="0"/>
                <w:sz w:val="20"/>
                <w:szCs w:val="20"/>
                <w:highlight w:val="none"/>
              </w:rPr>
            </w:pPr>
          </w:p>
        </w:tc>
        <w:tc>
          <w:tcPr>
            <w:tcW w:w="15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★A02010107平板式微型计算机</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restart"/>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c>
          <w:tcPr>
            <w:tcW w:w="916" w:type="dxa"/>
            <w:vMerge w:val="restart"/>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A020106输入输出设备</w:t>
            </w:r>
          </w:p>
        </w:tc>
        <w:tc>
          <w:tcPr>
            <w:tcW w:w="1516" w:type="dxa"/>
            <w:vMerge w:val="restart"/>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A02010601打印设备</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A0201060101喷墨打印机</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pPr>
              <w:widowControl/>
              <w:jc w:val="left"/>
              <w:rPr>
                <w:rFonts w:hint="eastAsia" w:ascii="宋体" w:hAnsi="宋体" w:cs="宋体"/>
                <w:color w:val="auto"/>
                <w:kern w:val="0"/>
                <w:sz w:val="20"/>
                <w:szCs w:val="20"/>
                <w:highlight w:val="none"/>
              </w:rPr>
            </w:pPr>
          </w:p>
        </w:tc>
        <w:tc>
          <w:tcPr>
            <w:tcW w:w="916" w:type="dxa"/>
            <w:vMerge w:val="continue"/>
            <w:vAlign w:val="center"/>
          </w:tcPr>
          <w:p>
            <w:pPr>
              <w:widowControl/>
              <w:jc w:val="left"/>
              <w:rPr>
                <w:rFonts w:hint="eastAsia" w:ascii="宋体" w:hAnsi="宋体" w:cs="宋体"/>
                <w:color w:val="auto"/>
                <w:kern w:val="0"/>
                <w:sz w:val="20"/>
                <w:szCs w:val="20"/>
                <w:highlight w:val="none"/>
              </w:rPr>
            </w:pPr>
          </w:p>
        </w:tc>
        <w:tc>
          <w:tcPr>
            <w:tcW w:w="1516" w:type="dxa"/>
            <w:vMerge w:val="continue"/>
            <w:vAlign w:val="center"/>
          </w:tcPr>
          <w:p>
            <w:pPr>
              <w:widowControl/>
              <w:jc w:val="left"/>
              <w:rPr>
                <w:rFonts w:hint="eastAsia" w:ascii="宋体" w:hAnsi="宋体" w:cs="宋体"/>
                <w:color w:val="auto"/>
                <w:kern w:val="0"/>
                <w:sz w:val="20"/>
                <w:szCs w:val="20"/>
                <w:highlight w:val="none"/>
              </w:rPr>
            </w:pP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★A0201060102激光打印机</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pPr>
              <w:widowControl/>
              <w:jc w:val="left"/>
              <w:rPr>
                <w:rFonts w:hint="eastAsia" w:ascii="宋体" w:hAnsi="宋体" w:cs="宋体"/>
                <w:color w:val="auto"/>
                <w:kern w:val="0"/>
                <w:sz w:val="20"/>
                <w:szCs w:val="20"/>
                <w:highlight w:val="none"/>
              </w:rPr>
            </w:pPr>
          </w:p>
        </w:tc>
        <w:tc>
          <w:tcPr>
            <w:tcW w:w="916" w:type="dxa"/>
            <w:vMerge w:val="continue"/>
            <w:vAlign w:val="center"/>
          </w:tcPr>
          <w:p>
            <w:pPr>
              <w:widowControl/>
              <w:jc w:val="left"/>
              <w:rPr>
                <w:rFonts w:hint="eastAsia" w:ascii="宋体" w:hAnsi="宋体" w:cs="宋体"/>
                <w:color w:val="auto"/>
                <w:kern w:val="0"/>
                <w:sz w:val="20"/>
                <w:szCs w:val="20"/>
                <w:highlight w:val="none"/>
              </w:rPr>
            </w:pPr>
          </w:p>
        </w:tc>
        <w:tc>
          <w:tcPr>
            <w:tcW w:w="1516" w:type="dxa"/>
            <w:vMerge w:val="continue"/>
            <w:vAlign w:val="center"/>
          </w:tcPr>
          <w:p>
            <w:pPr>
              <w:widowControl/>
              <w:jc w:val="left"/>
              <w:rPr>
                <w:rFonts w:hint="eastAsia" w:ascii="宋体" w:hAnsi="宋体" w:cs="宋体"/>
                <w:color w:val="auto"/>
                <w:kern w:val="0"/>
                <w:sz w:val="20"/>
                <w:szCs w:val="20"/>
                <w:highlight w:val="none"/>
              </w:rPr>
            </w:pP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★A0201060104针式打印机</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pPr>
              <w:widowControl/>
              <w:jc w:val="left"/>
              <w:rPr>
                <w:rFonts w:hint="eastAsia" w:ascii="宋体" w:hAnsi="宋体" w:cs="宋体"/>
                <w:color w:val="auto"/>
                <w:kern w:val="0"/>
                <w:sz w:val="20"/>
                <w:szCs w:val="20"/>
                <w:highlight w:val="none"/>
              </w:rPr>
            </w:pPr>
          </w:p>
        </w:tc>
        <w:tc>
          <w:tcPr>
            <w:tcW w:w="916" w:type="dxa"/>
            <w:vMerge w:val="continue"/>
            <w:vAlign w:val="center"/>
          </w:tcPr>
          <w:p>
            <w:pPr>
              <w:widowControl/>
              <w:jc w:val="left"/>
              <w:rPr>
                <w:rFonts w:hint="eastAsia" w:ascii="宋体" w:hAnsi="宋体" w:cs="宋体"/>
                <w:color w:val="auto"/>
                <w:kern w:val="0"/>
                <w:sz w:val="20"/>
                <w:szCs w:val="20"/>
                <w:highlight w:val="none"/>
              </w:rPr>
            </w:pPr>
          </w:p>
        </w:tc>
        <w:tc>
          <w:tcPr>
            <w:tcW w:w="15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A02010604显示设备</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★A0201060401液晶显示器</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《计算机显示器能效限定值及能效等级》（GB21520）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841" w:type="dxa"/>
            <w:vMerge w:val="continue"/>
            <w:vAlign w:val="center"/>
          </w:tcPr>
          <w:p>
            <w:pPr>
              <w:widowControl/>
              <w:jc w:val="left"/>
              <w:rPr>
                <w:rFonts w:hint="eastAsia" w:ascii="宋体" w:hAnsi="宋体" w:cs="宋体"/>
                <w:color w:val="auto"/>
                <w:kern w:val="0"/>
                <w:sz w:val="20"/>
                <w:szCs w:val="20"/>
                <w:highlight w:val="none"/>
              </w:rPr>
            </w:pPr>
          </w:p>
        </w:tc>
        <w:tc>
          <w:tcPr>
            <w:tcW w:w="916" w:type="dxa"/>
            <w:vMerge w:val="continue"/>
            <w:vAlign w:val="center"/>
          </w:tcPr>
          <w:p>
            <w:pPr>
              <w:widowControl/>
              <w:jc w:val="left"/>
              <w:rPr>
                <w:rFonts w:hint="eastAsia" w:ascii="宋体" w:hAnsi="宋体" w:cs="宋体"/>
                <w:color w:val="auto"/>
                <w:kern w:val="0"/>
                <w:sz w:val="20"/>
                <w:szCs w:val="20"/>
                <w:highlight w:val="none"/>
              </w:rPr>
            </w:pPr>
          </w:p>
        </w:tc>
        <w:tc>
          <w:tcPr>
            <w:tcW w:w="15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A02010609图形图像输入设备</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A0201060901扫描仪</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参照《复印机、打印机和传真机能效限定值及能效等级》（GB21521）中打印速度为15页/分的针式打印机相关要求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3</w:t>
            </w:r>
          </w:p>
        </w:tc>
        <w:tc>
          <w:tcPr>
            <w:tcW w:w="9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A020202投影仪</w:t>
            </w:r>
          </w:p>
        </w:tc>
        <w:tc>
          <w:tcPr>
            <w:tcW w:w="15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《投影机能效限定值及能效等级》（GB32028）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4</w:t>
            </w:r>
          </w:p>
        </w:tc>
        <w:tc>
          <w:tcPr>
            <w:tcW w:w="9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A020204多功能一体机</w:t>
            </w:r>
          </w:p>
        </w:tc>
        <w:tc>
          <w:tcPr>
            <w:tcW w:w="15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5</w:t>
            </w:r>
          </w:p>
        </w:tc>
        <w:tc>
          <w:tcPr>
            <w:tcW w:w="9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A020519泵</w:t>
            </w:r>
          </w:p>
        </w:tc>
        <w:tc>
          <w:tcPr>
            <w:tcW w:w="15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A02051901离心泵</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《清水离心泵能效限定值及节能评价值》（GB19762）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Merge w:val="restart"/>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6</w:t>
            </w:r>
          </w:p>
        </w:tc>
        <w:tc>
          <w:tcPr>
            <w:tcW w:w="916" w:type="dxa"/>
            <w:vMerge w:val="restart"/>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A020523制冷空调设备</w:t>
            </w:r>
          </w:p>
        </w:tc>
        <w:tc>
          <w:tcPr>
            <w:tcW w:w="1516" w:type="dxa"/>
            <w:vMerge w:val="restart"/>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★A02052301制冷压缩机</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冷水机组</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《冷水机组能效限定值及能效等级》（GB19577），《低环境温度空气源热泵（冷水）机组能效限定值及能效等级》（GB37480）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pPr>
              <w:widowControl/>
              <w:jc w:val="left"/>
              <w:rPr>
                <w:rFonts w:hint="eastAsia" w:ascii="宋体" w:hAnsi="宋体" w:cs="宋体"/>
                <w:color w:val="auto"/>
                <w:kern w:val="0"/>
                <w:sz w:val="20"/>
                <w:szCs w:val="20"/>
                <w:highlight w:val="none"/>
              </w:rPr>
            </w:pPr>
          </w:p>
        </w:tc>
        <w:tc>
          <w:tcPr>
            <w:tcW w:w="916" w:type="dxa"/>
            <w:vMerge w:val="continue"/>
            <w:vAlign w:val="center"/>
          </w:tcPr>
          <w:p>
            <w:pPr>
              <w:widowControl/>
              <w:jc w:val="left"/>
              <w:rPr>
                <w:rFonts w:hint="eastAsia" w:ascii="宋体" w:hAnsi="宋体" w:cs="宋体"/>
                <w:color w:val="auto"/>
                <w:kern w:val="0"/>
                <w:sz w:val="20"/>
                <w:szCs w:val="20"/>
                <w:highlight w:val="none"/>
              </w:rPr>
            </w:pPr>
          </w:p>
        </w:tc>
        <w:tc>
          <w:tcPr>
            <w:tcW w:w="1516" w:type="dxa"/>
            <w:vMerge w:val="continue"/>
            <w:vAlign w:val="center"/>
          </w:tcPr>
          <w:p>
            <w:pPr>
              <w:widowControl/>
              <w:jc w:val="left"/>
              <w:rPr>
                <w:rFonts w:hint="eastAsia" w:ascii="宋体" w:hAnsi="宋体" w:cs="宋体"/>
                <w:color w:val="auto"/>
                <w:kern w:val="0"/>
                <w:sz w:val="20"/>
                <w:szCs w:val="20"/>
                <w:highlight w:val="none"/>
              </w:rPr>
            </w:pP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水源热泵机组</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《水（地）源热泵机组能效限定值及能效等级》（GB30721）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pPr>
              <w:widowControl/>
              <w:jc w:val="left"/>
              <w:rPr>
                <w:rFonts w:hint="eastAsia" w:ascii="宋体" w:hAnsi="宋体" w:cs="宋体"/>
                <w:color w:val="auto"/>
                <w:kern w:val="0"/>
                <w:sz w:val="20"/>
                <w:szCs w:val="20"/>
                <w:highlight w:val="none"/>
              </w:rPr>
            </w:pPr>
          </w:p>
        </w:tc>
        <w:tc>
          <w:tcPr>
            <w:tcW w:w="916" w:type="dxa"/>
            <w:vMerge w:val="continue"/>
            <w:vAlign w:val="center"/>
          </w:tcPr>
          <w:p>
            <w:pPr>
              <w:widowControl/>
              <w:jc w:val="left"/>
              <w:rPr>
                <w:rFonts w:hint="eastAsia" w:ascii="宋体" w:hAnsi="宋体" w:cs="宋体"/>
                <w:color w:val="auto"/>
                <w:kern w:val="0"/>
                <w:sz w:val="20"/>
                <w:szCs w:val="20"/>
                <w:highlight w:val="none"/>
              </w:rPr>
            </w:pPr>
          </w:p>
        </w:tc>
        <w:tc>
          <w:tcPr>
            <w:tcW w:w="1516" w:type="dxa"/>
            <w:vMerge w:val="continue"/>
            <w:vAlign w:val="center"/>
          </w:tcPr>
          <w:p>
            <w:pPr>
              <w:widowControl/>
              <w:jc w:val="left"/>
              <w:rPr>
                <w:rFonts w:hint="eastAsia" w:ascii="宋体" w:hAnsi="宋体" w:cs="宋体"/>
                <w:color w:val="auto"/>
                <w:kern w:val="0"/>
                <w:sz w:val="20"/>
                <w:szCs w:val="20"/>
                <w:highlight w:val="none"/>
              </w:rPr>
            </w:pP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溴化锂吸收式冷水机组</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《溴化锂吸收式冷水机组能效限定值及能效等级》（GB29540）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Merge w:val="continue"/>
            <w:vAlign w:val="center"/>
          </w:tcPr>
          <w:p>
            <w:pPr>
              <w:widowControl/>
              <w:jc w:val="left"/>
              <w:rPr>
                <w:rFonts w:hint="eastAsia" w:ascii="宋体" w:hAnsi="宋体" w:cs="宋体"/>
                <w:color w:val="auto"/>
                <w:kern w:val="0"/>
                <w:sz w:val="20"/>
                <w:szCs w:val="20"/>
                <w:highlight w:val="none"/>
              </w:rPr>
            </w:pPr>
          </w:p>
        </w:tc>
        <w:tc>
          <w:tcPr>
            <w:tcW w:w="916" w:type="dxa"/>
            <w:vMerge w:val="continue"/>
            <w:vAlign w:val="center"/>
          </w:tcPr>
          <w:p>
            <w:pPr>
              <w:widowControl/>
              <w:jc w:val="left"/>
              <w:rPr>
                <w:rFonts w:hint="eastAsia" w:ascii="宋体" w:hAnsi="宋体" w:cs="宋体"/>
                <w:color w:val="auto"/>
                <w:kern w:val="0"/>
                <w:sz w:val="20"/>
                <w:szCs w:val="20"/>
                <w:highlight w:val="none"/>
              </w:rPr>
            </w:pPr>
          </w:p>
        </w:tc>
        <w:tc>
          <w:tcPr>
            <w:tcW w:w="1516" w:type="dxa"/>
            <w:vMerge w:val="restart"/>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★A02052305空调机组</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多联式空调（热泵）机组(制冷量&gt;14000W)</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《多联式空调（热泵）机组能效限定值及能源效率等级》（GB21454）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Merge w:val="continue"/>
            <w:vAlign w:val="center"/>
          </w:tcPr>
          <w:p>
            <w:pPr>
              <w:widowControl/>
              <w:jc w:val="left"/>
              <w:rPr>
                <w:rFonts w:hint="eastAsia" w:ascii="宋体" w:hAnsi="宋体" w:cs="宋体"/>
                <w:color w:val="auto"/>
                <w:kern w:val="0"/>
                <w:sz w:val="20"/>
                <w:szCs w:val="20"/>
                <w:highlight w:val="none"/>
              </w:rPr>
            </w:pPr>
          </w:p>
        </w:tc>
        <w:tc>
          <w:tcPr>
            <w:tcW w:w="916" w:type="dxa"/>
            <w:vMerge w:val="continue"/>
            <w:vAlign w:val="center"/>
          </w:tcPr>
          <w:p>
            <w:pPr>
              <w:widowControl/>
              <w:jc w:val="left"/>
              <w:rPr>
                <w:rFonts w:hint="eastAsia" w:ascii="宋体" w:hAnsi="宋体" w:cs="宋体"/>
                <w:color w:val="auto"/>
                <w:kern w:val="0"/>
                <w:sz w:val="20"/>
                <w:szCs w:val="20"/>
                <w:highlight w:val="none"/>
              </w:rPr>
            </w:pPr>
          </w:p>
        </w:tc>
        <w:tc>
          <w:tcPr>
            <w:tcW w:w="1516" w:type="dxa"/>
            <w:vMerge w:val="continue"/>
            <w:vAlign w:val="center"/>
          </w:tcPr>
          <w:p>
            <w:pPr>
              <w:widowControl/>
              <w:jc w:val="left"/>
              <w:rPr>
                <w:rFonts w:hint="eastAsia" w:ascii="宋体" w:hAnsi="宋体" w:cs="宋体"/>
                <w:color w:val="auto"/>
                <w:kern w:val="0"/>
                <w:sz w:val="20"/>
                <w:szCs w:val="20"/>
                <w:highlight w:val="none"/>
              </w:rPr>
            </w:pP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单元式空气调节机(制冷量&gt;14000W</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《单元式空气调节机能效限定值及能效等级》（GB19576）《风管送风式空调机组能效限定值及能效等级》（GB37479）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Merge w:val="continue"/>
            <w:vAlign w:val="center"/>
          </w:tcPr>
          <w:p>
            <w:pPr>
              <w:widowControl/>
              <w:jc w:val="left"/>
              <w:rPr>
                <w:rFonts w:hint="eastAsia" w:ascii="宋体" w:hAnsi="宋体" w:cs="宋体"/>
                <w:color w:val="auto"/>
                <w:kern w:val="0"/>
                <w:sz w:val="20"/>
                <w:szCs w:val="20"/>
                <w:highlight w:val="none"/>
              </w:rPr>
            </w:pPr>
          </w:p>
        </w:tc>
        <w:tc>
          <w:tcPr>
            <w:tcW w:w="916" w:type="dxa"/>
            <w:vMerge w:val="continue"/>
            <w:vAlign w:val="center"/>
          </w:tcPr>
          <w:p>
            <w:pPr>
              <w:widowControl/>
              <w:jc w:val="left"/>
              <w:rPr>
                <w:rFonts w:hint="eastAsia" w:ascii="宋体" w:hAnsi="宋体" w:cs="宋体"/>
                <w:color w:val="auto"/>
                <w:kern w:val="0"/>
                <w:sz w:val="20"/>
                <w:szCs w:val="20"/>
                <w:highlight w:val="none"/>
              </w:rPr>
            </w:pPr>
          </w:p>
        </w:tc>
        <w:tc>
          <w:tcPr>
            <w:tcW w:w="15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★A02052309专用制冷、空调设备</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机房空调</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《单元式空气调节机能效限定值及能效等级》（GB19576）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Merge w:val="continue"/>
            <w:vAlign w:val="center"/>
          </w:tcPr>
          <w:p>
            <w:pPr>
              <w:widowControl/>
              <w:jc w:val="left"/>
              <w:rPr>
                <w:rFonts w:hint="eastAsia" w:ascii="宋体" w:hAnsi="宋体" w:cs="宋体"/>
                <w:color w:val="auto"/>
                <w:kern w:val="0"/>
                <w:sz w:val="20"/>
                <w:szCs w:val="20"/>
                <w:highlight w:val="none"/>
              </w:rPr>
            </w:pPr>
          </w:p>
        </w:tc>
        <w:tc>
          <w:tcPr>
            <w:tcW w:w="916" w:type="dxa"/>
            <w:vMerge w:val="continue"/>
            <w:vAlign w:val="center"/>
          </w:tcPr>
          <w:p>
            <w:pPr>
              <w:widowControl/>
              <w:jc w:val="left"/>
              <w:rPr>
                <w:rFonts w:hint="eastAsia" w:ascii="宋体" w:hAnsi="宋体" w:cs="宋体"/>
                <w:color w:val="auto"/>
                <w:kern w:val="0"/>
                <w:sz w:val="20"/>
                <w:szCs w:val="20"/>
                <w:highlight w:val="none"/>
              </w:rPr>
            </w:pPr>
          </w:p>
        </w:tc>
        <w:tc>
          <w:tcPr>
            <w:tcW w:w="15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A02052399其他制冷空调设备</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冷却塔</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《机械通风冷却塔第1部分：中小型开式冷却塔》（GB/T7190.1）；《机械通风冷却塔第2部分：大型开式冷却塔》（GB/T7190.2）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7</w:t>
            </w:r>
          </w:p>
        </w:tc>
        <w:tc>
          <w:tcPr>
            <w:tcW w:w="9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A020601电机</w:t>
            </w:r>
          </w:p>
        </w:tc>
        <w:tc>
          <w:tcPr>
            <w:tcW w:w="15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《中小型三相异步电动机能效限定值及能效等级》（GB18613）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8</w:t>
            </w:r>
          </w:p>
        </w:tc>
        <w:tc>
          <w:tcPr>
            <w:tcW w:w="9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A020602变压器</w:t>
            </w:r>
          </w:p>
        </w:tc>
        <w:tc>
          <w:tcPr>
            <w:tcW w:w="15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配电变压器</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《三相配电变压器能效限定值及能效等级》（GB20052）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9</w:t>
            </w:r>
          </w:p>
        </w:tc>
        <w:tc>
          <w:tcPr>
            <w:tcW w:w="9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★A020609镇流器</w:t>
            </w:r>
          </w:p>
        </w:tc>
        <w:tc>
          <w:tcPr>
            <w:tcW w:w="15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管型荧光灯镇流器</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《管形荧光灯镇流器能效限定值及能效等级》（GB17896）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restart"/>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10</w:t>
            </w:r>
          </w:p>
        </w:tc>
        <w:tc>
          <w:tcPr>
            <w:tcW w:w="916" w:type="dxa"/>
            <w:vMerge w:val="restart"/>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A020618生活用电器</w:t>
            </w:r>
          </w:p>
        </w:tc>
        <w:tc>
          <w:tcPr>
            <w:tcW w:w="15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A0206180101电冰箱</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《家用电冰箱耗电量限定值及能效等级》（GB 12021.2）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841" w:type="dxa"/>
            <w:vMerge w:val="continue"/>
            <w:vAlign w:val="center"/>
          </w:tcPr>
          <w:p>
            <w:pPr>
              <w:widowControl/>
              <w:jc w:val="left"/>
              <w:rPr>
                <w:rFonts w:hint="eastAsia" w:ascii="宋体" w:hAnsi="宋体" w:cs="宋体"/>
                <w:color w:val="auto"/>
                <w:kern w:val="0"/>
                <w:sz w:val="20"/>
                <w:szCs w:val="20"/>
                <w:highlight w:val="none"/>
              </w:rPr>
            </w:pPr>
          </w:p>
        </w:tc>
        <w:tc>
          <w:tcPr>
            <w:tcW w:w="916" w:type="dxa"/>
            <w:vMerge w:val="continue"/>
            <w:vAlign w:val="center"/>
          </w:tcPr>
          <w:p>
            <w:pPr>
              <w:widowControl/>
              <w:jc w:val="left"/>
              <w:rPr>
                <w:rFonts w:hint="eastAsia" w:ascii="宋体" w:hAnsi="宋体" w:cs="宋体"/>
                <w:color w:val="auto"/>
                <w:kern w:val="0"/>
                <w:sz w:val="20"/>
                <w:szCs w:val="20"/>
                <w:highlight w:val="none"/>
              </w:rPr>
            </w:pPr>
          </w:p>
        </w:tc>
        <w:tc>
          <w:tcPr>
            <w:tcW w:w="1516" w:type="dxa"/>
            <w:vMerge w:val="restart"/>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★A0206180203空调机</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房间空气调节器</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《转速可控型房间空气调节器能效限定值及能效等级》（GB21455-2013），待2019年修订发布后，按《房间空气调节器能效限定值及能效等级》（GB21455-2019实施。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Merge w:val="continue"/>
            <w:vAlign w:val="center"/>
          </w:tcPr>
          <w:p>
            <w:pPr>
              <w:widowControl/>
              <w:jc w:val="left"/>
              <w:rPr>
                <w:rFonts w:hint="eastAsia" w:ascii="宋体" w:hAnsi="宋体" w:cs="宋体"/>
                <w:color w:val="auto"/>
                <w:kern w:val="0"/>
                <w:sz w:val="20"/>
                <w:szCs w:val="20"/>
                <w:highlight w:val="none"/>
              </w:rPr>
            </w:pPr>
          </w:p>
        </w:tc>
        <w:tc>
          <w:tcPr>
            <w:tcW w:w="916" w:type="dxa"/>
            <w:vMerge w:val="continue"/>
            <w:vAlign w:val="center"/>
          </w:tcPr>
          <w:p>
            <w:pPr>
              <w:widowControl/>
              <w:jc w:val="left"/>
              <w:rPr>
                <w:rFonts w:hint="eastAsia" w:ascii="宋体" w:hAnsi="宋体" w:cs="宋体"/>
                <w:color w:val="auto"/>
                <w:kern w:val="0"/>
                <w:sz w:val="20"/>
                <w:szCs w:val="20"/>
                <w:highlight w:val="none"/>
              </w:rPr>
            </w:pPr>
          </w:p>
        </w:tc>
        <w:tc>
          <w:tcPr>
            <w:tcW w:w="1516" w:type="dxa"/>
            <w:vMerge w:val="continue"/>
            <w:vAlign w:val="center"/>
          </w:tcPr>
          <w:p>
            <w:pPr>
              <w:widowControl/>
              <w:jc w:val="left"/>
              <w:rPr>
                <w:rFonts w:hint="eastAsia" w:ascii="宋体" w:hAnsi="宋体" w:cs="宋体"/>
                <w:color w:val="auto"/>
                <w:kern w:val="0"/>
                <w:sz w:val="20"/>
                <w:szCs w:val="20"/>
                <w:highlight w:val="none"/>
              </w:rPr>
            </w:pP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多联式空调（热泵）机组（制冷量≤ 14000W）</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《多联式空调（热泵）机组能效限定值及能源效率等级》（GB21454）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Merge w:val="continue"/>
            <w:vAlign w:val="center"/>
          </w:tcPr>
          <w:p>
            <w:pPr>
              <w:widowControl/>
              <w:jc w:val="left"/>
              <w:rPr>
                <w:rFonts w:hint="eastAsia" w:ascii="宋体" w:hAnsi="宋体" w:cs="宋体"/>
                <w:color w:val="auto"/>
                <w:kern w:val="0"/>
                <w:sz w:val="20"/>
                <w:szCs w:val="20"/>
                <w:highlight w:val="none"/>
              </w:rPr>
            </w:pPr>
          </w:p>
        </w:tc>
        <w:tc>
          <w:tcPr>
            <w:tcW w:w="916" w:type="dxa"/>
            <w:vMerge w:val="continue"/>
            <w:vAlign w:val="center"/>
          </w:tcPr>
          <w:p>
            <w:pPr>
              <w:widowControl/>
              <w:jc w:val="left"/>
              <w:rPr>
                <w:rFonts w:hint="eastAsia" w:ascii="宋体" w:hAnsi="宋体" w:cs="宋体"/>
                <w:color w:val="auto"/>
                <w:kern w:val="0"/>
                <w:sz w:val="20"/>
                <w:szCs w:val="20"/>
                <w:highlight w:val="none"/>
              </w:rPr>
            </w:pPr>
          </w:p>
        </w:tc>
        <w:tc>
          <w:tcPr>
            <w:tcW w:w="1516" w:type="dxa"/>
            <w:vMerge w:val="continue"/>
            <w:vAlign w:val="center"/>
          </w:tcPr>
          <w:p>
            <w:pPr>
              <w:widowControl/>
              <w:jc w:val="left"/>
              <w:rPr>
                <w:rFonts w:hint="eastAsia" w:ascii="宋体" w:hAnsi="宋体" w:cs="宋体"/>
                <w:color w:val="auto"/>
                <w:kern w:val="0"/>
                <w:sz w:val="20"/>
                <w:szCs w:val="20"/>
                <w:highlight w:val="none"/>
              </w:rPr>
            </w:pP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单元式空气调节机(制冷量≤14000W)</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《单元式空气调节机能效限定值及能源效率等级》（GB19576）《风管送风式空调机组能效限定值及能效等级》（GB37479）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pPr>
              <w:widowControl/>
              <w:jc w:val="left"/>
              <w:rPr>
                <w:rFonts w:hint="eastAsia" w:ascii="宋体" w:hAnsi="宋体" w:cs="宋体"/>
                <w:color w:val="auto"/>
                <w:kern w:val="0"/>
                <w:sz w:val="20"/>
                <w:szCs w:val="20"/>
                <w:highlight w:val="none"/>
              </w:rPr>
            </w:pPr>
          </w:p>
        </w:tc>
        <w:tc>
          <w:tcPr>
            <w:tcW w:w="916" w:type="dxa"/>
            <w:vMerge w:val="continue"/>
            <w:vAlign w:val="center"/>
          </w:tcPr>
          <w:p>
            <w:pPr>
              <w:widowControl/>
              <w:jc w:val="left"/>
              <w:rPr>
                <w:rFonts w:hint="eastAsia" w:ascii="宋体" w:hAnsi="宋体" w:cs="宋体"/>
                <w:color w:val="auto"/>
                <w:kern w:val="0"/>
                <w:sz w:val="20"/>
                <w:szCs w:val="20"/>
                <w:highlight w:val="none"/>
              </w:rPr>
            </w:pPr>
          </w:p>
        </w:tc>
        <w:tc>
          <w:tcPr>
            <w:tcW w:w="15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A0206180301洗衣机</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《电动洗衣机能效水效限定值及等级》（GB12021.4）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pPr>
              <w:widowControl/>
              <w:jc w:val="left"/>
              <w:rPr>
                <w:rFonts w:hint="eastAsia" w:ascii="宋体" w:hAnsi="宋体" w:cs="宋体"/>
                <w:color w:val="auto"/>
                <w:kern w:val="0"/>
                <w:sz w:val="20"/>
                <w:szCs w:val="20"/>
                <w:highlight w:val="none"/>
              </w:rPr>
            </w:pPr>
          </w:p>
        </w:tc>
        <w:tc>
          <w:tcPr>
            <w:tcW w:w="916" w:type="dxa"/>
            <w:vMerge w:val="continue"/>
            <w:vAlign w:val="center"/>
          </w:tcPr>
          <w:p>
            <w:pPr>
              <w:widowControl/>
              <w:jc w:val="left"/>
              <w:rPr>
                <w:rFonts w:hint="eastAsia" w:ascii="宋体" w:hAnsi="宋体" w:cs="宋体"/>
                <w:color w:val="auto"/>
                <w:kern w:val="0"/>
                <w:sz w:val="20"/>
                <w:szCs w:val="20"/>
                <w:highlight w:val="none"/>
              </w:rPr>
            </w:pPr>
          </w:p>
        </w:tc>
        <w:tc>
          <w:tcPr>
            <w:tcW w:w="1516" w:type="dxa"/>
            <w:vMerge w:val="restart"/>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A02061808热水器</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★电热水器</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《储水式电热水器能效限定值及能效等级》（GB21519）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pPr>
              <w:widowControl/>
              <w:jc w:val="left"/>
              <w:rPr>
                <w:rFonts w:hint="eastAsia" w:ascii="宋体" w:hAnsi="宋体" w:cs="宋体"/>
                <w:color w:val="auto"/>
                <w:kern w:val="0"/>
                <w:sz w:val="20"/>
                <w:szCs w:val="20"/>
                <w:highlight w:val="none"/>
              </w:rPr>
            </w:pPr>
          </w:p>
        </w:tc>
        <w:tc>
          <w:tcPr>
            <w:tcW w:w="916" w:type="dxa"/>
            <w:vMerge w:val="continue"/>
            <w:vAlign w:val="center"/>
          </w:tcPr>
          <w:p>
            <w:pPr>
              <w:widowControl/>
              <w:jc w:val="left"/>
              <w:rPr>
                <w:rFonts w:hint="eastAsia" w:ascii="宋体" w:hAnsi="宋体" w:cs="宋体"/>
                <w:color w:val="auto"/>
                <w:kern w:val="0"/>
                <w:sz w:val="20"/>
                <w:szCs w:val="20"/>
                <w:highlight w:val="none"/>
              </w:rPr>
            </w:pPr>
          </w:p>
        </w:tc>
        <w:tc>
          <w:tcPr>
            <w:tcW w:w="1516" w:type="dxa"/>
            <w:vMerge w:val="continue"/>
            <w:vAlign w:val="center"/>
          </w:tcPr>
          <w:p>
            <w:pPr>
              <w:widowControl/>
              <w:jc w:val="left"/>
              <w:rPr>
                <w:rFonts w:hint="eastAsia" w:ascii="宋体" w:hAnsi="宋体" w:cs="宋体"/>
                <w:color w:val="auto"/>
                <w:kern w:val="0"/>
                <w:sz w:val="20"/>
                <w:szCs w:val="20"/>
                <w:highlight w:val="none"/>
              </w:rPr>
            </w:pP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燃气热水器</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《家用燃气快速热水器和燃气采暖热水炉能效限定值及能效等级》（GB20665）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pPr>
              <w:widowControl/>
              <w:jc w:val="left"/>
              <w:rPr>
                <w:rFonts w:hint="eastAsia" w:ascii="宋体" w:hAnsi="宋体" w:cs="宋体"/>
                <w:color w:val="auto"/>
                <w:kern w:val="0"/>
                <w:sz w:val="20"/>
                <w:szCs w:val="20"/>
                <w:highlight w:val="none"/>
              </w:rPr>
            </w:pPr>
          </w:p>
        </w:tc>
        <w:tc>
          <w:tcPr>
            <w:tcW w:w="916" w:type="dxa"/>
            <w:vMerge w:val="continue"/>
            <w:vAlign w:val="center"/>
          </w:tcPr>
          <w:p>
            <w:pPr>
              <w:widowControl/>
              <w:jc w:val="left"/>
              <w:rPr>
                <w:rFonts w:hint="eastAsia" w:ascii="宋体" w:hAnsi="宋体" w:cs="宋体"/>
                <w:color w:val="auto"/>
                <w:kern w:val="0"/>
                <w:sz w:val="20"/>
                <w:szCs w:val="20"/>
                <w:highlight w:val="none"/>
              </w:rPr>
            </w:pPr>
          </w:p>
        </w:tc>
        <w:tc>
          <w:tcPr>
            <w:tcW w:w="1516" w:type="dxa"/>
            <w:vMerge w:val="continue"/>
            <w:vAlign w:val="center"/>
          </w:tcPr>
          <w:p>
            <w:pPr>
              <w:widowControl/>
              <w:jc w:val="left"/>
              <w:rPr>
                <w:rFonts w:hint="eastAsia" w:ascii="宋体" w:hAnsi="宋体" w:cs="宋体"/>
                <w:color w:val="auto"/>
                <w:kern w:val="0"/>
                <w:sz w:val="20"/>
                <w:szCs w:val="20"/>
                <w:highlight w:val="none"/>
              </w:rPr>
            </w:pP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热泵热水器</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《热泵热水机（器）能效限定值及能效等级》（GB29541）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pPr>
              <w:widowControl/>
              <w:jc w:val="left"/>
              <w:rPr>
                <w:rFonts w:hint="eastAsia" w:ascii="宋体" w:hAnsi="宋体" w:cs="宋体"/>
                <w:color w:val="auto"/>
                <w:kern w:val="0"/>
                <w:sz w:val="20"/>
                <w:szCs w:val="20"/>
                <w:highlight w:val="none"/>
              </w:rPr>
            </w:pPr>
          </w:p>
        </w:tc>
        <w:tc>
          <w:tcPr>
            <w:tcW w:w="916" w:type="dxa"/>
            <w:vMerge w:val="continue"/>
            <w:vAlign w:val="center"/>
          </w:tcPr>
          <w:p>
            <w:pPr>
              <w:widowControl/>
              <w:jc w:val="left"/>
              <w:rPr>
                <w:rFonts w:hint="eastAsia" w:ascii="宋体" w:hAnsi="宋体" w:cs="宋体"/>
                <w:color w:val="auto"/>
                <w:kern w:val="0"/>
                <w:sz w:val="20"/>
                <w:szCs w:val="20"/>
                <w:highlight w:val="none"/>
              </w:rPr>
            </w:pPr>
          </w:p>
        </w:tc>
        <w:tc>
          <w:tcPr>
            <w:tcW w:w="1516" w:type="dxa"/>
            <w:vMerge w:val="continue"/>
            <w:vAlign w:val="center"/>
          </w:tcPr>
          <w:p>
            <w:pPr>
              <w:widowControl/>
              <w:jc w:val="left"/>
              <w:rPr>
                <w:rFonts w:hint="eastAsia" w:ascii="宋体" w:hAnsi="宋体" w:cs="宋体"/>
                <w:color w:val="auto"/>
                <w:kern w:val="0"/>
                <w:sz w:val="20"/>
                <w:szCs w:val="20"/>
                <w:highlight w:val="none"/>
              </w:rPr>
            </w:pP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太阳能热水系统</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《家用太阳能热水系统能效限定值及能效等级》（GB26969）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restart"/>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11</w:t>
            </w:r>
          </w:p>
        </w:tc>
        <w:tc>
          <w:tcPr>
            <w:tcW w:w="916" w:type="dxa"/>
            <w:vMerge w:val="restart"/>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A020619照明设备</w:t>
            </w:r>
          </w:p>
        </w:tc>
        <w:tc>
          <w:tcPr>
            <w:tcW w:w="15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★普通照明用双端荧光灯</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《普通照明用双端荧光灯能效限定值及能效等级》（GB19043）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pPr>
              <w:widowControl/>
              <w:jc w:val="left"/>
              <w:rPr>
                <w:rFonts w:hint="eastAsia" w:ascii="宋体" w:hAnsi="宋体" w:cs="宋体"/>
                <w:color w:val="auto"/>
                <w:kern w:val="0"/>
                <w:sz w:val="20"/>
                <w:szCs w:val="20"/>
                <w:highlight w:val="none"/>
              </w:rPr>
            </w:pPr>
          </w:p>
        </w:tc>
        <w:tc>
          <w:tcPr>
            <w:tcW w:w="916" w:type="dxa"/>
            <w:vMerge w:val="continue"/>
            <w:vAlign w:val="center"/>
          </w:tcPr>
          <w:p>
            <w:pPr>
              <w:widowControl/>
              <w:jc w:val="left"/>
              <w:rPr>
                <w:rFonts w:hint="eastAsia" w:ascii="宋体" w:hAnsi="宋体" w:cs="宋体"/>
                <w:color w:val="auto"/>
                <w:kern w:val="0"/>
                <w:sz w:val="20"/>
                <w:szCs w:val="20"/>
                <w:highlight w:val="none"/>
              </w:rPr>
            </w:pPr>
          </w:p>
        </w:tc>
        <w:tc>
          <w:tcPr>
            <w:tcW w:w="15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LED道路/隧道照明产品</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《道路和隧道照明用LED灯具能效限定值及能效等级》（GB37478）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pPr>
              <w:widowControl/>
              <w:jc w:val="left"/>
              <w:rPr>
                <w:rFonts w:hint="eastAsia" w:ascii="宋体" w:hAnsi="宋体" w:cs="宋体"/>
                <w:color w:val="auto"/>
                <w:kern w:val="0"/>
                <w:sz w:val="20"/>
                <w:szCs w:val="20"/>
                <w:highlight w:val="none"/>
              </w:rPr>
            </w:pPr>
          </w:p>
        </w:tc>
        <w:tc>
          <w:tcPr>
            <w:tcW w:w="916" w:type="dxa"/>
            <w:vMerge w:val="continue"/>
            <w:vAlign w:val="center"/>
          </w:tcPr>
          <w:p>
            <w:pPr>
              <w:widowControl/>
              <w:jc w:val="left"/>
              <w:rPr>
                <w:rFonts w:hint="eastAsia" w:ascii="宋体" w:hAnsi="宋体" w:cs="宋体"/>
                <w:color w:val="auto"/>
                <w:kern w:val="0"/>
                <w:sz w:val="20"/>
                <w:szCs w:val="20"/>
                <w:highlight w:val="none"/>
              </w:rPr>
            </w:pPr>
          </w:p>
        </w:tc>
        <w:tc>
          <w:tcPr>
            <w:tcW w:w="15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LED筒灯</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《室内照明用LED产品能效限定值及能效等级》（GB30255）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Merge w:val="continue"/>
            <w:vAlign w:val="center"/>
          </w:tcPr>
          <w:p>
            <w:pPr>
              <w:widowControl/>
              <w:jc w:val="left"/>
              <w:rPr>
                <w:rFonts w:hint="eastAsia" w:ascii="宋体" w:hAnsi="宋体" w:cs="宋体"/>
                <w:color w:val="auto"/>
                <w:kern w:val="0"/>
                <w:sz w:val="20"/>
                <w:szCs w:val="20"/>
                <w:highlight w:val="none"/>
              </w:rPr>
            </w:pPr>
          </w:p>
        </w:tc>
        <w:tc>
          <w:tcPr>
            <w:tcW w:w="916" w:type="dxa"/>
            <w:vMerge w:val="continue"/>
            <w:vAlign w:val="center"/>
          </w:tcPr>
          <w:p>
            <w:pPr>
              <w:widowControl/>
              <w:jc w:val="left"/>
              <w:rPr>
                <w:rFonts w:hint="eastAsia" w:ascii="宋体" w:hAnsi="宋体" w:cs="宋体"/>
                <w:color w:val="auto"/>
                <w:kern w:val="0"/>
                <w:sz w:val="20"/>
                <w:szCs w:val="20"/>
                <w:highlight w:val="none"/>
              </w:rPr>
            </w:pPr>
          </w:p>
        </w:tc>
        <w:tc>
          <w:tcPr>
            <w:tcW w:w="15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普通照明用非定向自镇流LED灯</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《室内照明用LED产品能效限定值及能效等级》（GB30255）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12</w:t>
            </w:r>
          </w:p>
        </w:tc>
        <w:tc>
          <w:tcPr>
            <w:tcW w:w="9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★A020910电视设备</w:t>
            </w:r>
          </w:p>
        </w:tc>
        <w:tc>
          <w:tcPr>
            <w:tcW w:w="15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A02091001普通电视设备（电视机）</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《平板电视能效限定值及能效等级》（GB24850）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841"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13</w:t>
            </w:r>
          </w:p>
        </w:tc>
        <w:tc>
          <w:tcPr>
            <w:tcW w:w="9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★A020911视频设备</w:t>
            </w:r>
          </w:p>
        </w:tc>
        <w:tc>
          <w:tcPr>
            <w:tcW w:w="15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A02091107视频监控设备</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监视器</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以射频信号为主要信号输入的监视器应符合《平板电视能效限定值及能效等级》（GB24850），以数字信号为主要信号输入的监视器应符合《计算机显示器能效限定值及能效等级》（GB21520）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14</w:t>
            </w:r>
          </w:p>
        </w:tc>
        <w:tc>
          <w:tcPr>
            <w:tcW w:w="9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A031210饮食炊事机械</w:t>
            </w:r>
          </w:p>
        </w:tc>
        <w:tc>
          <w:tcPr>
            <w:tcW w:w="15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商用燃气灶具</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《商用燃气灶具能效限定值及能效等级》（GB30531）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1" w:type="dxa"/>
            <w:vMerge w:val="restart"/>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15</w:t>
            </w:r>
          </w:p>
        </w:tc>
        <w:tc>
          <w:tcPr>
            <w:tcW w:w="916" w:type="dxa"/>
            <w:vMerge w:val="restart"/>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★A060805便器</w:t>
            </w:r>
          </w:p>
        </w:tc>
        <w:tc>
          <w:tcPr>
            <w:tcW w:w="15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坐便器</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《坐便器水效限定值及水效等级》（GB25502）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pPr>
              <w:widowControl/>
              <w:jc w:val="left"/>
              <w:rPr>
                <w:rFonts w:hint="eastAsia" w:ascii="宋体" w:hAnsi="宋体" w:cs="宋体"/>
                <w:color w:val="auto"/>
                <w:kern w:val="0"/>
                <w:sz w:val="20"/>
                <w:szCs w:val="20"/>
                <w:highlight w:val="none"/>
              </w:rPr>
            </w:pPr>
          </w:p>
        </w:tc>
        <w:tc>
          <w:tcPr>
            <w:tcW w:w="916" w:type="dxa"/>
            <w:vMerge w:val="continue"/>
            <w:vAlign w:val="center"/>
          </w:tcPr>
          <w:p>
            <w:pPr>
              <w:widowControl/>
              <w:jc w:val="left"/>
              <w:rPr>
                <w:rFonts w:hint="eastAsia" w:ascii="宋体" w:hAnsi="宋体" w:cs="宋体"/>
                <w:color w:val="auto"/>
                <w:kern w:val="0"/>
                <w:sz w:val="20"/>
                <w:szCs w:val="20"/>
                <w:highlight w:val="none"/>
              </w:rPr>
            </w:pPr>
          </w:p>
        </w:tc>
        <w:tc>
          <w:tcPr>
            <w:tcW w:w="15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蹲便器</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《蹲便器用水效率限定值及用水效率等级》（GB30717）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vAlign w:val="center"/>
          </w:tcPr>
          <w:p>
            <w:pPr>
              <w:widowControl/>
              <w:jc w:val="left"/>
              <w:rPr>
                <w:rFonts w:hint="eastAsia" w:ascii="宋体" w:hAnsi="宋体" w:cs="宋体"/>
                <w:color w:val="auto"/>
                <w:kern w:val="0"/>
                <w:sz w:val="20"/>
                <w:szCs w:val="20"/>
                <w:highlight w:val="none"/>
              </w:rPr>
            </w:pPr>
          </w:p>
        </w:tc>
        <w:tc>
          <w:tcPr>
            <w:tcW w:w="916" w:type="dxa"/>
            <w:vMerge w:val="continue"/>
            <w:vAlign w:val="center"/>
          </w:tcPr>
          <w:p>
            <w:pPr>
              <w:widowControl/>
              <w:jc w:val="left"/>
              <w:rPr>
                <w:rFonts w:hint="eastAsia" w:ascii="宋体" w:hAnsi="宋体" w:cs="宋体"/>
                <w:color w:val="auto"/>
                <w:kern w:val="0"/>
                <w:sz w:val="20"/>
                <w:szCs w:val="20"/>
                <w:highlight w:val="none"/>
              </w:rPr>
            </w:pPr>
          </w:p>
        </w:tc>
        <w:tc>
          <w:tcPr>
            <w:tcW w:w="15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小便器</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《小便器用水效率限定值及用水效率等级》（GB28377）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16</w:t>
            </w:r>
          </w:p>
        </w:tc>
        <w:tc>
          <w:tcPr>
            <w:tcW w:w="9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★A060806水嘴</w:t>
            </w:r>
          </w:p>
        </w:tc>
        <w:tc>
          <w:tcPr>
            <w:tcW w:w="15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《水嘴用水效率限定值及用水效率等级》（GB 25501）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17</w:t>
            </w:r>
          </w:p>
        </w:tc>
        <w:tc>
          <w:tcPr>
            <w:tcW w:w="9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A060807便器冲洗阀</w:t>
            </w:r>
          </w:p>
        </w:tc>
        <w:tc>
          <w:tcPr>
            <w:tcW w:w="15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《便器冲洗阀用水效率限定值及用水效率等级》（GB28379）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18</w:t>
            </w:r>
          </w:p>
        </w:tc>
        <w:tc>
          <w:tcPr>
            <w:tcW w:w="9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A060810淋浴器</w:t>
            </w:r>
          </w:p>
        </w:tc>
        <w:tc>
          <w:tcPr>
            <w:tcW w:w="1516"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12" w:type="dxa"/>
            <w:vAlign w:val="center"/>
          </w:tcPr>
          <w:p>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vAlign w:val="center"/>
          </w:tcPr>
          <w:p>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《淋浴器用水效率限定值及用水效率等级》（GB28378）</w:t>
            </w:r>
          </w:p>
        </w:tc>
      </w:tr>
    </w:tbl>
    <w:p>
      <w:pPr>
        <w:spacing w:after="120" w:line="360" w:lineRule="auto"/>
        <w:rPr>
          <w:rFonts w:hint="eastAsia" w:ascii="宋体" w:hAnsi="宋体" w:cs="宋体"/>
          <w:color w:val="auto"/>
          <w:spacing w:val="-3"/>
          <w:szCs w:val="21"/>
          <w:highlight w:val="none"/>
        </w:rPr>
      </w:pPr>
    </w:p>
    <w:p>
      <w:pPr>
        <w:spacing w:after="120" w:line="360" w:lineRule="auto"/>
        <w:rPr>
          <w:rFonts w:hint="eastAsia" w:ascii="宋体" w:hAnsi="宋体" w:cs="宋体"/>
          <w:color w:val="auto"/>
          <w:szCs w:val="21"/>
          <w:highlight w:val="none"/>
        </w:rPr>
      </w:pPr>
      <w:r>
        <w:rPr>
          <w:rFonts w:hint="eastAsia" w:ascii="宋体" w:hAnsi="宋体" w:cs="宋体"/>
          <w:color w:val="auto"/>
          <w:spacing w:val="-3"/>
          <w:szCs w:val="21"/>
          <w:highlight w:val="none"/>
        </w:rPr>
        <w:t>注：1.节能产品认证应依据相关国家标准的最新版本，依据国家标准中二级能效（水效）</w:t>
      </w:r>
      <w:r>
        <w:rPr>
          <w:rFonts w:hint="eastAsia" w:ascii="宋体" w:hAnsi="宋体" w:cs="宋体"/>
          <w:color w:val="auto"/>
          <w:szCs w:val="21"/>
          <w:highlight w:val="none"/>
        </w:rPr>
        <w:t>指标。</w:t>
      </w:r>
    </w:p>
    <w:p>
      <w:pPr>
        <w:spacing w:after="120" w:line="360" w:lineRule="auto"/>
        <w:rPr>
          <w:rFonts w:hint="eastAsia" w:ascii="宋体" w:hAnsi="宋体" w:cs="宋体"/>
          <w:b/>
          <w:bCs/>
          <w:color w:val="auto"/>
          <w:szCs w:val="21"/>
          <w:highlight w:val="none"/>
        </w:rPr>
      </w:pPr>
      <w:r>
        <w:rPr>
          <w:rFonts w:hint="eastAsia" w:ascii="宋体" w:hAnsi="宋体" w:cs="宋体"/>
          <w:color w:val="auto"/>
          <w:szCs w:val="21"/>
          <w:highlight w:val="none"/>
        </w:rPr>
        <w:t xml:space="preserve">    2</w:t>
      </w:r>
      <w:r>
        <w:rPr>
          <w:rFonts w:hint="eastAsia" w:ascii="宋体" w:hAnsi="宋体" w:cs="宋体"/>
          <w:b/>
          <w:bCs/>
          <w:color w:val="auto"/>
          <w:szCs w:val="21"/>
          <w:highlight w:val="none"/>
        </w:rPr>
        <w:t>.以“★”标注的为政府强制采购产品。</w:t>
      </w:r>
    </w:p>
    <w:p>
      <w:pPr>
        <w:tabs>
          <w:tab w:val="left" w:pos="2882"/>
          <w:tab w:val="center" w:pos="4878"/>
        </w:tabs>
        <w:jc w:val="left"/>
        <w:rPr>
          <w:rFonts w:hint="eastAsia" w:ascii="宋体" w:hAnsi="宋体" w:cs="宋体"/>
          <w:color w:val="auto"/>
          <w:sz w:val="32"/>
          <w:szCs w:val="32"/>
          <w:highlight w:val="none"/>
        </w:rPr>
      </w:pPr>
      <w:r>
        <w:rPr>
          <w:rFonts w:hint="eastAsia" w:ascii="宋体" w:hAnsi="宋体" w:cs="宋体"/>
          <w:color w:val="auto"/>
          <w:sz w:val="32"/>
          <w:szCs w:val="32"/>
          <w:highlight w:val="none"/>
        </w:rPr>
        <w:br w:type="page"/>
      </w:r>
      <w:r>
        <w:rPr>
          <w:rFonts w:hint="eastAsia" w:ascii="宋体" w:hAnsi="宋体" w:cs="宋体"/>
          <w:color w:val="auto"/>
          <w:sz w:val="32"/>
          <w:szCs w:val="32"/>
          <w:highlight w:val="none"/>
        </w:rPr>
        <w:t>附件2</w:t>
      </w:r>
    </w:p>
    <w:p>
      <w:pPr>
        <w:spacing w:before="7"/>
        <w:rPr>
          <w:rFonts w:hint="eastAsia" w:ascii="宋体" w:hAnsi="宋体" w:cs="宋体"/>
          <w:color w:val="auto"/>
          <w:sz w:val="17"/>
          <w:szCs w:val="17"/>
          <w:highlight w:val="none"/>
        </w:rPr>
      </w:pPr>
    </w:p>
    <w:p>
      <w:pPr>
        <w:widowControl/>
        <w:spacing w:before="165" w:beforeLines="50" w:after="165" w:afterLines="50" w:line="280" w:lineRule="exact"/>
        <w:jc w:val="center"/>
        <w:rPr>
          <w:rFonts w:hint="eastAsia" w:ascii="宋体" w:hAnsi="宋体" w:cs="宋体"/>
          <w:b/>
          <w:bCs/>
          <w:color w:val="auto"/>
          <w:kern w:val="0"/>
          <w:sz w:val="30"/>
          <w:szCs w:val="30"/>
          <w:highlight w:val="none"/>
        </w:rPr>
      </w:pPr>
      <w:bookmarkStart w:id="72" w:name="_Toc28361_WPSOffice_Level2"/>
      <w:r>
        <w:rPr>
          <w:rFonts w:hint="eastAsia" w:ascii="宋体" w:hAnsi="宋体" w:cs="宋体"/>
          <w:b/>
          <w:bCs/>
          <w:color w:val="auto"/>
          <w:kern w:val="0"/>
          <w:sz w:val="30"/>
          <w:szCs w:val="30"/>
          <w:highlight w:val="none"/>
        </w:rPr>
        <w:t>统计上大中小微型企业划分标准</w:t>
      </w:r>
      <w:bookmarkEnd w:id="72"/>
    </w:p>
    <w:tbl>
      <w:tblPr>
        <w:tblStyle w:val="27"/>
        <w:tblW w:w="9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3"/>
        <w:gridCol w:w="1369"/>
        <w:gridCol w:w="709"/>
        <w:gridCol w:w="1125"/>
        <w:gridCol w:w="1701"/>
        <w:gridCol w:w="1426"/>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blHeader/>
          <w:jc w:val="center"/>
        </w:trPr>
        <w:tc>
          <w:tcPr>
            <w:tcW w:w="2113" w:type="dxa"/>
            <w:shd w:val="clear" w:color="auto" w:fill="8DB3E2"/>
            <w:vAlign w:val="center"/>
          </w:tcPr>
          <w:p>
            <w:pPr>
              <w:widowControl/>
              <w:spacing w:line="280" w:lineRule="exact"/>
              <w:jc w:val="center"/>
              <w:rPr>
                <w:rFonts w:hint="eastAsia" w:ascii="宋体" w:hAnsi="宋体" w:cs="宋体"/>
                <w:b/>
                <w:bCs/>
                <w:color w:val="auto"/>
                <w:kern w:val="0"/>
                <w:sz w:val="18"/>
                <w:szCs w:val="21"/>
                <w:highlight w:val="none"/>
              </w:rPr>
            </w:pPr>
            <w:r>
              <w:rPr>
                <w:rFonts w:hint="eastAsia" w:ascii="宋体" w:hAnsi="宋体" w:cs="宋体"/>
                <w:b/>
                <w:bCs/>
                <w:color w:val="auto"/>
                <w:kern w:val="0"/>
                <w:sz w:val="18"/>
                <w:szCs w:val="21"/>
                <w:highlight w:val="none"/>
              </w:rPr>
              <w:t>行业名称</w:t>
            </w:r>
          </w:p>
        </w:tc>
        <w:tc>
          <w:tcPr>
            <w:tcW w:w="1369" w:type="dxa"/>
            <w:shd w:val="clear" w:color="auto" w:fill="8DB3E2"/>
            <w:vAlign w:val="center"/>
          </w:tcPr>
          <w:p>
            <w:pPr>
              <w:widowControl/>
              <w:spacing w:line="280" w:lineRule="exact"/>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指标名称</w:t>
            </w:r>
          </w:p>
        </w:tc>
        <w:tc>
          <w:tcPr>
            <w:tcW w:w="709" w:type="dxa"/>
            <w:shd w:val="clear" w:color="auto" w:fill="8DB3E2"/>
            <w:vAlign w:val="center"/>
          </w:tcPr>
          <w:p>
            <w:pPr>
              <w:widowControl/>
              <w:spacing w:line="280" w:lineRule="exact"/>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计量</w:t>
            </w:r>
          </w:p>
          <w:p>
            <w:pPr>
              <w:widowControl/>
              <w:spacing w:line="280" w:lineRule="exact"/>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单位</w:t>
            </w:r>
          </w:p>
        </w:tc>
        <w:tc>
          <w:tcPr>
            <w:tcW w:w="1125" w:type="dxa"/>
            <w:shd w:val="clear" w:color="auto" w:fill="8DB3E2"/>
            <w:vAlign w:val="center"/>
          </w:tcPr>
          <w:p>
            <w:pPr>
              <w:widowControl/>
              <w:spacing w:line="280" w:lineRule="exact"/>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大型</w:t>
            </w:r>
          </w:p>
        </w:tc>
        <w:tc>
          <w:tcPr>
            <w:tcW w:w="1701" w:type="dxa"/>
            <w:shd w:val="clear" w:color="auto" w:fill="8DB3E2"/>
            <w:vAlign w:val="center"/>
          </w:tcPr>
          <w:p>
            <w:pPr>
              <w:widowControl/>
              <w:spacing w:line="280" w:lineRule="exact"/>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中型</w:t>
            </w:r>
          </w:p>
        </w:tc>
        <w:tc>
          <w:tcPr>
            <w:tcW w:w="1426" w:type="dxa"/>
            <w:shd w:val="clear" w:color="auto" w:fill="8DB3E2"/>
            <w:vAlign w:val="center"/>
          </w:tcPr>
          <w:p>
            <w:pPr>
              <w:widowControl/>
              <w:spacing w:line="280" w:lineRule="exact"/>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小型</w:t>
            </w:r>
          </w:p>
        </w:tc>
        <w:tc>
          <w:tcPr>
            <w:tcW w:w="992" w:type="dxa"/>
            <w:shd w:val="clear" w:color="auto" w:fill="8DB3E2"/>
            <w:vAlign w:val="center"/>
          </w:tcPr>
          <w:p>
            <w:pPr>
              <w:widowControl/>
              <w:spacing w:line="280" w:lineRule="exact"/>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微型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Align w:val="center"/>
          </w:tcPr>
          <w:p>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农、林、牧、渔业</w:t>
            </w: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Y≥20000</w:t>
            </w:r>
          </w:p>
        </w:tc>
        <w:tc>
          <w:tcPr>
            <w:tcW w:w="1701"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426"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50≤Y＜500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工业 *</w:t>
            </w: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pPr>
              <w:widowControl/>
              <w:spacing w:line="280" w:lineRule="exact"/>
              <w:jc w:val="left"/>
              <w:rPr>
                <w:rFonts w:hint="eastAsia" w:ascii="宋体" w:hAnsi="宋体" w:cs="宋体"/>
                <w:color w:val="auto"/>
                <w:kern w:val="0"/>
                <w:sz w:val="18"/>
                <w:szCs w:val="18"/>
                <w:highlight w:val="none"/>
              </w:rPr>
            </w:pP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Y≥40000</w:t>
            </w:r>
          </w:p>
        </w:tc>
        <w:tc>
          <w:tcPr>
            <w:tcW w:w="1701"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2000≤Y＜40000</w:t>
            </w:r>
          </w:p>
        </w:tc>
        <w:tc>
          <w:tcPr>
            <w:tcW w:w="1426"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300≤Y＜2000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建筑业</w:t>
            </w: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Y≥80000</w:t>
            </w:r>
          </w:p>
        </w:tc>
        <w:tc>
          <w:tcPr>
            <w:tcW w:w="1701"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6000≤Y＜80000</w:t>
            </w:r>
          </w:p>
        </w:tc>
        <w:tc>
          <w:tcPr>
            <w:tcW w:w="1426"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300≤Y＜6000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pPr>
              <w:widowControl/>
              <w:spacing w:line="280" w:lineRule="exact"/>
              <w:jc w:val="left"/>
              <w:rPr>
                <w:rFonts w:hint="eastAsia" w:ascii="宋体" w:hAnsi="宋体" w:cs="宋体"/>
                <w:color w:val="auto"/>
                <w:kern w:val="0"/>
                <w:sz w:val="18"/>
                <w:szCs w:val="18"/>
                <w:highlight w:val="none"/>
              </w:rPr>
            </w:pP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Z≥80000</w:t>
            </w:r>
          </w:p>
        </w:tc>
        <w:tc>
          <w:tcPr>
            <w:tcW w:w="1701"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5000≤Z＜80000</w:t>
            </w:r>
          </w:p>
        </w:tc>
        <w:tc>
          <w:tcPr>
            <w:tcW w:w="1426"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300≤Z＜5000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批发业</w:t>
            </w: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X≥200</w:t>
            </w:r>
          </w:p>
        </w:tc>
        <w:tc>
          <w:tcPr>
            <w:tcW w:w="1701"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20≤X＜200</w:t>
            </w:r>
          </w:p>
        </w:tc>
        <w:tc>
          <w:tcPr>
            <w:tcW w:w="1426"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5≤X＜20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pPr>
              <w:widowControl/>
              <w:spacing w:line="280" w:lineRule="exact"/>
              <w:jc w:val="left"/>
              <w:rPr>
                <w:rFonts w:hint="eastAsia" w:ascii="宋体" w:hAnsi="宋体" w:cs="宋体"/>
                <w:color w:val="auto"/>
                <w:kern w:val="0"/>
                <w:sz w:val="18"/>
                <w:szCs w:val="18"/>
                <w:highlight w:val="none"/>
              </w:rPr>
            </w:pP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Y≥40000</w:t>
            </w:r>
          </w:p>
        </w:tc>
        <w:tc>
          <w:tcPr>
            <w:tcW w:w="1701"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5000≤Y＜40000</w:t>
            </w:r>
          </w:p>
        </w:tc>
        <w:tc>
          <w:tcPr>
            <w:tcW w:w="1426" w:type="dxa"/>
            <w:vAlign w:val="center"/>
          </w:tcPr>
          <w:p>
            <w:pPr>
              <w:widowControl/>
              <w:spacing w:line="280" w:lineRule="exact"/>
              <w:ind w:left="-1" w:leftChars="-1" w:hanging="1"/>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零售业</w:t>
            </w: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50≤X＜300</w:t>
            </w:r>
          </w:p>
        </w:tc>
        <w:tc>
          <w:tcPr>
            <w:tcW w:w="1426" w:type="dxa"/>
            <w:vAlign w:val="center"/>
          </w:tcPr>
          <w:p>
            <w:pPr>
              <w:widowControl/>
              <w:spacing w:line="280" w:lineRule="exact"/>
              <w:ind w:left="-1" w:leftChars="-1" w:hanging="1"/>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10≤X＜50 </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pPr>
              <w:widowControl/>
              <w:spacing w:line="280" w:lineRule="exact"/>
              <w:jc w:val="left"/>
              <w:rPr>
                <w:rFonts w:hint="eastAsia" w:ascii="宋体" w:hAnsi="宋体" w:cs="宋体"/>
                <w:color w:val="auto"/>
                <w:kern w:val="0"/>
                <w:sz w:val="18"/>
                <w:szCs w:val="18"/>
                <w:highlight w:val="none"/>
              </w:rPr>
            </w:pP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Y≥20000</w:t>
            </w:r>
          </w:p>
        </w:tc>
        <w:tc>
          <w:tcPr>
            <w:tcW w:w="1701"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426" w:type="dxa"/>
            <w:vAlign w:val="center"/>
          </w:tcPr>
          <w:p>
            <w:pPr>
              <w:widowControl/>
              <w:spacing w:line="280" w:lineRule="exact"/>
              <w:ind w:left="-1" w:leftChars="-1" w:hanging="1"/>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100≤Y＜500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交通运输业 *</w:t>
            </w: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pPr>
              <w:widowControl/>
              <w:spacing w:line="280" w:lineRule="exact"/>
              <w:jc w:val="left"/>
              <w:rPr>
                <w:rFonts w:hint="eastAsia" w:ascii="宋体" w:hAnsi="宋体" w:cs="宋体"/>
                <w:color w:val="auto"/>
                <w:kern w:val="0"/>
                <w:sz w:val="18"/>
                <w:szCs w:val="18"/>
                <w:highlight w:val="none"/>
              </w:rPr>
            </w:pP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3000≤Y＜30000</w:t>
            </w:r>
          </w:p>
        </w:tc>
        <w:tc>
          <w:tcPr>
            <w:tcW w:w="1426"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200≤Y＜3000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仓储业*</w:t>
            </w: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X≥200</w:t>
            </w:r>
          </w:p>
        </w:tc>
        <w:tc>
          <w:tcPr>
            <w:tcW w:w="1701" w:type="dxa"/>
            <w:vAlign w:val="center"/>
          </w:tcPr>
          <w:p>
            <w:pPr>
              <w:widowControl/>
              <w:spacing w:line="280" w:lineRule="exact"/>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100≤X＜200</w:t>
            </w:r>
          </w:p>
        </w:tc>
        <w:tc>
          <w:tcPr>
            <w:tcW w:w="1426"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20≤X＜100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pPr>
              <w:widowControl/>
              <w:spacing w:line="280" w:lineRule="exact"/>
              <w:jc w:val="left"/>
              <w:rPr>
                <w:rFonts w:hint="eastAsia" w:ascii="宋体" w:hAnsi="宋体" w:cs="宋体"/>
                <w:color w:val="auto"/>
                <w:kern w:val="0"/>
                <w:sz w:val="18"/>
                <w:szCs w:val="18"/>
                <w:highlight w:val="none"/>
              </w:rPr>
            </w:pP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1000≤Y＜30000</w:t>
            </w:r>
          </w:p>
        </w:tc>
        <w:tc>
          <w:tcPr>
            <w:tcW w:w="1426"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邮政业</w:t>
            </w: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pPr>
              <w:widowControl/>
              <w:spacing w:line="280" w:lineRule="exact"/>
              <w:jc w:val="left"/>
              <w:rPr>
                <w:rFonts w:hint="eastAsia" w:ascii="宋体" w:hAnsi="宋体" w:cs="宋体"/>
                <w:color w:val="auto"/>
                <w:kern w:val="0"/>
                <w:sz w:val="18"/>
                <w:szCs w:val="18"/>
                <w:highlight w:val="none"/>
              </w:rPr>
            </w:pP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2000≤Y＜30000</w:t>
            </w:r>
          </w:p>
        </w:tc>
        <w:tc>
          <w:tcPr>
            <w:tcW w:w="1426"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住宿业</w:t>
            </w: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vAlign w:val="center"/>
          </w:tcPr>
          <w:p>
            <w:pPr>
              <w:widowControl/>
              <w:spacing w:line="280" w:lineRule="exact"/>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26"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pPr>
              <w:widowControl/>
              <w:spacing w:line="280" w:lineRule="exact"/>
              <w:jc w:val="left"/>
              <w:rPr>
                <w:rFonts w:hint="eastAsia" w:ascii="宋体" w:hAnsi="宋体" w:cs="宋体"/>
                <w:color w:val="auto"/>
                <w:kern w:val="0"/>
                <w:sz w:val="18"/>
                <w:szCs w:val="18"/>
                <w:highlight w:val="none"/>
              </w:rPr>
            </w:pP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426"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餐饮业</w:t>
            </w: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vAlign w:val="center"/>
          </w:tcPr>
          <w:p>
            <w:pPr>
              <w:widowControl/>
              <w:spacing w:line="280" w:lineRule="exact"/>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1426"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pPr>
              <w:widowControl/>
              <w:spacing w:line="280" w:lineRule="exact"/>
              <w:jc w:val="left"/>
              <w:rPr>
                <w:rFonts w:hint="eastAsia" w:ascii="宋体" w:hAnsi="宋体" w:cs="宋体"/>
                <w:color w:val="auto"/>
                <w:kern w:val="0"/>
                <w:sz w:val="18"/>
                <w:szCs w:val="18"/>
                <w:highlight w:val="none"/>
              </w:rPr>
            </w:pP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426"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信息传输业 *</w:t>
            </w: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X≥2000</w:t>
            </w:r>
          </w:p>
        </w:tc>
        <w:tc>
          <w:tcPr>
            <w:tcW w:w="1701"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100≤X＜2000</w:t>
            </w:r>
          </w:p>
        </w:tc>
        <w:tc>
          <w:tcPr>
            <w:tcW w:w="1426"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pPr>
              <w:widowControl/>
              <w:spacing w:line="280" w:lineRule="exact"/>
              <w:jc w:val="left"/>
              <w:rPr>
                <w:rFonts w:hint="eastAsia" w:ascii="宋体" w:hAnsi="宋体" w:cs="宋体"/>
                <w:color w:val="auto"/>
                <w:kern w:val="0"/>
                <w:sz w:val="18"/>
                <w:szCs w:val="18"/>
                <w:highlight w:val="none"/>
              </w:rPr>
            </w:pP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Y≥100000</w:t>
            </w:r>
          </w:p>
        </w:tc>
        <w:tc>
          <w:tcPr>
            <w:tcW w:w="1701"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1000≤Y＜100000</w:t>
            </w:r>
          </w:p>
        </w:tc>
        <w:tc>
          <w:tcPr>
            <w:tcW w:w="1426"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pPr>
              <w:widowControl/>
              <w:spacing w:line="280" w:lineRule="exact"/>
              <w:jc w:val="left"/>
              <w:rPr>
                <w:rFonts w:hint="eastAsia" w:ascii="宋体" w:hAnsi="宋体" w:cs="宋体"/>
                <w:color w:val="auto"/>
                <w:spacing w:val="-12"/>
                <w:kern w:val="0"/>
                <w:sz w:val="18"/>
                <w:szCs w:val="18"/>
                <w:highlight w:val="none"/>
              </w:rPr>
            </w:pPr>
            <w:r>
              <w:rPr>
                <w:rFonts w:hint="eastAsia" w:ascii="宋体" w:hAnsi="宋体" w:cs="宋体"/>
                <w:color w:val="auto"/>
                <w:spacing w:val="-12"/>
                <w:kern w:val="0"/>
                <w:sz w:val="18"/>
                <w:szCs w:val="18"/>
                <w:highlight w:val="none"/>
              </w:rPr>
              <w:t>软件和信息技术服</w:t>
            </w:r>
            <w:r>
              <w:rPr>
                <w:rFonts w:hint="eastAsia" w:ascii="宋体" w:hAnsi="宋体" w:cs="宋体"/>
                <w:color w:val="auto"/>
                <w:kern w:val="0"/>
                <w:sz w:val="18"/>
                <w:szCs w:val="18"/>
                <w:highlight w:val="none"/>
              </w:rPr>
              <w:t>务业</w:t>
            </w: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vAlign w:val="center"/>
          </w:tcPr>
          <w:p>
            <w:pPr>
              <w:widowControl/>
              <w:spacing w:line="280" w:lineRule="exact"/>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1426"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pPr>
              <w:widowControl/>
              <w:spacing w:line="280" w:lineRule="exact"/>
              <w:jc w:val="left"/>
              <w:rPr>
                <w:rFonts w:hint="eastAsia" w:ascii="宋体" w:hAnsi="宋体" w:cs="宋体"/>
                <w:color w:val="auto"/>
                <w:spacing w:val="-12"/>
                <w:kern w:val="0"/>
                <w:sz w:val="18"/>
                <w:szCs w:val="18"/>
                <w:highlight w:val="none"/>
              </w:rPr>
            </w:pP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1000≤Y＜10000</w:t>
            </w:r>
          </w:p>
        </w:tc>
        <w:tc>
          <w:tcPr>
            <w:tcW w:w="1426"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50≤Y＜1000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房地产开发经营</w:t>
            </w: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Y≥200000</w:t>
            </w:r>
          </w:p>
        </w:tc>
        <w:tc>
          <w:tcPr>
            <w:tcW w:w="1701"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1000≤Y＜200000</w:t>
            </w:r>
          </w:p>
        </w:tc>
        <w:tc>
          <w:tcPr>
            <w:tcW w:w="1426"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pPr>
              <w:widowControl/>
              <w:spacing w:line="280" w:lineRule="exact"/>
              <w:jc w:val="left"/>
              <w:rPr>
                <w:rFonts w:hint="eastAsia" w:ascii="宋体" w:hAnsi="宋体" w:cs="宋体"/>
                <w:color w:val="auto"/>
                <w:kern w:val="0"/>
                <w:sz w:val="18"/>
                <w:szCs w:val="18"/>
                <w:highlight w:val="none"/>
              </w:rPr>
            </w:pP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Z≥10000</w:t>
            </w:r>
          </w:p>
        </w:tc>
        <w:tc>
          <w:tcPr>
            <w:tcW w:w="1701"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5000≤Z＜10000</w:t>
            </w:r>
          </w:p>
        </w:tc>
        <w:tc>
          <w:tcPr>
            <w:tcW w:w="1426"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2000≤Z＜5000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物业管理</w:t>
            </w: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pPr>
              <w:widowControl/>
              <w:spacing w:line="280" w:lineRule="exact"/>
              <w:jc w:val="left"/>
              <w:rPr>
                <w:rFonts w:hint="eastAsia" w:ascii="宋体" w:hAnsi="宋体" w:cs="宋体"/>
                <w:color w:val="auto"/>
                <w:kern w:val="0"/>
                <w:sz w:val="18"/>
                <w:szCs w:val="18"/>
                <w:highlight w:val="none"/>
              </w:rPr>
            </w:pP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Y≥5000</w:t>
            </w:r>
          </w:p>
        </w:tc>
        <w:tc>
          <w:tcPr>
            <w:tcW w:w="1701" w:type="dxa"/>
            <w:vAlign w:val="center"/>
          </w:tcPr>
          <w:p>
            <w:pPr>
              <w:widowControl/>
              <w:spacing w:line="280" w:lineRule="exact"/>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1426"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500≤Y＜1000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租赁和商务服务业</w:t>
            </w: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vAlign w:val="center"/>
          </w:tcPr>
          <w:p>
            <w:pPr>
              <w:widowControl/>
              <w:spacing w:line="280" w:lineRule="exact"/>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26"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pPr>
              <w:widowControl/>
              <w:spacing w:line="280" w:lineRule="exact"/>
              <w:jc w:val="left"/>
              <w:rPr>
                <w:rFonts w:hint="eastAsia" w:ascii="宋体" w:hAnsi="宋体" w:cs="宋体"/>
                <w:color w:val="auto"/>
                <w:kern w:val="0"/>
                <w:sz w:val="18"/>
                <w:szCs w:val="18"/>
                <w:highlight w:val="none"/>
              </w:rPr>
            </w:pP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Z≥120000</w:t>
            </w:r>
          </w:p>
        </w:tc>
        <w:tc>
          <w:tcPr>
            <w:tcW w:w="1701"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8000≤Z＜120000</w:t>
            </w:r>
          </w:p>
        </w:tc>
        <w:tc>
          <w:tcPr>
            <w:tcW w:w="1426"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100≤Z＜8000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Align w:val="center"/>
          </w:tcPr>
          <w:p>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其他未列明行业 *</w:t>
            </w:r>
          </w:p>
        </w:tc>
        <w:tc>
          <w:tcPr>
            <w:tcW w:w="136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vAlign w:val="center"/>
          </w:tcPr>
          <w:p>
            <w:pPr>
              <w:widowControl/>
              <w:spacing w:line="280" w:lineRule="exact"/>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26"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vAlign w:val="center"/>
          </w:tcPr>
          <w:p>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bl>
    <w:p>
      <w:pPr>
        <w:widowControl/>
        <w:spacing w:line="280" w:lineRule="exact"/>
        <w:rPr>
          <w:rFonts w:hint="eastAsia" w:ascii="宋体" w:hAnsi="宋体" w:cs="宋体"/>
          <w:color w:val="auto"/>
          <w:spacing w:val="8"/>
          <w:kern w:val="0"/>
          <w:sz w:val="24"/>
          <w:highlight w:val="none"/>
        </w:rPr>
      </w:pPr>
    </w:p>
    <w:p>
      <w:pPr>
        <w:widowControl/>
        <w:spacing w:line="360" w:lineRule="auto"/>
        <w:rPr>
          <w:rFonts w:hint="eastAsia" w:ascii="宋体" w:hAnsi="宋体" w:cs="宋体"/>
          <w:color w:val="auto"/>
          <w:spacing w:val="8"/>
          <w:kern w:val="0"/>
          <w:szCs w:val="21"/>
          <w:highlight w:val="none"/>
        </w:rPr>
      </w:pPr>
    </w:p>
    <w:p>
      <w:pPr>
        <w:widowControl/>
        <w:spacing w:line="360" w:lineRule="auto"/>
        <w:rPr>
          <w:rFonts w:hint="eastAsia" w:ascii="宋体" w:hAnsi="宋体" w:cs="宋体"/>
          <w:color w:val="auto"/>
          <w:spacing w:val="8"/>
          <w:kern w:val="0"/>
          <w:szCs w:val="21"/>
          <w:highlight w:val="none"/>
        </w:rPr>
      </w:pPr>
      <w:r>
        <w:rPr>
          <w:rFonts w:hint="eastAsia" w:ascii="宋体" w:hAnsi="宋体" w:cs="宋体"/>
          <w:color w:val="auto"/>
          <w:spacing w:val="8"/>
          <w:kern w:val="0"/>
          <w:szCs w:val="21"/>
          <w:highlight w:val="none"/>
        </w:rPr>
        <w:t>说明：</w:t>
      </w:r>
    </w:p>
    <w:p>
      <w:pPr>
        <w:pStyle w:val="14"/>
        <w:adjustRightInd w:val="0"/>
        <w:spacing w:line="360" w:lineRule="auto"/>
        <w:ind w:firstLine="452" w:firstLineChars="200"/>
        <w:contextualSpacing/>
        <w:rPr>
          <w:rFonts w:hint="eastAsia" w:hAnsi="宋体" w:cs="宋体"/>
          <w:color w:val="auto"/>
          <w:spacing w:val="8"/>
          <w:kern w:val="0"/>
          <w:szCs w:val="21"/>
          <w:highlight w:val="none"/>
        </w:rPr>
      </w:pPr>
      <w:r>
        <w:rPr>
          <w:rFonts w:hint="eastAsia" w:hAnsi="宋体" w:cs="宋体"/>
          <w:color w:val="auto"/>
          <w:spacing w:val="8"/>
          <w:kern w:val="0"/>
          <w:szCs w:val="21"/>
          <w:highlight w:val="none"/>
        </w:rPr>
        <w:t>1.大型、中型和小型企业须同时满足所列指标的下限，否则下划一档；微型企业只须满足所列指标中的一项即可。</w:t>
      </w:r>
    </w:p>
    <w:p>
      <w:pPr>
        <w:pStyle w:val="14"/>
        <w:adjustRightInd w:val="0"/>
        <w:spacing w:line="360" w:lineRule="auto"/>
        <w:ind w:firstLine="452" w:firstLineChars="200"/>
        <w:contextualSpacing/>
        <w:rPr>
          <w:rFonts w:hint="eastAsia" w:hAnsi="宋体" w:cs="宋体"/>
          <w:color w:val="auto"/>
          <w:spacing w:val="8"/>
          <w:kern w:val="0"/>
          <w:szCs w:val="21"/>
          <w:highlight w:val="none"/>
        </w:rPr>
      </w:pPr>
      <w:r>
        <w:rPr>
          <w:rFonts w:hint="eastAsia" w:hAnsi="宋体" w:cs="宋体"/>
          <w:color w:val="auto"/>
          <w:spacing w:val="8"/>
          <w:kern w:val="0"/>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pPr>
        <w:pStyle w:val="14"/>
        <w:spacing w:line="360" w:lineRule="auto"/>
        <w:ind w:firstLine="452" w:firstLineChars="200"/>
        <w:rPr>
          <w:rFonts w:hint="eastAsia" w:hAnsi="宋体" w:cs="宋体"/>
          <w:color w:val="auto"/>
          <w:spacing w:val="8"/>
          <w:kern w:val="0"/>
          <w:szCs w:val="21"/>
          <w:highlight w:val="none"/>
        </w:rPr>
      </w:pPr>
      <w:r>
        <w:rPr>
          <w:rFonts w:hint="eastAsia" w:hAnsi="宋体" w:cs="宋体"/>
          <w:color w:val="auto"/>
          <w:spacing w:val="8"/>
          <w:kern w:val="0"/>
          <w:szCs w:val="21"/>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pPr>
        <w:pStyle w:val="23"/>
        <w:shd w:val="clear" w:color="auto" w:fill="FFFFFF"/>
        <w:spacing w:before="30" w:beforeAutospacing="0" w:after="30" w:afterAutospacing="0"/>
        <w:rPr>
          <w:rFonts w:hint="eastAsia"/>
          <w:color w:val="auto"/>
          <w:highlight w:val="none"/>
        </w:rPr>
      </w:pPr>
      <w:r>
        <w:rPr>
          <w:rFonts w:hint="eastAsia"/>
          <w:color w:val="auto"/>
          <w:spacing w:val="8"/>
          <w:szCs w:val="21"/>
          <w:highlight w:val="none"/>
        </w:rPr>
        <w:br w:type="page"/>
      </w:r>
      <w:r>
        <w:rPr>
          <w:rFonts w:hint="eastAsia"/>
          <w:color w:val="auto"/>
          <w:sz w:val="32"/>
          <w:szCs w:val="32"/>
          <w:highlight w:val="none"/>
        </w:rPr>
        <w:t>附件3</w:t>
      </w:r>
    </w:p>
    <w:p>
      <w:pPr>
        <w:widowControl/>
        <w:shd w:val="clear" w:color="auto" w:fill="FFFFFF"/>
        <w:spacing w:before="30" w:after="30" w:line="360" w:lineRule="auto"/>
        <w:jc w:val="center"/>
        <w:rPr>
          <w:rFonts w:hint="eastAsia" w:ascii="宋体" w:hAnsi="宋体" w:cs="宋体"/>
          <w:b/>
          <w:color w:val="auto"/>
          <w:sz w:val="30"/>
          <w:szCs w:val="30"/>
          <w:highlight w:val="none"/>
        </w:rPr>
      </w:pPr>
    </w:p>
    <w:p>
      <w:pPr>
        <w:widowControl/>
        <w:shd w:val="clear" w:color="auto" w:fill="FFFFFF"/>
        <w:spacing w:before="30" w:after="30" w:line="360" w:lineRule="auto"/>
        <w:jc w:val="center"/>
        <w:rPr>
          <w:rFonts w:hint="eastAsia" w:ascii="宋体" w:hAnsi="宋体" w:cs="宋体"/>
          <w:color w:val="auto"/>
          <w:sz w:val="24"/>
          <w:highlight w:val="none"/>
        </w:rPr>
      </w:pPr>
      <w:r>
        <w:rPr>
          <w:rFonts w:hint="eastAsia" w:ascii="宋体" w:hAnsi="宋体" w:cs="宋体"/>
          <w:b/>
          <w:color w:val="auto"/>
          <w:sz w:val="30"/>
          <w:szCs w:val="30"/>
          <w:highlight w:val="none"/>
        </w:rPr>
        <w:t>中国境内生产的组件成本核算基本规则</w:t>
      </w:r>
    </w:p>
    <w:p>
      <w:pPr>
        <w:widowControl/>
        <w:shd w:val="clear" w:color="auto" w:fill="FFFFFF"/>
        <w:spacing w:before="30" w:after="30"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产品在中国境内生产的组件成本，一般按照其二级组件的相关成本进行核算。按照产品的一级组件进行成本核算能够满足中国境内生产的组件成本判定需求的，可以按照一级组件的相关成本进行核算。</w:t>
      </w:r>
    </w:p>
    <w:p>
      <w:pPr>
        <w:widowControl/>
        <w:shd w:val="clear" w:color="auto" w:fill="FFFFFF"/>
        <w:spacing w:before="30" w:after="30"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一、产品的一级组件是指直接组成产品的组件。产品的二级组件是指直接组成产品一级组件的组件。一级组件不可分解的，视同二级组件。</w:t>
      </w:r>
    </w:p>
    <w:p>
      <w:pPr>
        <w:widowControl/>
        <w:shd w:val="clear" w:color="auto" w:fill="FFFFFF"/>
        <w:spacing w:before="30" w:after="30"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二、二级组件在中国境内生产的，其全部成本计入中国境内生产的组件成本；二级组件不在中国境内生产的，其成本不计入中国境内生产的组件成本。</w:t>
      </w:r>
    </w:p>
    <w:p>
      <w:pPr>
        <w:widowControl/>
        <w:shd w:val="clear" w:color="auto" w:fill="FFFFFF"/>
        <w:spacing w:before="30" w:after="30"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三、产品总成本和组件成本以相关会计核算数据、采购合同、进货记录等为基础进行计算。</w:t>
      </w:r>
    </w:p>
    <w:p>
      <w:pPr>
        <w:pStyle w:val="14"/>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四、需要对成本核算规则予以进一步明确的其他有关事项，由财政部会同有关部门另行规定。</w:t>
      </w:r>
    </w:p>
    <w:p>
      <w:pPr>
        <w:pStyle w:val="14"/>
        <w:spacing w:line="360" w:lineRule="auto"/>
        <w:ind w:firstLine="420" w:firstLineChars="200"/>
        <w:rPr>
          <w:rFonts w:hint="eastAsia" w:hAnsi="宋体" w:cs="宋体"/>
          <w:color w:val="auto"/>
          <w:szCs w:val="21"/>
          <w:highlight w:val="none"/>
        </w:rPr>
      </w:pPr>
    </w:p>
    <w:p>
      <w:pPr>
        <w:pStyle w:val="14"/>
        <w:spacing w:line="360" w:lineRule="auto"/>
        <w:ind w:firstLine="420" w:firstLineChars="200"/>
        <w:jc w:val="center"/>
        <w:rPr>
          <w:rFonts w:hint="eastAsia" w:hAnsi="宋体" w:cs="宋体"/>
          <w:b/>
          <w:color w:val="auto"/>
          <w:sz w:val="36"/>
          <w:szCs w:val="36"/>
          <w:highlight w:val="none"/>
        </w:rPr>
      </w:pPr>
      <w:r>
        <w:rPr>
          <w:rFonts w:hint="eastAsia" w:hAnsi="宋体" w:cs="宋体"/>
          <w:color w:val="auto"/>
          <w:szCs w:val="21"/>
          <w:highlight w:val="none"/>
        </w:rPr>
        <w:br w:type="page"/>
      </w:r>
      <w:bookmarkStart w:id="73" w:name="_Toc8839"/>
      <w:bookmarkStart w:id="74" w:name="_Toc30618"/>
      <w:bookmarkStart w:id="75" w:name="_Toc9505"/>
      <w:bookmarkStart w:id="76" w:name="_Toc10316"/>
      <w:bookmarkStart w:id="77" w:name="_Toc5641"/>
      <w:bookmarkStart w:id="78" w:name="_Toc5815"/>
      <w:bookmarkStart w:id="79" w:name="_Toc1395"/>
      <w:bookmarkStart w:id="80" w:name="_Toc15229"/>
      <w:bookmarkStart w:id="81" w:name="_Toc6743"/>
      <w:bookmarkStart w:id="82" w:name="_Toc532545044"/>
      <w:bookmarkStart w:id="83" w:name="_Toc29575"/>
      <w:bookmarkStart w:id="84" w:name="_Toc2394"/>
      <w:r>
        <w:rPr>
          <w:rFonts w:hint="eastAsia" w:hAnsi="宋体" w:cs="宋体"/>
          <w:b/>
          <w:color w:val="auto"/>
          <w:sz w:val="36"/>
          <w:highlight w:val="none"/>
        </w:rPr>
        <w:t>第三章  投标人须知</w:t>
      </w:r>
      <w:bookmarkEnd w:id="73"/>
      <w:bookmarkEnd w:id="74"/>
      <w:bookmarkEnd w:id="75"/>
      <w:bookmarkEnd w:id="76"/>
      <w:bookmarkEnd w:id="77"/>
      <w:bookmarkEnd w:id="78"/>
      <w:bookmarkEnd w:id="79"/>
      <w:bookmarkEnd w:id="80"/>
      <w:bookmarkEnd w:id="81"/>
      <w:bookmarkEnd w:id="82"/>
      <w:bookmarkEnd w:id="83"/>
      <w:bookmarkEnd w:id="84"/>
    </w:p>
    <w:p>
      <w:pPr>
        <w:pStyle w:val="14"/>
        <w:spacing w:line="360" w:lineRule="auto"/>
        <w:jc w:val="center"/>
        <w:outlineLvl w:val="1"/>
        <w:rPr>
          <w:rFonts w:hint="eastAsia" w:hAnsi="宋体" w:cs="宋体"/>
          <w:b/>
          <w:color w:val="auto"/>
          <w:sz w:val="30"/>
          <w:szCs w:val="30"/>
          <w:highlight w:val="none"/>
        </w:rPr>
      </w:pPr>
      <w:bookmarkStart w:id="85" w:name="_Toc992"/>
      <w:bookmarkStart w:id="86" w:name="_Toc20955"/>
      <w:bookmarkStart w:id="87" w:name="_Toc12345"/>
      <w:bookmarkStart w:id="88" w:name="_Toc2967"/>
      <w:bookmarkStart w:id="89" w:name="_Toc28990"/>
      <w:r>
        <w:rPr>
          <w:rFonts w:hint="eastAsia" w:hAnsi="宋体" w:cs="宋体"/>
          <w:b/>
          <w:color w:val="auto"/>
          <w:sz w:val="30"/>
          <w:szCs w:val="30"/>
          <w:highlight w:val="none"/>
        </w:rPr>
        <w:t>第一节 投标人须知前附表</w:t>
      </w:r>
      <w:bookmarkEnd w:id="85"/>
      <w:bookmarkEnd w:id="86"/>
      <w:bookmarkEnd w:id="87"/>
      <w:bookmarkEnd w:id="88"/>
      <w:bookmarkEnd w:id="89"/>
    </w:p>
    <w:tbl>
      <w:tblPr>
        <w:tblStyle w:val="27"/>
        <w:tblW w:w="957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60"/>
        <w:gridCol w:w="2083"/>
        <w:gridCol w:w="663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条款号</w:t>
            </w:r>
          </w:p>
        </w:tc>
        <w:tc>
          <w:tcPr>
            <w:tcW w:w="208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项目内容</w:t>
            </w:r>
          </w:p>
        </w:tc>
        <w:tc>
          <w:tcPr>
            <w:tcW w:w="663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2.8</w:t>
            </w: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实质性要求</w:t>
            </w:r>
          </w:p>
        </w:tc>
        <w:tc>
          <w:tcPr>
            <w:tcW w:w="6631" w:type="dxa"/>
            <w:tcBorders>
              <w:top w:val="single" w:color="auto" w:sz="4" w:space="0"/>
              <w:left w:val="single" w:color="auto" w:sz="4" w:space="0"/>
              <w:bottom w:val="single" w:color="auto" w:sz="4" w:space="0"/>
              <w:right w:val="single" w:color="auto" w:sz="4" w:space="0"/>
            </w:tcBorders>
            <w:vAlign w:val="center"/>
          </w:tcPr>
          <w:p>
            <w:pPr>
              <w:pStyle w:val="11"/>
              <w:spacing w:line="360" w:lineRule="auto"/>
              <w:jc w:val="both"/>
              <w:rPr>
                <w:rFonts w:hint="eastAsia" w:ascii="宋体" w:hAnsi="宋体" w:cs="宋体"/>
                <w:color w:val="auto"/>
                <w:szCs w:val="21"/>
                <w:highlight w:val="none"/>
              </w:rPr>
            </w:pPr>
            <w:r>
              <w:rPr>
                <w:rFonts w:hint="eastAsia" w:ascii="宋体" w:hAnsi="宋体" w:cs="宋体"/>
                <w:color w:val="auto"/>
                <w:szCs w:val="21"/>
                <w:highlight w:val="none"/>
              </w:rPr>
              <w:t>指招标文件中已经指明不提供或不满足则投标无效的条款，或者不允许负偏离的条款，或者第二章“采购需求”中带“▲”的条款。</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投标人的资格要求</w:t>
            </w:r>
          </w:p>
        </w:tc>
        <w:tc>
          <w:tcPr>
            <w:tcW w:w="6631" w:type="dxa"/>
            <w:tcBorders>
              <w:top w:val="single" w:color="auto" w:sz="4" w:space="0"/>
              <w:left w:val="single" w:color="auto" w:sz="4" w:space="0"/>
              <w:bottom w:val="single" w:color="auto" w:sz="4" w:space="0"/>
              <w:right w:val="single" w:color="auto" w:sz="4" w:space="0"/>
            </w:tcBorders>
            <w:vAlign w:val="center"/>
          </w:tcPr>
          <w:p>
            <w:pPr>
              <w:pStyle w:val="11"/>
              <w:spacing w:line="360" w:lineRule="auto"/>
              <w:jc w:val="both"/>
              <w:rPr>
                <w:rFonts w:hint="eastAsia" w:ascii="宋体" w:hAnsi="宋体" w:cs="宋体"/>
                <w:color w:val="auto"/>
                <w:szCs w:val="21"/>
                <w:highlight w:val="none"/>
              </w:rPr>
            </w:pPr>
            <w:r>
              <w:rPr>
                <w:rFonts w:hint="eastAsia" w:ascii="宋体" w:hAnsi="宋体" w:cs="宋体"/>
                <w:color w:val="auto"/>
                <w:szCs w:val="21"/>
                <w:highlight w:val="none"/>
              </w:rPr>
              <w:t>详见招标公告。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6.1</w:t>
            </w: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Cs w:val="21"/>
                <w:highlight w:val="none"/>
              </w:rPr>
            </w:pPr>
            <w:bookmarkStart w:id="90" w:name="_5"/>
            <w:bookmarkEnd w:id="90"/>
            <w:bookmarkStart w:id="91" w:name="_9.2"/>
            <w:bookmarkEnd w:id="91"/>
            <w:bookmarkStart w:id="92" w:name="_8.1"/>
            <w:bookmarkEnd w:id="92"/>
            <w:r>
              <w:rPr>
                <w:rFonts w:hint="eastAsia" w:ascii="宋体" w:hAnsi="宋体" w:cs="宋体"/>
                <w:color w:val="auto"/>
                <w:szCs w:val="21"/>
                <w:highlight w:val="none"/>
              </w:rPr>
              <w:t>是否接受联合体投标</w:t>
            </w:r>
          </w:p>
        </w:tc>
        <w:tc>
          <w:tcPr>
            <w:tcW w:w="6631" w:type="dxa"/>
            <w:tcBorders>
              <w:top w:val="single" w:color="auto" w:sz="4" w:space="0"/>
              <w:left w:val="single" w:color="auto" w:sz="4" w:space="0"/>
              <w:bottom w:val="single" w:color="auto" w:sz="4" w:space="0"/>
              <w:right w:val="single" w:color="auto" w:sz="4" w:space="0"/>
            </w:tcBorders>
            <w:vAlign w:val="center"/>
          </w:tcPr>
          <w:p>
            <w:pPr>
              <w:pStyle w:val="11"/>
              <w:spacing w:line="360" w:lineRule="auto"/>
              <w:jc w:val="both"/>
              <w:rPr>
                <w:rFonts w:hint="eastAsia" w:ascii="宋体" w:hAnsi="宋体" w:cs="宋体"/>
                <w:color w:val="auto"/>
                <w:szCs w:val="21"/>
                <w:highlight w:val="none"/>
              </w:rPr>
            </w:pPr>
            <w:bookmarkStart w:id="93" w:name="PO_3000001867_PM007_1"/>
            <w:r>
              <w:rPr>
                <w:rFonts w:hint="eastAsia" w:ascii="宋体" w:hAnsi="宋体" w:cs="宋体"/>
                <w:color w:val="auto"/>
                <w:szCs w:val="21"/>
                <w:highlight w:val="none"/>
              </w:rPr>
              <w:t>详见招标公告</w:t>
            </w:r>
            <w:bookmarkEnd w:id="93"/>
            <w:r>
              <w:rPr>
                <w:rFonts w:hint="eastAsia" w:ascii="宋体" w:hAnsi="宋体" w:cs="宋体"/>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6.2</w:t>
            </w: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联合体投标要求</w:t>
            </w:r>
          </w:p>
        </w:tc>
        <w:tc>
          <w:tcPr>
            <w:tcW w:w="6631" w:type="dxa"/>
            <w:tcBorders>
              <w:top w:val="single" w:color="auto" w:sz="4" w:space="0"/>
              <w:left w:val="single" w:color="auto" w:sz="4" w:space="0"/>
              <w:bottom w:val="single" w:color="auto" w:sz="4" w:space="0"/>
              <w:right w:val="single" w:color="auto" w:sz="4" w:space="0"/>
            </w:tcBorders>
            <w:vAlign w:val="center"/>
          </w:tcPr>
          <w:p>
            <w:pPr>
              <w:pStyle w:val="11"/>
              <w:spacing w:line="360" w:lineRule="auto"/>
              <w:jc w:val="both"/>
              <w:rPr>
                <w:rFonts w:hint="eastAsia" w:ascii="宋体" w:hAnsi="宋体" w:cs="宋体"/>
                <w:color w:val="auto"/>
                <w:szCs w:val="21"/>
                <w:highlight w:val="none"/>
              </w:rPr>
            </w:pPr>
            <w:r>
              <w:rPr>
                <w:rFonts w:hint="eastAsia" w:ascii="宋体" w:hAnsi="宋体" w:cs="宋体"/>
                <w:color w:val="auto"/>
                <w:szCs w:val="21"/>
                <w:highlight w:val="none"/>
              </w:rPr>
              <w:t>不接受联合体</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7.2</w:t>
            </w: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是否允许分包</w:t>
            </w:r>
          </w:p>
        </w:tc>
        <w:tc>
          <w:tcPr>
            <w:tcW w:w="6631"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宋体" w:hAnsi="宋体" w:cs="宋体"/>
                <w:color w:val="auto"/>
                <w:szCs w:val="21"/>
                <w:highlight w:val="none"/>
              </w:rPr>
            </w:pPr>
            <w:bookmarkStart w:id="94" w:name="PO_3000001871_PM044"/>
            <w:bookmarkStart w:id="95" w:name="PO_3000001867_PM044"/>
            <w:r>
              <w:rPr>
                <w:rFonts w:hint="eastAsia" w:ascii="宋体" w:hAnsi="宋体" w:cs="宋体"/>
                <w:color w:val="auto"/>
                <w:highlight w:val="none"/>
              </w:rPr>
              <w:sym w:font="Wingdings 2" w:char="0052"/>
            </w:r>
            <w:r>
              <w:rPr>
                <w:rFonts w:hint="eastAsia" w:ascii="宋体" w:hAnsi="宋体" w:cs="宋体"/>
                <w:color w:val="auto"/>
                <w:szCs w:val="21"/>
                <w:highlight w:val="none"/>
              </w:rPr>
              <w:t>不允许分包</w:t>
            </w:r>
            <w:bookmarkEnd w:id="94"/>
            <w:r>
              <w:rPr>
                <w:rFonts w:hint="eastAsia" w:ascii="宋体" w:hAnsi="宋体" w:cs="宋体"/>
                <w:color w:val="auto"/>
                <w:szCs w:val="21"/>
                <w:highlight w:val="none"/>
              </w:rPr>
              <w:t>。</w:t>
            </w:r>
          </w:p>
          <w:p>
            <w:pPr>
              <w:pStyle w:val="11"/>
              <w:spacing w:line="360" w:lineRule="auto"/>
              <w:rPr>
                <w:rFonts w:hint="eastAsia" w:ascii="宋体" w:hAnsi="宋体" w:cs="宋体"/>
                <w:color w:val="auto"/>
                <w:highlight w:val="none"/>
              </w:rPr>
            </w:pPr>
            <w:r>
              <w:rPr>
                <w:rFonts w:hint="eastAsia" w:ascii="宋体" w:hAnsi="宋体" w:cs="宋体"/>
                <w:color w:val="auto"/>
                <w:highlight w:val="none"/>
              </w:rPr>
              <w:t>□允许分包：</w:t>
            </w:r>
          </w:p>
          <w:bookmarkEnd w:id="95"/>
          <w:p>
            <w:pPr>
              <w:pStyle w:val="11"/>
              <w:spacing w:line="360" w:lineRule="auto"/>
              <w:rPr>
                <w:rFonts w:hint="eastAsia" w:ascii="宋体" w:hAnsi="宋体" w:cs="宋体"/>
                <w:color w:val="auto"/>
                <w:szCs w:val="21"/>
                <w:highlight w:val="none"/>
              </w:rPr>
            </w:pPr>
            <w:r>
              <w:rPr>
                <w:rFonts w:hint="eastAsia" w:ascii="宋体" w:hAnsi="宋体" w:cs="宋体"/>
                <w:color w:val="auto"/>
                <w:szCs w:val="21"/>
                <w:highlight w:val="none"/>
              </w:rPr>
              <w:t>分包内容：</w:t>
            </w:r>
            <w:r>
              <w:rPr>
                <w:rFonts w:hint="eastAsia" w:ascii="宋体" w:hAnsi="宋体" w:cs="宋体"/>
                <w:color w:val="auto"/>
                <w:szCs w:val="21"/>
                <w:highlight w:val="none"/>
                <w:u w:val="single"/>
              </w:rPr>
              <w:t xml:space="preserve">                                     。</w:t>
            </w:r>
          </w:p>
          <w:p>
            <w:pPr>
              <w:pStyle w:val="11"/>
              <w:spacing w:line="360" w:lineRule="auto"/>
              <w:rPr>
                <w:rFonts w:hint="eastAsia" w:ascii="宋体" w:hAnsi="宋体" w:cs="宋体"/>
                <w:color w:val="auto"/>
                <w:szCs w:val="21"/>
                <w:highlight w:val="none"/>
              </w:rPr>
            </w:pPr>
            <w:r>
              <w:rPr>
                <w:rFonts w:hint="eastAsia" w:ascii="宋体" w:hAnsi="宋体" w:cs="宋体"/>
                <w:color w:val="auto"/>
                <w:szCs w:val="21"/>
                <w:highlight w:val="none"/>
              </w:rPr>
              <w:t>分包金额或者比例：</w:t>
            </w:r>
            <w:r>
              <w:rPr>
                <w:rFonts w:hint="eastAsia" w:ascii="宋体" w:hAnsi="宋体" w:cs="宋体"/>
                <w:color w:val="auto"/>
                <w:szCs w:val="21"/>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8.4</w:t>
            </w:r>
          </w:p>
          <w:p>
            <w:pPr>
              <w:spacing w:line="360" w:lineRule="auto"/>
              <w:jc w:val="center"/>
              <w:rPr>
                <w:rFonts w:hint="eastAsia" w:ascii="宋体" w:hAnsi="宋体" w:cs="宋体"/>
                <w:color w:val="auto"/>
                <w:szCs w:val="21"/>
                <w:highlight w:val="none"/>
              </w:rPr>
            </w:pPr>
          </w:p>
        </w:tc>
        <w:tc>
          <w:tcPr>
            <w:tcW w:w="2083" w:type="dxa"/>
            <w:tcBorders>
              <w:top w:val="single" w:color="auto" w:sz="4" w:space="0"/>
              <w:left w:val="single" w:color="auto" w:sz="4" w:space="0"/>
              <w:bottom w:val="single" w:color="auto" w:sz="4" w:space="0"/>
              <w:right w:val="single" w:color="auto" w:sz="4" w:space="0"/>
            </w:tcBorders>
            <w:vAlign w:val="center"/>
          </w:tcPr>
          <w:p>
            <w:pPr>
              <w:pStyle w:val="11"/>
              <w:spacing w:line="360" w:lineRule="auto"/>
              <w:rPr>
                <w:rFonts w:hint="eastAsia" w:ascii="宋体" w:hAnsi="宋体" w:cs="宋体"/>
                <w:color w:val="auto"/>
                <w:szCs w:val="21"/>
                <w:highlight w:val="none"/>
              </w:rPr>
            </w:pPr>
            <w:r>
              <w:rPr>
                <w:rFonts w:hint="eastAsia" w:ascii="宋体" w:hAnsi="宋体" w:cs="宋体"/>
                <w:color w:val="auto"/>
                <w:szCs w:val="21"/>
                <w:highlight w:val="none"/>
              </w:rPr>
              <w:t>提供相同品牌产品且通过资格审查、符合性审查的不同投标人参加同一合同项下投标的</w:t>
            </w:r>
            <w:r>
              <w:rPr>
                <w:rFonts w:hint="eastAsia"/>
                <w:color w:val="auto"/>
                <w:highlight w:val="none"/>
              </w:rPr>
              <w:t>获得参加评标资格的投标人或获得中标人推荐资格的</w:t>
            </w:r>
            <w:r>
              <w:rPr>
                <w:rFonts w:hint="eastAsia" w:ascii="宋体" w:hAnsi="宋体" w:cs="宋体"/>
                <w:color w:val="auto"/>
                <w:szCs w:val="21"/>
                <w:highlight w:val="none"/>
              </w:rPr>
              <w:t>确定方式</w:t>
            </w:r>
          </w:p>
        </w:tc>
        <w:tc>
          <w:tcPr>
            <w:tcW w:w="6631" w:type="dxa"/>
            <w:tcBorders>
              <w:top w:val="single" w:color="auto" w:sz="4" w:space="0"/>
              <w:left w:val="single" w:color="auto" w:sz="4" w:space="0"/>
              <w:right w:val="single" w:color="auto" w:sz="4" w:space="0"/>
            </w:tcBorders>
            <w:vAlign w:val="center"/>
          </w:tcPr>
          <w:p>
            <w:pPr>
              <w:pStyle w:val="14"/>
              <w:spacing w:line="360" w:lineRule="auto"/>
              <w:rPr>
                <w:rFonts w:hint="eastAsia" w:hAnsi="宋体" w:cs="宋体"/>
                <w:color w:val="auto"/>
                <w:szCs w:val="21"/>
                <w:highlight w:val="none"/>
              </w:rPr>
            </w:pPr>
            <w:r>
              <w:rPr>
                <w:rFonts w:hint="eastAsia" w:hAnsi="宋体" w:cs="宋体"/>
                <w:color w:val="auto"/>
                <w:szCs w:val="21"/>
                <w:highlight w:val="none"/>
              </w:rPr>
              <w:t>□随机抽取（采用最低评标价法，投标报价相同时；采用综合评分法，评审得分相同时。）</w:t>
            </w:r>
          </w:p>
          <w:p>
            <w:pPr>
              <w:pStyle w:val="11"/>
              <w:spacing w:line="360" w:lineRule="auto"/>
              <w:rPr>
                <w:rFonts w:hint="eastAsia" w:ascii="宋体" w:hAnsi="宋体" w:cs="宋体"/>
                <w:color w:val="auto"/>
                <w:szCs w:val="21"/>
                <w:highlight w:val="none"/>
              </w:rPr>
            </w:pPr>
            <w:r>
              <w:rPr>
                <w:rFonts w:hint="eastAsia" w:ascii="宋体" w:hAnsi="宋体" w:cs="宋体"/>
                <w:color w:val="auto"/>
                <w:szCs w:val="21"/>
                <w:highlight w:val="none"/>
              </w:rPr>
              <w:sym w:font="Wingdings 2" w:char="0052"/>
            </w:r>
            <w:r>
              <w:rPr>
                <w:rFonts w:hint="eastAsia" w:ascii="宋体" w:hAnsi="宋体" w:cs="宋体"/>
                <w:color w:val="auto"/>
                <w:szCs w:val="21"/>
                <w:highlight w:val="none"/>
              </w:rPr>
              <w:t>其他方式：</w:t>
            </w:r>
          </w:p>
          <w:p>
            <w:pPr>
              <w:pStyle w:val="11"/>
              <w:spacing w:line="360" w:lineRule="auto"/>
              <w:rPr>
                <w:rFonts w:hint="eastAsia" w:hAnsi="宋体" w:cs="宋体"/>
                <w:color w:val="auto"/>
                <w:highlight w:val="none"/>
              </w:rPr>
            </w:pPr>
            <w:r>
              <w:rPr>
                <w:rFonts w:hint="eastAsia" w:ascii="宋体" w:hAnsi="宋体" w:cs="宋体"/>
                <w:color w:val="auto"/>
                <w:szCs w:val="21"/>
                <w:highlight w:val="none"/>
              </w:rPr>
              <w:sym w:font="Wingdings 2" w:char="0052"/>
            </w:r>
            <w:r>
              <w:rPr>
                <w:rFonts w:hint="eastAsia" w:ascii="宋体" w:hAnsi="宋体" w:cs="宋体"/>
                <w:b/>
                <w:bCs/>
                <w:color w:val="auto"/>
                <w:szCs w:val="21"/>
                <w:highlight w:val="none"/>
              </w:rPr>
              <w:t>采用综合评分法，</w:t>
            </w:r>
            <w:r>
              <w:rPr>
                <w:rFonts w:hint="eastAsia" w:ascii="宋体" w:hAnsi="宋体" w:cs="宋体"/>
                <w:color w:val="auto"/>
                <w:szCs w:val="21"/>
                <w:highlight w:val="none"/>
              </w:rPr>
              <w:t>评审得分相同时</w:t>
            </w:r>
            <w:r>
              <w:rPr>
                <w:rFonts w:hint="eastAsia" w:hAnsi="宋体" w:cs="宋体"/>
                <w:color w:val="auto"/>
                <w:szCs w:val="21"/>
                <w:highlight w:val="none"/>
              </w:rPr>
              <w:t>，</w:t>
            </w:r>
            <w:r>
              <w:rPr>
                <w:rFonts w:hint="eastAsia" w:ascii="宋体" w:hAnsi="宋体" w:cs="宋体"/>
                <w:color w:val="auto"/>
                <w:szCs w:val="21"/>
                <w:highlight w:val="none"/>
              </w:rPr>
              <w:t>投标总报价低的</w:t>
            </w:r>
            <w:r>
              <w:rPr>
                <w:rFonts w:hint="eastAsia" w:ascii="宋体" w:hAnsi="宋体" w:cs="宋体"/>
                <w:color w:val="auto"/>
                <w:highlight w:val="none"/>
              </w:rPr>
              <w:t>获得推荐资格</w:t>
            </w:r>
            <w:r>
              <w:rPr>
                <w:rFonts w:hint="eastAsia" w:hAnsi="宋体" w:cs="宋体"/>
                <w:color w:val="auto"/>
                <w:highlight w:val="none"/>
              </w:rPr>
              <w:t>，</w:t>
            </w:r>
            <w:r>
              <w:rPr>
                <w:rFonts w:hint="eastAsia" w:ascii="宋体" w:hAnsi="宋体" w:cs="宋体"/>
                <w:color w:val="auto"/>
                <w:szCs w:val="21"/>
                <w:highlight w:val="none"/>
              </w:rPr>
              <w:t>评审得分</w:t>
            </w:r>
            <w:r>
              <w:rPr>
                <w:rFonts w:hint="eastAsia" w:hAnsi="宋体" w:cs="宋体"/>
                <w:color w:val="auto"/>
                <w:szCs w:val="21"/>
                <w:highlight w:val="none"/>
              </w:rPr>
              <w:t>、</w:t>
            </w:r>
            <w:r>
              <w:rPr>
                <w:rFonts w:hint="eastAsia" w:hAnsi="宋体" w:cs="宋体"/>
                <w:color w:val="auto"/>
                <w:highlight w:val="none"/>
              </w:rPr>
              <w:t>投标总报价均相同时，由采购人随机抽取。</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b/>
                <w:bCs/>
                <w:color w:val="auto"/>
                <w:szCs w:val="21"/>
                <w:highlight w:val="none"/>
              </w:rPr>
              <w:t>采用最低评标价法，</w:t>
            </w:r>
            <w:r>
              <w:rPr>
                <w:rFonts w:hint="eastAsia" w:ascii="宋体" w:hAnsi="宋体" w:cs="宋体"/>
                <w:color w:val="auto"/>
                <w:szCs w:val="21"/>
                <w:highlight w:val="none"/>
              </w:rPr>
              <w:t>投标总报价相同</w:t>
            </w:r>
            <w:r>
              <w:rPr>
                <w:rFonts w:hint="eastAsia" w:hAnsi="宋体" w:cs="宋体"/>
                <w:color w:val="auto"/>
                <w:szCs w:val="21"/>
                <w:highlight w:val="none"/>
              </w:rPr>
              <w:t>时</w:t>
            </w:r>
            <w:r>
              <w:rPr>
                <w:rFonts w:hint="eastAsia" w:ascii="宋体" w:hAnsi="宋体" w:cs="宋体"/>
                <w:color w:val="auto"/>
                <w:szCs w:val="21"/>
                <w:highlight w:val="none"/>
              </w:rPr>
              <w:t>，由采购人随机抽取。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11.4</w:t>
            </w: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媒体发布渠道</w:t>
            </w:r>
          </w:p>
        </w:tc>
        <w:tc>
          <w:tcPr>
            <w:tcW w:w="6631"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 w:val="28"/>
                <w:szCs w:val="18"/>
                <w:highlight w:val="none"/>
              </w:rPr>
            </w:pPr>
            <w:r>
              <w:rPr>
                <w:rFonts w:hint="eastAsia" w:ascii="宋体" w:hAnsi="宋体" w:cs="宋体"/>
                <w:color w:val="auto"/>
                <w:szCs w:val="21"/>
                <w:highlight w:val="none"/>
              </w:rPr>
              <w:t>与本项目相关的政府采购业务澄清、更正及与之相关的事项将在招标公告中“六、其他补充事宜”中网上查询地址上发布</w:t>
            </w:r>
            <w:r>
              <w:rPr>
                <w:rFonts w:hint="eastAsia" w:ascii="宋体" w:hAnsi="宋体" w:cs="宋体"/>
                <w:color w:val="auto"/>
                <w:kern w:val="0"/>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11.5</w:t>
            </w: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是否组织标前答疑会</w:t>
            </w:r>
          </w:p>
        </w:tc>
        <w:tc>
          <w:tcPr>
            <w:tcW w:w="663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sym w:font="Wingdings 2" w:char="0052"/>
            </w:r>
            <w:r>
              <w:rPr>
                <w:rFonts w:hint="eastAsia" w:ascii="宋体" w:hAnsi="宋体" w:cs="宋体"/>
                <w:color w:val="auto"/>
                <w:szCs w:val="21"/>
                <w:highlight w:val="none"/>
              </w:rPr>
              <w:t>不组织召开开标前答疑会</w:t>
            </w:r>
          </w:p>
          <w:p>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□组织召开开标前答疑会</w:t>
            </w:r>
          </w:p>
          <w:p>
            <w:pPr>
              <w:snapToGrid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会议开始时间：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时</w:t>
            </w:r>
            <w:r>
              <w:rPr>
                <w:rFonts w:hint="eastAsia" w:ascii="宋体" w:hAnsi="宋体" w:cs="宋体"/>
                <w:color w:val="auto"/>
                <w:szCs w:val="21"/>
                <w:highlight w:val="none"/>
                <w:u w:val="single"/>
              </w:rPr>
              <w:t xml:space="preserve">  分</w:t>
            </w:r>
            <w:r>
              <w:rPr>
                <w:rFonts w:hint="eastAsia" w:ascii="宋体" w:hAnsi="宋体" w:cs="宋体"/>
                <w:color w:val="auto"/>
                <w:szCs w:val="21"/>
                <w:highlight w:val="none"/>
              </w:rPr>
              <w:t>，逾期后果自负。会议地点：</w:t>
            </w:r>
            <w:r>
              <w:rPr>
                <w:rFonts w:hint="eastAsia" w:ascii="宋体" w:hAnsi="宋体" w:cs="宋体"/>
                <w:color w:val="auto"/>
                <w:szCs w:val="21"/>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13.1</w:t>
            </w:r>
          </w:p>
        </w:tc>
        <w:tc>
          <w:tcPr>
            <w:tcW w:w="208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left"/>
              <w:rPr>
                <w:rFonts w:hint="eastAsia" w:ascii="宋体" w:hAnsi="宋体" w:cs="宋体"/>
                <w:color w:val="auto"/>
                <w:szCs w:val="21"/>
                <w:highlight w:val="none"/>
              </w:rPr>
            </w:pPr>
            <w:bookmarkStart w:id="96" w:name="_13.2"/>
            <w:bookmarkEnd w:id="96"/>
            <w:r>
              <w:rPr>
                <w:rFonts w:hint="eastAsia" w:ascii="宋体" w:hAnsi="宋体" w:cs="宋体"/>
                <w:color w:val="auto"/>
                <w:szCs w:val="21"/>
                <w:highlight w:val="none"/>
              </w:rPr>
              <w:t>资格文件组成</w:t>
            </w:r>
          </w:p>
        </w:tc>
        <w:tc>
          <w:tcPr>
            <w:tcW w:w="663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1.投标人为法人或者其他组织的，提供营业执照等证明文件复印件（如营业执照或者事业单位法人证书或者</w:t>
            </w:r>
            <w:r>
              <w:rPr>
                <w:rStyle w:val="46"/>
                <w:rFonts w:hint="eastAsia"/>
                <w:color w:val="auto"/>
                <w:szCs w:val="21"/>
                <w:highlight w:val="none"/>
              </w:rPr>
              <w:t>执业许可证</w:t>
            </w:r>
            <w:r>
              <w:rPr>
                <w:rFonts w:hint="eastAsia" w:ascii="宋体" w:hAnsi="宋体" w:cs="宋体"/>
                <w:color w:val="auto"/>
                <w:szCs w:val="21"/>
                <w:highlight w:val="none"/>
              </w:rPr>
              <w:t>等），投标人为自然人的，提供有效身份证正反面复印件；银行、保险、石油石化、电力、电信等有行业特殊情况的，法人的分支机构经法人授权后可以分支机构的身份参加政府采购。如投标人为分支机构的，必须在投标文件中同时提供经法人授权投标人以分支机构名义参加投标的授权委托书、法人营业执照及分支机构营业执照的扫描件。（</w:t>
            </w:r>
            <w:bookmarkStart w:id="97" w:name="OLE_LINK23"/>
            <w:r>
              <w:rPr>
                <w:rFonts w:hint="eastAsia" w:ascii="宋体" w:hAnsi="宋体" w:cs="宋体"/>
                <w:b/>
                <w:color w:val="auto"/>
                <w:szCs w:val="21"/>
                <w:highlight w:val="none"/>
              </w:rPr>
              <w:t>必须提供，否则作无效投标处理</w:t>
            </w:r>
            <w:bookmarkEnd w:id="97"/>
            <w:r>
              <w:rPr>
                <w:rFonts w:hint="eastAsia" w:ascii="宋体" w:hAnsi="宋体" w:cs="宋体"/>
                <w:color w:val="auto"/>
                <w:szCs w:val="21"/>
                <w:highlight w:val="none"/>
              </w:rPr>
              <w:t>）</w:t>
            </w:r>
          </w:p>
          <w:p>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2.投标人依法缴纳税收的相关材料（提供税款所属时期为</w:t>
            </w:r>
            <w:r>
              <w:rPr>
                <w:rFonts w:hint="eastAsia" w:ascii="宋体" w:hAnsi="宋体" w:cs="宋体"/>
                <w:color w:val="auto"/>
                <w:szCs w:val="21"/>
                <w:highlight w:val="none"/>
                <w:u w:val="single"/>
              </w:rPr>
              <w:t>2025</w:t>
            </w:r>
            <w:r>
              <w:rPr>
                <w:rFonts w:hint="eastAsia" w:ascii="宋体" w:hAnsi="宋体" w:cs="宋体"/>
                <w:color w:val="auto"/>
                <w:szCs w:val="21"/>
                <w:highlight w:val="none"/>
              </w:rPr>
              <w:t>年</w:t>
            </w:r>
            <w:r>
              <w:rPr>
                <w:rFonts w:hint="eastAsia" w:ascii="宋体" w:hAnsi="宋体" w:cs="宋体"/>
                <w:color w:val="auto"/>
                <w:szCs w:val="21"/>
                <w:highlight w:val="none"/>
                <w:u w:val="single"/>
              </w:rPr>
              <w:t>9</w:t>
            </w:r>
            <w:r>
              <w:rPr>
                <w:rFonts w:hint="eastAsia" w:ascii="宋体" w:hAnsi="宋体" w:cs="宋体"/>
                <w:color w:val="auto"/>
                <w:szCs w:val="21"/>
                <w:highlight w:val="none"/>
              </w:rPr>
              <w:t>月至投标文件提交截止时间止的任意1个月的依法缴纳税收的凭据复印件；依法免税的投标人，必须提供相应文件证明其依法免税。从取得营业执照时间起到投标文件提交截止时间为止不足要求月数的，只需提供从取得营业执照起的依法缴纳税收相应证明文件）。（</w:t>
            </w:r>
            <w:bookmarkStart w:id="98" w:name="OLE_LINK24"/>
            <w:r>
              <w:rPr>
                <w:rFonts w:hint="eastAsia" w:ascii="宋体" w:hAnsi="宋体" w:cs="宋体"/>
                <w:b/>
                <w:color w:val="auto"/>
                <w:szCs w:val="21"/>
                <w:highlight w:val="none"/>
              </w:rPr>
              <w:t>必须提供，否则作无效投标处理</w:t>
            </w:r>
            <w:bookmarkEnd w:id="98"/>
            <w:r>
              <w:rPr>
                <w:rFonts w:hint="eastAsia" w:ascii="宋体" w:hAnsi="宋体" w:cs="宋体"/>
                <w:color w:val="auto"/>
                <w:szCs w:val="21"/>
                <w:highlight w:val="none"/>
              </w:rPr>
              <w:t>）</w:t>
            </w:r>
          </w:p>
          <w:p>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3.投标人依法缴纳社会保障资金的相关材料（提供税款所属时期或缴费起始时间为</w:t>
            </w:r>
            <w:r>
              <w:rPr>
                <w:rFonts w:hint="eastAsia" w:ascii="宋体" w:hAnsi="宋体" w:cs="宋体"/>
                <w:color w:val="auto"/>
                <w:szCs w:val="21"/>
                <w:highlight w:val="none"/>
                <w:u w:val="single"/>
              </w:rPr>
              <w:t>2025</w:t>
            </w:r>
            <w:r>
              <w:rPr>
                <w:rFonts w:hint="eastAsia" w:ascii="宋体" w:hAnsi="宋体" w:cs="宋体"/>
                <w:color w:val="auto"/>
                <w:szCs w:val="21"/>
                <w:highlight w:val="none"/>
              </w:rPr>
              <w:t>年</w:t>
            </w:r>
            <w:r>
              <w:rPr>
                <w:rFonts w:hint="eastAsia" w:ascii="宋体" w:hAnsi="宋体" w:cs="宋体"/>
                <w:color w:val="auto"/>
                <w:szCs w:val="21"/>
                <w:highlight w:val="none"/>
                <w:u w:val="single"/>
              </w:rPr>
              <w:t>9</w:t>
            </w:r>
            <w:r>
              <w:rPr>
                <w:rFonts w:hint="eastAsia" w:ascii="宋体" w:hAnsi="宋体" w:cs="宋体"/>
                <w:color w:val="auto"/>
                <w:szCs w:val="21"/>
                <w:highlight w:val="none"/>
              </w:rPr>
              <w:t>月至投标文件提交截止时间止的任意1个月的依法缴纳社会保障资金的缴费凭证复印件；依法不需要缴纳社会保障资金的投标人，必须提供相应文件证明不需要缴纳社会保障资金。从取得营业执照时间起到投标文件提交截止时间为止不足要求月数的只需提供从取得营业执照起的依法缴纳社会保障资金的相应证明文件）。（</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4.</w:t>
            </w:r>
            <w:bookmarkStart w:id="99" w:name="OLE_LINK13"/>
            <w:r>
              <w:rPr>
                <w:rFonts w:hint="eastAsia" w:ascii="宋体" w:hAnsi="宋体" w:cs="宋体"/>
                <w:color w:val="auto"/>
                <w:szCs w:val="21"/>
                <w:highlight w:val="none"/>
              </w:rPr>
              <w:t>投标人财务状况报告（提供</w:t>
            </w:r>
            <w:r>
              <w:rPr>
                <w:rFonts w:hint="eastAsia" w:ascii="宋体" w:hAnsi="宋体" w:cs="宋体"/>
                <w:color w:val="auto"/>
                <w:szCs w:val="21"/>
                <w:highlight w:val="none"/>
                <w:u w:val="single"/>
              </w:rPr>
              <w:t>2025</w:t>
            </w:r>
            <w:r>
              <w:rPr>
                <w:rFonts w:hint="eastAsia" w:ascii="宋体" w:hAnsi="宋体" w:cs="宋体"/>
                <w:color w:val="auto"/>
                <w:szCs w:val="21"/>
                <w:highlight w:val="none"/>
              </w:rPr>
              <w:t>年度经审计的财务报告复印件或者截标时间前半年内至少一个月能反映财务状况的报表或者投标人自拟的截标时间前半年内至少一个月的财务情况说明）</w:t>
            </w:r>
            <w:bookmarkEnd w:id="99"/>
            <w:r>
              <w:rPr>
                <w:rFonts w:hint="eastAsia" w:ascii="宋体" w:hAnsi="宋体" w:cs="宋体"/>
                <w:color w:val="auto"/>
                <w:szCs w:val="21"/>
                <w:highlight w:val="none"/>
              </w:rPr>
              <w:t>。（</w:t>
            </w:r>
            <w:bookmarkStart w:id="100" w:name="OLE_LINK25"/>
            <w:r>
              <w:rPr>
                <w:rFonts w:hint="eastAsia" w:ascii="宋体" w:hAnsi="宋体" w:cs="宋体"/>
                <w:b/>
                <w:color w:val="auto"/>
                <w:szCs w:val="21"/>
                <w:highlight w:val="none"/>
              </w:rPr>
              <w:t>必须提供，否则作无效投标处理</w:t>
            </w:r>
            <w:bookmarkEnd w:id="100"/>
            <w:r>
              <w:rPr>
                <w:rFonts w:hint="eastAsia" w:ascii="宋体" w:hAnsi="宋体" w:cs="宋体"/>
                <w:color w:val="auto"/>
                <w:szCs w:val="21"/>
                <w:highlight w:val="none"/>
              </w:rPr>
              <w:t>）</w:t>
            </w:r>
          </w:p>
          <w:p>
            <w:pPr>
              <w:snapToGrid w:val="0"/>
              <w:spacing w:line="360" w:lineRule="auto"/>
              <w:jc w:val="left"/>
              <w:rPr>
                <w:rFonts w:hint="eastAsia" w:ascii="宋体" w:hAnsi="宋体" w:cs="宋体"/>
                <w:b/>
                <w:bCs/>
                <w:color w:val="auto"/>
                <w:szCs w:val="21"/>
                <w:highlight w:val="none"/>
              </w:rPr>
            </w:pPr>
            <w:r>
              <w:rPr>
                <w:rFonts w:hint="eastAsia" w:ascii="宋体" w:hAnsi="宋体" w:cs="宋体"/>
                <w:color w:val="auto"/>
                <w:szCs w:val="21"/>
                <w:highlight w:val="none"/>
              </w:rPr>
              <w:t>5.</w:t>
            </w:r>
            <w:bookmarkStart w:id="101" w:name="OLE_LINK14"/>
            <w:r>
              <w:rPr>
                <w:rFonts w:hint="eastAsia" w:ascii="宋体" w:hAnsi="宋体" w:cs="宋体"/>
                <w:color w:val="auto"/>
                <w:szCs w:val="21"/>
                <w:highlight w:val="none"/>
              </w:rPr>
              <w:t>投标人直接控股股东信息表</w:t>
            </w:r>
            <w:bookmarkEnd w:id="101"/>
            <w:r>
              <w:rPr>
                <w:rFonts w:hint="eastAsia" w:ascii="宋体" w:hAnsi="宋体" w:cs="宋体"/>
                <w:color w:val="auto"/>
                <w:szCs w:val="21"/>
                <w:highlight w:val="none"/>
              </w:rPr>
              <w:t>；</w:t>
            </w:r>
            <w:r>
              <w:rPr>
                <w:rFonts w:hint="eastAsia" w:ascii="宋体" w:hAnsi="宋体" w:cs="宋体"/>
                <w:b/>
                <w:bCs/>
                <w:color w:val="auto"/>
                <w:szCs w:val="21"/>
                <w:highlight w:val="none"/>
              </w:rPr>
              <w:t>（必须提供，否则作无效投标处理）</w:t>
            </w:r>
          </w:p>
          <w:p>
            <w:pPr>
              <w:snapToGrid w:val="0"/>
              <w:spacing w:line="360" w:lineRule="auto"/>
              <w:jc w:val="left"/>
              <w:rPr>
                <w:rFonts w:hint="eastAsia" w:ascii="宋体" w:hAnsi="宋体" w:cs="宋体"/>
                <w:b/>
                <w:bCs/>
                <w:color w:val="auto"/>
                <w:szCs w:val="21"/>
                <w:highlight w:val="none"/>
              </w:rPr>
            </w:pPr>
            <w:r>
              <w:rPr>
                <w:rFonts w:hint="eastAsia" w:ascii="宋体" w:hAnsi="宋体" w:cs="宋体"/>
                <w:color w:val="auto"/>
                <w:szCs w:val="21"/>
                <w:highlight w:val="none"/>
              </w:rPr>
              <w:t>6.</w:t>
            </w:r>
            <w:bookmarkStart w:id="102" w:name="OLE_LINK15"/>
            <w:r>
              <w:rPr>
                <w:rFonts w:hint="eastAsia" w:ascii="宋体" w:hAnsi="宋体" w:cs="宋体"/>
                <w:color w:val="auto"/>
                <w:szCs w:val="21"/>
                <w:highlight w:val="none"/>
              </w:rPr>
              <w:t>投标人直接管理关系信息表</w:t>
            </w:r>
            <w:bookmarkEnd w:id="102"/>
            <w:r>
              <w:rPr>
                <w:rFonts w:hint="eastAsia" w:ascii="宋体" w:hAnsi="宋体" w:cs="宋体"/>
                <w:color w:val="auto"/>
                <w:szCs w:val="21"/>
                <w:highlight w:val="none"/>
              </w:rPr>
              <w:t>；</w:t>
            </w:r>
            <w:r>
              <w:rPr>
                <w:rFonts w:hint="eastAsia" w:ascii="宋体" w:hAnsi="宋体" w:cs="宋体"/>
                <w:b/>
                <w:bCs/>
                <w:color w:val="auto"/>
                <w:szCs w:val="21"/>
                <w:highlight w:val="none"/>
              </w:rPr>
              <w:t>（必须提供，否则作无效投标处理）</w:t>
            </w:r>
          </w:p>
          <w:p>
            <w:pPr>
              <w:snapToGrid w:val="0"/>
              <w:spacing w:line="360" w:lineRule="auto"/>
              <w:jc w:val="left"/>
              <w:rPr>
                <w:rFonts w:hint="eastAsia" w:ascii="宋体" w:hAnsi="宋体" w:cs="宋体"/>
                <w:color w:val="auto"/>
                <w:highlight w:val="none"/>
              </w:rPr>
            </w:pPr>
            <w:r>
              <w:rPr>
                <w:rFonts w:hint="eastAsia" w:ascii="宋体" w:hAnsi="宋体" w:cs="宋体"/>
                <w:color w:val="auto"/>
                <w:szCs w:val="21"/>
                <w:highlight w:val="none"/>
              </w:rPr>
              <w:t>7.本项目的特定资格要求：无</w:t>
            </w:r>
          </w:p>
          <w:p>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8.声明函（格式后附）。（</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9.联合体投标协议书（格式后附）。（</w:t>
            </w:r>
            <w:r>
              <w:rPr>
                <w:rFonts w:hint="eastAsia" w:ascii="宋体" w:hAnsi="宋体" w:cs="宋体"/>
                <w:b/>
                <w:bCs/>
                <w:color w:val="auto"/>
                <w:szCs w:val="21"/>
                <w:highlight w:val="none"/>
              </w:rPr>
              <w:t>如本项目接受</w:t>
            </w:r>
            <w:r>
              <w:rPr>
                <w:rFonts w:hint="eastAsia" w:ascii="宋体" w:hAnsi="宋体" w:cs="宋体"/>
                <w:b/>
                <w:color w:val="auto"/>
                <w:szCs w:val="21"/>
                <w:highlight w:val="none"/>
              </w:rPr>
              <w:t>联合体投标，则联合体投标时必须提供，否则作无效投标处理</w:t>
            </w:r>
            <w:r>
              <w:rPr>
                <w:rFonts w:hint="eastAsia" w:ascii="宋体" w:hAnsi="宋体" w:cs="宋体"/>
                <w:color w:val="auto"/>
                <w:szCs w:val="21"/>
                <w:highlight w:val="none"/>
              </w:rPr>
              <w:t>）</w:t>
            </w:r>
          </w:p>
          <w:p>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10.除招标文件规定必须提供以外，投标人认为需要提供的其他证明材料（格式自拟）。</w:t>
            </w:r>
          </w:p>
          <w:p>
            <w:pPr>
              <w:snapToGrid w:val="0"/>
              <w:spacing w:line="360" w:lineRule="auto"/>
              <w:jc w:val="left"/>
              <w:rPr>
                <w:rFonts w:hint="eastAsia" w:ascii="宋体" w:hAnsi="宋体" w:cs="宋体"/>
                <w:b/>
                <w:color w:val="auto"/>
                <w:szCs w:val="21"/>
                <w:highlight w:val="none"/>
              </w:rPr>
            </w:pPr>
            <w:r>
              <w:rPr>
                <w:rFonts w:hint="eastAsia" w:ascii="宋体" w:hAnsi="宋体" w:cs="宋体"/>
                <w:b/>
                <w:bCs/>
                <w:color w:val="auto"/>
                <w:szCs w:val="21"/>
                <w:highlight w:val="none"/>
              </w:rPr>
              <w:t>注：1.</w:t>
            </w:r>
            <w:r>
              <w:rPr>
                <w:rFonts w:hint="eastAsia" w:ascii="宋体" w:hAnsi="宋体" w:cs="宋体"/>
                <w:color w:val="auto"/>
                <w:szCs w:val="21"/>
                <w:highlight w:val="none"/>
              </w:rPr>
              <w:t xml:space="preserve"> </w:t>
            </w:r>
            <w:r>
              <w:rPr>
                <w:rFonts w:hint="eastAsia" w:ascii="宋体" w:hAnsi="宋体" w:cs="宋体"/>
                <w:b/>
                <w:bCs/>
                <w:color w:val="auto"/>
                <w:szCs w:val="21"/>
                <w:highlight w:val="none"/>
              </w:rPr>
              <w:t>以上标明“必须提供”的材料</w:t>
            </w:r>
            <w:r>
              <w:rPr>
                <w:rFonts w:hint="eastAsia" w:ascii="宋体" w:hAnsi="宋体" w:cs="宋体"/>
                <w:b/>
                <w:color w:val="auto"/>
                <w:szCs w:val="21"/>
                <w:highlight w:val="none"/>
              </w:rPr>
              <w:t>属于复印件的扫描件的</w:t>
            </w:r>
            <w:r>
              <w:rPr>
                <w:rFonts w:hint="eastAsia" w:ascii="宋体" w:hAnsi="宋体" w:cs="宋体"/>
                <w:b/>
                <w:bCs/>
                <w:color w:val="auto"/>
                <w:szCs w:val="21"/>
                <w:highlight w:val="none"/>
              </w:rPr>
              <w:t>，必须加盖投标人公章，否则</w:t>
            </w:r>
            <w:r>
              <w:rPr>
                <w:rFonts w:hint="eastAsia" w:ascii="宋体" w:hAnsi="宋体" w:cs="宋体"/>
                <w:b/>
                <w:color w:val="auto"/>
                <w:szCs w:val="21"/>
                <w:highlight w:val="none"/>
              </w:rPr>
              <w:t>作无效投标处理。</w:t>
            </w:r>
          </w:p>
          <w:p>
            <w:pPr>
              <w:snapToGrid w:val="0"/>
              <w:spacing w:line="360" w:lineRule="auto"/>
              <w:ind w:firstLine="422" w:firstLineChars="200"/>
              <w:jc w:val="left"/>
              <w:rPr>
                <w:rFonts w:hint="eastAsia" w:ascii="宋体" w:hAnsi="宋体" w:cs="宋体"/>
                <w:b/>
                <w:bCs/>
                <w:color w:val="auto"/>
                <w:szCs w:val="21"/>
                <w:highlight w:val="none"/>
              </w:rPr>
            </w:pPr>
            <w:r>
              <w:rPr>
                <w:rFonts w:hint="eastAsia" w:ascii="宋体" w:hAnsi="宋体" w:cs="宋体"/>
                <w:b/>
                <w:color w:val="auto"/>
                <w:szCs w:val="21"/>
                <w:highlight w:val="none"/>
              </w:rPr>
              <w:t>2</w:t>
            </w:r>
            <w:r>
              <w:rPr>
                <w:rFonts w:hint="eastAsia" w:ascii="宋体" w:hAnsi="宋体" w:cs="宋体"/>
                <w:b/>
                <w:bCs/>
                <w:color w:val="auto"/>
                <w:szCs w:val="21"/>
                <w:highlight w:val="none"/>
              </w:rPr>
              <w:t>.联合体投标时，第1-7项资格文件联合体各方均必须分别提供，联合体各方分别盖章，否则投标文件作无效投标处理。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tcBorders>
              <w:top w:val="single" w:color="auto" w:sz="4" w:space="0"/>
              <w:left w:val="single" w:color="auto" w:sz="4" w:space="0"/>
              <w:bottom w:val="nil"/>
              <w:right w:val="single" w:color="auto" w:sz="4" w:space="0"/>
            </w:tcBorders>
            <w:vAlign w:val="center"/>
          </w:tcPr>
          <w:p>
            <w:pPr>
              <w:spacing w:line="360" w:lineRule="auto"/>
              <w:jc w:val="center"/>
              <w:rPr>
                <w:rFonts w:hint="eastAsia" w:ascii="宋体" w:hAnsi="宋体" w:cs="宋体"/>
                <w:color w:val="auto"/>
                <w:szCs w:val="21"/>
                <w:highlight w:val="none"/>
              </w:rPr>
            </w:pPr>
          </w:p>
        </w:tc>
        <w:tc>
          <w:tcPr>
            <w:tcW w:w="208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left"/>
              <w:rPr>
                <w:rFonts w:hint="eastAsia" w:ascii="宋体" w:hAnsi="宋体" w:cs="宋体"/>
                <w:color w:val="auto"/>
                <w:szCs w:val="21"/>
                <w:highlight w:val="none"/>
              </w:rPr>
            </w:pPr>
            <w:bookmarkStart w:id="103" w:name="_13.3"/>
            <w:bookmarkEnd w:id="103"/>
            <w:r>
              <w:rPr>
                <w:rFonts w:hint="eastAsia" w:ascii="宋体" w:hAnsi="宋体" w:cs="宋体"/>
                <w:color w:val="auto"/>
                <w:szCs w:val="21"/>
                <w:highlight w:val="none"/>
              </w:rPr>
              <w:t>商务文件组成</w:t>
            </w:r>
          </w:p>
          <w:p>
            <w:pPr>
              <w:spacing w:line="360" w:lineRule="auto"/>
              <w:rPr>
                <w:rFonts w:hint="eastAsia" w:ascii="宋体" w:hAnsi="宋体" w:cs="宋体"/>
                <w:color w:val="auto"/>
                <w:szCs w:val="21"/>
                <w:highlight w:val="none"/>
              </w:rPr>
            </w:pPr>
          </w:p>
        </w:tc>
        <w:tc>
          <w:tcPr>
            <w:tcW w:w="663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1.无串通投标行为的承诺函（格式后附）；（</w:t>
            </w:r>
            <w:bookmarkStart w:id="104" w:name="OLE_LINK27"/>
            <w:r>
              <w:rPr>
                <w:rFonts w:hint="eastAsia" w:ascii="宋体" w:hAnsi="宋体" w:cs="宋体"/>
                <w:b/>
                <w:color w:val="auto"/>
                <w:szCs w:val="21"/>
                <w:highlight w:val="none"/>
              </w:rPr>
              <w:t>必须提供，否则作无效投标处理</w:t>
            </w:r>
            <w:bookmarkEnd w:id="104"/>
            <w:r>
              <w:rPr>
                <w:rFonts w:hint="eastAsia" w:ascii="宋体" w:hAnsi="宋体" w:cs="宋体"/>
                <w:color w:val="auto"/>
                <w:szCs w:val="21"/>
                <w:highlight w:val="none"/>
              </w:rPr>
              <w:t>）</w:t>
            </w:r>
          </w:p>
          <w:p>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2.法定代表人身份证明及法定代表人有效身份证正反面复印件（格式后附）；（</w:t>
            </w:r>
            <w:bookmarkStart w:id="105" w:name="OLE_LINK28"/>
            <w:r>
              <w:rPr>
                <w:rFonts w:hint="eastAsia" w:ascii="宋体" w:hAnsi="宋体" w:cs="宋体"/>
                <w:b/>
                <w:bCs/>
                <w:color w:val="auto"/>
                <w:szCs w:val="21"/>
                <w:highlight w:val="none"/>
              </w:rPr>
              <w:t>除自然人投标外</w:t>
            </w:r>
            <w:r>
              <w:rPr>
                <w:rFonts w:hint="eastAsia" w:ascii="宋体" w:hAnsi="宋体" w:cs="宋体"/>
                <w:b/>
                <w:color w:val="auto"/>
                <w:szCs w:val="21"/>
                <w:highlight w:val="none"/>
              </w:rPr>
              <w:t>必须提供，否则作无效投标处理</w:t>
            </w:r>
            <w:bookmarkEnd w:id="105"/>
            <w:r>
              <w:rPr>
                <w:rFonts w:hint="eastAsia" w:ascii="宋体" w:hAnsi="宋体" w:cs="宋体"/>
                <w:color w:val="auto"/>
                <w:szCs w:val="21"/>
                <w:highlight w:val="none"/>
              </w:rPr>
              <w:t>）</w:t>
            </w:r>
          </w:p>
          <w:p>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3.法定代表人授权委托书及委托代理人有效身份证正反面复印件（格式后附）；（</w:t>
            </w:r>
            <w:bookmarkStart w:id="106" w:name="OLE_LINK29"/>
            <w:r>
              <w:rPr>
                <w:rFonts w:hint="eastAsia" w:ascii="宋体" w:hAnsi="宋体" w:cs="宋体"/>
                <w:b/>
                <w:color w:val="auto"/>
                <w:szCs w:val="21"/>
                <w:highlight w:val="none"/>
              </w:rPr>
              <w:t>委托时必须提供，否则作无效投标处理</w:t>
            </w:r>
            <w:bookmarkEnd w:id="106"/>
            <w:r>
              <w:rPr>
                <w:rFonts w:hint="eastAsia" w:ascii="宋体" w:hAnsi="宋体" w:cs="宋体"/>
                <w:color w:val="auto"/>
                <w:szCs w:val="21"/>
                <w:highlight w:val="none"/>
              </w:rPr>
              <w:t>）</w:t>
            </w:r>
          </w:p>
          <w:p>
            <w:pPr>
              <w:pStyle w:val="17"/>
              <w:spacing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4.投标保证金提交凭证；</w:t>
            </w:r>
            <w:r>
              <w:rPr>
                <w:rFonts w:hint="eastAsia" w:ascii="宋体" w:hAnsi="宋体" w:cs="宋体"/>
                <w:b/>
                <w:color w:val="auto"/>
                <w:sz w:val="21"/>
                <w:szCs w:val="21"/>
                <w:highlight w:val="none"/>
              </w:rPr>
              <w:t>（</w:t>
            </w:r>
            <w:bookmarkStart w:id="107" w:name="OLE_LINK30"/>
            <w:r>
              <w:rPr>
                <w:rFonts w:hint="eastAsia" w:ascii="宋体" w:hAnsi="宋体" w:cs="宋体"/>
                <w:b/>
                <w:color w:val="auto"/>
                <w:sz w:val="21"/>
                <w:szCs w:val="21"/>
                <w:highlight w:val="none"/>
              </w:rPr>
              <w:t>必须提供，否则作无效投标处理</w:t>
            </w:r>
            <w:bookmarkEnd w:id="107"/>
            <w:r>
              <w:rPr>
                <w:rFonts w:hint="eastAsia" w:ascii="宋体" w:hAnsi="宋体" w:cs="宋体"/>
                <w:b/>
                <w:color w:val="auto"/>
                <w:sz w:val="21"/>
                <w:szCs w:val="21"/>
                <w:highlight w:val="none"/>
              </w:rPr>
              <w:t>）</w:t>
            </w:r>
          </w:p>
          <w:p>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5.商务条款偏离表（格式后附）；（</w:t>
            </w:r>
            <w:bookmarkStart w:id="108" w:name="OLE_LINK31"/>
            <w:r>
              <w:rPr>
                <w:rFonts w:hint="eastAsia" w:ascii="宋体" w:hAnsi="宋体" w:cs="宋体"/>
                <w:b/>
                <w:color w:val="auto"/>
                <w:szCs w:val="21"/>
                <w:highlight w:val="none"/>
              </w:rPr>
              <w:t>必须提供，否则作无效投标处理</w:t>
            </w:r>
            <w:bookmarkEnd w:id="108"/>
            <w:r>
              <w:rPr>
                <w:rFonts w:hint="eastAsia" w:ascii="宋体" w:hAnsi="宋体" w:cs="宋体"/>
                <w:color w:val="auto"/>
                <w:szCs w:val="21"/>
                <w:highlight w:val="none"/>
              </w:rPr>
              <w:t>）</w:t>
            </w:r>
          </w:p>
          <w:p>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6.投标人情况介绍（格式自拟）；</w:t>
            </w:r>
          </w:p>
          <w:p>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7.除招标文件规定必须提供以外，投标人认为需要提供的其他证明材料（格式自拟）。（投标人根据“第二章 采购需求”及“第四章 评标方法和评标标准”提供有关证明材料）。</w:t>
            </w:r>
          </w:p>
          <w:p>
            <w:pPr>
              <w:snapToGrid w:val="0"/>
              <w:spacing w:line="360" w:lineRule="auto"/>
              <w:jc w:val="left"/>
              <w:rPr>
                <w:rFonts w:hint="eastAsia" w:ascii="宋体" w:hAnsi="宋体" w:cs="宋体"/>
                <w:b/>
                <w:bCs/>
                <w:color w:val="auto"/>
                <w:szCs w:val="21"/>
                <w:highlight w:val="none"/>
              </w:rPr>
            </w:pPr>
            <w:r>
              <w:rPr>
                <w:rFonts w:hint="eastAsia" w:ascii="宋体" w:hAnsi="宋体" w:cs="宋体"/>
                <w:b/>
                <w:bCs/>
                <w:color w:val="auto"/>
                <w:szCs w:val="21"/>
                <w:highlight w:val="none"/>
              </w:rPr>
              <w:t>注：1.委托时法定代表人授权委托书必须由法定代表人及委托代理人签字，并加盖投标人公章，否则作无效投标处理。</w:t>
            </w:r>
          </w:p>
          <w:p>
            <w:pPr>
              <w:snapToGrid w:val="0"/>
              <w:spacing w:line="360" w:lineRule="auto"/>
              <w:ind w:firstLine="422" w:firstLineChars="200"/>
              <w:jc w:val="left"/>
              <w:rPr>
                <w:rFonts w:hint="eastAsia" w:ascii="宋体" w:hAnsi="宋体" w:cs="宋体"/>
                <w:b/>
                <w:color w:val="auto"/>
                <w:szCs w:val="21"/>
                <w:highlight w:val="none"/>
              </w:rPr>
            </w:pPr>
            <w:r>
              <w:rPr>
                <w:rFonts w:hint="eastAsia" w:ascii="宋体" w:hAnsi="宋体" w:cs="宋体"/>
                <w:b/>
                <w:bCs/>
                <w:color w:val="auto"/>
                <w:szCs w:val="21"/>
                <w:highlight w:val="none"/>
              </w:rPr>
              <w:t>2.以上标明“必须提供”的材料</w:t>
            </w:r>
            <w:r>
              <w:rPr>
                <w:rFonts w:hint="eastAsia" w:ascii="宋体" w:hAnsi="宋体" w:cs="宋体"/>
                <w:b/>
                <w:color w:val="auto"/>
                <w:szCs w:val="21"/>
                <w:highlight w:val="none"/>
              </w:rPr>
              <w:t>属于复印件的扫描件的</w:t>
            </w:r>
            <w:r>
              <w:rPr>
                <w:rFonts w:hint="eastAsia" w:ascii="宋体" w:hAnsi="宋体" w:cs="宋体"/>
                <w:b/>
                <w:bCs/>
                <w:color w:val="auto"/>
                <w:szCs w:val="21"/>
                <w:highlight w:val="none"/>
              </w:rPr>
              <w:t>，必须加盖投标人公章，否则</w:t>
            </w:r>
            <w:r>
              <w:rPr>
                <w:rFonts w:hint="eastAsia" w:ascii="宋体" w:hAnsi="宋体" w:cs="宋体"/>
                <w:b/>
                <w:color w:val="auto"/>
                <w:szCs w:val="21"/>
                <w:highlight w:val="none"/>
              </w:rPr>
              <w:t>作无效投标处理</w:t>
            </w:r>
            <w:r>
              <w:rPr>
                <w:rFonts w:hint="eastAsia" w:ascii="宋体" w:hAnsi="宋体" w:cs="宋体"/>
                <w:b/>
                <w:bCs/>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vMerge w:val="restart"/>
            <w:tcBorders>
              <w:top w:val="nil"/>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auto"/>
                <w:szCs w:val="21"/>
                <w:highlight w:val="none"/>
              </w:rPr>
            </w:pPr>
          </w:p>
        </w:tc>
        <w:tc>
          <w:tcPr>
            <w:tcW w:w="208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left"/>
              <w:rPr>
                <w:rFonts w:hint="eastAsia" w:ascii="宋体" w:hAnsi="宋体" w:cs="宋体"/>
                <w:color w:val="auto"/>
                <w:szCs w:val="21"/>
                <w:highlight w:val="none"/>
              </w:rPr>
            </w:pPr>
            <w:bookmarkStart w:id="109" w:name="_13.4"/>
            <w:bookmarkEnd w:id="109"/>
            <w:r>
              <w:rPr>
                <w:rFonts w:hint="eastAsia" w:ascii="宋体" w:hAnsi="宋体" w:cs="宋体"/>
                <w:color w:val="auto"/>
                <w:szCs w:val="21"/>
                <w:highlight w:val="none"/>
              </w:rPr>
              <w:t>技术文件组成</w:t>
            </w:r>
          </w:p>
          <w:p>
            <w:pPr>
              <w:spacing w:line="360" w:lineRule="auto"/>
              <w:rPr>
                <w:rFonts w:hint="eastAsia" w:ascii="宋体" w:hAnsi="宋体" w:cs="宋体"/>
                <w:color w:val="auto"/>
                <w:szCs w:val="21"/>
                <w:highlight w:val="none"/>
              </w:rPr>
            </w:pPr>
          </w:p>
        </w:tc>
        <w:tc>
          <w:tcPr>
            <w:tcW w:w="6631" w:type="dxa"/>
            <w:tcBorders>
              <w:top w:val="single" w:color="auto" w:sz="4" w:space="0"/>
              <w:left w:val="single" w:color="auto" w:sz="4" w:space="0"/>
              <w:bottom w:val="single" w:color="auto" w:sz="4" w:space="0"/>
              <w:right w:val="single" w:color="auto" w:sz="4" w:space="0"/>
            </w:tcBorders>
            <w:vAlign w:val="center"/>
          </w:tcPr>
          <w:p>
            <w:pPr>
              <w:spacing w:line="360" w:lineRule="auto"/>
              <w:rPr>
                <w:color w:val="auto"/>
                <w:highlight w:val="none"/>
              </w:rPr>
            </w:pPr>
            <w:r>
              <w:rPr>
                <w:rFonts w:hint="eastAsia"/>
                <w:color w:val="auto"/>
                <w:highlight w:val="none"/>
              </w:rPr>
              <w:t>1.技术需求偏离表（格式后附）；</w:t>
            </w:r>
            <w:r>
              <w:rPr>
                <w:rFonts w:hint="eastAsia"/>
                <w:b/>
                <w:bCs/>
                <w:color w:val="auto"/>
                <w:highlight w:val="none"/>
              </w:rPr>
              <w:t>（</w:t>
            </w:r>
            <w:bookmarkStart w:id="110" w:name="OLE_LINK33"/>
            <w:r>
              <w:rPr>
                <w:rFonts w:hint="eastAsia"/>
                <w:b/>
                <w:bCs/>
                <w:color w:val="auto"/>
                <w:highlight w:val="none"/>
              </w:rPr>
              <w:t>必须提供，否则作无效投标处理</w:t>
            </w:r>
            <w:bookmarkEnd w:id="110"/>
            <w:r>
              <w:rPr>
                <w:rFonts w:hint="eastAsia"/>
                <w:b/>
                <w:bCs/>
                <w:color w:val="auto"/>
                <w:highlight w:val="none"/>
              </w:rPr>
              <w:t>）</w:t>
            </w:r>
          </w:p>
          <w:p>
            <w:pPr>
              <w:spacing w:line="360" w:lineRule="auto"/>
              <w:rPr>
                <w:color w:val="auto"/>
                <w:highlight w:val="none"/>
              </w:rPr>
            </w:pPr>
            <w:r>
              <w:rPr>
                <w:rFonts w:hint="eastAsia"/>
                <w:color w:val="auto"/>
                <w:highlight w:val="none"/>
              </w:rPr>
              <w:t>2.项目实施方案（至少包括技术方案、实施方案、项目团队、售后服务等）（格式自拟）；</w:t>
            </w:r>
          </w:p>
          <w:p>
            <w:pPr>
              <w:spacing w:line="360" w:lineRule="auto"/>
              <w:rPr>
                <w:color w:val="auto"/>
                <w:highlight w:val="none"/>
              </w:rPr>
            </w:pPr>
            <w:r>
              <w:rPr>
                <w:rFonts w:hint="eastAsia"/>
                <w:color w:val="auto"/>
                <w:highlight w:val="none"/>
              </w:rPr>
              <w:t>3.投标产品技术证明资料（至少包括投标产品说明书、出厂标准、质量检测报告等）（格式自拟）；</w:t>
            </w:r>
          </w:p>
          <w:p>
            <w:pPr>
              <w:spacing w:line="360" w:lineRule="auto"/>
              <w:rPr>
                <w:color w:val="auto"/>
                <w:highlight w:val="none"/>
              </w:rPr>
            </w:pPr>
            <w:r>
              <w:rPr>
                <w:rFonts w:hint="eastAsia"/>
                <w:color w:val="auto"/>
                <w:highlight w:val="none"/>
              </w:rPr>
              <w:t>4.投标产品销售业绩或使用情况及证明资料（格式自拟）；</w:t>
            </w:r>
          </w:p>
          <w:p>
            <w:pPr>
              <w:spacing w:line="360" w:lineRule="auto"/>
              <w:rPr>
                <w:color w:val="auto"/>
                <w:highlight w:val="none"/>
              </w:rPr>
            </w:pPr>
            <w:r>
              <w:rPr>
                <w:rFonts w:hint="eastAsia"/>
                <w:color w:val="auto"/>
                <w:highlight w:val="none"/>
              </w:rPr>
              <w:t>5.优惠条件：投标人承诺给予采购人的各种优惠条件，包括售后服务、备品备件、专用耗材等方面的优惠；投标人不得给予赠品或者与采购无关的其他商品、服务（格式自拟）；</w:t>
            </w:r>
          </w:p>
          <w:p>
            <w:pPr>
              <w:spacing w:line="360" w:lineRule="auto"/>
              <w:rPr>
                <w:color w:val="auto"/>
                <w:highlight w:val="none"/>
              </w:rPr>
            </w:pPr>
            <w:r>
              <w:rPr>
                <w:rFonts w:hint="eastAsia"/>
                <w:color w:val="auto"/>
                <w:highlight w:val="none"/>
              </w:rPr>
              <w:t>6.投标人对本项目的合理化建议（格式自拟）；</w:t>
            </w:r>
          </w:p>
          <w:p>
            <w:pPr>
              <w:spacing w:line="360" w:lineRule="auto"/>
              <w:rPr>
                <w:color w:val="auto"/>
                <w:highlight w:val="none"/>
              </w:rPr>
            </w:pPr>
            <w:r>
              <w:rPr>
                <w:rFonts w:hint="eastAsia"/>
                <w:color w:val="auto"/>
                <w:highlight w:val="none"/>
              </w:rPr>
              <w:t>7.除招标文件规定必须提供以外，投标人需要说明的其他文件和说明（格式自拟）。</w:t>
            </w:r>
          </w:p>
          <w:p>
            <w:pPr>
              <w:snapToGrid w:val="0"/>
              <w:spacing w:line="360" w:lineRule="auto"/>
              <w:jc w:val="left"/>
              <w:rPr>
                <w:rFonts w:hint="eastAsia" w:ascii="宋体" w:hAnsi="宋体" w:cs="宋体"/>
                <w:b/>
                <w:bCs/>
                <w:color w:val="auto"/>
                <w:szCs w:val="21"/>
                <w:highlight w:val="none"/>
              </w:rPr>
            </w:pPr>
            <w:r>
              <w:rPr>
                <w:rFonts w:hint="eastAsia" w:ascii="宋体" w:hAnsi="宋体" w:cs="宋体"/>
                <w:b/>
                <w:bCs/>
                <w:color w:val="auto"/>
                <w:szCs w:val="21"/>
                <w:highlight w:val="none"/>
              </w:rPr>
              <w:t>注：以上标明“必须提供”的材料</w:t>
            </w:r>
            <w:r>
              <w:rPr>
                <w:rFonts w:hint="eastAsia" w:ascii="宋体" w:hAnsi="宋体" w:cs="宋体"/>
                <w:b/>
                <w:color w:val="auto"/>
                <w:szCs w:val="21"/>
                <w:highlight w:val="none"/>
              </w:rPr>
              <w:t>属于复印件的扫描件的</w:t>
            </w:r>
            <w:r>
              <w:rPr>
                <w:rFonts w:hint="eastAsia" w:ascii="宋体" w:hAnsi="宋体" w:cs="宋体"/>
                <w:b/>
                <w:bCs/>
                <w:color w:val="auto"/>
                <w:szCs w:val="21"/>
                <w:highlight w:val="none"/>
              </w:rPr>
              <w:t>，必须加盖投标人公章，否则</w:t>
            </w:r>
            <w:r>
              <w:rPr>
                <w:rFonts w:hint="eastAsia" w:ascii="宋体" w:hAnsi="宋体" w:cs="宋体"/>
                <w:b/>
                <w:color w:val="auto"/>
                <w:szCs w:val="21"/>
                <w:highlight w:val="none"/>
              </w:rPr>
              <w:t>作无效投标处理</w:t>
            </w:r>
            <w:r>
              <w:rPr>
                <w:rFonts w:hint="eastAsia" w:ascii="宋体" w:hAnsi="宋体" w:cs="宋体"/>
                <w:b/>
                <w:bCs/>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vMerge w:val="continue"/>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cs="宋体"/>
                <w:color w:val="auto"/>
                <w:szCs w:val="21"/>
                <w:highlight w:val="none"/>
              </w:rPr>
            </w:pPr>
          </w:p>
        </w:tc>
        <w:tc>
          <w:tcPr>
            <w:tcW w:w="208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报价文件组成</w:t>
            </w:r>
          </w:p>
        </w:tc>
        <w:tc>
          <w:tcPr>
            <w:tcW w:w="6631" w:type="dxa"/>
            <w:tcBorders>
              <w:top w:val="single" w:color="auto" w:sz="4" w:space="0"/>
              <w:left w:val="single" w:color="auto" w:sz="4" w:space="0"/>
              <w:bottom w:val="single" w:color="auto" w:sz="4" w:space="0"/>
              <w:right w:val="single" w:color="auto" w:sz="4" w:space="0"/>
            </w:tcBorders>
            <w:vAlign w:val="center"/>
          </w:tcPr>
          <w:p>
            <w:pPr>
              <w:tabs>
                <w:tab w:val="left" w:pos="459"/>
              </w:tabs>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1.投标函（格式后附）；</w:t>
            </w:r>
            <w:r>
              <w:rPr>
                <w:rFonts w:hint="eastAsia" w:ascii="宋体" w:hAnsi="宋体" w:cs="宋体"/>
                <w:b/>
                <w:color w:val="auto"/>
                <w:szCs w:val="21"/>
                <w:highlight w:val="none"/>
              </w:rPr>
              <w:t>（</w:t>
            </w:r>
            <w:bookmarkStart w:id="111" w:name="OLE_LINK16"/>
            <w:r>
              <w:rPr>
                <w:rFonts w:hint="eastAsia" w:ascii="宋体" w:hAnsi="宋体" w:cs="宋体"/>
                <w:b/>
                <w:color w:val="auto"/>
                <w:szCs w:val="21"/>
                <w:highlight w:val="none"/>
              </w:rPr>
              <w:t>必须提供，否则作无效投标处理</w:t>
            </w:r>
            <w:bookmarkEnd w:id="111"/>
            <w:r>
              <w:rPr>
                <w:rFonts w:hint="eastAsia" w:ascii="宋体" w:hAnsi="宋体" w:cs="宋体"/>
                <w:b/>
                <w:color w:val="auto"/>
                <w:szCs w:val="21"/>
                <w:highlight w:val="none"/>
              </w:rPr>
              <w:t>）</w:t>
            </w:r>
          </w:p>
          <w:p>
            <w:pPr>
              <w:tabs>
                <w:tab w:val="left" w:pos="459"/>
              </w:tabs>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2.开标一览表（格式后附）；（</w:t>
            </w:r>
            <w:bookmarkStart w:id="112" w:name="OLE_LINK34"/>
            <w:r>
              <w:rPr>
                <w:rFonts w:hint="eastAsia" w:ascii="宋体" w:hAnsi="宋体" w:cs="宋体"/>
                <w:b/>
                <w:color w:val="auto"/>
                <w:szCs w:val="21"/>
                <w:highlight w:val="none"/>
              </w:rPr>
              <w:t>必须提供，否则作无效投标处理</w:t>
            </w:r>
            <w:bookmarkEnd w:id="112"/>
            <w:r>
              <w:rPr>
                <w:rFonts w:hint="eastAsia" w:ascii="宋体" w:hAnsi="宋体" w:cs="宋体"/>
                <w:color w:val="auto"/>
                <w:szCs w:val="21"/>
                <w:highlight w:val="none"/>
              </w:rPr>
              <w:t>）</w:t>
            </w:r>
          </w:p>
          <w:p>
            <w:pPr>
              <w:pStyle w:val="17"/>
              <w:spacing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3.中小企业声明函或者残疾人福利性单位声明函（格式后附）或者供应商属于监狱企业的，提供由省级以上监狱管理局、戒毒管理局（含新疆生产建设兵团）出具的属于监狱企业的证明文件；</w:t>
            </w:r>
            <w:r>
              <w:rPr>
                <w:rFonts w:hint="eastAsia" w:ascii="宋体" w:hAnsi="宋体" w:cs="宋体"/>
                <w:b/>
                <w:bCs/>
                <w:color w:val="auto"/>
                <w:sz w:val="21"/>
                <w:szCs w:val="21"/>
                <w:highlight w:val="none"/>
              </w:rPr>
              <w:t>（</w:t>
            </w:r>
            <w:bookmarkStart w:id="113" w:name="OLE_LINK17"/>
            <w:r>
              <w:rPr>
                <w:rFonts w:hint="eastAsia" w:ascii="宋体" w:hAnsi="宋体" w:cs="宋体"/>
                <w:b/>
                <w:bCs/>
                <w:color w:val="auto"/>
                <w:sz w:val="21"/>
                <w:szCs w:val="21"/>
                <w:highlight w:val="none"/>
              </w:rPr>
              <w:t>如有请提供</w:t>
            </w:r>
            <w:bookmarkEnd w:id="113"/>
            <w:r>
              <w:rPr>
                <w:rFonts w:hint="eastAsia" w:ascii="宋体" w:hAnsi="宋体" w:cs="宋体"/>
                <w:b/>
                <w:bCs/>
                <w:color w:val="auto"/>
                <w:sz w:val="21"/>
                <w:szCs w:val="21"/>
                <w:highlight w:val="none"/>
              </w:rPr>
              <w:t>）</w:t>
            </w:r>
          </w:p>
          <w:p>
            <w:pPr>
              <w:tabs>
                <w:tab w:val="left" w:pos="459"/>
              </w:tabs>
              <w:snapToGrid w:val="0"/>
              <w:spacing w:line="360" w:lineRule="auto"/>
              <w:jc w:val="left"/>
              <w:rPr>
                <w:rFonts w:hint="eastAsia" w:ascii="宋体" w:hAnsi="宋体" w:cs="宋体"/>
                <w:b/>
                <w:bCs/>
                <w:color w:val="auto"/>
                <w:szCs w:val="21"/>
                <w:highlight w:val="none"/>
              </w:rPr>
            </w:pPr>
            <w:r>
              <w:rPr>
                <w:rFonts w:hint="eastAsia" w:ascii="宋体" w:hAnsi="宋体" w:cs="宋体"/>
                <w:color w:val="auto"/>
                <w:szCs w:val="21"/>
                <w:highlight w:val="none"/>
              </w:rPr>
              <w:t>4.关于符合本国产品标准的声明函（格式后附）或财政部会同有关部门规定的有关证明文件；</w:t>
            </w:r>
            <w:r>
              <w:rPr>
                <w:rFonts w:hint="eastAsia" w:ascii="宋体" w:hAnsi="宋体" w:cs="宋体"/>
                <w:b/>
                <w:bCs/>
                <w:color w:val="auto"/>
                <w:szCs w:val="21"/>
                <w:highlight w:val="none"/>
              </w:rPr>
              <w:t>（如有请提供）</w:t>
            </w:r>
          </w:p>
          <w:p>
            <w:pPr>
              <w:tabs>
                <w:tab w:val="left" w:pos="459"/>
              </w:tabs>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5.投标人针对报价需要说明的其他文件和说明（格式自拟）。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16.2</w:t>
            </w: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Cs w:val="21"/>
                <w:highlight w:val="none"/>
              </w:rPr>
            </w:pPr>
            <w:bookmarkStart w:id="114" w:name="_16.2"/>
            <w:bookmarkEnd w:id="114"/>
            <w:r>
              <w:rPr>
                <w:rFonts w:hint="eastAsia" w:ascii="宋体" w:hAnsi="宋体" w:cs="宋体"/>
                <w:color w:val="auto"/>
                <w:szCs w:val="21"/>
                <w:highlight w:val="none"/>
              </w:rPr>
              <w:t>投标报价要求</w:t>
            </w:r>
          </w:p>
        </w:tc>
        <w:tc>
          <w:tcPr>
            <w:tcW w:w="6631"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b/>
                <w:color w:val="auto"/>
                <w:szCs w:val="21"/>
                <w:highlight w:val="none"/>
              </w:rPr>
            </w:pPr>
            <w:r>
              <w:rPr>
                <w:rFonts w:hint="eastAsia" w:ascii="宋体" w:hAnsi="宋体" w:cs="宋体"/>
                <w:color w:val="auto"/>
                <w:szCs w:val="21"/>
                <w:highlight w:val="none"/>
              </w:rPr>
              <w:t>报价必须含以下部分，包括：本项目报价为产品送达采购人指定地点进行安装，经采购人验收合格所发生的一切费用，其包括但不限于以下费用：产品（含主要设备、配件、辅材）供应、运输装卸费、保险费、安装费、调试费、税费、产品检验检测、本项目所有平台、系统对接费、操作人员培训费、管理费、验收费、售后服务、质保期技术支持及维护费用、必要的保险费用和各项税金、招标代理服务费等与本项目相关的一切费用。</w:t>
            </w:r>
          </w:p>
          <w:p>
            <w:pPr>
              <w:snapToGrid w:val="0"/>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sym w:font="Wingdings 2" w:char="0052"/>
            </w:r>
            <w:r>
              <w:rPr>
                <w:rFonts w:hint="eastAsia" w:ascii="宋体" w:hAnsi="宋体" w:cs="宋体"/>
                <w:b/>
                <w:color w:val="auto"/>
                <w:szCs w:val="21"/>
                <w:highlight w:val="none"/>
              </w:rPr>
              <w:t>投标报价包含验收费用</w:t>
            </w:r>
          </w:p>
          <w:p>
            <w:pPr>
              <w:pStyle w:val="17"/>
              <w:spacing w:line="360" w:lineRule="auto"/>
              <w:rPr>
                <w:rFonts w:hint="eastAsia" w:ascii="宋体" w:hAnsi="宋体" w:cs="宋体"/>
                <w:color w:val="auto"/>
                <w:highlight w:val="none"/>
              </w:rPr>
            </w:pPr>
            <w:r>
              <w:rPr>
                <w:rFonts w:hint="eastAsia" w:ascii="宋体" w:hAnsi="宋体" w:cs="宋体"/>
                <w:b/>
                <w:color w:val="auto"/>
                <w:sz w:val="21"/>
                <w:szCs w:val="21"/>
                <w:highlight w:val="none"/>
              </w:rPr>
              <w:t>□投标报价不包含验收费用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17.2</w:t>
            </w: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Cs w:val="21"/>
                <w:highlight w:val="none"/>
              </w:rPr>
            </w:pPr>
            <w:bookmarkStart w:id="115" w:name="_17.1"/>
            <w:bookmarkEnd w:id="115"/>
            <w:r>
              <w:rPr>
                <w:rFonts w:hint="eastAsia" w:ascii="宋体" w:hAnsi="宋体" w:cs="宋体"/>
                <w:color w:val="auto"/>
                <w:szCs w:val="21"/>
                <w:highlight w:val="none"/>
              </w:rPr>
              <w:t>投标有效期</w:t>
            </w:r>
          </w:p>
        </w:tc>
        <w:tc>
          <w:tcPr>
            <w:tcW w:w="663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自投标截止之日起</w:t>
            </w:r>
            <w:r>
              <w:rPr>
                <w:rFonts w:hint="eastAsia" w:ascii="宋体" w:hAnsi="宋体" w:cs="宋体"/>
                <w:color w:val="auto"/>
                <w:szCs w:val="21"/>
                <w:highlight w:val="none"/>
                <w:u w:val="single"/>
              </w:rPr>
              <w:t>60</w:t>
            </w:r>
            <w:r>
              <w:rPr>
                <w:rFonts w:hint="eastAsia" w:ascii="宋体" w:hAnsi="宋体" w:cs="宋体"/>
                <w:color w:val="auto"/>
                <w:szCs w:val="21"/>
                <w:highlight w:val="none"/>
              </w:rPr>
              <w:t>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18</w:t>
            </w: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Cs w:val="21"/>
                <w:highlight w:val="none"/>
              </w:rPr>
            </w:pPr>
            <w:bookmarkStart w:id="116" w:name="_18"/>
            <w:bookmarkEnd w:id="116"/>
            <w:r>
              <w:rPr>
                <w:rFonts w:hint="eastAsia" w:ascii="宋体" w:hAnsi="宋体" w:cs="宋体"/>
                <w:color w:val="auto"/>
                <w:szCs w:val="21"/>
                <w:highlight w:val="none"/>
              </w:rPr>
              <w:t>投标保证金金额</w:t>
            </w:r>
          </w:p>
        </w:tc>
        <w:tc>
          <w:tcPr>
            <w:tcW w:w="663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sym w:font="Wingdings 2" w:char="0052"/>
            </w:r>
            <w:r>
              <w:rPr>
                <w:rFonts w:hint="eastAsia" w:ascii="宋体" w:hAnsi="宋体" w:cs="宋体"/>
                <w:b/>
                <w:bCs/>
                <w:color w:val="auto"/>
                <w:szCs w:val="21"/>
                <w:highlight w:val="none"/>
              </w:rPr>
              <w:t>本项目需要缴纳投标保证金，相关要求如下：</w:t>
            </w:r>
          </w:p>
          <w:p>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1.投标保证金的缴纳方式：详见招标公告</w:t>
            </w:r>
          </w:p>
          <w:p>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2.投标保证金的金额：详见招标公告</w:t>
            </w:r>
          </w:p>
          <w:p>
            <w:pPr>
              <w:pStyle w:val="11"/>
              <w:spacing w:line="360" w:lineRule="auto"/>
              <w:rPr>
                <w:rFonts w:hint="eastAsia" w:ascii="宋体" w:hAnsi="宋体" w:cs="宋体"/>
                <w:color w:val="auto"/>
                <w:szCs w:val="21"/>
                <w:highlight w:val="none"/>
              </w:rPr>
            </w:pPr>
            <w:r>
              <w:rPr>
                <w:rFonts w:hint="eastAsia" w:ascii="宋体" w:hAnsi="宋体" w:cs="宋体"/>
                <w:color w:val="auto"/>
                <w:szCs w:val="21"/>
                <w:highlight w:val="none"/>
              </w:rPr>
              <w:t>3.投标保证金采用银行转账缴纳方式的，在投标截止时间前交至采购代理机构指定账户并且到账，投标人应将银行转账底单的复印件作为投标保证金提交凭证，放置于商务文件中，</w:t>
            </w:r>
            <w:r>
              <w:rPr>
                <w:rFonts w:hint="eastAsia" w:ascii="宋体" w:hAnsi="宋体" w:cs="宋体"/>
                <w:b/>
                <w:color w:val="auto"/>
                <w:szCs w:val="21"/>
                <w:highlight w:val="none"/>
              </w:rPr>
              <w:t>否则作无效投标处理</w:t>
            </w:r>
            <w:r>
              <w:rPr>
                <w:rFonts w:hint="eastAsia" w:ascii="宋体" w:hAnsi="宋体" w:cs="宋体"/>
                <w:color w:val="auto"/>
                <w:szCs w:val="21"/>
                <w:highlight w:val="none"/>
              </w:rPr>
              <w:t>。</w:t>
            </w:r>
          </w:p>
          <w:p>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4.投标保证金采用支票、汇票、本票或者金融机构、担保机构出具的保函等缴纳方式的，投标人应将支票、汇票、本票或者金融机构、担保机构出具的保函等的复印件或者金融机构、担保机构出具的</w:t>
            </w:r>
            <w:r>
              <w:rPr>
                <w:rFonts w:hint="eastAsia" w:ascii="宋体" w:hAnsi="宋体" w:cs="宋体"/>
                <w:color w:val="auto"/>
                <w:kern w:val="0"/>
                <w:szCs w:val="21"/>
                <w:highlight w:val="none"/>
              </w:rPr>
              <w:t>电子保函</w:t>
            </w:r>
            <w:r>
              <w:rPr>
                <w:rFonts w:hint="eastAsia" w:ascii="宋体" w:hAnsi="宋体" w:cs="宋体"/>
                <w:color w:val="auto"/>
                <w:szCs w:val="21"/>
                <w:highlight w:val="none"/>
              </w:rPr>
              <w:t>作为投标保证金提交凭证，放置于商务文件中，</w:t>
            </w:r>
            <w:r>
              <w:rPr>
                <w:rFonts w:hint="eastAsia" w:ascii="宋体" w:hAnsi="宋体" w:cs="宋体"/>
                <w:b/>
                <w:color w:val="auto"/>
                <w:szCs w:val="21"/>
                <w:highlight w:val="none"/>
              </w:rPr>
              <w:t>否则作无效投标处理</w:t>
            </w:r>
            <w:r>
              <w:rPr>
                <w:rFonts w:hint="eastAsia" w:ascii="宋体" w:hAnsi="宋体" w:cs="宋体"/>
                <w:color w:val="auto"/>
                <w:szCs w:val="21"/>
                <w:highlight w:val="none"/>
              </w:rPr>
              <w:t>。投标人必须</w:t>
            </w:r>
            <w:r>
              <w:rPr>
                <w:rFonts w:hint="eastAsia" w:ascii="宋体" w:hAnsi="宋体" w:cs="宋体"/>
                <w:color w:val="auto"/>
                <w:kern w:val="0"/>
                <w:szCs w:val="21"/>
                <w:highlight w:val="none"/>
              </w:rPr>
              <w:t>在投标截止时间前</w:t>
            </w:r>
            <w:r>
              <w:rPr>
                <w:rFonts w:hint="eastAsia" w:ascii="宋体" w:hAnsi="宋体" w:cs="宋体"/>
                <w:color w:val="auto"/>
                <w:szCs w:val="21"/>
                <w:highlight w:val="none"/>
              </w:rPr>
              <w:t>将支票、汇票、本票或者金融、担保机构出具的保函（</w:t>
            </w:r>
            <w:r>
              <w:rPr>
                <w:rFonts w:hint="eastAsia" w:ascii="宋体" w:hAnsi="宋体" w:cs="宋体"/>
                <w:color w:val="auto"/>
                <w:kern w:val="0"/>
                <w:szCs w:val="21"/>
                <w:highlight w:val="none"/>
              </w:rPr>
              <w:t>电子保函除外</w:t>
            </w:r>
            <w:r>
              <w:rPr>
                <w:rFonts w:hint="eastAsia" w:ascii="宋体" w:hAnsi="宋体" w:cs="宋体"/>
                <w:color w:val="auto"/>
                <w:szCs w:val="21"/>
                <w:highlight w:val="none"/>
              </w:rPr>
              <w:t>）等原件提交给采购代理机构，</w:t>
            </w:r>
            <w:r>
              <w:rPr>
                <w:rFonts w:hint="eastAsia" w:ascii="宋体" w:hAnsi="宋体" w:cs="宋体"/>
                <w:b/>
                <w:color w:val="auto"/>
                <w:szCs w:val="21"/>
                <w:highlight w:val="none"/>
              </w:rPr>
              <w:t>否则作无效投标处理</w:t>
            </w:r>
            <w:r>
              <w:rPr>
                <w:rFonts w:hint="eastAsia" w:ascii="宋体" w:hAnsi="宋体" w:cs="宋体"/>
                <w:color w:val="auto"/>
                <w:szCs w:val="21"/>
                <w:highlight w:val="none"/>
              </w:rPr>
              <w:t>。由采购代理机构向投标人出具回执，并妥善保管。</w:t>
            </w:r>
          </w:p>
          <w:p>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5.缴纳投标保证金指定账户：详见招标公告。</w:t>
            </w:r>
          </w:p>
          <w:p>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6.投标人为联合体的，可以由联合体中的一方或者多方共同缴纳投标保证金，其缴纳的投标保证金对联合体各方均具有约束力。</w:t>
            </w:r>
          </w:p>
          <w:p>
            <w:pPr>
              <w:snapToGrid w:val="0"/>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 xml:space="preserve">备注： </w:t>
            </w:r>
          </w:p>
          <w:p>
            <w:pPr>
              <w:snapToGrid w:val="0"/>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1. 投标保证金在投标截止时间后提交的，或者不按规定缴纳方式缴纳的，或者未足额缴纳的（包含保函额度不足的），视为无效投标保证金。</w:t>
            </w:r>
          </w:p>
          <w:p>
            <w:pPr>
              <w:snapToGrid w:val="0"/>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2.投标人采用现金方式或者从个人账户（自然人投标除外）转出的投标保证金，视为无效投标保证金。</w:t>
            </w:r>
          </w:p>
          <w:p>
            <w:pPr>
              <w:snapToGrid w:val="0"/>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3.支票、汇票或者本票出现无效或者背书情形的，视为无效投标保证金。</w:t>
            </w:r>
          </w:p>
          <w:p>
            <w:pPr>
              <w:snapToGrid w:val="0"/>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4.保函有效期低于投标有效期的，视为无效投标保证金。</w:t>
            </w:r>
          </w:p>
          <w:p>
            <w:pPr>
              <w:autoSpaceDE w:val="0"/>
              <w:autoSpaceDN w:val="0"/>
              <w:snapToGrid w:val="0"/>
              <w:spacing w:line="360" w:lineRule="auto"/>
              <w:textAlignment w:val="bottom"/>
              <w:rPr>
                <w:rFonts w:hint="eastAsia" w:ascii="宋体" w:hAnsi="宋体" w:cs="宋体"/>
                <w:color w:val="auto"/>
                <w:szCs w:val="21"/>
                <w:highlight w:val="none"/>
              </w:rPr>
            </w:pPr>
            <w:r>
              <w:rPr>
                <w:rFonts w:hint="eastAsia" w:ascii="宋体" w:hAnsi="宋体" w:cs="宋体"/>
                <w:b/>
                <w:color w:val="auto"/>
                <w:szCs w:val="21"/>
                <w:highlight w:val="none"/>
              </w:rPr>
              <w:t>5.采用金融、担保机构出具保函的，必须为无条件保函，否则视为无效投标保证金</w:t>
            </w:r>
            <w:r>
              <w:rPr>
                <w:rFonts w:hint="eastAsia" w:ascii="宋体" w:hAnsi="宋体" w:cs="宋体"/>
                <w:b/>
                <w:bCs/>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19.1</w:t>
            </w: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投标文件编制要求</w:t>
            </w:r>
          </w:p>
        </w:tc>
        <w:tc>
          <w:tcPr>
            <w:tcW w:w="6631"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b/>
                <w:color w:val="auto"/>
                <w:szCs w:val="21"/>
                <w:highlight w:val="none"/>
                <w:u w:val="single"/>
              </w:rPr>
            </w:pPr>
            <w:r>
              <w:rPr>
                <w:rFonts w:hint="eastAsia" w:ascii="宋体" w:hAnsi="宋体" w:cs="宋体"/>
                <w:color w:val="auto"/>
                <w:szCs w:val="21"/>
                <w:highlight w:val="none"/>
              </w:rPr>
              <w:t>投标文件应按报价文件、资格文件、商务文件、技术文件分别编制，报价文件、资格文件分别生成电子文件，商务文件和技术文件按顺序合并生成电子文件。</w:t>
            </w:r>
            <w:r>
              <w:rPr>
                <w:rFonts w:hint="eastAsia" w:ascii="宋体" w:hAnsi="宋体" w:cs="宋体"/>
                <w:b/>
                <w:bCs/>
                <w:color w:val="auto"/>
                <w:szCs w:val="21"/>
                <w:highlight w:val="none"/>
              </w:rPr>
              <w:t>（注：按照本招标文件“第六章 投标文件格式”编写，第六章未附格式的，由投标人自行拟定。）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20</w:t>
            </w: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备份投标文件</w:t>
            </w:r>
          </w:p>
        </w:tc>
        <w:tc>
          <w:tcPr>
            <w:tcW w:w="6631" w:type="dxa"/>
            <w:tcBorders>
              <w:top w:val="single" w:color="auto" w:sz="4" w:space="0"/>
              <w:left w:val="single" w:color="auto" w:sz="4" w:space="0"/>
              <w:bottom w:val="single" w:color="auto" w:sz="4" w:space="0"/>
              <w:right w:val="single" w:color="auto" w:sz="4" w:space="0"/>
            </w:tcBorders>
            <w:vAlign w:val="center"/>
          </w:tcPr>
          <w:p>
            <w:pPr>
              <w:autoSpaceDE w:val="0"/>
              <w:autoSpaceDN w:val="0"/>
              <w:snapToGrid w:val="0"/>
              <w:spacing w:line="360" w:lineRule="auto"/>
              <w:textAlignment w:val="bottom"/>
              <w:rPr>
                <w:rFonts w:hint="eastAsia" w:ascii="宋体" w:hAnsi="宋体" w:cs="宋体"/>
                <w:color w:val="auto"/>
                <w:szCs w:val="21"/>
                <w:highlight w:val="none"/>
              </w:rPr>
            </w:pPr>
            <w:r>
              <w:rPr>
                <w:rFonts w:hint="eastAsia" w:ascii="宋体" w:hAnsi="宋体" w:cs="宋体"/>
                <w:color w:val="auto"/>
                <w:szCs w:val="21"/>
                <w:highlight w:val="none"/>
              </w:rPr>
              <w:t>本项目不接受备份投标文件。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vMerge w:val="restart"/>
            <w:tcBorders>
              <w:top w:val="single" w:color="auto" w:sz="4" w:space="0"/>
              <w:left w:val="single" w:color="auto" w:sz="4" w:space="0"/>
              <w:bottom w:val="nil"/>
              <w:right w:val="single" w:color="auto" w:sz="4" w:space="0"/>
            </w:tcBorders>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21.1</w:t>
            </w: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Cs w:val="21"/>
                <w:highlight w:val="none"/>
              </w:rPr>
            </w:pPr>
            <w:bookmarkStart w:id="117" w:name="_21.1"/>
            <w:bookmarkEnd w:id="117"/>
            <w:r>
              <w:rPr>
                <w:rFonts w:hint="eastAsia" w:ascii="宋体" w:hAnsi="宋体" w:cs="宋体"/>
                <w:color w:val="auto"/>
                <w:szCs w:val="21"/>
                <w:highlight w:val="none"/>
              </w:rPr>
              <w:t>投标截止时间</w:t>
            </w:r>
          </w:p>
        </w:tc>
        <w:tc>
          <w:tcPr>
            <w:tcW w:w="663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详见招标公告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vMerge w:val="continue"/>
            <w:tcBorders>
              <w:top w:val="single" w:color="auto" w:sz="4" w:space="0"/>
              <w:left w:val="single" w:color="auto" w:sz="4" w:space="0"/>
              <w:bottom w:val="nil"/>
              <w:right w:val="single" w:color="auto" w:sz="4" w:space="0"/>
            </w:tcBorders>
            <w:vAlign w:val="center"/>
          </w:tcPr>
          <w:p>
            <w:pPr>
              <w:widowControl/>
              <w:spacing w:line="360" w:lineRule="auto"/>
              <w:jc w:val="center"/>
              <w:rPr>
                <w:rFonts w:hint="eastAsia" w:ascii="宋体" w:hAnsi="宋体" w:cs="宋体"/>
                <w:color w:val="auto"/>
                <w:szCs w:val="21"/>
                <w:highlight w:val="none"/>
              </w:rPr>
            </w:pP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投标地点</w:t>
            </w:r>
          </w:p>
        </w:tc>
        <w:tc>
          <w:tcPr>
            <w:tcW w:w="663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详见招标公告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vMerge w:val="continue"/>
            <w:tcBorders>
              <w:top w:val="single" w:color="auto" w:sz="4" w:space="0"/>
              <w:left w:val="single" w:color="auto" w:sz="4" w:space="0"/>
              <w:bottom w:val="nil"/>
              <w:right w:val="single" w:color="auto" w:sz="4" w:space="0"/>
            </w:tcBorders>
            <w:vAlign w:val="center"/>
          </w:tcPr>
          <w:p>
            <w:pPr>
              <w:widowControl/>
              <w:spacing w:line="360" w:lineRule="auto"/>
              <w:jc w:val="center"/>
              <w:rPr>
                <w:rFonts w:hint="eastAsia" w:ascii="宋体" w:hAnsi="宋体" w:cs="宋体"/>
                <w:color w:val="auto"/>
                <w:szCs w:val="21"/>
                <w:highlight w:val="none"/>
              </w:rPr>
            </w:pP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投标人提交投标样品截止时间及地点</w:t>
            </w:r>
          </w:p>
        </w:tc>
        <w:tc>
          <w:tcPr>
            <w:tcW w:w="663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cs="宋体"/>
                <w:color w:val="auto"/>
                <w:szCs w:val="21"/>
                <w:highlight w:val="none"/>
              </w:rPr>
            </w:pPr>
            <w:r>
              <w:rPr>
                <w:rFonts w:hint="eastAsia" w:ascii="宋体" w:hAnsi="宋体" w:cs="宋体"/>
                <w:bCs/>
                <w:color w:val="auto"/>
                <w:szCs w:val="21"/>
                <w:highlight w:val="none"/>
              </w:rPr>
              <w:t>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23</w:t>
            </w: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Cs w:val="21"/>
                <w:highlight w:val="none"/>
              </w:rPr>
            </w:pPr>
            <w:bookmarkStart w:id="118" w:name="_23"/>
            <w:bookmarkEnd w:id="118"/>
            <w:r>
              <w:rPr>
                <w:rFonts w:hint="eastAsia" w:ascii="宋体" w:hAnsi="宋体" w:cs="宋体"/>
                <w:color w:val="auto"/>
                <w:szCs w:val="21"/>
                <w:highlight w:val="none"/>
              </w:rPr>
              <w:t>开标时间、地点</w:t>
            </w:r>
          </w:p>
        </w:tc>
        <w:tc>
          <w:tcPr>
            <w:tcW w:w="663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详见招标公告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25.3（1）</w:t>
            </w: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Cs w:val="21"/>
                <w:highlight w:val="none"/>
              </w:rPr>
            </w:pPr>
            <w:bookmarkStart w:id="119" w:name="_25.3"/>
            <w:bookmarkEnd w:id="119"/>
            <w:r>
              <w:rPr>
                <w:rFonts w:hint="eastAsia" w:ascii="宋体" w:hAnsi="宋体" w:cs="宋体"/>
                <w:color w:val="auto"/>
                <w:szCs w:val="21"/>
                <w:highlight w:val="none"/>
              </w:rPr>
              <w:t>投标人信用查询渠道</w:t>
            </w:r>
          </w:p>
        </w:tc>
        <w:tc>
          <w:tcPr>
            <w:tcW w:w="663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采购人或者采购代理机构在资格审查结束前，对投标人进行信用查询。</w:t>
            </w:r>
          </w:p>
          <w:p>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查询渠道：“信用中国”网站(https://www.creditchina.gov.cn/) 、中国政府采购网(http://www.ccgp.gov.cn/)。</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cs="宋体"/>
                <w:color w:val="auto"/>
                <w:szCs w:val="21"/>
                <w:highlight w:val="none"/>
              </w:rPr>
            </w:pP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信用查询截止时点</w:t>
            </w:r>
          </w:p>
        </w:tc>
        <w:tc>
          <w:tcPr>
            <w:tcW w:w="663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资格审查结束前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cs="宋体"/>
                <w:color w:val="auto"/>
                <w:szCs w:val="21"/>
                <w:highlight w:val="none"/>
              </w:rPr>
            </w:pP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查询记录和证据留存方式</w:t>
            </w:r>
          </w:p>
        </w:tc>
        <w:tc>
          <w:tcPr>
            <w:tcW w:w="663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在查询网站中直接查询，并将查询结果存为电子文档，作为评审资料保存。</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cs="宋体"/>
                <w:color w:val="auto"/>
                <w:szCs w:val="21"/>
                <w:highlight w:val="none"/>
              </w:rPr>
            </w:pP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信用信息使用规则</w:t>
            </w:r>
          </w:p>
        </w:tc>
        <w:tc>
          <w:tcPr>
            <w:tcW w:w="663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对在“信用中国”网站(https://www.creditchina.gov.cn/) 、中国政府采购网(http://www.ccgp.gov.cn/)</w:t>
            </w:r>
            <w:r>
              <w:rPr>
                <w:rFonts w:hint="eastAsia" w:ascii="宋体" w:hAnsi="宋体" w:cs="宋体"/>
                <w:b/>
                <w:bCs/>
                <w:color w:val="auto"/>
                <w:szCs w:val="21"/>
                <w:highlight w:val="none"/>
              </w:rPr>
              <w:t>被列入失信被执行人、重大税收违法失信主体、政府采购严重违法失信行为记录名单及其他不符合《中华人民共和国政府采购法》第二十二条规定条件的供应商</w:t>
            </w:r>
            <w:r>
              <w:rPr>
                <w:rFonts w:hint="eastAsia" w:ascii="宋体" w:hAnsi="宋体" w:cs="宋体"/>
                <w:color w:val="auto"/>
                <w:szCs w:val="21"/>
                <w:highlight w:val="none"/>
              </w:rPr>
              <w:t>，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29.1</w:t>
            </w: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Cs w:val="21"/>
                <w:highlight w:val="none"/>
              </w:rPr>
            </w:pPr>
            <w:bookmarkStart w:id="120" w:name="_28.3"/>
            <w:bookmarkEnd w:id="120"/>
            <w:bookmarkStart w:id="121" w:name="_26"/>
            <w:bookmarkEnd w:id="121"/>
            <w:r>
              <w:rPr>
                <w:rFonts w:hint="eastAsia" w:ascii="宋体" w:hAnsi="宋体" w:cs="宋体"/>
                <w:color w:val="auto"/>
                <w:szCs w:val="21"/>
                <w:highlight w:val="none"/>
              </w:rPr>
              <w:t>评标方法</w:t>
            </w:r>
          </w:p>
        </w:tc>
        <w:tc>
          <w:tcPr>
            <w:tcW w:w="6631" w:type="dxa"/>
            <w:tcBorders>
              <w:top w:val="single" w:color="auto" w:sz="4" w:space="0"/>
              <w:left w:val="single" w:color="auto" w:sz="4" w:space="0"/>
              <w:bottom w:val="single" w:color="auto" w:sz="4" w:space="0"/>
              <w:right w:val="single" w:color="auto" w:sz="4" w:space="0"/>
            </w:tcBorders>
            <w:vAlign w:val="center"/>
          </w:tcPr>
          <w:p>
            <w:pPr>
              <w:autoSpaceDE w:val="0"/>
              <w:autoSpaceDN w:val="0"/>
              <w:snapToGrid w:val="0"/>
              <w:spacing w:line="360" w:lineRule="auto"/>
              <w:textAlignment w:val="bottom"/>
              <w:rPr>
                <w:rFonts w:hint="eastAsia" w:ascii="宋体" w:hAnsi="宋体" w:cs="宋体"/>
                <w:color w:val="auto"/>
                <w:szCs w:val="21"/>
                <w:highlight w:val="none"/>
              </w:rPr>
            </w:pPr>
            <w:r>
              <w:rPr>
                <w:rFonts w:hint="eastAsia" w:ascii="宋体" w:hAnsi="宋体" w:cs="宋体"/>
                <w:color w:val="auto"/>
                <w:szCs w:val="21"/>
                <w:highlight w:val="none"/>
              </w:rPr>
              <w:sym w:font="Wingdings 2" w:char="0052"/>
            </w:r>
            <w:r>
              <w:rPr>
                <w:rFonts w:hint="eastAsia" w:ascii="宋体" w:hAnsi="宋体" w:cs="宋体"/>
                <w:color w:val="auto"/>
                <w:szCs w:val="21"/>
                <w:highlight w:val="none"/>
              </w:rPr>
              <w:t>综合评分法</w:t>
            </w:r>
          </w:p>
          <w:p>
            <w:pPr>
              <w:autoSpaceDE w:val="0"/>
              <w:autoSpaceDN w:val="0"/>
              <w:snapToGrid w:val="0"/>
              <w:spacing w:line="360" w:lineRule="auto"/>
              <w:textAlignment w:val="bottom"/>
              <w:rPr>
                <w:rFonts w:hint="eastAsia" w:ascii="宋体" w:hAnsi="宋体" w:cs="宋体"/>
                <w:color w:val="auto"/>
                <w:szCs w:val="21"/>
                <w:highlight w:val="none"/>
              </w:rPr>
            </w:pPr>
            <w:r>
              <w:rPr>
                <w:rFonts w:hint="eastAsia" w:ascii="宋体" w:hAnsi="宋体" w:cs="宋体"/>
                <w:color w:val="auto"/>
                <w:szCs w:val="21"/>
                <w:highlight w:val="none"/>
              </w:rPr>
              <w:t>□最低评标价法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30.1</w:t>
            </w:r>
          </w:p>
        </w:tc>
        <w:tc>
          <w:tcPr>
            <w:tcW w:w="2083" w:type="dxa"/>
            <w:tcBorders>
              <w:top w:val="single" w:color="auto" w:sz="4" w:space="0"/>
              <w:left w:val="single" w:color="auto" w:sz="4" w:space="0"/>
              <w:bottom w:val="single" w:color="auto" w:sz="4" w:space="0"/>
              <w:right w:val="single" w:color="auto" w:sz="4" w:space="0"/>
            </w:tcBorders>
            <w:vAlign w:val="center"/>
          </w:tcPr>
          <w:p>
            <w:pPr>
              <w:autoSpaceDE w:val="0"/>
              <w:autoSpaceDN w:val="0"/>
              <w:snapToGrid w:val="0"/>
              <w:spacing w:line="360" w:lineRule="auto"/>
              <w:textAlignment w:val="bottom"/>
              <w:rPr>
                <w:rFonts w:hint="eastAsia" w:ascii="宋体" w:hAnsi="宋体" w:cs="宋体"/>
                <w:color w:val="auto"/>
                <w:szCs w:val="21"/>
                <w:highlight w:val="none"/>
              </w:rPr>
            </w:pPr>
            <w:r>
              <w:rPr>
                <w:rFonts w:hint="eastAsia" w:ascii="宋体" w:hAnsi="宋体" w:cs="宋体"/>
                <w:color w:val="auto"/>
                <w:szCs w:val="21"/>
                <w:highlight w:val="none"/>
              </w:rPr>
              <w:t xml:space="preserve">确定中标人时，出现中标候选人排名并列的情形，确定中标人方式 </w:t>
            </w:r>
          </w:p>
        </w:tc>
        <w:tc>
          <w:tcPr>
            <w:tcW w:w="6631" w:type="dxa"/>
            <w:tcBorders>
              <w:top w:val="single" w:color="auto" w:sz="4" w:space="0"/>
              <w:left w:val="single" w:color="auto" w:sz="4" w:space="0"/>
              <w:bottom w:val="single" w:color="auto" w:sz="4" w:space="0"/>
              <w:right w:val="single" w:color="auto" w:sz="4" w:space="0"/>
            </w:tcBorders>
            <w:vAlign w:val="center"/>
          </w:tcPr>
          <w:p>
            <w:pPr>
              <w:autoSpaceDE w:val="0"/>
              <w:autoSpaceDN w:val="0"/>
              <w:snapToGrid w:val="0"/>
              <w:spacing w:line="360" w:lineRule="auto"/>
              <w:textAlignment w:val="bottom"/>
              <w:rPr>
                <w:b/>
                <w:bCs/>
                <w:color w:val="auto"/>
                <w:highlight w:val="none"/>
              </w:rPr>
            </w:pPr>
            <w:r>
              <w:rPr>
                <w:rFonts w:hint="eastAsia" w:ascii="宋体" w:hAnsi="宋体" w:cs="宋体"/>
                <w:color w:val="auto"/>
                <w:szCs w:val="21"/>
                <w:highlight w:val="none"/>
              </w:rPr>
              <w:t>采购人确定中标人时，出现中标候选人并列的情形，采购人按以下的方式确定中标人：</w:t>
            </w:r>
          </w:p>
          <w:p>
            <w:pPr>
              <w:autoSpaceDE w:val="0"/>
              <w:autoSpaceDN w:val="0"/>
              <w:snapToGrid w:val="0"/>
              <w:spacing w:line="360" w:lineRule="auto"/>
              <w:textAlignment w:val="bottom"/>
              <w:rPr>
                <w:rFonts w:hint="eastAsia" w:ascii="宋体" w:hAnsi="宋体" w:cs="宋体"/>
                <w:b/>
                <w:bCs/>
                <w:i/>
                <w:iCs/>
                <w:color w:val="auto"/>
                <w:szCs w:val="21"/>
                <w:highlight w:val="none"/>
              </w:rPr>
            </w:pPr>
            <w:r>
              <w:rPr>
                <w:rFonts w:hint="eastAsia" w:ascii="宋体" w:hAnsi="宋体" w:cs="宋体"/>
                <w:color w:val="auto"/>
                <w:szCs w:val="21"/>
                <w:highlight w:val="none"/>
              </w:rPr>
              <w:sym w:font="Wingdings 2" w:char="0052"/>
            </w:r>
            <w:r>
              <w:rPr>
                <w:rFonts w:hint="eastAsia" w:ascii="宋体" w:hAnsi="宋体" w:cs="宋体"/>
                <w:color w:val="auto"/>
                <w:kern w:val="0"/>
                <w:szCs w:val="21"/>
                <w:highlight w:val="none"/>
                <w:lang w:bidi="ar"/>
              </w:rPr>
              <w:t>产品技术性能分得分高的优先、项目实施方案分得分高的优先、安装调试方案分高的优先、售后服务分得分高的优先、</w:t>
            </w:r>
            <w:r>
              <w:rPr>
                <w:rFonts w:hint="eastAsia" w:ascii="宋体" w:hAnsi="宋体" w:cs="宋体"/>
                <w:color w:val="auto"/>
                <w:szCs w:val="21"/>
                <w:highlight w:val="none"/>
              </w:rPr>
              <w:t>项目质保期长优先、交货期短优先、故障响应时间短优先、政策分</w:t>
            </w:r>
            <w:r>
              <w:rPr>
                <w:rFonts w:hint="eastAsia" w:ascii="宋体" w:hAnsi="宋体" w:cs="宋体"/>
                <w:color w:val="auto"/>
                <w:kern w:val="0"/>
                <w:szCs w:val="21"/>
                <w:highlight w:val="none"/>
                <w:lang w:bidi="ar"/>
              </w:rPr>
              <w:t>得分高的优先</w:t>
            </w:r>
            <w:r>
              <w:rPr>
                <w:rFonts w:hint="eastAsia" w:ascii="宋体" w:hAnsi="宋体" w:cs="宋体"/>
                <w:color w:val="auto"/>
                <w:szCs w:val="21"/>
                <w:highlight w:val="none"/>
              </w:rPr>
              <w:t>的顺序。</w:t>
            </w:r>
          </w:p>
          <w:p>
            <w:pPr>
              <w:autoSpaceDE w:val="0"/>
              <w:autoSpaceDN w:val="0"/>
              <w:snapToGrid w:val="0"/>
              <w:spacing w:line="360" w:lineRule="auto"/>
              <w:textAlignment w:val="bottom"/>
              <w:rPr>
                <w:rFonts w:hint="eastAsia" w:ascii="宋体" w:hAnsi="宋体" w:cs="宋体"/>
                <w:b/>
                <w:color w:val="auto"/>
                <w:szCs w:val="21"/>
                <w:highlight w:val="none"/>
              </w:rPr>
            </w:pPr>
            <w:r>
              <w:rPr>
                <w:rFonts w:hint="eastAsia" w:ascii="宋体" w:hAnsi="宋体" w:cs="宋体"/>
                <w:color w:val="auto"/>
                <w:szCs w:val="21"/>
                <w:highlight w:val="none"/>
              </w:rPr>
              <w:t>□</w:t>
            </w:r>
            <w:r>
              <w:rPr>
                <w:rFonts w:ascii="宋体" w:hAnsi="宋体" w:cs="宋体"/>
                <w:color w:val="auto"/>
                <w:highlight w:val="none"/>
              </w:rPr>
              <w:t>采取随机抽取的方式确定</w:t>
            </w:r>
            <w:r>
              <w:rPr>
                <w:rFonts w:hint="eastAsia" w:ascii="宋体" w:hAnsi="宋体" w:cs="宋体"/>
                <w:color w:val="auto"/>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35.1</w:t>
            </w: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Cs w:val="21"/>
                <w:highlight w:val="none"/>
              </w:rPr>
            </w:pPr>
            <w:bookmarkStart w:id="122" w:name="_39.1"/>
            <w:bookmarkEnd w:id="122"/>
            <w:r>
              <w:rPr>
                <w:rFonts w:hint="eastAsia" w:ascii="宋体" w:hAnsi="宋体" w:cs="宋体"/>
                <w:color w:val="auto"/>
                <w:szCs w:val="21"/>
                <w:highlight w:val="none"/>
              </w:rPr>
              <w:t>履约保证金金额</w:t>
            </w:r>
          </w:p>
        </w:tc>
        <w:tc>
          <w:tcPr>
            <w:tcW w:w="6631" w:type="dxa"/>
            <w:tcBorders>
              <w:top w:val="single" w:color="auto" w:sz="4" w:space="0"/>
              <w:left w:val="single" w:color="auto" w:sz="4" w:space="0"/>
              <w:bottom w:val="single" w:color="auto" w:sz="4" w:space="0"/>
              <w:right w:val="single" w:color="auto" w:sz="4" w:space="0"/>
            </w:tcBorders>
            <w:vAlign w:val="bottom"/>
          </w:tcPr>
          <w:p>
            <w:pPr>
              <w:spacing w:line="360" w:lineRule="auto"/>
              <w:jc w:val="left"/>
              <w:rPr>
                <w:rFonts w:hint="eastAsia" w:ascii="宋体" w:hAnsi="宋体" w:cs="宋体"/>
                <w:color w:val="auto"/>
                <w:szCs w:val="21"/>
                <w:highlight w:val="none"/>
              </w:rPr>
            </w:pPr>
            <w:r>
              <w:rPr>
                <w:rFonts w:hint="eastAsia" w:ascii="宋体" w:hAnsi="宋体" w:cs="宋体"/>
                <w:b/>
                <w:bCs/>
                <w:color w:val="auto"/>
                <w:szCs w:val="21"/>
                <w:highlight w:val="none"/>
              </w:rPr>
              <w:t>本项目不需要缴</w:t>
            </w:r>
            <w:r>
              <w:rPr>
                <w:rFonts w:hint="eastAsia" w:ascii="宋体" w:hAnsi="宋体" w:cs="宋体"/>
                <w:b/>
                <w:bCs/>
                <w:color w:val="auto"/>
                <w:kern w:val="0"/>
                <w:szCs w:val="21"/>
                <w:highlight w:val="none"/>
              </w:rPr>
              <w:t>纳</w:t>
            </w:r>
            <w:r>
              <w:rPr>
                <w:rFonts w:hint="eastAsia" w:ascii="宋体" w:hAnsi="宋体" w:cs="宋体"/>
                <w:b/>
                <w:bCs/>
                <w:color w:val="auto"/>
                <w:szCs w:val="21"/>
                <w:highlight w:val="none"/>
              </w:rPr>
              <w:t>履约保证金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36.1</w:t>
            </w: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Cs w:val="21"/>
                <w:highlight w:val="none"/>
              </w:rPr>
            </w:pPr>
            <w:bookmarkStart w:id="123" w:name="_40.1"/>
            <w:bookmarkEnd w:id="123"/>
            <w:r>
              <w:rPr>
                <w:rFonts w:hint="eastAsia" w:ascii="宋体" w:hAnsi="宋体" w:cs="宋体"/>
                <w:color w:val="auto"/>
                <w:szCs w:val="21"/>
                <w:highlight w:val="none"/>
              </w:rPr>
              <w:t>签订合同携带的材料</w:t>
            </w:r>
          </w:p>
        </w:tc>
        <w:tc>
          <w:tcPr>
            <w:tcW w:w="6631" w:type="dxa"/>
            <w:tcBorders>
              <w:top w:val="single" w:color="auto" w:sz="4" w:space="0"/>
              <w:left w:val="single" w:color="auto" w:sz="4" w:space="0"/>
              <w:bottom w:val="single" w:color="auto" w:sz="4" w:space="0"/>
              <w:right w:val="single" w:color="auto" w:sz="4" w:space="0"/>
            </w:tcBorders>
            <w:vAlign w:val="center"/>
          </w:tcPr>
          <w:p>
            <w:pPr>
              <w:autoSpaceDE w:val="0"/>
              <w:autoSpaceDN w:val="0"/>
              <w:snapToGrid w:val="0"/>
              <w:spacing w:line="360" w:lineRule="auto"/>
              <w:textAlignment w:val="bottom"/>
              <w:rPr>
                <w:rFonts w:hint="eastAsia" w:ascii="宋体" w:hAnsi="宋体" w:cs="宋体"/>
                <w:color w:val="auto"/>
                <w:szCs w:val="21"/>
                <w:highlight w:val="none"/>
              </w:rPr>
            </w:pPr>
            <w:r>
              <w:rPr>
                <w:rFonts w:hint="eastAsia" w:ascii="宋体" w:hAnsi="宋体" w:cs="宋体"/>
                <w:color w:val="auto"/>
                <w:szCs w:val="21"/>
                <w:highlight w:val="none"/>
              </w:rPr>
              <w:t>委托代理人负责签订合同的，须携带有效的法定代表人授权委托书及其委托代理人身份证原件等其他资格证件。</w:t>
            </w:r>
          </w:p>
          <w:p>
            <w:pPr>
              <w:snapToGrid w:val="0"/>
              <w:spacing w:line="360" w:lineRule="auto"/>
              <w:rPr>
                <w:rFonts w:hint="eastAsia" w:ascii="宋体" w:hAnsi="宋体" w:cs="宋体"/>
                <w:color w:val="auto"/>
                <w:highlight w:val="none"/>
              </w:rPr>
            </w:pPr>
            <w:r>
              <w:rPr>
                <w:rFonts w:hint="eastAsia" w:ascii="宋体" w:hAnsi="宋体" w:cs="宋体"/>
                <w:color w:val="auto"/>
                <w:szCs w:val="21"/>
                <w:highlight w:val="none"/>
              </w:rPr>
              <w:t>法定代表人负责签订合同的，须携带法定代表人身份证明原件及身份证原件等其他证明材料。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38.2.1</w:t>
            </w: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接收质疑函方式</w:t>
            </w:r>
          </w:p>
        </w:tc>
        <w:tc>
          <w:tcPr>
            <w:tcW w:w="663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以书面形式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cs="宋体"/>
                <w:color w:val="auto"/>
                <w:szCs w:val="21"/>
                <w:highlight w:val="none"/>
              </w:rPr>
            </w:pP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质疑联系部门及联系方式</w:t>
            </w:r>
          </w:p>
        </w:tc>
        <w:tc>
          <w:tcPr>
            <w:tcW w:w="663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（1）名称：广西医科大学</w:t>
            </w:r>
          </w:p>
          <w:p>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联系电话：0771-</w:t>
            </w:r>
            <w:r>
              <w:rPr>
                <w:rFonts w:hint="eastAsia"/>
                <w:color w:val="auto"/>
                <w:highlight w:val="none"/>
              </w:rPr>
              <w:t>5358884</w:t>
            </w:r>
          </w:p>
          <w:p>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通讯地址：广西南宁市青秀区双拥路22号    </w:t>
            </w:r>
          </w:p>
          <w:p>
            <w:pPr>
              <w:snapToGrid w:val="0"/>
              <w:spacing w:line="360" w:lineRule="auto"/>
              <w:rPr>
                <w:rFonts w:hint="eastAsia" w:ascii="宋体" w:hAnsi="宋体"/>
                <w:color w:val="auto"/>
                <w:szCs w:val="21"/>
                <w:highlight w:val="none"/>
              </w:rPr>
            </w:pPr>
            <w:r>
              <w:rPr>
                <w:rFonts w:hint="eastAsia" w:ascii="宋体" w:hAnsi="宋体" w:cs="宋体"/>
                <w:color w:val="auto"/>
                <w:szCs w:val="21"/>
                <w:highlight w:val="none"/>
              </w:rPr>
              <w:t>（2）名称：</w:t>
            </w:r>
            <w:bookmarkStart w:id="124" w:name="PO_3000001867_PM031_3"/>
            <w:r>
              <w:rPr>
                <w:rFonts w:hint="eastAsia" w:ascii="宋体" w:hAnsi="宋体"/>
                <w:color w:val="auto"/>
                <w:szCs w:val="21"/>
                <w:highlight w:val="none"/>
              </w:rPr>
              <w:t>广西科联招标中心有限公司</w:t>
            </w:r>
            <w:bookmarkEnd w:id="124"/>
          </w:p>
          <w:p>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联系电话：陈工，0771-3486228 </w:t>
            </w:r>
          </w:p>
          <w:p>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通讯地址：</w:t>
            </w:r>
            <w:r>
              <w:rPr>
                <w:rFonts w:hint="eastAsia" w:ascii="宋体" w:hAnsi="宋体"/>
                <w:color w:val="auto"/>
                <w:szCs w:val="21"/>
                <w:highlight w:val="none"/>
              </w:rPr>
              <w:t>广西科联招标中心有限公司102室（广西南宁市大学东路170号广西农业机械研究院内）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cs="宋体"/>
                <w:color w:val="auto"/>
                <w:szCs w:val="21"/>
                <w:highlight w:val="none"/>
              </w:rPr>
            </w:pP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Cs w:val="21"/>
                <w:highlight w:val="none"/>
              </w:rPr>
            </w:pPr>
            <w:r>
              <w:rPr>
                <w:rFonts w:hint="eastAsia" w:ascii="宋体" w:hAnsi="宋体" w:cs="宋体"/>
                <w:color w:val="auto"/>
                <w:highlight w:val="none"/>
              </w:rPr>
              <w:t>现场提交质疑办理业务时间</w:t>
            </w:r>
          </w:p>
        </w:tc>
        <w:tc>
          <w:tcPr>
            <w:tcW w:w="663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cs="宋体"/>
                <w:color w:val="auto"/>
                <w:szCs w:val="21"/>
                <w:highlight w:val="none"/>
              </w:rPr>
            </w:pPr>
            <w:r>
              <w:rPr>
                <w:rFonts w:hint="eastAsia" w:ascii="宋体" w:hAnsi="宋体" w:cs="宋体"/>
                <w:color w:val="auto"/>
                <w:highlight w:val="none"/>
              </w:rPr>
              <w:t>质疑期内每个工作日（北京时间）上午</w:t>
            </w:r>
            <w:r>
              <w:rPr>
                <w:rFonts w:hint="eastAsia" w:ascii="宋体" w:hAnsi="宋体" w:cs="宋体"/>
                <w:color w:val="auto"/>
                <w:highlight w:val="none"/>
                <w:u w:val="single"/>
              </w:rPr>
              <w:t>8</w:t>
            </w:r>
            <w:r>
              <w:rPr>
                <w:rFonts w:hint="eastAsia" w:ascii="宋体" w:hAnsi="宋体" w:cs="宋体"/>
                <w:color w:val="auto"/>
                <w:highlight w:val="none"/>
              </w:rPr>
              <w:t>时</w:t>
            </w:r>
            <w:r>
              <w:rPr>
                <w:rFonts w:hint="eastAsia" w:ascii="宋体" w:hAnsi="宋体" w:cs="宋体"/>
                <w:color w:val="auto"/>
                <w:highlight w:val="none"/>
                <w:u w:val="single"/>
              </w:rPr>
              <w:t>00</w:t>
            </w:r>
            <w:r>
              <w:rPr>
                <w:rFonts w:hint="eastAsia" w:ascii="宋体" w:hAnsi="宋体" w:cs="宋体"/>
                <w:color w:val="auto"/>
                <w:highlight w:val="none"/>
              </w:rPr>
              <w:t>分到</w:t>
            </w:r>
            <w:r>
              <w:rPr>
                <w:rFonts w:hint="eastAsia" w:ascii="宋体" w:hAnsi="宋体" w:cs="宋体"/>
                <w:color w:val="auto"/>
                <w:highlight w:val="none"/>
                <w:u w:val="single"/>
              </w:rPr>
              <w:t>12</w:t>
            </w:r>
            <w:r>
              <w:rPr>
                <w:rFonts w:hint="eastAsia" w:ascii="宋体" w:hAnsi="宋体" w:cs="宋体"/>
                <w:color w:val="auto"/>
                <w:highlight w:val="none"/>
              </w:rPr>
              <w:t>时</w:t>
            </w:r>
            <w:r>
              <w:rPr>
                <w:rFonts w:hint="eastAsia" w:ascii="宋体" w:hAnsi="宋体" w:cs="宋体"/>
                <w:color w:val="auto"/>
                <w:highlight w:val="none"/>
                <w:u w:val="single"/>
              </w:rPr>
              <w:t>00</w:t>
            </w:r>
            <w:r>
              <w:rPr>
                <w:rFonts w:hint="eastAsia" w:ascii="宋体" w:hAnsi="宋体" w:cs="宋体"/>
                <w:color w:val="auto"/>
                <w:highlight w:val="none"/>
              </w:rPr>
              <w:t>分，下午</w:t>
            </w:r>
            <w:r>
              <w:rPr>
                <w:rFonts w:hint="eastAsia" w:ascii="宋体" w:hAnsi="宋体" w:cs="宋体"/>
                <w:color w:val="auto"/>
                <w:highlight w:val="none"/>
                <w:u w:val="single"/>
              </w:rPr>
              <w:t>15</w:t>
            </w:r>
            <w:r>
              <w:rPr>
                <w:rFonts w:hint="eastAsia" w:ascii="宋体" w:hAnsi="宋体" w:cs="宋体"/>
                <w:color w:val="auto"/>
                <w:highlight w:val="none"/>
              </w:rPr>
              <w:t>时</w:t>
            </w:r>
            <w:r>
              <w:rPr>
                <w:rFonts w:hint="eastAsia" w:ascii="宋体" w:hAnsi="宋体" w:cs="宋体"/>
                <w:color w:val="auto"/>
                <w:highlight w:val="none"/>
                <w:u w:val="single"/>
              </w:rPr>
              <w:t>00</w:t>
            </w:r>
            <w:r>
              <w:rPr>
                <w:rFonts w:hint="eastAsia" w:ascii="宋体" w:hAnsi="宋体" w:cs="宋体"/>
                <w:color w:val="auto"/>
                <w:highlight w:val="none"/>
              </w:rPr>
              <w:t>分到</w:t>
            </w:r>
            <w:r>
              <w:rPr>
                <w:rFonts w:hint="eastAsia" w:ascii="宋体" w:hAnsi="宋体" w:cs="宋体"/>
                <w:color w:val="auto"/>
                <w:highlight w:val="none"/>
                <w:u w:val="single"/>
              </w:rPr>
              <w:t>18</w:t>
            </w:r>
            <w:r>
              <w:rPr>
                <w:rFonts w:hint="eastAsia" w:ascii="宋体" w:hAnsi="宋体" w:cs="宋体"/>
                <w:color w:val="auto"/>
                <w:highlight w:val="none"/>
              </w:rPr>
              <w:t>时</w:t>
            </w:r>
            <w:r>
              <w:rPr>
                <w:rFonts w:hint="eastAsia" w:ascii="宋体" w:hAnsi="宋体" w:cs="宋体"/>
                <w:color w:val="auto"/>
                <w:highlight w:val="none"/>
                <w:u w:val="single"/>
              </w:rPr>
              <w:t>00</w:t>
            </w:r>
            <w:r>
              <w:rPr>
                <w:rFonts w:hint="eastAsia" w:ascii="宋体" w:hAnsi="宋体" w:cs="宋体"/>
                <w:color w:val="auto"/>
                <w:highlight w:val="none"/>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9" w:hRule="exact"/>
          <w:jc w:val="center"/>
        </w:trPr>
        <w:tc>
          <w:tcPr>
            <w:tcW w:w="860" w:type="dxa"/>
            <w:tcBorders>
              <w:top w:val="nil"/>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38.3.1</w:t>
            </w: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highlight w:val="none"/>
              </w:rPr>
            </w:pPr>
            <w:r>
              <w:rPr>
                <w:rFonts w:hint="eastAsia" w:ascii="宋体" w:hAnsi="宋体" w:cs="宋体"/>
                <w:color w:val="auto"/>
                <w:highlight w:val="none"/>
              </w:rPr>
              <w:t>投诉受理方式</w:t>
            </w:r>
          </w:p>
        </w:tc>
        <w:tc>
          <w:tcPr>
            <w:tcW w:w="663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cs="宋体"/>
                <w:color w:val="auto"/>
                <w:highlight w:val="none"/>
              </w:rPr>
            </w:pPr>
            <w:r>
              <w:rPr>
                <w:rFonts w:hint="eastAsia" w:ascii="宋体" w:hAnsi="宋体" w:cs="宋体"/>
                <w:color w:val="auto"/>
                <w:highlight w:val="none"/>
              </w:rPr>
              <w:t>1.受理方式：纸质方式受理，投诉书正、副本（经过质疑的事项才可投诉）。</w:t>
            </w:r>
          </w:p>
          <w:p>
            <w:pPr>
              <w:snapToGrid w:val="0"/>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szCs w:val="21"/>
                <w:highlight w:val="none"/>
              </w:rPr>
              <w:t>通讯</w:t>
            </w:r>
            <w:r>
              <w:rPr>
                <w:rFonts w:hint="eastAsia" w:ascii="宋体" w:hAnsi="宋体" w:cs="宋体"/>
                <w:color w:val="auto"/>
                <w:highlight w:val="none"/>
              </w:rPr>
              <w:t>方式</w:t>
            </w:r>
          </w:p>
          <w:p>
            <w:pPr>
              <w:snapToGrid w:val="0"/>
              <w:spacing w:line="360" w:lineRule="auto"/>
              <w:rPr>
                <w:rFonts w:hint="eastAsia" w:ascii="宋体" w:hAnsi="宋体" w:cs="宋体"/>
                <w:color w:val="auto"/>
                <w:highlight w:val="none"/>
              </w:rPr>
            </w:pPr>
            <w:bookmarkStart w:id="125" w:name="PO_3000001867_PM039"/>
            <w:r>
              <w:rPr>
                <w:rFonts w:hint="eastAsia" w:ascii="宋体" w:hAnsi="宋体" w:cs="宋体"/>
                <w:color w:val="auto"/>
                <w:highlight w:val="none"/>
              </w:rPr>
              <w:t>名称：</w:t>
            </w:r>
            <w:bookmarkStart w:id="126" w:name="PO_3000001867_PM036"/>
            <w:r>
              <w:rPr>
                <w:rFonts w:hint="eastAsia" w:ascii="宋体" w:hAnsi="宋体" w:cs="宋体"/>
                <w:color w:val="auto"/>
                <w:highlight w:val="none"/>
              </w:rPr>
              <w:t>广西壮族自治区财政厅政府采购监督管理</w:t>
            </w:r>
            <w:bookmarkEnd w:id="126"/>
            <w:r>
              <w:rPr>
                <w:rFonts w:hint="eastAsia" w:ascii="宋体" w:hAnsi="宋体" w:cs="宋体"/>
                <w:color w:val="auto"/>
                <w:highlight w:val="none"/>
              </w:rPr>
              <w:t>处</w:t>
            </w:r>
          </w:p>
          <w:p>
            <w:pPr>
              <w:snapToGrid w:val="0"/>
              <w:spacing w:line="360" w:lineRule="auto"/>
              <w:rPr>
                <w:rFonts w:hint="eastAsia" w:ascii="宋体" w:hAnsi="宋体" w:cs="宋体"/>
                <w:color w:val="auto"/>
                <w:highlight w:val="none"/>
              </w:rPr>
            </w:pPr>
            <w:r>
              <w:rPr>
                <w:rFonts w:hint="eastAsia" w:ascii="宋体" w:hAnsi="宋体" w:cs="宋体"/>
                <w:color w:val="auto"/>
                <w:highlight w:val="none"/>
              </w:rPr>
              <w:t>地址：南宁市桃源路69号广西财政大厦7楼</w:t>
            </w:r>
          </w:p>
          <w:bookmarkEnd w:id="125"/>
          <w:p>
            <w:pPr>
              <w:snapToGrid w:val="0"/>
              <w:spacing w:line="360" w:lineRule="auto"/>
              <w:rPr>
                <w:rFonts w:hint="eastAsia" w:ascii="宋体" w:hAnsi="宋体" w:cs="宋体"/>
                <w:color w:val="auto"/>
                <w:highlight w:val="none"/>
              </w:rPr>
            </w:pPr>
            <w:r>
              <w:rPr>
                <w:rFonts w:hint="eastAsia" w:ascii="宋体" w:hAnsi="宋体" w:cs="宋体"/>
                <w:color w:val="auto"/>
                <w:highlight w:val="none"/>
              </w:rPr>
              <w:t>联系电话：</w:t>
            </w:r>
            <w:bookmarkStart w:id="127" w:name="PO_3000001867_PM038"/>
            <w:r>
              <w:rPr>
                <w:rFonts w:hint="eastAsia" w:ascii="宋体" w:hAnsi="宋体" w:cs="宋体"/>
                <w:color w:val="auto"/>
                <w:highlight w:val="none"/>
              </w:rPr>
              <w:t xml:space="preserve">0771-5331544/5331539 </w:t>
            </w:r>
            <w:bookmarkEnd w:id="127"/>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40</w:t>
            </w: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Cs w:val="21"/>
                <w:highlight w:val="none"/>
              </w:rPr>
            </w:pPr>
            <w:bookmarkStart w:id="128" w:name="_42"/>
            <w:bookmarkEnd w:id="128"/>
            <w:bookmarkStart w:id="129" w:name="_41"/>
            <w:bookmarkEnd w:id="129"/>
            <w:r>
              <w:rPr>
                <w:rFonts w:hint="eastAsia" w:ascii="宋体" w:hAnsi="宋体" w:cs="宋体"/>
                <w:color w:val="auto"/>
                <w:highlight w:val="none"/>
              </w:rPr>
              <w:t>采购代理服务费支付方式</w:t>
            </w:r>
          </w:p>
        </w:tc>
        <w:tc>
          <w:tcPr>
            <w:tcW w:w="6631" w:type="dxa"/>
            <w:tcBorders>
              <w:top w:val="single" w:color="auto" w:sz="4" w:space="0"/>
              <w:left w:val="single" w:color="auto" w:sz="4" w:space="0"/>
              <w:bottom w:val="single" w:color="auto" w:sz="4" w:space="0"/>
              <w:right w:val="single" w:color="auto" w:sz="4" w:space="0"/>
            </w:tcBorders>
            <w:vAlign w:val="center"/>
          </w:tcPr>
          <w:p>
            <w:pPr>
              <w:pStyle w:val="14"/>
              <w:snapToGrid w:val="0"/>
              <w:spacing w:line="360" w:lineRule="auto"/>
              <w:rPr>
                <w:rFonts w:hint="eastAsia" w:hAnsi="宋体" w:cs="宋体"/>
                <w:color w:val="auto"/>
                <w:highlight w:val="none"/>
              </w:rPr>
            </w:pPr>
            <w:r>
              <w:rPr>
                <w:rFonts w:hint="eastAsia" w:hAnsi="宋体" w:cs="宋体"/>
                <w:color w:val="auto"/>
                <w:highlight w:val="none"/>
              </w:rPr>
              <w:sym w:font="Wingdings 2" w:char="0052"/>
            </w:r>
            <w:r>
              <w:rPr>
                <w:rFonts w:hint="eastAsia" w:hAnsi="宋体" w:cs="宋体"/>
                <w:color w:val="auto"/>
                <w:highlight w:val="none"/>
              </w:rPr>
              <w:t>本项目采购代理服务费由</w:t>
            </w:r>
            <w:r>
              <w:rPr>
                <w:rFonts w:hint="eastAsia" w:hAnsi="宋体" w:cs="宋体"/>
                <w:color w:val="auto"/>
                <w:highlight w:val="none"/>
                <w:u w:val="single"/>
              </w:rPr>
              <w:t>中标人</w:t>
            </w:r>
            <w:r>
              <w:rPr>
                <w:rFonts w:hint="eastAsia" w:hAnsi="宋体" w:cs="宋体"/>
                <w:color w:val="auto"/>
                <w:highlight w:val="none"/>
              </w:rPr>
              <w:t>在签订合同前，以银行转账、电汇等方式一次性向采购代理机构支付。</w:t>
            </w:r>
          </w:p>
          <w:p>
            <w:pPr>
              <w:pStyle w:val="14"/>
              <w:snapToGrid w:val="0"/>
              <w:spacing w:line="360" w:lineRule="auto"/>
              <w:rPr>
                <w:rFonts w:hint="eastAsia" w:hAnsi="宋体" w:cs="宋体"/>
                <w:color w:val="auto"/>
                <w:highlight w:val="none"/>
                <w:u w:val="single"/>
              </w:rPr>
            </w:pPr>
            <w:r>
              <w:rPr>
                <w:rFonts w:hint="eastAsia" w:hAnsi="宋体" w:cs="宋体"/>
                <w:color w:val="auto"/>
                <w:highlight w:val="none"/>
              </w:rPr>
              <w:t>□采购人支付：</w:t>
            </w:r>
          </w:p>
          <w:p>
            <w:pPr>
              <w:pStyle w:val="14"/>
              <w:snapToGrid w:val="0"/>
              <w:spacing w:line="360" w:lineRule="auto"/>
              <w:rPr>
                <w:rFonts w:hint="eastAsia" w:hAnsi="宋体" w:cs="宋体"/>
                <w:color w:val="auto"/>
                <w:highlight w:val="none"/>
              </w:rPr>
            </w:pPr>
            <w:r>
              <w:rPr>
                <w:rFonts w:hint="eastAsia" w:hAnsi="宋体" w:cs="宋体"/>
                <w:color w:val="auto"/>
                <w:highlight w:val="none"/>
              </w:rPr>
              <w:t>□本项目不收取采购代理服务费。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cs="宋体"/>
                <w:color w:val="auto"/>
                <w:szCs w:val="21"/>
                <w:highlight w:val="none"/>
              </w:rPr>
            </w:pP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Cs w:val="21"/>
                <w:highlight w:val="none"/>
              </w:rPr>
            </w:pPr>
            <w:r>
              <w:rPr>
                <w:rFonts w:hint="eastAsia" w:ascii="宋体" w:hAnsi="宋体" w:cs="宋体"/>
                <w:color w:val="auto"/>
                <w:highlight w:val="none"/>
              </w:rPr>
              <w:t>采购代理服务费收取标准</w:t>
            </w:r>
          </w:p>
        </w:tc>
        <w:tc>
          <w:tcPr>
            <w:tcW w:w="6631" w:type="dxa"/>
            <w:tcBorders>
              <w:top w:val="single" w:color="auto" w:sz="4" w:space="0"/>
              <w:left w:val="single" w:color="auto" w:sz="4" w:space="0"/>
              <w:bottom w:val="single" w:color="auto" w:sz="4" w:space="0"/>
              <w:right w:val="single" w:color="auto" w:sz="4" w:space="0"/>
            </w:tcBorders>
            <w:vAlign w:val="center"/>
          </w:tcPr>
          <w:p>
            <w:pPr>
              <w:pStyle w:val="14"/>
              <w:snapToGrid w:val="0"/>
              <w:spacing w:line="360" w:lineRule="auto"/>
              <w:rPr>
                <w:rFonts w:hint="eastAsia" w:hAnsi="宋体" w:cs="宋体"/>
                <w:color w:val="auto"/>
                <w:highlight w:val="none"/>
              </w:rPr>
            </w:pPr>
            <w:bookmarkStart w:id="130" w:name="PO_3000001867_PM025"/>
            <w:r>
              <w:rPr>
                <w:rFonts w:hint="eastAsia" w:hAnsi="宋体" w:cs="宋体"/>
                <w:color w:val="auto"/>
                <w:highlight w:val="none"/>
              </w:rPr>
              <w:sym w:font="Wingdings 2" w:char="0052"/>
            </w:r>
            <w:r>
              <w:rPr>
                <w:rFonts w:hint="eastAsia" w:hAnsi="宋体" w:cs="宋体"/>
                <w:color w:val="auto"/>
                <w:highlight w:val="none"/>
              </w:rPr>
              <w:t>以分标（</w:t>
            </w:r>
            <w:r>
              <w:rPr>
                <w:rFonts w:hint="eastAsia" w:hAnsi="宋体" w:cs="宋体"/>
                <w:color w:val="auto"/>
                <w:highlight w:val="none"/>
              </w:rPr>
              <w:sym w:font="Wingdings 2" w:char="0052"/>
            </w:r>
            <w:r>
              <w:rPr>
                <w:rFonts w:hint="eastAsia" w:hAnsi="宋体" w:cs="宋体"/>
                <w:color w:val="auto"/>
                <w:highlight w:val="none"/>
              </w:rPr>
              <w:t>中标金额/□采购预算/□暂定中标金额/□其他</w:t>
            </w:r>
            <w:r>
              <w:rPr>
                <w:rFonts w:hint="eastAsia" w:hAnsi="宋体" w:cs="宋体"/>
                <w:color w:val="auto"/>
                <w:highlight w:val="none"/>
                <w:u w:val="single"/>
              </w:rPr>
              <w:t xml:space="preserve">   </w:t>
            </w:r>
            <w:r>
              <w:rPr>
                <w:rFonts w:hint="eastAsia" w:hAnsi="宋体" w:cs="宋体"/>
                <w:color w:val="auto"/>
                <w:highlight w:val="none"/>
              </w:rPr>
              <w:t>）为计费额，按本须知正文第40.2条规定的收费计算标准采用差额定率累进法计算出收费基准价格，采购代理收费以（□收费基准价格/☑收费基准价格下浮</w:t>
            </w:r>
            <w:r>
              <w:rPr>
                <w:rFonts w:hint="eastAsia" w:hAnsi="宋体" w:cs="宋体"/>
                <w:color w:val="auto"/>
                <w:highlight w:val="none"/>
                <w:u w:val="single"/>
              </w:rPr>
              <w:t xml:space="preserve"> 20 %</w:t>
            </w:r>
            <w:r>
              <w:rPr>
                <w:rFonts w:hint="eastAsia" w:hAnsi="宋体" w:cs="宋体"/>
                <w:color w:val="auto"/>
                <w:highlight w:val="none"/>
              </w:rPr>
              <w:t>/□收费基准价格上浮</w:t>
            </w:r>
            <w:r>
              <w:rPr>
                <w:rFonts w:hint="eastAsia" w:hAnsi="宋体" w:cs="宋体"/>
                <w:color w:val="auto"/>
                <w:highlight w:val="none"/>
                <w:u w:val="single"/>
              </w:rPr>
              <w:t xml:space="preserve">   %</w:t>
            </w:r>
            <w:r>
              <w:rPr>
                <w:rFonts w:hint="eastAsia" w:hAnsi="宋体" w:cs="宋体"/>
                <w:color w:val="auto"/>
                <w:highlight w:val="none"/>
              </w:rPr>
              <w:t>）收取，如对应分标代理服务费不足陆仟元的，按陆仟元收取。</w:t>
            </w:r>
          </w:p>
          <w:p>
            <w:pPr>
              <w:pStyle w:val="14"/>
              <w:snapToGrid w:val="0"/>
              <w:spacing w:line="360" w:lineRule="auto"/>
              <w:rPr>
                <w:rFonts w:hint="eastAsia" w:hAnsi="宋体" w:cs="宋体"/>
                <w:color w:val="auto"/>
                <w:highlight w:val="none"/>
                <w:u w:val="single"/>
              </w:rPr>
            </w:pPr>
            <w:r>
              <w:rPr>
                <w:rFonts w:hint="eastAsia" w:hAnsi="宋体" w:cs="宋体"/>
                <w:color w:val="auto"/>
                <w:highlight w:val="none"/>
              </w:rPr>
              <w:t>□固定采购代理收费：</w:t>
            </w:r>
            <w:r>
              <w:rPr>
                <w:rFonts w:hint="eastAsia" w:hAnsi="宋体" w:cs="宋体"/>
                <w:color w:val="auto"/>
                <w:highlight w:val="none"/>
                <w:u w:val="single"/>
              </w:rPr>
              <w:t xml:space="preserve">              。</w:t>
            </w:r>
            <w:bookmarkEnd w:id="130"/>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cs="宋体"/>
                <w:color w:val="auto"/>
                <w:szCs w:val="21"/>
                <w:highlight w:val="none"/>
              </w:rPr>
            </w:pPr>
          </w:p>
        </w:tc>
        <w:tc>
          <w:tcPr>
            <w:tcW w:w="20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color w:val="auto"/>
                <w:szCs w:val="21"/>
                <w:highlight w:val="none"/>
              </w:rPr>
            </w:pPr>
            <w:r>
              <w:rPr>
                <w:rFonts w:hint="eastAsia" w:ascii="宋体" w:hAnsi="宋体" w:cs="宋体"/>
                <w:color w:val="auto"/>
                <w:highlight w:val="none"/>
              </w:rPr>
              <w:t>采购代理服务费收款账户信息</w:t>
            </w:r>
          </w:p>
        </w:tc>
        <w:tc>
          <w:tcPr>
            <w:tcW w:w="663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cs="宋体"/>
                <w:color w:val="auto"/>
                <w:szCs w:val="20"/>
                <w:highlight w:val="none"/>
              </w:rPr>
            </w:pPr>
            <w:r>
              <w:rPr>
                <w:rFonts w:hint="eastAsia" w:ascii="宋体" w:hAnsi="宋体" w:cs="宋体"/>
                <w:color w:val="auto"/>
                <w:szCs w:val="20"/>
                <w:highlight w:val="none"/>
              </w:rPr>
              <w:t>开户名称：广西科联招标中心有限公司</w:t>
            </w:r>
          </w:p>
          <w:p>
            <w:pPr>
              <w:snapToGrid w:val="0"/>
              <w:spacing w:line="360" w:lineRule="auto"/>
              <w:rPr>
                <w:rFonts w:hint="eastAsia" w:ascii="宋体" w:hAnsi="宋体" w:cs="宋体"/>
                <w:color w:val="auto"/>
                <w:szCs w:val="20"/>
                <w:highlight w:val="none"/>
              </w:rPr>
            </w:pPr>
            <w:r>
              <w:rPr>
                <w:rFonts w:hint="eastAsia" w:ascii="宋体" w:hAnsi="宋体" w:cs="宋体"/>
                <w:color w:val="auto"/>
                <w:szCs w:val="20"/>
                <w:highlight w:val="none"/>
              </w:rPr>
              <w:t>开户银行：中国工商银行南宁市高新科技支行</w:t>
            </w:r>
          </w:p>
          <w:p>
            <w:pPr>
              <w:snapToGrid w:val="0"/>
              <w:spacing w:line="360" w:lineRule="auto"/>
              <w:rPr>
                <w:rFonts w:hint="eastAsia" w:ascii="宋体" w:hAnsi="宋体" w:cs="宋体"/>
                <w:color w:val="auto"/>
                <w:szCs w:val="20"/>
                <w:highlight w:val="none"/>
              </w:rPr>
            </w:pPr>
            <w:r>
              <w:rPr>
                <w:rFonts w:hint="eastAsia" w:ascii="宋体" w:hAnsi="宋体" w:cs="宋体"/>
                <w:color w:val="auto"/>
                <w:szCs w:val="20"/>
                <w:highlight w:val="none"/>
              </w:rPr>
              <w:t>银行账号：2102111229300032105</w:t>
            </w:r>
          </w:p>
          <w:p>
            <w:pPr>
              <w:pStyle w:val="14"/>
              <w:snapToGrid w:val="0"/>
              <w:spacing w:line="360" w:lineRule="auto"/>
              <w:rPr>
                <w:rFonts w:hint="eastAsia" w:hAnsi="宋体" w:cs="宋体"/>
                <w:color w:val="auto"/>
                <w:highlight w:val="none"/>
              </w:rPr>
            </w:pPr>
            <w:r>
              <w:rPr>
                <w:rFonts w:hint="eastAsia" w:hAnsi="宋体" w:cs="宋体"/>
                <w:color w:val="auto"/>
                <w:highlight w:val="none"/>
              </w:rPr>
              <w:t>开户行行号：102611011101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41.1</w:t>
            </w:r>
          </w:p>
        </w:tc>
        <w:tc>
          <w:tcPr>
            <w:tcW w:w="208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解释</w:t>
            </w:r>
          </w:p>
        </w:tc>
        <w:tc>
          <w:tcPr>
            <w:tcW w:w="6631"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解释：</w:t>
            </w:r>
            <w:r>
              <w:rPr>
                <w:rFonts w:hint="eastAsia" w:ascii="宋体" w:hAnsi="宋体" w:cs="宋体"/>
                <w:color w:val="auto"/>
                <w:szCs w:val="21"/>
                <w:highlight w:val="none"/>
              </w:rPr>
              <w:t>构成本招标文件的各个组成文件应互为解释，互为说明；除招标文件中有特别规定外，仅适用于招标投标阶段的规定，按更正公告（澄清公告）、招标公告、采购需求、投标人须知、评标方法和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w:t>
            </w:r>
            <w:r>
              <w:rPr>
                <w:rFonts w:hint="eastAsia" w:ascii="宋体" w:hAnsi="宋体" w:cs="宋体"/>
                <w:b/>
                <w:color w:val="auto"/>
                <w:szCs w:val="21"/>
                <w:highlight w:val="none"/>
              </w:rPr>
              <w:t>，由采购人或者采购代理机构负责解释。</w:t>
            </w:r>
          </w:p>
          <w:p>
            <w:pPr>
              <w:snapToGrid w:val="0"/>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法律责任：</w:t>
            </w:r>
          </w:p>
          <w:p>
            <w:pPr>
              <w:snapToGrid w:val="0"/>
              <w:spacing w:line="360" w:lineRule="auto"/>
              <w:rPr>
                <w:rFonts w:hint="eastAsia" w:ascii="宋体" w:hAnsi="宋体" w:cs="宋体"/>
                <w:color w:val="auto"/>
                <w:highlight w:val="none"/>
              </w:rPr>
            </w:pPr>
            <w:r>
              <w:rPr>
                <w:rFonts w:hint="eastAsia" w:ascii="宋体" w:hAnsi="宋体" w:cs="宋体"/>
                <w:color w:val="auto"/>
                <w:szCs w:val="21"/>
                <w:highlight w:val="none"/>
              </w:rPr>
              <w:t>本采购文件根据《中华人民共和国政府采购法》《中华人民共和国民法典》《中华人民共和国政府采购法实施条例》《政府采购货物和服务招标投标管理办法》等有关法律法规编制，参与本项目的各政府采购当事人依法享有上述法律法规所赋予的权利与义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60"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41.2</w:t>
            </w:r>
          </w:p>
        </w:tc>
        <w:tc>
          <w:tcPr>
            <w:tcW w:w="208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其他释义</w:t>
            </w:r>
          </w:p>
        </w:tc>
        <w:tc>
          <w:tcPr>
            <w:tcW w:w="6631" w:type="dxa"/>
            <w:tcBorders>
              <w:top w:val="single" w:color="auto" w:sz="4" w:space="0"/>
              <w:left w:val="single" w:color="auto" w:sz="4" w:space="0"/>
              <w:bottom w:val="single" w:color="auto" w:sz="4" w:space="0"/>
              <w:right w:val="single" w:color="auto" w:sz="4" w:space="0"/>
            </w:tcBorders>
            <w:vAlign w:val="center"/>
          </w:tcPr>
          <w:p>
            <w:pPr>
              <w:pStyle w:val="11"/>
              <w:spacing w:line="360" w:lineRule="auto"/>
              <w:rPr>
                <w:rFonts w:hint="eastAsia" w:ascii="宋体" w:hAnsi="宋体" w:cs="宋体"/>
                <w:color w:val="auto"/>
                <w:szCs w:val="21"/>
                <w:highlight w:val="none"/>
              </w:rPr>
            </w:pPr>
            <w:r>
              <w:rPr>
                <w:rFonts w:hint="eastAsia" w:ascii="宋体" w:hAnsi="宋体" w:cs="宋体"/>
                <w:color w:val="auto"/>
                <w:szCs w:val="21"/>
                <w:highlight w:val="none"/>
              </w:rPr>
              <w:t>1.本招标文件中描述投标人的“公章”是指根据我国对公章的管理规定，用投标人法定主体行为名称制作的实物印章或投标人通过指定电子化政府采购平台办理数字证书（CA认证）获得的以法定主体行为名称制作的电子印章。除本招标文件有特殊规定外，投标人的财务章、部门章、分公司章、工会章、合同章、投标专用章、业务专用章及银行的转账章、现金收讫章、现金付讫章等其他形式印章均不能代替公章。</w:t>
            </w:r>
          </w:p>
          <w:p>
            <w:pPr>
              <w:pStyle w:val="11"/>
              <w:spacing w:line="360" w:lineRule="auto"/>
              <w:rPr>
                <w:rFonts w:hint="eastAsia" w:ascii="宋体" w:hAnsi="宋体" w:cs="宋体"/>
                <w:color w:val="auto"/>
                <w:szCs w:val="21"/>
                <w:highlight w:val="none"/>
              </w:rPr>
            </w:pPr>
            <w:r>
              <w:rPr>
                <w:rFonts w:hint="eastAsia" w:ascii="宋体" w:hAnsi="宋体" w:cs="宋体"/>
                <w:color w:val="auto"/>
                <w:szCs w:val="21"/>
                <w:highlight w:val="none"/>
              </w:rPr>
              <w:t>2.本招标文件中描述投标人的“签字”是指投标人通过指定电子化政府采购平台办理数字证书（CA认证）获得的以投标人法定代表人或者委托代理人姓名制作的电子印章或手写签字。</w:t>
            </w:r>
          </w:p>
          <w:p>
            <w:pPr>
              <w:pStyle w:val="11"/>
              <w:tabs>
                <w:tab w:val="center" w:pos="4153"/>
                <w:tab w:val="right" w:pos="8306"/>
              </w:tabs>
              <w:spacing w:line="360" w:lineRule="auto"/>
              <w:rPr>
                <w:rFonts w:hint="eastAsia" w:ascii="宋体" w:hAnsi="宋体" w:cs="宋体"/>
                <w:color w:val="auto"/>
                <w:szCs w:val="21"/>
                <w:highlight w:val="none"/>
              </w:rPr>
            </w:pPr>
            <w:r>
              <w:rPr>
                <w:rFonts w:hint="eastAsia" w:ascii="宋体" w:hAnsi="宋体" w:cs="宋体"/>
                <w:color w:val="auto"/>
                <w:szCs w:val="21"/>
                <w:highlight w:val="none"/>
              </w:rPr>
              <w:t>3.本招标文件所称的“电子签章”“电子签名”，是指经广西政府采购云平台认可的CA认证的电子签名数据为表现形式的印章，可用于签署电子版投标文件，电子印章与实物印章具有同等法律效力，不因其采用电子化表现形式而否定其法律效力。</w:t>
            </w:r>
          </w:p>
          <w:p>
            <w:pPr>
              <w:pStyle w:val="11"/>
              <w:spacing w:line="360" w:lineRule="auto"/>
              <w:rPr>
                <w:rFonts w:hint="eastAsia" w:ascii="宋体" w:hAnsi="宋体" w:cs="宋体"/>
                <w:color w:val="auto"/>
                <w:szCs w:val="21"/>
                <w:highlight w:val="none"/>
              </w:rPr>
            </w:pPr>
            <w:r>
              <w:rPr>
                <w:rFonts w:hint="eastAsia" w:ascii="宋体" w:hAnsi="宋体" w:cs="宋体"/>
                <w:color w:val="auto"/>
                <w:szCs w:val="21"/>
                <w:highlight w:val="none"/>
              </w:rPr>
              <w:t>4.投标人为其他组织或者自然人时，本招标文件规定的法定代表人指负责人或者自然人。本招标文件所称负责人是指参加投标的其他组织营业执照上的负责人，本招标文件所称自然人指参与投标的自然人本人。</w:t>
            </w:r>
          </w:p>
          <w:p>
            <w:pPr>
              <w:pStyle w:val="11"/>
              <w:spacing w:line="360" w:lineRule="auto"/>
              <w:rPr>
                <w:rFonts w:hint="eastAsia" w:ascii="宋体" w:hAnsi="宋体" w:cs="宋体"/>
                <w:color w:val="auto"/>
                <w:szCs w:val="21"/>
                <w:highlight w:val="none"/>
              </w:rPr>
            </w:pPr>
            <w:r>
              <w:rPr>
                <w:rFonts w:hint="eastAsia" w:ascii="宋体" w:hAnsi="宋体" w:cs="宋体"/>
                <w:color w:val="auto"/>
                <w:szCs w:val="21"/>
                <w:highlight w:val="none"/>
              </w:rPr>
              <w:t>5.自然人投标的，招标文件规定盖公章处由自然人摁手指指印。</w:t>
            </w:r>
          </w:p>
          <w:p>
            <w:pPr>
              <w:pStyle w:val="11"/>
              <w:spacing w:line="360" w:lineRule="auto"/>
              <w:rPr>
                <w:rFonts w:hint="eastAsia" w:ascii="宋体" w:hAnsi="宋体" w:cs="宋体"/>
                <w:color w:val="auto"/>
                <w:szCs w:val="21"/>
                <w:highlight w:val="none"/>
              </w:rPr>
            </w:pPr>
            <w:r>
              <w:rPr>
                <w:rFonts w:hint="eastAsia" w:ascii="宋体" w:hAnsi="宋体" w:cs="宋体"/>
                <w:color w:val="auto"/>
                <w:szCs w:val="21"/>
                <w:highlight w:val="none"/>
              </w:rPr>
              <w:t>6.本招标文件所称的“以上”“以下”“以内”“届满”，包括本数；所称的“不满”“超过”“以外”，不包括本数。</w:t>
            </w:r>
          </w:p>
        </w:tc>
      </w:tr>
    </w:tbl>
    <w:p>
      <w:pPr>
        <w:widowControl/>
        <w:spacing w:line="412" w:lineRule="auto"/>
        <w:jc w:val="left"/>
        <w:rPr>
          <w:rFonts w:hint="eastAsia" w:ascii="宋体" w:hAnsi="宋体" w:cs="宋体"/>
          <w:b/>
          <w:bCs/>
          <w:color w:val="auto"/>
          <w:sz w:val="32"/>
          <w:szCs w:val="32"/>
          <w:highlight w:val="none"/>
        </w:rPr>
        <w:sectPr>
          <w:footerReference r:id="rId7" w:type="default"/>
          <w:footerReference r:id="rId8" w:type="even"/>
          <w:pgSz w:w="11906" w:h="16838"/>
          <w:pgMar w:top="1134" w:right="1020" w:bottom="1020" w:left="1134" w:header="720" w:footer="720" w:gutter="0"/>
          <w:pgNumType w:fmt="decimal"/>
          <w:cols w:space="720" w:num="1"/>
          <w:docGrid w:type="lines" w:linePitch="331" w:charSpace="0"/>
        </w:sectPr>
      </w:pPr>
    </w:p>
    <w:p>
      <w:pPr>
        <w:pStyle w:val="4"/>
        <w:jc w:val="center"/>
        <w:rPr>
          <w:rFonts w:hint="eastAsia" w:ascii="宋体" w:hAnsi="宋体" w:eastAsia="宋体" w:cs="宋体"/>
          <w:color w:val="auto"/>
          <w:highlight w:val="none"/>
        </w:rPr>
      </w:pPr>
      <w:bookmarkStart w:id="131" w:name="_Toc32224"/>
      <w:bookmarkStart w:id="132" w:name="_Toc29181"/>
      <w:bookmarkStart w:id="133" w:name="_Toc9224"/>
      <w:bookmarkStart w:id="134" w:name="_Toc21704"/>
      <w:bookmarkStart w:id="135" w:name="_Toc21899"/>
      <w:r>
        <w:rPr>
          <w:rFonts w:hint="eastAsia" w:ascii="宋体" w:hAnsi="宋体" w:eastAsia="宋体" w:cs="宋体"/>
          <w:color w:val="auto"/>
          <w:highlight w:val="none"/>
        </w:rPr>
        <w:t>第二节 投标人须知正文</w:t>
      </w:r>
      <w:bookmarkEnd w:id="131"/>
      <w:bookmarkEnd w:id="132"/>
      <w:bookmarkEnd w:id="133"/>
      <w:bookmarkEnd w:id="134"/>
      <w:bookmarkEnd w:id="135"/>
    </w:p>
    <w:p>
      <w:pPr>
        <w:pStyle w:val="5"/>
        <w:keepNext w:val="0"/>
        <w:keepLines w:val="0"/>
        <w:spacing w:line="400" w:lineRule="exact"/>
        <w:jc w:val="center"/>
        <w:rPr>
          <w:rFonts w:hint="eastAsia" w:ascii="宋体" w:hAnsi="宋体" w:cs="宋体"/>
          <w:color w:val="auto"/>
          <w:highlight w:val="none"/>
        </w:rPr>
      </w:pPr>
      <w:bookmarkStart w:id="136" w:name="_Toc2156"/>
      <w:bookmarkStart w:id="137" w:name="_Toc9192"/>
      <w:bookmarkStart w:id="138" w:name="_Toc13703"/>
      <w:bookmarkStart w:id="139" w:name="_Toc7223"/>
      <w:bookmarkStart w:id="140" w:name="_Toc5656"/>
      <w:r>
        <w:rPr>
          <w:rFonts w:hint="eastAsia" w:ascii="宋体" w:hAnsi="宋体" w:cs="宋体"/>
          <w:color w:val="auto"/>
          <w:highlight w:val="none"/>
        </w:rPr>
        <w:t>一、总  则</w:t>
      </w:r>
      <w:bookmarkEnd w:id="136"/>
      <w:bookmarkEnd w:id="137"/>
      <w:bookmarkEnd w:id="138"/>
      <w:bookmarkEnd w:id="139"/>
      <w:bookmarkEnd w:id="140"/>
    </w:p>
    <w:p>
      <w:pPr>
        <w:spacing w:line="360" w:lineRule="auto"/>
        <w:ind w:firstLine="480" w:firstLineChars="200"/>
        <w:rPr>
          <w:rFonts w:hint="eastAsia" w:ascii="宋体" w:hAnsi="宋体" w:cs="宋体"/>
          <w:color w:val="auto"/>
          <w:sz w:val="24"/>
          <w:highlight w:val="none"/>
        </w:rPr>
      </w:pPr>
      <w:bookmarkStart w:id="141" w:name="_Toc254970668"/>
      <w:bookmarkStart w:id="142" w:name="_Toc254970527"/>
      <w:r>
        <w:rPr>
          <w:rFonts w:hint="eastAsia" w:ascii="宋体" w:hAnsi="宋体" w:cs="宋体"/>
          <w:color w:val="auto"/>
          <w:sz w:val="24"/>
          <w:highlight w:val="none"/>
        </w:rPr>
        <w:t>1.适用范围</w:t>
      </w:r>
      <w:bookmarkEnd w:id="141"/>
      <w:bookmarkEnd w:id="142"/>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1.1适用法律：本项目采购人、采购代理机构、投标人、评标委员会的相关行为均受《中华人民共和国政府采购法》《中华人民共和国政府采购法实施条例》《</w:t>
      </w:r>
      <w:r>
        <w:rPr>
          <w:rFonts w:ascii="宋体" w:hAnsi="宋体" w:cs="宋体"/>
          <w:color w:val="auto"/>
          <w:kern w:val="0"/>
          <w:szCs w:val="21"/>
          <w:highlight w:val="none"/>
        </w:rPr>
        <w:t>政府采购货物和服务招标投标管理办法</w:t>
      </w:r>
      <w:r>
        <w:rPr>
          <w:rFonts w:hint="eastAsia" w:ascii="宋体" w:hAnsi="宋体" w:cs="宋体"/>
          <w:color w:val="auto"/>
          <w:szCs w:val="21"/>
          <w:highlight w:val="none"/>
        </w:rPr>
        <w:t>》及本项目本级和上级财政部门政府采购有关规定的约束和保护。</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1.2本招标文件</w:t>
      </w:r>
      <w:r>
        <w:rPr>
          <w:rFonts w:hint="eastAsia" w:ascii="宋体" w:hAnsi="宋体" w:cs="宋体"/>
          <w:color w:val="auto"/>
          <w:spacing w:val="-6"/>
          <w:szCs w:val="21"/>
          <w:highlight w:val="none"/>
        </w:rPr>
        <w:t>适用于本项目的所有采购程序和环节（法律法规另有规定的，从其规定）。</w:t>
      </w:r>
    </w:p>
    <w:p>
      <w:pPr>
        <w:spacing w:line="360" w:lineRule="auto"/>
        <w:ind w:firstLine="480" w:firstLineChars="200"/>
        <w:rPr>
          <w:rFonts w:hint="eastAsia" w:ascii="宋体" w:hAnsi="宋体" w:cs="宋体"/>
          <w:color w:val="auto"/>
          <w:sz w:val="24"/>
          <w:highlight w:val="none"/>
        </w:rPr>
      </w:pPr>
      <w:bookmarkStart w:id="143" w:name="_Toc254970669"/>
      <w:bookmarkStart w:id="144" w:name="_Toc254970528"/>
      <w:r>
        <w:rPr>
          <w:rFonts w:hint="eastAsia" w:ascii="宋体" w:hAnsi="宋体" w:cs="宋体"/>
          <w:color w:val="auto"/>
          <w:sz w:val="24"/>
          <w:highlight w:val="none"/>
        </w:rPr>
        <w:t>2.定义</w:t>
      </w:r>
      <w:bookmarkEnd w:id="143"/>
      <w:bookmarkEnd w:id="144"/>
    </w:p>
    <w:p>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2.1“采购人”是指依法进行政府采购的国家机关、事业单位、团体组织。</w:t>
      </w:r>
    </w:p>
    <w:p>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2.2“采购代理机构” 指政府采购集中采购机构和集中采购机构以外的采购代理机构。</w:t>
      </w:r>
    </w:p>
    <w:p>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2.3“供应商”是指向采购人提供货物、工程或者服务的法人、其他组织或者自然人。</w:t>
      </w:r>
    </w:p>
    <w:p>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2.4“投标人”是指响应招标、参加投标竞争的法人、非法人组织或者自然人。</w:t>
      </w:r>
    </w:p>
    <w:p>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2.5“货物”是指各种形态和种类的物品，包括原材料、燃料、设备、产品等。</w:t>
      </w:r>
    </w:p>
    <w:p>
      <w:pPr>
        <w:pStyle w:val="7"/>
        <w:keepNext w:val="0"/>
        <w:keepLines w:val="0"/>
        <w:spacing w:before="0" w:after="0" w:line="360" w:lineRule="auto"/>
        <w:ind w:firstLine="420" w:firstLine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2.6“售后服务” 是指商品出售以后所提供的各种服务，包含但不限于投标人须承担的备品备件、包装、运输、装卸、保险、货到就位以及安装、调试、培训、保修以及其他各种服务。</w:t>
      </w:r>
    </w:p>
    <w:p>
      <w:pPr>
        <w:pStyle w:val="7"/>
        <w:keepNext w:val="0"/>
        <w:keepLines w:val="0"/>
        <w:spacing w:before="0" w:after="0" w:line="360" w:lineRule="auto"/>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 xml:space="preserve">    2.7“书面形式”是指合同书、信件和数据电文（包括电报、电传、传真、电子数据交换和电子邮件）等可以有形地表现所载内容的形式。</w:t>
      </w:r>
    </w:p>
    <w:p>
      <w:pPr>
        <w:pStyle w:val="7"/>
        <w:keepNext w:val="0"/>
        <w:keepLines w:val="0"/>
        <w:spacing w:before="0" w:after="0" w:line="360" w:lineRule="auto"/>
        <w:ind w:firstLine="420" w:firstLine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2.8“实质性要求”详见“投标人须知前附表”。</w:t>
      </w:r>
    </w:p>
    <w:p>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2.9 “正偏离”是指投标文件对招标文件“采购需求”中有关条款作出的响应优于条款要求并有利于采购人的情形。</w:t>
      </w:r>
    </w:p>
    <w:p>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2.10“负偏离”是指投标文件对招标文件“采购需求”中有关条款作出的响应不满足条款要求，导致采购人要求不能得到满足的情形。</w:t>
      </w:r>
    </w:p>
    <w:p>
      <w:pPr>
        <w:spacing w:line="360" w:lineRule="auto"/>
        <w:ind w:firstLine="480" w:firstLineChars="200"/>
        <w:rPr>
          <w:rFonts w:hint="eastAsia" w:ascii="宋体" w:hAnsi="宋体" w:cs="宋体"/>
          <w:color w:val="auto"/>
          <w:sz w:val="24"/>
          <w:highlight w:val="none"/>
        </w:rPr>
      </w:pPr>
      <w:bookmarkStart w:id="145" w:name="_Toc254970529"/>
      <w:bookmarkStart w:id="146" w:name="_Toc254970670"/>
      <w:r>
        <w:rPr>
          <w:rFonts w:hint="eastAsia" w:ascii="宋体" w:hAnsi="宋体" w:cs="宋体"/>
          <w:color w:val="auto"/>
          <w:sz w:val="24"/>
          <w:highlight w:val="none"/>
        </w:rPr>
        <w:t>3.</w:t>
      </w:r>
      <w:bookmarkEnd w:id="145"/>
      <w:bookmarkEnd w:id="146"/>
      <w:r>
        <w:rPr>
          <w:rFonts w:hint="eastAsia" w:ascii="宋体" w:hAnsi="宋体" w:cs="宋体"/>
          <w:color w:val="auto"/>
          <w:sz w:val="24"/>
          <w:highlight w:val="none"/>
        </w:rPr>
        <w:t>投标人的资格要求</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投标人的资格要求详见“招标公告”。</w:t>
      </w:r>
    </w:p>
    <w:p>
      <w:pPr>
        <w:spacing w:line="360" w:lineRule="auto"/>
        <w:ind w:firstLine="480" w:firstLineChars="200"/>
        <w:rPr>
          <w:rFonts w:hint="eastAsia" w:ascii="宋体" w:hAnsi="宋体" w:cs="宋体"/>
          <w:color w:val="auto"/>
          <w:sz w:val="24"/>
          <w:highlight w:val="none"/>
        </w:rPr>
      </w:pPr>
      <w:bookmarkStart w:id="147" w:name="_Toc254970671"/>
      <w:bookmarkStart w:id="148" w:name="_Toc254970530"/>
      <w:r>
        <w:rPr>
          <w:rFonts w:hint="eastAsia" w:ascii="宋体" w:hAnsi="宋体" w:cs="宋体"/>
          <w:color w:val="auto"/>
          <w:sz w:val="24"/>
          <w:highlight w:val="none"/>
        </w:rPr>
        <w:t>4.投标委托</w:t>
      </w:r>
      <w:bookmarkEnd w:id="147"/>
      <w:bookmarkEnd w:id="148"/>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投标人代表参加投标活动过程中必须携带个人有效身份证件。如投标人代表不是法定代表人，须持有法定代表人授权委托书（按第六章要求格式填写）。</w:t>
      </w:r>
    </w:p>
    <w:p>
      <w:pPr>
        <w:spacing w:line="360" w:lineRule="auto"/>
        <w:ind w:firstLine="480" w:firstLineChars="200"/>
        <w:rPr>
          <w:rFonts w:hint="eastAsia" w:ascii="宋体" w:hAnsi="宋体" w:cs="宋体"/>
          <w:color w:val="auto"/>
          <w:sz w:val="24"/>
          <w:highlight w:val="none"/>
        </w:rPr>
      </w:pPr>
      <w:bookmarkStart w:id="149" w:name="_5.投标费用"/>
      <w:bookmarkEnd w:id="149"/>
      <w:bookmarkStart w:id="150" w:name="_Toc254970531"/>
      <w:bookmarkStart w:id="151" w:name="_Toc254970672"/>
      <w:r>
        <w:rPr>
          <w:rFonts w:hint="eastAsia" w:ascii="宋体" w:hAnsi="宋体" w:cs="宋体"/>
          <w:color w:val="auto"/>
          <w:sz w:val="24"/>
          <w:highlight w:val="none"/>
        </w:rPr>
        <w:t>5.投标费用</w:t>
      </w:r>
      <w:bookmarkEnd w:id="150"/>
      <w:bookmarkEnd w:id="151"/>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投标费用：投标人应承担参与本次采购活动有关的所有费用，包括但不限于勘查现场、编制投标文件、参加澄清说明、签订合同等，不论投标结果如何，均应自行承担。</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6.联合体投标</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6.1本项目是否接受联合体投标，详见“投标人须知前附表”。</w:t>
      </w:r>
    </w:p>
    <w:p>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6.2如接受联合体投标，联合体投标要求详见“投标人须知前附表”。</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7.转包与分包             </w:t>
      </w:r>
    </w:p>
    <w:p>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7.1 本项目不允许转包。</w:t>
      </w:r>
    </w:p>
    <w:p>
      <w:pPr>
        <w:pStyle w:val="11"/>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7.2本项目是否允许分包详见“投标人须知前附表”，本项目不允许违法分包。</w:t>
      </w:r>
    </w:p>
    <w:p>
      <w:pPr>
        <w:spacing w:line="360" w:lineRule="auto"/>
        <w:ind w:firstLine="480" w:firstLineChars="200"/>
        <w:rPr>
          <w:rFonts w:hint="eastAsia" w:ascii="宋体" w:hAnsi="宋体" w:cs="宋体"/>
          <w:color w:val="auto"/>
          <w:sz w:val="24"/>
          <w:highlight w:val="none"/>
        </w:rPr>
      </w:pPr>
      <w:bookmarkStart w:id="152" w:name="_Toc254970532"/>
      <w:bookmarkStart w:id="153" w:name="_Toc254970673"/>
      <w:r>
        <w:rPr>
          <w:rFonts w:hint="eastAsia" w:ascii="宋体" w:hAnsi="宋体" w:cs="宋体"/>
          <w:color w:val="auto"/>
          <w:sz w:val="24"/>
          <w:highlight w:val="none"/>
        </w:rPr>
        <w:t>8.特别说明：</w:t>
      </w:r>
      <w:bookmarkEnd w:id="152"/>
      <w:bookmarkEnd w:id="153"/>
      <w:bookmarkStart w:id="154" w:name="_8.1提供相同品牌产品且通过资格审查、符合性审查的不同投标人参加同一合"/>
      <w:bookmarkEnd w:id="154"/>
    </w:p>
    <w:p>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8.1如果本招标文件要求投标人提供资格、信誉、荣誉、业绩与企业认证等材料的，则投标人所提供的以上材料必须为该投标人所拥有。</w:t>
      </w:r>
    </w:p>
    <w:p>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8.2投标人应仔细阅读招标文件的所有内容，按照招标文件的要求提交投标文件，并对所提供的全部资料的真实性承担法律责任。</w:t>
      </w:r>
    </w:p>
    <w:p>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8.3投标人在投标活动中提供任何虚假材料，将报监管部门查处；中标后发现的，中标人须依照《中华人民共和国民法典》规定赔偿采购人，且民事赔偿并不免除违法投标人的行政与刑事责任。</w:t>
      </w:r>
    </w:p>
    <w:p>
      <w:pPr>
        <w:widowControl/>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rPr>
        <w:t>8.4采用最低评标价法的采购项目，提供相同品牌产品的不同投标人参加同一合同项下投标的，以其中通过资格审查、符合性审查且报价最低的参加评标；报价相同的，由采购人或者采购人委托评标委员会按照招标文件“投标人须知前附表”规定的方式确定一个参加评标的投标人，招标文件未规定的采取随机抽取方式确定，其他投标无效。</w:t>
      </w:r>
    </w:p>
    <w:p>
      <w:pPr>
        <w:widowControl/>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投标人须知前附表”规定的方式确定一个投标人获得中标人推荐资格，招标文件未规定的采取随机抽取方式确定，其他同品牌投标人不作为中标候选人。</w:t>
      </w:r>
    </w:p>
    <w:p>
      <w:pPr>
        <w:widowControl/>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rPr>
        <w:t>非单一产品采购项目，采购人应当根据采购项目技术构成、产品价格比重等合理确定核心产品，并在招标文件中载明。多家投标人提供的核心产品品牌相同的，按前两款规定处理。</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9.回避与串通投标</w:t>
      </w:r>
    </w:p>
    <w:p>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9.1在政府采购活动中，采购人员及相关人员与供应商有下列利害关系之一的，应当回避：</w:t>
      </w:r>
    </w:p>
    <w:p>
      <w:pPr>
        <w:spacing w:line="360" w:lineRule="auto"/>
        <w:ind w:firstLine="422" w:firstLineChars="200"/>
        <w:rPr>
          <w:rFonts w:hint="eastAsia" w:ascii="宋体" w:hAnsi="宋体" w:cs="宋体"/>
          <w:b/>
          <w:bCs/>
          <w:color w:val="auto"/>
          <w:highlight w:val="none"/>
        </w:rPr>
      </w:pPr>
      <w:r>
        <w:rPr>
          <w:rFonts w:hint="eastAsia" w:ascii="宋体" w:hAnsi="宋体" w:cs="宋体"/>
          <w:b/>
          <w:bCs/>
          <w:color w:val="auto"/>
          <w:highlight w:val="none"/>
        </w:rPr>
        <w:t>（1）参加采购活动前3年内与供应商存在劳动关系；</w:t>
      </w:r>
    </w:p>
    <w:p>
      <w:pPr>
        <w:spacing w:line="360" w:lineRule="auto"/>
        <w:ind w:firstLine="422" w:firstLineChars="200"/>
        <w:rPr>
          <w:rFonts w:hint="eastAsia" w:ascii="宋体" w:hAnsi="宋体" w:cs="宋体"/>
          <w:b/>
          <w:bCs/>
          <w:color w:val="auto"/>
          <w:highlight w:val="none"/>
        </w:rPr>
      </w:pPr>
      <w:r>
        <w:rPr>
          <w:rFonts w:hint="eastAsia" w:ascii="宋体" w:hAnsi="宋体" w:cs="宋体"/>
          <w:b/>
          <w:bCs/>
          <w:color w:val="auto"/>
          <w:highlight w:val="none"/>
        </w:rPr>
        <w:t>（2）参加采购活动前3年内担任供应商的董事、监事；</w:t>
      </w:r>
    </w:p>
    <w:p>
      <w:pPr>
        <w:spacing w:line="360" w:lineRule="auto"/>
        <w:ind w:firstLine="422" w:firstLineChars="200"/>
        <w:rPr>
          <w:rFonts w:hint="eastAsia" w:ascii="宋体" w:hAnsi="宋体" w:cs="宋体"/>
          <w:b/>
          <w:bCs/>
          <w:color w:val="auto"/>
          <w:highlight w:val="none"/>
        </w:rPr>
      </w:pPr>
      <w:r>
        <w:rPr>
          <w:rFonts w:hint="eastAsia" w:ascii="宋体" w:hAnsi="宋体" w:cs="宋体"/>
          <w:b/>
          <w:bCs/>
          <w:color w:val="auto"/>
          <w:highlight w:val="none"/>
        </w:rPr>
        <w:t>（3）参加采购活动前3年内是供应商的控股股东或者实际控制人；</w:t>
      </w:r>
    </w:p>
    <w:p>
      <w:pPr>
        <w:spacing w:line="360" w:lineRule="auto"/>
        <w:ind w:firstLine="422" w:firstLineChars="200"/>
        <w:rPr>
          <w:rFonts w:hint="eastAsia" w:ascii="宋体" w:hAnsi="宋体" w:cs="宋体"/>
          <w:b/>
          <w:bCs/>
          <w:color w:val="auto"/>
          <w:highlight w:val="none"/>
        </w:rPr>
      </w:pPr>
      <w:r>
        <w:rPr>
          <w:rFonts w:hint="eastAsia" w:ascii="宋体" w:hAnsi="宋体" w:cs="宋体"/>
          <w:b/>
          <w:bCs/>
          <w:color w:val="auto"/>
          <w:highlight w:val="none"/>
        </w:rPr>
        <w:t>（4）与供应商的法定代表人或者负责人有夫妻、直系血亲、三代以内旁系血亲或者近姻亲关系；</w:t>
      </w:r>
    </w:p>
    <w:p>
      <w:pPr>
        <w:spacing w:line="360" w:lineRule="auto"/>
        <w:ind w:firstLine="422" w:firstLineChars="200"/>
        <w:rPr>
          <w:rFonts w:hint="eastAsia" w:ascii="宋体" w:hAnsi="宋体" w:cs="宋体"/>
          <w:b/>
          <w:bCs/>
          <w:color w:val="auto"/>
          <w:highlight w:val="none"/>
        </w:rPr>
      </w:pPr>
      <w:r>
        <w:rPr>
          <w:rFonts w:hint="eastAsia" w:ascii="宋体" w:hAnsi="宋体" w:cs="宋体"/>
          <w:b/>
          <w:bCs/>
          <w:color w:val="auto"/>
          <w:highlight w:val="none"/>
        </w:rPr>
        <w:t>（5）与供应商有其他可能影响政府采购活动公平、公正进行的关系。</w:t>
      </w:r>
    </w:p>
    <w:p>
      <w:pPr>
        <w:spacing w:line="360" w:lineRule="auto"/>
        <w:ind w:firstLine="422" w:firstLineChars="200"/>
        <w:rPr>
          <w:rFonts w:hint="eastAsia" w:ascii="宋体" w:hAnsi="宋体" w:cs="宋体"/>
          <w:b/>
          <w:bCs/>
          <w:color w:val="auto"/>
          <w:highlight w:val="none"/>
        </w:rPr>
      </w:pPr>
      <w:r>
        <w:rPr>
          <w:rFonts w:hint="eastAsia" w:ascii="宋体" w:hAnsi="宋体" w:cs="宋体"/>
          <w:b/>
          <w:bCs/>
          <w:color w:val="auto"/>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9.2有下列情形之一的视为投标人相互串通投标，投标文件将被视为无效：</w:t>
      </w:r>
    </w:p>
    <w:p>
      <w:pPr>
        <w:pStyle w:val="11"/>
        <w:spacing w:line="360" w:lineRule="auto"/>
        <w:rPr>
          <w:rFonts w:hint="eastAsia" w:ascii="宋体" w:hAnsi="宋体" w:cs="宋体"/>
          <w:b/>
          <w:color w:val="auto"/>
          <w:highlight w:val="none"/>
        </w:rPr>
      </w:pPr>
      <w:r>
        <w:rPr>
          <w:rFonts w:hint="eastAsia" w:ascii="宋体" w:hAnsi="宋体" w:cs="宋体"/>
          <w:b/>
          <w:color w:val="auto"/>
          <w:highlight w:val="none"/>
        </w:rPr>
        <w:t>（1）不同投标人的投标文件由同一单位或者个人编制；</w:t>
      </w:r>
      <w:r>
        <w:rPr>
          <w:rFonts w:hint="eastAsia" w:cs="宋体"/>
          <w:b/>
          <w:color w:val="auto"/>
          <w:szCs w:val="21"/>
          <w:highlight w:val="none"/>
        </w:rPr>
        <w:t>或者不同投标人报名的IP地址一致的；</w:t>
      </w:r>
    </w:p>
    <w:p>
      <w:pPr>
        <w:spacing w:line="360" w:lineRule="auto"/>
        <w:ind w:firstLine="422" w:firstLineChars="200"/>
        <w:rPr>
          <w:rFonts w:hint="eastAsia" w:ascii="宋体" w:hAnsi="宋体" w:cs="宋体"/>
          <w:b/>
          <w:color w:val="auto"/>
          <w:highlight w:val="none"/>
        </w:rPr>
      </w:pPr>
      <w:r>
        <w:rPr>
          <w:rFonts w:hint="eastAsia" w:ascii="宋体" w:hAnsi="宋体" w:cs="宋体"/>
          <w:b/>
          <w:color w:val="auto"/>
          <w:highlight w:val="none"/>
        </w:rPr>
        <w:t>（2）不同投标人委托同一单位或者个人办理投标事宜；</w:t>
      </w:r>
    </w:p>
    <w:p>
      <w:pPr>
        <w:spacing w:line="360" w:lineRule="auto"/>
        <w:ind w:firstLine="422" w:firstLineChars="200"/>
        <w:rPr>
          <w:rFonts w:hint="eastAsia" w:ascii="宋体" w:hAnsi="宋体" w:cs="宋体"/>
          <w:b/>
          <w:color w:val="auto"/>
          <w:highlight w:val="none"/>
        </w:rPr>
      </w:pPr>
      <w:r>
        <w:rPr>
          <w:rFonts w:hint="eastAsia" w:ascii="宋体" w:hAnsi="宋体" w:cs="宋体"/>
          <w:b/>
          <w:color w:val="auto"/>
          <w:highlight w:val="none"/>
        </w:rPr>
        <w:t>（3）不同的投标人的投标文件载明的项目管理员为同一个人；</w:t>
      </w:r>
    </w:p>
    <w:p>
      <w:pPr>
        <w:spacing w:line="360" w:lineRule="auto"/>
        <w:ind w:firstLine="422" w:firstLineChars="200"/>
        <w:rPr>
          <w:rFonts w:hint="eastAsia" w:ascii="宋体" w:hAnsi="宋体" w:cs="宋体"/>
          <w:b/>
          <w:color w:val="auto"/>
          <w:highlight w:val="none"/>
        </w:rPr>
      </w:pPr>
      <w:r>
        <w:rPr>
          <w:rFonts w:hint="eastAsia" w:ascii="宋体" w:hAnsi="宋体" w:cs="宋体"/>
          <w:b/>
          <w:color w:val="auto"/>
          <w:highlight w:val="none"/>
        </w:rPr>
        <w:t>（4）不同投标人的电子版投标文件异常一致或者投标报价呈规律性差异；</w:t>
      </w:r>
    </w:p>
    <w:p>
      <w:pPr>
        <w:pStyle w:val="17"/>
        <w:spacing w:line="360" w:lineRule="auto"/>
        <w:rPr>
          <w:color w:val="auto"/>
          <w:highlight w:val="none"/>
        </w:rPr>
      </w:pPr>
      <w:r>
        <w:rPr>
          <w:rFonts w:hint="eastAsia" w:ascii="宋体" w:hAnsi="宋体" w:cs="宋体"/>
          <w:b/>
          <w:color w:val="auto"/>
          <w:highlight w:val="none"/>
        </w:rPr>
        <w:t xml:space="preserve"> </w:t>
      </w:r>
      <w:r>
        <w:rPr>
          <w:rFonts w:hint="eastAsia" w:ascii="宋体" w:hAnsi="宋体" w:cs="宋体"/>
          <w:b/>
          <w:color w:val="auto"/>
          <w:sz w:val="21"/>
          <w:szCs w:val="24"/>
          <w:highlight w:val="none"/>
        </w:rPr>
        <w:t xml:space="preserve">  </w:t>
      </w:r>
      <w:r>
        <w:rPr>
          <w:rFonts w:hint="eastAsia" w:ascii="宋体" w:hAnsi="宋体" w:cs="宋体"/>
          <w:b/>
          <w:color w:val="auto"/>
          <w:sz w:val="21"/>
          <w:szCs w:val="21"/>
          <w:highlight w:val="none"/>
        </w:rPr>
        <w:t xml:space="preserve"> （5）</w:t>
      </w:r>
      <w:r>
        <w:rPr>
          <w:rFonts w:hint="eastAsia" w:ascii="宋体" w:hAnsi="宋体" w:cs="宋体"/>
          <w:b/>
          <w:color w:val="auto"/>
          <w:sz w:val="21"/>
          <w:szCs w:val="24"/>
          <w:highlight w:val="none"/>
        </w:rPr>
        <w:t>不同投标人的投标文件相互混装；</w:t>
      </w:r>
    </w:p>
    <w:p>
      <w:pPr>
        <w:tabs>
          <w:tab w:val="center" w:pos="4153"/>
          <w:tab w:val="right" w:pos="8306"/>
        </w:tabs>
        <w:spacing w:line="360" w:lineRule="auto"/>
        <w:ind w:firstLine="422" w:firstLineChars="200"/>
        <w:rPr>
          <w:rFonts w:hint="eastAsia" w:ascii="宋体" w:hAnsi="宋体" w:cs="宋体"/>
          <w:b/>
          <w:color w:val="auto"/>
          <w:highlight w:val="none"/>
        </w:rPr>
      </w:pPr>
      <w:r>
        <w:rPr>
          <w:rFonts w:hint="eastAsia" w:ascii="宋体" w:hAnsi="宋体" w:cs="宋体"/>
          <w:b/>
          <w:color w:val="auto"/>
          <w:highlight w:val="none"/>
        </w:rPr>
        <w:t>（6）不同投标人的投标保证金从同一单位或者个人账户转出。</w:t>
      </w:r>
    </w:p>
    <w:p>
      <w:pPr>
        <w:spacing w:line="360" w:lineRule="auto"/>
        <w:ind w:firstLine="422" w:firstLineChars="200"/>
        <w:rPr>
          <w:rFonts w:hint="eastAsia" w:ascii="宋体" w:hAnsi="宋体" w:cs="宋体"/>
          <w:b/>
          <w:bCs/>
          <w:color w:val="auto"/>
          <w:szCs w:val="21"/>
          <w:highlight w:val="none"/>
        </w:rPr>
      </w:pPr>
      <w:r>
        <w:rPr>
          <w:rFonts w:hint="eastAsia" w:ascii="宋体" w:hAnsi="宋体" w:cs="宋体"/>
          <w:b/>
          <w:color w:val="auto"/>
          <w:highlight w:val="none"/>
        </w:rPr>
        <w:t>9.3供应商有下列情形之一的，属于恶意串通</w:t>
      </w:r>
      <w:r>
        <w:rPr>
          <w:rFonts w:hint="eastAsia" w:ascii="宋体" w:hAnsi="宋体" w:cs="宋体"/>
          <w:b/>
          <w:bCs/>
          <w:color w:val="auto"/>
          <w:szCs w:val="21"/>
          <w:highlight w:val="none"/>
        </w:rPr>
        <w:t>行为，将报同级监督管理部门：</w:t>
      </w:r>
    </w:p>
    <w:p>
      <w:pPr>
        <w:spacing w:line="360" w:lineRule="auto"/>
        <w:ind w:firstLine="422" w:firstLineChars="200"/>
        <w:rPr>
          <w:rFonts w:hint="eastAsia" w:ascii="宋体" w:hAnsi="宋体" w:cs="宋体"/>
          <w:b/>
          <w:bCs/>
          <w:color w:val="auto"/>
          <w:highlight w:val="none"/>
        </w:rPr>
      </w:pPr>
      <w:r>
        <w:rPr>
          <w:rFonts w:hint="eastAsia" w:ascii="宋体" w:hAnsi="宋体" w:cs="宋体"/>
          <w:b/>
          <w:bCs/>
          <w:color w:val="auto"/>
          <w:highlight w:val="none"/>
        </w:rPr>
        <w:t>（1）供应商直接或者间接从采购人或者采购代理机构处获得其他供应商的相关信息并修改其投标文件；</w:t>
      </w:r>
    </w:p>
    <w:p>
      <w:pPr>
        <w:spacing w:line="360" w:lineRule="auto"/>
        <w:ind w:firstLine="422" w:firstLineChars="200"/>
        <w:rPr>
          <w:rFonts w:hint="eastAsia" w:ascii="宋体" w:hAnsi="宋体" w:cs="宋体"/>
          <w:b/>
          <w:bCs/>
          <w:color w:val="auto"/>
          <w:highlight w:val="none"/>
        </w:rPr>
      </w:pPr>
      <w:r>
        <w:rPr>
          <w:rFonts w:hint="eastAsia" w:ascii="宋体" w:hAnsi="宋体" w:cs="宋体"/>
          <w:b/>
          <w:bCs/>
          <w:color w:val="auto"/>
          <w:highlight w:val="none"/>
        </w:rPr>
        <w:t>（2）供应商按照采购人或者采购代理机构的授意撤换、修改投标文件；</w:t>
      </w:r>
    </w:p>
    <w:p>
      <w:pPr>
        <w:spacing w:line="360" w:lineRule="auto"/>
        <w:ind w:firstLine="422" w:firstLineChars="200"/>
        <w:rPr>
          <w:rFonts w:hint="eastAsia" w:ascii="宋体" w:hAnsi="宋体" w:cs="宋体"/>
          <w:b/>
          <w:bCs/>
          <w:color w:val="auto"/>
          <w:highlight w:val="none"/>
        </w:rPr>
      </w:pPr>
      <w:r>
        <w:rPr>
          <w:rFonts w:hint="eastAsia" w:ascii="宋体" w:hAnsi="宋体" w:cs="宋体"/>
          <w:b/>
          <w:bCs/>
          <w:color w:val="auto"/>
          <w:highlight w:val="none"/>
        </w:rPr>
        <w:t>（3）供应商之间协商报价、技术方案等投标文件的实质性内容；</w:t>
      </w:r>
    </w:p>
    <w:p>
      <w:pPr>
        <w:spacing w:line="360" w:lineRule="auto"/>
        <w:ind w:firstLine="422" w:firstLineChars="200"/>
        <w:rPr>
          <w:rFonts w:hint="eastAsia" w:ascii="宋体" w:hAnsi="宋体" w:cs="宋体"/>
          <w:b/>
          <w:bCs/>
          <w:color w:val="auto"/>
          <w:highlight w:val="none"/>
        </w:rPr>
      </w:pPr>
      <w:r>
        <w:rPr>
          <w:rFonts w:hint="eastAsia" w:ascii="宋体" w:hAnsi="宋体" w:cs="宋体"/>
          <w:b/>
          <w:bCs/>
          <w:color w:val="auto"/>
          <w:highlight w:val="none"/>
        </w:rPr>
        <w:t>（4）属于同一集团、协会、商会等组织成员的供应商按照该组织要求协同参加政府采购活动；</w:t>
      </w:r>
    </w:p>
    <w:p>
      <w:pPr>
        <w:spacing w:line="360" w:lineRule="auto"/>
        <w:ind w:firstLine="422" w:firstLineChars="200"/>
        <w:rPr>
          <w:rFonts w:hint="eastAsia" w:ascii="宋体" w:hAnsi="宋体" w:cs="宋体"/>
          <w:b/>
          <w:bCs/>
          <w:color w:val="auto"/>
          <w:highlight w:val="none"/>
        </w:rPr>
      </w:pPr>
      <w:r>
        <w:rPr>
          <w:rFonts w:hint="eastAsia" w:ascii="宋体" w:hAnsi="宋体" w:cs="宋体"/>
          <w:b/>
          <w:bCs/>
          <w:color w:val="auto"/>
          <w:highlight w:val="none"/>
        </w:rPr>
        <w:t>（5）供应商之间事先约定一致抬高或者压低投标报价，或者在招标项目中事先约定轮流以高价位或者低价位中标，或者事先约定由某一特定供应商中标，然后再参加投标；</w:t>
      </w:r>
    </w:p>
    <w:p>
      <w:pPr>
        <w:spacing w:line="360" w:lineRule="auto"/>
        <w:ind w:firstLine="422" w:firstLineChars="200"/>
        <w:rPr>
          <w:rFonts w:hint="eastAsia" w:ascii="宋体" w:hAnsi="宋体" w:cs="宋体"/>
          <w:b/>
          <w:bCs/>
          <w:color w:val="auto"/>
          <w:highlight w:val="none"/>
        </w:rPr>
      </w:pPr>
      <w:r>
        <w:rPr>
          <w:rFonts w:hint="eastAsia" w:ascii="宋体" w:hAnsi="宋体" w:cs="宋体"/>
          <w:b/>
          <w:bCs/>
          <w:color w:val="auto"/>
          <w:highlight w:val="none"/>
        </w:rPr>
        <w:t>（6）供应商之间商定部分供应商放弃参加政府采购活动或者放弃中标；</w:t>
      </w:r>
    </w:p>
    <w:p>
      <w:pPr>
        <w:spacing w:line="360" w:lineRule="auto"/>
        <w:ind w:firstLine="422" w:firstLineChars="200"/>
        <w:rPr>
          <w:rFonts w:hint="eastAsia" w:ascii="宋体" w:hAnsi="宋体" w:cs="宋体"/>
          <w:b/>
          <w:bCs/>
          <w:color w:val="auto"/>
          <w:highlight w:val="none"/>
        </w:rPr>
      </w:pPr>
      <w:r>
        <w:rPr>
          <w:rFonts w:hint="eastAsia" w:ascii="宋体" w:hAnsi="宋体" w:cs="宋体"/>
          <w:b/>
          <w:bCs/>
          <w:color w:val="auto"/>
          <w:highlight w:val="none"/>
        </w:rPr>
        <w:t>（7）供应商与采购人或者采购代理机构之间、供应商相互之间，为谋求特定供应商中标或者排斥其他供应商的其他串通行为。</w:t>
      </w:r>
    </w:p>
    <w:p>
      <w:pPr>
        <w:pStyle w:val="14"/>
        <w:snapToGrid w:val="0"/>
        <w:spacing w:line="360" w:lineRule="auto"/>
        <w:ind w:left="2" w:leftChars="1" w:firstLine="422" w:firstLineChars="200"/>
        <w:rPr>
          <w:rFonts w:hint="eastAsia" w:hAnsi="宋体" w:cs="宋体"/>
          <w:b/>
          <w:color w:val="auto"/>
          <w:highlight w:val="none"/>
        </w:rPr>
      </w:pPr>
    </w:p>
    <w:p>
      <w:pPr>
        <w:pStyle w:val="5"/>
        <w:keepNext w:val="0"/>
        <w:keepLines w:val="0"/>
        <w:spacing w:line="360" w:lineRule="auto"/>
        <w:jc w:val="center"/>
        <w:rPr>
          <w:rFonts w:hint="eastAsia" w:ascii="宋体" w:hAnsi="宋体" w:cs="宋体"/>
          <w:color w:val="auto"/>
          <w:highlight w:val="none"/>
        </w:rPr>
      </w:pPr>
      <w:bookmarkStart w:id="155" w:name="_Toc254970675"/>
      <w:bookmarkStart w:id="156" w:name="_Toc254970534"/>
      <w:bookmarkStart w:id="157" w:name="_Toc4100"/>
      <w:bookmarkStart w:id="158" w:name="_Toc22960"/>
      <w:bookmarkStart w:id="159" w:name="_Toc22070"/>
      <w:bookmarkStart w:id="160" w:name="_Toc25441"/>
      <w:bookmarkStart w:id="161" w:name="_Toc19385"/>
      <w:r>
        <w:rPr>
          <w:rFonts w:hint="eastAsia" w:ascii="宋体" w:hAnsi="宋体" w:cs="宋体"/>
          <w:color w:val="auto"/>
          <w:highlight w:val="none"/>
        </w:rPr>
        <w:t>二、招标文件</w:t>
      </w:r>
      <w:bookmarkEnd w:id="155"/>
      <w:bookmarkEnd w:id="156"/>
      <w:bookmarkEnd w:id="157"/>
      <w:bookmarkEnd w:id="158"/>
      <w:bookmarkEnd w:id="159"/>
      <w:bookmarkEnd w:id="160"/>
      <w:bookmarkEnd w:id="161"/>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10.招标文件的组成</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第一章 招标公告；</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第二章 采购需求； </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第三章 投标人须知；</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第四章 评标方法和评标标准；</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第五章 拟签订的合同文本；</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第六章 投标文件格式；</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第七章 质疑、投诉材料格式</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根据本章第11.1项的规定对招标文件所做的澄清、修改，构成招标文件的组成部分。当招标文件与招标文件的澄清和修改就同一内容的表述不一致时，以最后澄清或修改公告为准。</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11.招标文件的澄清、修改 、现场考察和答疑会</w:t>
      </w:r>
    </w:p>
    <w:p>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 xml:space="preserve"> 11.1采购人或者采购代理机构可以对已发出的招标文件进行必要的澄清或者修改，但不得改变采购标的和资格条件。澄清或者修改应当在原招标公告发布媒体上发布澄清公告。澄清或者修改的内容为招标文件的组成部分。</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11.2 投标人应认真审阅本招标文件，如有疑问，或发现其中有误或有要求不合理的，应在投标人须知前附表规定的</w:t>
      </w:r>
      <w:r>
        <w:rPr>
          <w:rFonts w:hint="eastAsia" w:ascii="宋体" w:hAnsi="宋体" w:cs="宋体"/>
          <w:color w:val="auto"/>
          <w:kern w:val="0"/>
          <w:szCs w:val="21"/>
          <w:highlight w:val="none"/>
        </w:rPr>
        <w:t>投标截止时间</w:t>
      </w:r>
      <w:r>
        <w:rPr>
          <w:rFonts w:hint="eastAsia" w:ascii="宋体" w:hAnsi="宋体" w:cs="宋体"/>
          <w:color w:val="auto"/>
          <w:highlight w:val="none"/>
        </w:rPr>
        <w:t>前以书面形式要求采购人或采购代理机构对招标文件予以澄清；否则，由此产生的后果由投标人自行负责。</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11.3 采购人或者采购代理机构可以对已发出的招标文件进行必要的澄清或者修改。澄清或者修改的内容可能影响投标文件编制的，采购人或者采购代理机构应当在投标截止时间至少15日前，以书面形式通知(在“</w:t>
      </w:r>
      <w:r>
        <w:rPr>
          <w:rFonts w:hint="eastAsia" w:ascii="宋体" w:hAnsi="宋体" w:cs="宋体"/>
          <w:color w:val="auto"/>
          <w:szCs w:val="21"/>
          <w:highlight w:val="none"/>
        </w:rPr>
        <w:t>投标人须知前附表”</w:t>
      </w:r>
      <w:r>
        <w:rPr>
          <w:rFonts w:hint="eastAsia" w:ascii="宋体" w:hAnsi="宋体" w:cs="宋体"/>
          <w:color w:val="auto"/>
          <w:highlight w:val="none"/>
        </w:rPr>
        <w:t>规定的政府采购信息发布媒体上发布更正公告及平台短信通知)所有获取招标文件的潜在投标人；不足15日的，采购人或者采购代理机构应当顺延提交投标文件的截止时间。</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澄清或者更正公告在招标公告发布媒体上发布，一经发布，视作已以书面形式通知所有获取招标文件的潜在投标人，不再另行通知，所有潜在投标人应密切关注招标公告发布媒体，因未能及时获知，由此产生的后果均应自行承担。</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11.4 采购人和采购代理机构可以视采购具体情况，变更投标截止时间和开标时间，将变更时间将在“</w:t>
      </w:r>
      <w:r>
        <w:rPr>
          <w:rFonts w:hint="eastAsia" w:ascii="宋体" w:hAnsi="宋体" w:cs="宋体"/>
          <w:color w:val="auto"/>
          <w:szCs w:val="21"/>
          <w:highlight w:val="none"/>
        </w:rPr>
        <w:t>投标人须知前附表”</w:t>
      </w:r>
      <w:r>
        <w:rPr>
          <w:rFonts w:hint="eastAsia" w:ascii="宋体" w:hAnsi="宋体" w:cs="宋体"/>
          <w:color w:val="auto"/>
          <w:kern w:val="0"/>
          <w:szCs w:val="21"/>
          <w:highlight w:val="none"/>
        </w:rPr>
        <w:t>规定的政府采购信息发布媒体上</w:t>
      </w:r>
      <w:r>
        <w:rPr>
          <w:rFonts w:hint="eastAsia" w:ascii="宋体" w:hAnsi="宋体" w:cs="宋体"/>
          <w:color w:val="auto"/>
          <w:highlight w:val="none"/>
        </w:rPr>
        <w:t>发布更正公告。</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11.</w:t>
      </w:r>
      <w:bookmarkStart w:id="162" w:name="_Hlk53134511"/>
      <w:r>
        <w:rPr>
          <w:rFonts w:hint="eastAsia" w:ascii="宋体" w:hAnsi="宋体" w:cs="宋体"/>
          <w:color w:val="auto"/>
          <w:highlight w:val="none"/>
        </w:rPr>
        <w:t>5采购人或者采购代理机构可以在招标文件提供期限截止后，组织已获取招标文件的潜在投标人现场考察或者召开开标前答疑会，具体详见“投标人须知前附表”。</w:t>
      </w:r>
    </w:p>
    <w:bookmarkEnd w:id="162"/>
    <w:p>
      <w:pPr>
        <w:pStyle w:val="5"/>
        <w:keepNext w:val="0"/>
        <w:keepLines w:val="0"/>
        <w:spacing w:line="360" w:lineRule="auto"/>
        <w:jc w:val="center"/>
        <w:rPr>
          <w:rFonts w:hint="eastAsia" w:ascii="宋体" w:hAnsi="宋体" w:cs="宋体"/>
          <w:color w:val="auto"/>
          <w:highlight w:val="none"/>
        </w:rPr>
      </w:pPr>
      <w:bookmarkStart w:id="163" w:name="_Toc23467"/>
      <w:bookmarkStart w:id="164" w:name="_Toc254970535"/>
      <w:bookmarkStart w:id="165" w:name="_Toc32490"/>
      <w:bookmarkStart w:id="166" w:name="_Toc254970676"/>
    </w:p>
    <w:p>
      <w:pPr>
        <w:pStyle w:val="5"/>
        <w:keepNext w:val="0"/>
        <w:keepLines w:val="0"/>
        <w:spacing w:line="360" w:lineRule="auto"/>
        <w:jc w:val="center"/>
        <w:rPr>
          <w:rFonts w:hint="eastAsia" w:ascii="宋体" w:hAnsi="宋体" w:cs="宋体"/>
          <w:color w:val="auto"/>
          <w:highlight w:val="none"/>
        </w:rPr>
      </w:pPr>
      <w:bookmarkStart w:id="167" w:name="_Toc13166"/>
      <w:bookmarkStart w:id="168" w:name="_Toc31820"/>
      <w:bookmarkStart w:id="169" w:name="_Toc7612"/>
      <w:r>
        <w:rPr>
          <w:rFonts w:hint="eastAsia" w:ascii="宋体" w:hAnsi="宋体" w:cs="宋体"/>
          <w:color w:val="auto"/>
          <w:highlight w:val="none"/>
        </w:rPr>
        <w:t>三、投标文件的编制</w:t>
      </w:r>
      <w:bookmarkEnd w:id="163"/>
      <w:bookmarkEnd w:id="164"/>
      <w:bookmarkEnd w:id="165"/>
      <w:bookmarkEnd w:id="166"/>
      <w:bookmarkEnd w:id="167"/>
      <w:bookmarkEnd w:id="168"/>
      <w:bookmarkEnd w:id="169"/>
    </w:p>
    <w:p>
      <w:pPr>
        <w:spacing w:line="360" w:lineRule="auto"/>
        <w:ind w:firstLine="480" w:firstLineChars="200"/>
        <w:rPr>
          <w:rFonts w:hint="eastAsia" w:ascii="宋体" w:hAnsi="宋体" w:cs="宋体"/>
          <w:color w:val="auto"/>
          <w:sz w:val="24"/>
          <w:highlight w:val="none"/>
        </w:rPr>
      </w:pPr>
      <w:bookmarkStart w:id="170" w:name="_Toc254970677"/>
      <w:bookmarkStart w:id="171" w:name="_Toc254970536"/>
      <w:r>
        <w:rPr>
          <w:rFonts w:hint="eastAsia" w:ascii="宋体" w:hAnsi="宋体" w:cs="宋体"/>
          <w:color w:val="auto"/>
          <w:sz w:val="24"/>
          <w:highlight w:val="none"/>
        </w:rPr>
        <w:t>12.投标文件的编制原则</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投标人必须按照招标文件的要求编制投标文件。投标文件必须对招标文件提出的要求和条件作出明确响应。</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13.投标文件的组成</w:t>
      </w:r>
      <w:bookmarkEnd w:id="170"/>
      <w:bookmarkEnd w:id="171"/>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13.1投标文件由报价文件、资格文件、商务技术文件三部分组成。</w:t>
      </w:r>
    </w:p>
    <w:p>
      <w:pPr>
        <w:spacing w:line="360" w:lineRule="auto"/>
        <w:ind w:firstLine="420" w:firstLineChars="200"/>
        <w:rPr>
          <w:rFonts w:hint="eastAsia" w:ascii="宋体" w:hAnsi="宋体" w:cs="宋体"/>
          <w:bCs/>
          <w:color w:val="auto"/>
          <w:szCs w:val="21"/>
          <w:highlight w:val="none"/>
        </w:rPr>
      </w:pPr>
      <w:bookmarkStart w:id="172" w:name="_13.1报价文件:_具体材料见“投标人须知前附表”。"/>
      <w:bookmarkEnd w:id="172"/>
      <w:bookmarkStart w:id="173" w:name="_13.2资格证明文件：具体材料见“投标人须知前附表”。"/>
      <w:bookmarkEnd w:id="173"/>
      <w:r>
        <w:rPr>
          <w:rFonts w:hint="eastAsia" w:ascii="宋体" w:hAnsi="宋体" w:cs="宋体"/>
          <w:bCs/>
          <w:color w:val="auto"/>
          <w:szCs w:val="21"/>
          <w:highlight w:val="none"/>
        </w:rPr>
        <w:t>（1）资格文件：具体材料见“投标人须知前附表”。</w:t>
      </w:r>
    </w:p>
    <w:p>
      <w:pPr>
        <w:spacing w:line="360" w:lineRule="auto"/>
        <w:ind w:firstLine="420" w:firstLineChars="200"/>
        <w:rPr>
          <w:rFonts w:hint="eastAsia" w:ascii="宋体" w:hAnsi="宋体" w:cs="宋体"/>
          <w:bCs/>
          <w:color w:val="auto"/>
          <w:szCs w:val="21"/>
          <w:highlight w:val="none"/>
        </w:rPr>
      </w:pPr>
      <w:bookmarkStart w:id="174" w:name="_13.3商务文件:_具体材料见“投标人须知前附表”。"/>
      <w:bookmarkEnd w:id="174"/>
      <w:r>
        <w:rPr>
          <w:rFonts w:hint="eastAsia" w:ascii="宋体" w:hAnsi="宋体" w:cs="宋体"/>
          <w:bCs/>
          <w:color w:val="auto"/>
          <w:szCs w:val="21"/>
          <w:highlight w:val="none"/>
        </w:rPr>
        <w:t>（2）商务技术文件：具体材料见“投标人须知前附表”。</w:t>
      </w:r>
    </w:p>
    <w:p>
      <w:pPr>
        <w:spacing w:line="360" w:lineRule="auto"/>
        <w:ind w:firstLine="420" w:firstLineChars="200"/>
        <w:rPr>
          <w:rFonts w:hint="eastAsia" w:ascii="宋体" w:hAnsi="宋体" w:cs="宋体"/>
          <w:bCs/>
          <w:color w:val="auto"/>
          <w:szCs w:val="21"/>
          <w:highlight w:val="none"/>
        </w:rPr>
      </w:pPr>
      <w:bookmarkStart w:id="175" w:name="_13.4技术文件：具体材料见“投标人须知前附表”。"/>
      <w:bookmarkEnd w:id="175"/>
      <w:r>
        <w:rPr>
          <w:rFonts w:hint="eastAsia" w:ascii="宋体" w:hAnsi="宋体" w:cs="宋体"/>
          <w:bCs/>
          <w:color w:val="auto"/>
          <w:szCs w:val="21"/>
          <w:highlight w:val="none"/>
        </w:rPr>
        <w:t>（3）报价文件： 具体材料见“投标人须知前附表”。</w:t>
      </w:r>
    </w:p>
    <w:p>
      <w:pPr>
        <w:spacing w:line="360" w:lineRule="auto"/>
        <w:ind w:firstLine="420" w:firstLineChars="200"/>
        <w:rPr>
          <w:rFonts w:hint="eastAsia" w:ascii="宋体" w:hAnsi="宋体" w:cs="宋体"/>
          <w:bCs/>
          <w:color w:val="auto"/>
          <w:szCs w:val="21"/>
          <w:highlight w:val="none"/>
        </w:rPr>
      </w:pPr>
      <w:bookmarkStart w:id="176" w:name="_13.5投标文件电子版：具体材料见“投标人须知前附表”。"/>
      <w:bookmarkEnd w:id="176"/>
      <w:r>
        <w:rPr>
          <w:rFonts w:hint="eastAsia" w:ascii="宋体" w:hAnsi="宋体" w:cs="宋体"/>
          <w:bCs/>
          <w:color w:val="auto"/>
          <w:szCs w:val="21"/>
          <w:highlight w:val="none"/>
        </w:rPr>
        <w:t>13.2投标文件电子版：具体要求见本节19.投标文件编制。</w:t>
      </w:r>
    </w:p>
    <w:p>
      <w:pPr>
        <w:spacing w:line="360" w:lineRule="auto"/>
        <w:ind w:firstLine="480" w:firstLineChars="200"/>
        <w:rPr>
          <w:rFonts w:hint="eastAsia" w:ascii="宋体" w:hAnsi="宋体" w:cs="宋体"/>
          <w:color w:val="auto"/>
          <w:sz w:val="24"/>
          <w:highlight w:val="none"/>
        </w:rPr>
      </w:pPr>
      <w:bookmarkStart w:id="177" w:name="_Toc254970678"/>
      <w:bookmarkStart w:id="178" w:name="_Toc254970537"/>
      <w:r>
        <w:rPr>
          <w:rFonts w:hint="eastAsia" w:ascii="宋体" w:hAnsi="宋体" w:cs="宋体"/>
          <w:color w:val="auto"/>
          <w:sz w:val="24"/>
          <w:highlight w:val="none"/>
        </w:rPr>
        <w:t>14.投标文件的语言及计量</w:t>
      </w:r>
      <w:bookmarkEnd w:id="177"/>
      <w:bookmarkEnd w:id="178"/>
    </w:p>
    <w:p>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14.1语言文字</w:t>
      </w:r>
    </w:p>
    <w:p>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14.2投标计量单位</w:t>
      </w:r>
    </w:p>
    <w:p>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招标文件已有明确规定的，使用招标文件规定的计量单位；招标文件没有规定的，应采用中华人民共和国法定计量单位，货币种类为人民币，</w:t>
      </w:r>
      <w:r>
        <w:rPr>
          <w:rFonts w:hint="eastAsia" w:ascii="宋体" w:hAnsi="宋体" w:cs="宋体"/>
          <w:b/>
          <w:color w:val="auto"/>
          <w:szCs w:val="21"/>
          <w:highlight w:val="none"/>
        </w:rPr>
        <w:t>否则视同未响应</w:t>
      </w:r>
      <w:r>
        <w:rPr>
          <w:rFonts w:hint="eastAsia" w:ascii="宋体" w:hAnsi="宋体" w:cs="宋体"/>
          <w:bCs/>
          <w:color w:val="auto"/>
          <w:szCs w:val="21"/>
          <w:highlight w:val="none"/>
        </w:rPr>
        <w:t>。</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15.投标的风险</w:t>
      </w:r>
    </w:p>
    <w:p>
      <w:pPr>
        <w:pStyle w:val="11"/>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投标文件分为资格文件、商务技术文件、报价文件三部分（其中：商务文件与技术文件合并编辑成一个电子文档）。各投标人在编制投标文件时请按照招标文件规定的格式进行，混乱的编排导致投标文件被误读或评标委员会查找不到有效文件是投标人的风险。投标人没有按照招标文件要求提供全部资料，或者投标人没有对招标文件作出实质性响应是投标人的风险，可能导致其投标被拒绝。</w:t>
      </w:r>
    </w:p>
    <w:p>
      <w:pPr>
        <w:spacing w:line="360" w:lineRule="auto"/>
        <w:ind w:firstLine="480" w:firstLineChars="200"/>
        <w:rPr>
          <w:rFonts w:hint="eastAsia" w:ascii="宋体" w:hAnsi="宋体" w:cs="宋体"/>
          <w:color w:val="auto"/>
          <w:sz w:val="24"/>
          <w:highlight w:val="none"/>
        </w:rPr>
      </w:pPr>
      <w:bookmarkStart w:id="179" w:name="_Toc254970679"/>
      <w:bookmarkStart w:id="180" w:name="_Toc254970538"/>
      <w:r>
        <w:rPr>
          <w:rFonts w:hint="eastAsia" w:ascii="宋体" w:hAnsi="宋体" w:cs="宋体"/>
          <w:color w:val="auto"/>
          <w:sz w:val="24"/>
          <w:highlight w:val="none"/>
        </w:rPr>
        <w:t>16.投标报价</w:t>
      </w:r>
      <w:bookmarkEnd w:id="179"/>
      <w:bookmarkEnd w:id="180"/>
    </w:p>
    <w:p>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16.1投标报价应</w:t>
      </w:r>
      <w:r>
        <w:rPr>
          <w:rFonts w:hint="eastAsia" w:ascii="宋体" w:hAnsi="宋体" w:cs="宋体"/>
          <w:bCs/>
          <w:color w:val="auto"/>
          <w:szCs w:val="20"/>
          <w:highlight w:val="none"/>
        </w:rPr>
        <w:t>按“第六章　投标文件格式”中“开标一览表”格式填写。</w:t>
      </w:r>
    </w:p>
    <w:p>
      <w:pPr>
        <w:spacing w:line="360" w:lineRule="auto"/>
        <w:ind w:firstLine="420" w:firstLineChars="200"/>
        <w:rPr>
          <w:rFonts w:hint="eastAsia" w:ascii="宋体" w:hAnsi="宋体" w:cs="宋体"/>
          <w:bCs/>
          <w:color w:val="auto"/>
          <w:szCs w:val="21"/>
          <w:highlight w:val="none"/>
        </w:rPr>
      </w:pPr>
      <w:bookmarkStart w:id="181" w:name="_16.2投标报价具体定义见投标人须知前附表。"/>
      <w:bookmarkEnd w:id="181"/>
      <w:r>
        <w:rPr>
          <w:rFonts w:hint="eastAsia" w:ascii="宋体" w:hAnsi="宋体" w:cs="宋体"/>
          <w:bCs/>
          <w:color w:val="auto"/>
          <w:szCs w:val="21"/>
          <w:highlight w:val="none"/>
        </w:rPr>
        <w:t>16.2投标报价具体包括内容详见“投标人须知前附表”。</w:t>
      </w:r>
    </w:p>
    <w:p>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16.3投标人必须就所投每个分标的全部内容分别作完整唯一总价报价，不得存在漏项报价；投标人必须就所投分标的单项内容作唯一报价。</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17.投标有效期</w:t>
      </w:r>
    </w:p>
    <w:p>
      <w:pPr>
        <w:spacing w:line="360" w:lineRule="auto"/>
        <w:ind w:firstLine="420" w:firstLineChars="200"/>
        <w:rPr>
          <w:rFonts w:hint="eastAsia" w:ascii="宋体" w:hAnsi="宋体" w:cs="宋体"/>
          <w:bCs/>
          <w:color w:val="auto"/>
          <w:szCs w:val="21"/>
          <w:highlight w:val="none"/>
        </w:rPr>
      </w:pPr>
      <w:bookmarkStart w:id="182" w:name="_17.1投标有效期应按“投标人须知中的前附表”规定的期限。"/>
      <w:bookmarkEnd w:id="182"/>
      <w:r>
        <w:rPr>
          <w:rFonts w:hint="eastAsia" w:ascii="宋体" w:hAnsi="宋体" w:cs="宋体"/>
          <w:bCs/>
          <w:color w:val="auto"/>
          <w:szCs w:val="21"/>
          <w:highlight w:val="none"/>
        </w:rPr>
        <w:t>17.1投标有效期是指为保证采购人有足够的时间在开标后完成评标、定标、合同签订等工作而要求投标人提交的投标文件在一定时间内保持有效的期限。</w:t>
      </w:r>
    </w:p>
    <w:p>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17.2</w:t>
      </w:r>
      <w:bookmarkStart w:id="183" w:name="_Toc254970681"/>
      <w:bookmarkStart w:id="184" w:name="_Toc254970540"/>
      <w:r>
        <w:rPr>
          <w:rFonts w:hint="eastAsia" w:ascii="宋体" w:hAnsi="宋体" w:cs="宋体"/>
          <w:bCs/>
          <w:color w:val="auto"/>
          <w:szCs w:val="21"/>
          <w:highlight w:val="none"/>
        </w:rPr>
        <w:t xml:space="preserve"> 投标有效期应按规定的期限作出承诺，具体详见“投标人须知前附表”。</w:t>
      </w:r>
    </w:p>
    <w:p>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17.3投标人的投标文件在投标有效期内均保持有效。</w:t>
      </w:r>
      <w:bookmarkEnd w:id="183"/>
      <w:bookmarkEnd w:id="184"/>
    </w:p>
    <w:p>
      <w:pPr>
        <w:spacing w:line="360" w:lineRule="auto"/>
        <w:ind w:firstLine="480" w:firstLineChars="200"/>
        <w:rPr>
          <w:rFonts w:hint="eastAsia" w:ascii="宋体" w:hAnsi="宋体" w:cs="宋体"/>
          <w:color w:val="auto"/>
          <w:sz w:val="24"/>
          <w:highlight w:val="none"/>
        </w:rPr>
      </w:pPr>
      <w:bookmarkStart w:id="185" w:name="_18.投标保证金"/>
      <w:bookmarkEnd w:id="185"/>
      <w:bookmarkStart w:id="186" w:name="_Toc254970682"/>
      <w:bookmarkStart w:id="187" w:name="_Toc254970541"/>
      <w:r>
        <w:rPr>
          <w:rFonts w:hint="eastAsia" w:ascii="宋体" w:hAnsi="宋体" w:cs="宋体"/>
          <w:color w:val="auto"/>
          <w:sz w:val="24"/>
          <w:highlight w:val="none"/>
        </w:rPr>
        <w:t>18.投标保证金</w:t>
      </w:r>
      <w:bookmarkEnd w:id="186"/>
      <w:bookmarkEnd w:id="187"/>
    </w:p>
    <w:p>
      <w:pPr>
        <w:pStyle w:val="7"/>
        <w:keepNext w:val="0"/>
        <w:keepLines w:val="0"/>
        <w:spacing w:before="0" w:after="0" w:line="360" w:lineRule="auto"/>
        <w:ind w:left="420" w:leftChars="200"/>
        <w:rPr>
          <w:rFonts w:hint="eastAsia" w:ascii="宋体" w:hAnsi="宋体" w:cs="宋体"/>
          <w:b w:val="0"/>
          <w:color w:val="auto"/>
          <w:sz w:val="21"/>
          <w:szCs w:val="21"/>
          <w:highlight w:val="none"/>
        </w:rPr>
      </w:pPr>
      <w:bookmarkStart w:id="188" w:name="_Toc254970542"/>
      <w:bookmarkStart w:id="189" w:name="_Toc254970683"/>
      <w:r>
        <w:rPr>
          <w:rFonts w:hint="eastAsia" w:ascii="宋体" w:hAnsi="宋体" w:cs="宋体"/>
          <w:b w:val="0"/>
          <w:color w:val="auto"/>
          <w:sz w:val="21"/>
          <w:szCs w:val="21"/>
          <w:highlight w:val="none"/>
        </w:rPr>
        <w:t>18.1投标人须按“投标人须知前附表” 的规定提交投标保证金。</w:t>
      </w:r>
    </w:p>
    <w:p>
      <w:pPr>
        <w:pStyle w:val="7"/>
        <w:keepNext w:val="0"/>
        <w:keepLines w:val="0"/>
        <w:spacing w:before="0" w:after="0" w:line="360" w:lineRule="auto"/>
        <w:ind w:left="420" w:left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18.2投标保证金的退还</w:t>
      </w:r>
    </w:p>
    <w:p>
      <w:pPr>
        <w:pStyle w:val="7"/>
        <w:keepNext w:val="0"/>
        <w:keepLines w:val="0"/>
        <w:spacing w:before="0" w:after="0" w:line="360" w:lineRule="auto"/>
        <w:ind w:left="420" w:left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18.2.1未中标人的投标保证金自中标通知书发出之日起5个工作日内退还，退还方式如下：</w:t>
      </w:r>
    </w:p>
    <w:p>
      <w:pPr>
        <w:pStyle w:val="7"/>
        <w:keepNext w:val="0"/>
        <w:keepLines w:val="0"/>
        <w:spacing w:before="0" w:after="0" w:line="360" w:lineRule="auto"/>
        <w:ind w:firstLine="315" w:firstLineChars="15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（1）采用银行转账方式的，以转账方式退回到投标人银行账户。</w:t>
      </w:r>
    </w:p>
    <w:p>
      <w:pPr>
        <w:pStyle w:val="8"/>
        <w:spacing w:line="360" w:lineRule="auto"/>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 xml:space="preserve">（2）采用支票、汇票、本票或者金融机构、担保机构出具的保函等方式的，由投标人代表持相关授权证明材料至采购代理机构办理支票、汇票、本票或者金融机构、担保机构出具的保函等原件退还手续。 </w:t>
      </w:r>
    </w:p>
    <w:p>
      <w:pPr>
        <w:pStyle w:val="7"/>
        <w:keepNext w:val="0"/>
        <w:keepLines w:val="0"/>
        <w:spacing w:before="0" w:after="0" w:line="360" w:lineRule="auto"/>
        <w:ind w:firstLine="420" w:firstLine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 xml:space="preserve">18.2.2中标人的投标保证金自采购合同签订之日起5个工作日内退还，退还方式同本须知正文第18.2.1。 </w:t>
      </w:r>
    </w:p>
    <w:p>
      <w:pPr>
        <w:pStyle w:val="7"/>
        <w:keepNext w:val="0"/>
        <w:keepLines w:val="0"/>
        <w:spacing w:before="0" w:after="0" w:line="360" w:lineRule="auto"/>
        <w:ind w:left="420" w:left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18.3除逾期退还投标保证金和终止招标的情形以外，投标保证金不计息。</w:t>
      </w:r>
    </w:p>
    <w:p>
      <w:pPr>
        <w:pStyle w:val="7"/>
        <w:keepNext w:val="0"/>
        <w:keepLines w:val="0"/>
        <w:spacing w:before="0" w:after="0" w:line="360" w:lineRule="auto"/>
        <w:ind w:left="420" w:left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 xml:space="preserve">18.4投标人有下列情形之一的，投标保证金将不予退还： </w:t>
      </w:r>
    </w:p>
    <w:p>
      <w:pPr>
        <w:snapToGrid w:val="0"/>
        <w:spacing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（1）投标人在投标有效期内撤销投标文件的；</w:t>
      </w:r>
    </w:p>
    <w:p>
      <w:pPr>
        <w:snapToGrid w:val="0"/>
        <w:spacing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（2）未按规定提交履约保证金的；</w:t>
      </w:r>
    </w:p>
    <w:p>
      <w:pPr>
        <w:snapToGrid w:val="0"/>
        <w:spacing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（3）投标人在投标过程中弄虚作假，提供虚假材料的；</w:t>
      </w:r>
    </w:p>
    <w:p>
      <w:pPr>
        <w:snapToGrid w:val="0"/>
        <w:spacing w:line="360" w:lineRule="auto"/>
        <w:ind w:firstLine="411" w:firstLineChars="196"/>
        <w:rPr>
          <w:rFonts w:hint="eastAsia" w:ascii="宋体" w:hAnsi="宋体" w:cs="宋体"/>
          <w:color w:val="auto"/>
          <w:szCs w:val="21"/>
          <w:highlight w:val="none"/>
        </w:rPr>
      </w:pPr>
      <w:r>
        <w:rPr>
          <w:rFonts w:hint="eastAsia" w:ascii="宋体" w:hAnsi="宋体" w:cs="宋体"/>
          <w:color w:val="auto"/>
          <w:szCs w:val="21"/>
          <w:highlight w:val="none"/>
        </w:rPr>
        <w:t>（4）中标人无正当理由不与采购人签订合同的；</w:t>
      </w:r>
    </w:p>
    <w:p>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（5）投标人出现本章第9.2、9.3情形的；</w:t>
      </w:r>
    </w:p>
    <w:p>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（6）其他严重扰乱招投标程序的。</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19.投标文件的</w:t>
      </w:r>
      <w:bookmarkEnd w:id="188"/>
      <w:bookmarkEnd w:id="189"/>
      <w:r>
        <w:rPr>
          <w:rFonts w:hint="eastAsia" w:ascii="宋体" w:hAnsi="宋体" w:cs="宋体"/>
          <w:color w:val="auto"/>
          <w:sz w:val="24"/>
          <w:highlight w:val="none"/>
        </w:rPr>
        <w:t>编制</w:t>
      </w:r>
    </w:p>
    <w:p>
      <w:pPr>
        <w:spacing w:line="360" w:lineRule="auto"/>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 xml:space="preserve"> </w:t>
      </w:r>
      <w:r>
        <w:rPr>
          <w:rFonts w:hint="eastAsia" w:ascii="宋体" w:hAnsi="宋体" w:cs="宋体"/>
          <w:color w:val="auto"/>
          <w:szCs w:val="21"/>
          <w:highlight w:val="none"/>
        </w:rPr>
        <w:t>19.1投标文件编制要求详见“投标人须知前附表”。投标人应按本招标文件规定的格式和顺序编制投标文件并标注页码，投标文件内容不完整、编排混乱导致投标文件被误读、漏读或者查找不到相关内容的，由此引发的后果由投标人承担。</w:t>
      </w:r>
      <w:bookmarkStart w:id="190" w:name="_19.2投标文件应按报价文件、资格证明文件、商务文件、技术文件分别编制"/>
      <w:bookmarkEnd w:id="190"/>
      <w:r>
        <w:rPr>
          <w:rFonts w:hint="eastAsia" w:ascii="宋体" w:hAnsi="宋体" w:cs="宋体"/>
          <w:color w:val="auto"/>
          <w:szCs w:val="21"/>
          <w:highlight w:val="none"/>
        </w:rPr>
        <w:t xml:space="preserve"> </w:t>
      </w:r>
    </w:p>
    <w:p>
      <w:pPr>
        <w:pStyle w:val="47"/>
        <w:snapToGrid w:val="0"/>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19.2投标文件按照招标文件第六章格式要求进行签署、盖章。投标人的投标文件未按照招标文件要求签署、盖章的，</w:t>
      </w:r>
      <w:r>
        <w:rPr>
          <w:rFonts w:hint="eastAsia" w:ascii="宋体" w:hAnsi="宋体" w:cs="宋体"/>
          <w:b/>
          <w:color w:val="auto"/>
          <w:sz w:val="21"/>
          <w:szCs w:val="21"/>
          <w:highlight w:val="none"/>
        </w:rPr>
        <w:t>其投标无效。</w:t>
      </w:r>
    </w:p>
    <w:p>
      <w:pPr>
        <w:pStyle w:val="47"/>
        <w:snapToGrid w:val="0"/>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19.3为确保网上操作合法、有效和安全，投标人应当在投标截止时间前完成在广西政府采购云平台的身份认证，确保在电子投标过程中能够对相关数据电文进行加密和使用电子签名。</w:t>
      </w:r>
    </w:p>
    <w:p>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19.4投标文件中标注的投标人名称应与主体资格证明（如营业执照、事业单位法人证书、执业许可证、自然人身份证等）及公章一致，</w:t>
      </w:r>
      <w:r>
        <w:rPr>
          <w:rFonts w:hint="eastAsia" w:ascii="宋体" w:hAnsi="宋体" w:cs="宋体"/>
          <w:b/>
          <w:bCs/>
          <w:color w:val="auto"/>
          <w:szCs w:val="21"/>
          <w:highlight w:val="none"/>
        </w:rPr>
        <w:t>否则作无效投标处理</w:t>
      </w:r>
      <w:r>
        <w:rPr>
          <w:rFonts w:hint="eastAsia" w:ascii="宋体" w:hAnsi="宋体" w:cs="宋体"/>
          <w:b/>
          <w:color w:val="auto"/>
          <w:szCs w:val="21"/>
          <w:highlight w:val="none"/>
        </w:rPr>
        <w:t>。</w:t>
      </w:r>
    </w:p>
    <w:p>
      <w:pPr>
        <w:spacing w:line="360" w:lineRule="auto"/>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 xml:space="preserve"> 19.5投标文件应避免涂改、行间插字或者删除</w:t>
      </w:r>
      <w:r>
        <w:rPr>
          <w:rFonts w:hint="eastAsia" w:ascii="宋体" w:hAnsi="宋体" w:cs="宋体"/>
          <w:b/>
          <w:color w:val="auto"/>
          <w:szCs w:val="21"/>
          <w:highlight w:val="none"/>
        </w:rPr>
        <w:t>。</w:t>
      </w:r>
    </w:p>
    <w:p>
      <w:pPr>
        <w:spacing w:line="360" w:lineRule="auto"/>
        <w:ind w:firstLine="520" w:firstLineChars="248"/>
        <w:rPr>
          <w:rFonts w:hint="eastAsia" w:ascii="宋体" w:hAnsi="宋体" w:cs="宋体"/>
          <w:color w:val="auto"/>
          <w:highlight w:val="none"/>
        </w:rPr>
      </w:pPr>
      <w:r>
        <w:rPr>
          <w:rFonts w:hint="eastAsia" w:ascii="宋体" w:hAnsi="宋体" w:cs="宋体"/>
          <w:color w:val="auto"/>
          <w:highlight w:val="none"/>
        </w:rPr>
        <w:t>19.6 对招标文件的实质性要求和条件作出响应是指投标人必须对招标文件中标注为实质性要求和条件的</w:t>
      </w:r>
      <w:r>
        <w:rPr>
          <w:rFonts w:hint="eastAsia" w:ascii="宋体" w:hAnsi="宋体" w:cs="宋体"/>
          <w:color w:val="auto"/>
          <w:szCs w:val="21"/>
          <w:highlight w:val="none"/>
        </w:rPr>
        <w:t>货物内容及要求</w:t>
      </w:r>
      <w:r>
        <w:rPr>
          <w:rFonts w:hint="eastAsia" w:ascii="宋体" w:hAnsi="宋体" w:cs="宋体"/>
          <w:color w:val="auto"/>
          <w:highlight w:val="none"/>
        </w:rPr>
        <w:t>、商务条款及其它内容</w:t>
      </w:r>
      <w:r>
        <w:rPr>
          <w:rFonts w:hint="eastAsia" w:ascii="宋体" w:hAnsi="宋体" w:cs="宋体"/>
          <w:b/>
          <w:color w:val="auto"/>
          <w:highlight w:val="none"/>
        </w:rPr>
        <w:t>作出满足或者优于原要求和条件的承诺</w:t>
      </w:r>
      <w:r>
        <w:rPr>
          <w:rFonts w:hint="eastAsia" w:ascii="宋体" w:hAnsi="宋体" w:cs="宋体"/>
          <w:color w:val="auto"/>
          <w:highlight w:val="none"/>
        </w:rPr>
        <w:t>。</w:t>
      </w:r>
    </w:p>
    <w:p>
      <w:pPr>
        <w:spacing w:line="360" w:lineRule="auto"/>
        <w:ind w:firstLine="422" w:firstLineChars="200"/>
        <w:rPr>
          <w:rFonts w:hint="eastAsia" w:ascii="宋体" w:hAnsi="宋体" w:cs="宋体"/>
          <w:b/>
          <w:color w:val="auto"/>
          <w:szCs w:val="21"/>
          <w:highlight w:val="none"/>
          <w:u w:val="single"/>
        </w:rPr>
      </w:pPr>
      <w:r>
        <w:rPr>
          <w:rFonts w:hint="eastAsia" w:ascii="宋体" w:hAnsi="宋体" w:cs="宋体"/>
          <w:b/>
          <w:color w:val="auto"/>
          <w:szCs w:val="21"/>
          <w:highlight w:val="none"/>
          <w:u w:val="single"/>
        </w:rPr>
        <w:t>19.7本项目为全流程电子化项目，异常情况见“第二节 投标人须知正文”中“四、24.2开标程序”。</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20.备份投标文件</w:t>
      </w:r>
    </w:p>
    <w:p>
      <w:pPr>
        <w:spacing w:line="360" w:lineRule="auto"/>
        <w:ind w:firstLine="420" w:firstLineChars="200"/>
        <w:rPr>
          <w:rFonts w:hint="eastAsia" w:ascii="宋体" w:hAnsi="宋体" w:cs="宋体"/>
          <w:color w:val="auto"/>
          <w:sz w:val="24"/>
          <w:highlight w:val="none"/>
        </w:rPr>
      </w:pPr>
      <w:r>
        <w:rPr>
          <w:rFonts w:hint="eastAsia" w:ascii="宋体" w:hAnsi="宋体" w:cs="宋体"/>
          <w:bCs/>
          <w:color w:val="auto"/>
          <w:szCs w:val="21"/>
          <w:highlight w:val="none"/>
        </w:rPr>
        <w:t>详见“投标人须知前附表”。</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21.投标文件的提交</w:t>
      </w:r>
    </w:p>
    <w:p>
      <w:pPr>
        <w:spacing w:line="360" w:lineRule="auto"/>
        <w:ind w:firstLine="420" w:firstLineChars="200"/>
        <w:rPr>
          <w:rFonts w:hint="eastAsia" w:ascii="宋体" w:hAnsi="宋体" w:cs="宋体"/>
          <w:b/>
          <w:color w:val="auto"/>
          <w:highlight w:val="none"/>
        </w:rPr>
      </w:pPr>
      <w:bookmarkStart w:id="191" w:name="_21.1投标人必须在“投标人须知中的前附表”规定的投标文件接收时间和投"/>
      <w:bookmarkEnd w:id="191"/>
      <w:r>
        <w:rPr>
          <w:rFonts w:hint="eastAsia" w:ascii="宋体" w:hAnsi="宋体" w:cs="宋体"/>
          <w:bCs/>
          <w:color w:val="auto"/>
          <w:szCs w:val="21"/>
          <w:highlight w:val="none"/>
        </w:rPr>
        <w:t>21.1投标人必须在“投标人须知前附表”规定的投标文件接收时间和投标地点提交电子版投标文件。电子版投标文件应在制作完成后，在投标截止时间前通过有效数字证书（CA认证锁）进行电子签章、加密，然后通过网络将加密的电子版投标文件提交至</w:t>
      </w:r>
      <w:r>
        <w:rPr>
          <w:rFonts w:hint="eastAsia" w:ascii="宋体" w:hAnsi="宋体" w:cs="宋体"/>
          <w:color w:val="auto"/>
          <w:szCs w:val="21"/>
          <w:highlight w:val="none"/>
        </w:rPr>
        <w:t>广西政府采购云平台</w:t>
      </w:r>
      <w:r>
        <w:rPr>
          <w:rFonts w:hint="eastAsia" w:ascii="宋体" w:hAnsi="宋体" w:cs="宋体"/>
          <w:bCs/>
          <w:color w:val="auto"/>
          <w:szCs w:val="21"/>
          <w:highlight w:val="none"/>
        </w:rPr>
        <w:t xml:space="preserve">。 </w:t>
      </w:r>
      <w:r>
        <w:rPr>
          <w:rFonts w:hint="eastAsia" w:ascii="宋体" w:hAnsi="宋体" w:cs="宋体"/>
          <w:b/>
          <w:color w:val="auto"/>
          <w:highlight w:val="none"/>
        </w:rPr>
        <w:t xml:space="preserve"> </w:t>
      </w:r>
    </w:p>
    <w:p>
      <w:pPr>
        <w:spacing w:line="360" w:lineRule="auto"/>
        <w:ind w:firstLine="422" w:firstLineChars="200"/>
        <w:rPr>
          <w:rFonts w:hint="eastAsia" w:ascii="宋体" w:hAnsi="宋体" w:cs="宋体"/>
          <w:b/>
          <w:color w:val="auto"/>
          <w:szCs w:val="20"/>
          <w:highlight w:val="none"/>
        </w:rPr>
      </w:pPr>
      <w:r>
        <w:rPr>
          <w:rFonts w:hint="eastAsia" w:ascii="宋体" w:hAnsi="宋体" w:cs="宋体"/>
          <w:b/>
          <w:color w:val="auto"/>
          <w:szCs w:val="21"/>
          <w:highlight w:val="none"/>
        </w:rPr>
        <w:t>21.2未在规定时间内提交或者未按照招标文件要求加密的电子版投标文件，广西政府采购云平台将拒收。</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21.3电子版投标文件提交方式见“招标公告”</w:t>
      </w:r>
      <w:r>
        <w:rPr>
          <w:rFonts w:hint="eastAsia" w:ascii="宋体" w:hAnsi="宋体" w:cs="宋体"/>
          <w:b/>
          <w:color w:val="auto"/>
          <w:szCs w:val="21"/>
          <w:highlight w:val="none"/>
        </w:rPr>
        <w:t xml:space="preserve"> 。</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22. 投标文件的补充、修改、撤回</w:t>
      </w:r>
      <w:bookmarkStart w:id="192" w:name="_Toc254970543"/>
      <w:bookmarkStart w:id="193" w:name="_Toc254970684"/>
    </w:p>
    <w:p>
      <w:pPr>
        <w:spacing w:line="360" w:lineRule="auto"/>
        <w:ind w:firstLine="420" w:firstLineChars="200"/>
        <w:rPr>
          <w:rFonts w:hint="eastAsia" w:ascii="宋体" w:hAnsi="宋体" w:cs="宋体"/>
          <w:color w:val="auto"/>
          <w:sz w:val="24"/>
          <w:highlight w:val="none"/>
        </w:rPr>
      </w:pPr>
      <w:r>
        <w:rPr>
          <w:rFonts w:hint="eastAsia" w:ascii="宋体" w:hAnsi="宋体" w:cs="宋体"/>
          <w:color w:val="auto"/>
          <w:szCs w:val="21"/>
          <w:highlight w:val="none"/>
        </w:rPr>
        <w:t>22.1 投标人应当在投标截止时间前完成投标文件的传输提交，并可以补充、修改或者撤回投标文件。补充或者修改投标文件的，应当先行撤回原文件，补充、修改后重新传输提交。投标截止时间前未完成传输的，视为撤回投标文件。投标截止时间后提交的投标文件，广西政府采购云平台将拒收。</w:t>
      </w:r>
    </w:p>
    <w:p>
      <w:pPr>
        <w:pStyle w:val="47"/>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22.2广西政府采购云平台收到投标文件，将妥善保存并即时向投标人发出确认回执通知。在投标截止时间前，除投标人补充、修改或者撤回投标文件外，任何单位和个人不得解密或提取投标文件。</w:t>
      </w:r>
    </w:p>
    <w:bookmarkEnd w:id="192"/>
    <w:bookmarkEnd w:id="193"/>
    <w:p>
      <w:pPr>
        <w:pStyle w:val="12"/>
        <w:snapToGrid w:val="0"/>
        <w:spacing w:line="360" w:lineRule="auto"/>
        <w:ind w:firstLine="739"/>
        <w:rPr>
          <w:rFonts w:hint="eastAsia" w:hAnsi="宋体" w:cs="宋体"/>
          <w:snapToGrid w:val="0"/>
          <w:color w:val="auto"/>
          <w:sz w:val="21"/>
          <w:szCs w:val="21"/>
          <w:highlight w:val="none"/>
        </w:rPr>
      </w:pPr>
    </w:p>
    <w:p>
      <w:pPr>
        <w:pStyle w:val="5"/>
        <w:keepNext w:val="0"/>
        <w:keepLines w:val="0"/>
        <w:spacing w:line="360" w:lineRule="auto"/>
        <w:jc w:val="center"/>
        <w:rPr>
          <w:rFonts w:hint="eastAsia" w:ascii="宋体" w:hAnsi="宋体" w:cs="宋体"/>
          <w:color w:val="auto"/>
          <w:highlight w:val="none"/>
        </w:rPr>
      </w:pPr>
      <w:bookmarkStart w:id="194" w:name="_Toc20797"/>
      <w:bookmarkStart w:id="195" w:name="_Toc254970544"/>
      <w:bookmarkStart w:id="196" w:name="_Toc20871"/>
      <w:bookmarkStart w:id="197" w:name="_Toc254970685"/>
      <w:bookmarkStart w:id="198" w:name="_Toc20620"/>
      <w:bookmarkStart w:id="199" w:name="_Toc6762"/>
      <w:bookmarkStart w:id="200" w:name="_Toc13173"/>
      <w:r>
        <w:rPr>
          <w:rFonts w:hint="eastAsia" w:ascii="宋体" w:hAnsi="宋体" w:cs="宋体"/>
          <w:color w:val="auto"/>
          <w:highlight w:val="none"/>
        </w:rPr>
        <w:t>四、开    标</w:t>
      </w:r>
      <w:bookmarkEnd w:id="194"/>
      <w:bookmarkEnd w:id="195"/>
      <w:bookmarkEnd w:id="196"/>
      <w:bookmarkEnd w:id="197"/>
      <w:bookmarkEnd w:id="198"/>
      <w:bookmarkEnd w:id="199"/>
      <w:bookmarkEnd w:id="200"/>
    </w:p>
    <w:p>
      <w:pPr>
        <w:spacing w:line="360" w:lineRule="auto"/>
        <w:ind w:firstLine="480" w:firstLineChars="200"/>
        <w:rPr>
          <w:rFonts w:hint="eastAsia" w:ascii="宋体" w:hAnsi="宋体" w:cs="宋体"/>
          <w:color w:val="auto"/>
          <w:sz w:val="24"/>
          <w:highlight w:val="none"/>
        </w:rPr>
      </w:pPr>
      <w:bookmarkStart w:id="201" w:name="_23.开标时间和地点"/>
      <w:bookmarkEnd w:id="201"/>
      <w:r>
        <w:rPr>
          <w:rFonts w:hint="eastAsia" w:ascii="宋体" w:hAnsi="宋体" w:cs="宋体"/>
          <w:color w:val="auto"/>
          <w:sz w:val="24"/>
          <w:highlight w:val="none"/>
        </w:rPr>
        <w:t>23.开标时间和地点</w:t>
      </w:r>
    </w:p>
    <w:p>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23.1开标时间及地点详见“投标人须知前附表”</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23.2如</w:t>
      </w:r>
      <w:r>
        <w:rPr>
          <w:rFonts w:hint="eastAsia" w:ascii="宋体" w:hAnsi="宋体" w:cs="宋体"/>
          <w:bCs/>
          <w:color w:val="auto"/>
          <w:highlight w:val="none"/>
        </w:rPr>
        <w:t>投标人成功解密投标文件，但未在</w:t>
      </w:r>
      <w:r>
        <w:rPr>
          <w:rFonts w:hint="eastAsia" w:ascii="宋体" w:hAnsi="宋体" w:cs="宋体"/>
          <w:color w:val="auto"/>
          <w:szCs w:val="21"/>
          <w:highlight w:val="none"/>
        </w:rPr>
        <w:t>广西政府采购云平台</w:t>
      </w:r>
      <w:r>
        <w:rPr>
          <w:rFonts w:hint="eastAsia" w:ascii="宋体" w:hAnsi="宋体" w:cs="宋体"/>
          <w:bCs/>
          <w:color w:val="auto"/>
          <w:highlight w:val="none"/>
        </w:rPr>
        <w:t>电子开标大厅参加开标的，视同认可开标过程和结果，</w:t>
      </w:r>
      <w:r>
        <w:rPr>
          <w:rFonts w:hint="eastAsia" w:ascii="宋体" w:hAnsi="宋体" w:cs="宋体"/>
          <w:color w:val="auto"/>
          <w:highlight w:val="none"/>
        </w:rPr>
        <w:t>由此产生的后果由投标人自行负责。 投标人不足3家的，不得开标。</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24.开标程序</w:t>
      </w:r>
    </w:p>
    <w:p>
      <w:pPr>
        <w:autoSpaceDE w:val="0"/>
        <w:autoSpaceDN w:val="0"/>
        <w:adjustRightInd w:val="0"/>
        <w:spacing w:line="360" w:lineRule="auto"/>
        <w:ind w:firstLine="420" w:firstLineChars="200"/>
        <w:rPr>
          <w:rFonts w:hint="eastAsia" w:ascii="宋体" w:hAnsi="宋体" w:cs="宋体"/>
          <w:color w:val="auto"/>
          <w:kern w:val="0"/>
          <w:szCs w:val="21"/>
          <w:highlight w:val="none"/>
        </w:rPr>
      </w:pPr>
      <w:r>
        <w:rPr>
          <w:rFonts w:hint="eastAsia" w:ascii="宋体" w:hAnsi="宋体" w:cs="宋体"/>
          <w:bCs/>
          <w:color w:val="auto"/>
          <w:szCs w:val="21"/>
          <w:highlight w:val="none"/>
        </w:rPr>
        <w:t>24.1</w:t>
      </w:r>
      <w:r>
        <w:rPr>
          <w:rFonts w:hint="eastAsia" w:ascii="宋体" w:hAnsi="宋体" w:cs="宋体"/>
          <w:color w:val="auto"/>
          <w:kern w:val="0"/>
          <w:szCs w:val="21"/>
          <w:highlight w:val="none"/>
        </w:rPr>
        <w:t>开标形式：</w:t>
      </w:r>
    </w:p>
    <w:p>
      <w:pPr>
        <w:autoSpaceDE w:val="0"/>
        <w:autoSpaceDN w:val="0"/>
        <w:adjustRightInd w:val="0"/>
        <w:spacing w:line="360" w:lineRule="auto"/>
        <w:ind w:firstLine="420" w:firstLineChars="200"/>
        <w:rPr>
          <w:rFonts w:hint="eastAsia" w:ascii="宋体" w:hAnsi="宋体" w:cs="宋体"/>
          <w:bCs/>
          <w:color w:val="auto"/>
          <w:szCs w:val="21"/>
          <w:highlight w:val="none"/>
        </w:rPr>
      </w:pPr>
      <w:r>
        <w:rPr>
          <w:rFonts w:hint="eastAsia" w:ascii="宋体" w:hAnsi="宋体" w:cs="宋体"/>
          <w:color w:val="auto"/>
          <w:szCs w:val="21"/>
          <w:highlight w:val="none"/>
        </w:rPr>
        <w:t>（1）</w:t>
      </w:r>
      <w:r>
        <w:rPr>
          <w:rFonts w:hint="eastAsia" w:ascii="宋体" w:hAnsi="宋体" w:cs="宋体"/>
          <w:bCs/>
          <w:color w:val="auto"/>
          <w:szCs w:val="21"/>
          <w:highlight w:val="none"/>
        </w:rPr>
        <w:t>开标的准备工作由采购代理机构负责落实，采购代理机构必须基于</w:t>
      </w:r>
      <w:r>
        <w:rPr>
          <w:rFonts w:hint="eastAsia" w:ascii="宋体" w:hAnsi="宋体" w:cs="宋体"/>
          <w:color w:val="auto"/>
          <w:szCs w:val="21"/>
          <w:highlight w:val="none"/>
        </w:rPr>
        <w:t>广西政府采购云平台</w:t>
      </w:r>
      <w:r>
        <w:rPr>
          <w:rFonts w:hint="eastAsia" w:ascii="宋体" w:hAnsi="宋体" w:cs="宋体"/>
          <w:bCs/>
          <w:color w:val="auto"/>
          <w:szCs w:val="21"/>
          <w:highlight w:val="none"/>
        </w:rPr>
        <w:t>依法抽取评审专家，如采购代理机构未按规定抽取专家的，视为本次开评标无效，应当重新采购；</w:t>
      </w:r>
    </w:p>
    <w:p>
      <w:pPr>
        <w:autoSpaceDE w:val="0"/>
        <w:autoSpaceDN w:val="0"/>
        <w:adjustRightInd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（2）采购代理机构将按照招标文件规定的时间通过</w:t>
      </w:r>
      <w:r>
        <w:rPr>
          <w:rFonts w:hint="eastAsia" w:ascii="宋体" w:hAnsi="宋体" w:cs="宋体"/>
          <w:color w:val="auto"/>
          <w:szCs w:val="21"/>
          <w:highlight w:val="none"/>
        </w:rPr>
        <w:t>广西政府采购云平台</w:t>
      </w:r>
      <w:r>
        <w:rPr>
          <w:rFonts w:hint="eastAsia" w:ascii="宋体" w:hAnsi="宋体" w:cs="宋体"/>
          <w:bCs/>
          <w:color w:val="auto"/>
          <w:szCs w:val="21"/>
          <w:highlight w:val="none"/>
        </w:rPr>
        <w:t>组织线上开标活动、开启投标文件，所有投标人均应当准时在线参加。投标人如不参加开标大会的，视同认可开标结果，事后不得对采购相关人员、开标过程和开标结果提出异议，同时投标人因未在线参加开标而导致投标文件无法按时解密等一切后果由投标人自己承担。</w:t>
      </w:r>
    </w:p>
    <w:p>
      <w:pPr>
        <w:autoSpaceDE w:val="0"/>
        <w:autoSpaceDN w:val="0"/>
        <w:adjustRightInd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24.2开标程序：</w:t>
      </w:r>
    </w:p>
    <w:p>
      <w:pPr>
        <w:pStyle w:val="11"/>
        <w:spacing w:line="360" w:lineRule="auto"/>
        <w:ind w:firstLine="420" w:firstLineChars="200"/>
        <w:rPr>
          <w:rFonts w:hint="eastAsia" w:hAnsi="宋体" w:cs="宋体"/>
          <w:color w:val="auto"/>
          <w:szCs w:val="21"/>
          <w:highlight w:val="none"/>
        </w:rPr>
      </w:pPr>
      <w:r>
        <w:rPr>
          <w:rFonts w:hint="eastAsia" w:hAnsi="宋体" w:cs="宋体"/>
          <w:bCs/>
          <w:color w:val="auto"/>
          <w:szCs w:val="21"/>
          <w:highlight w:val="none"/>
        </w:rPr>
        <w:t>（1）</w:t>
      </w:r>
      <w:r>
        <w:rPr>
          <w:rFonts w:hint="eastAsia" w:hAnsi="宋体" w:cs="宋体"/>
          <w:b/>
          <w:color w:val="auto"/>
          <w:szCs w:val="21"/>
          <w:highlight w:val="none"/>
        </w:rPr>
        <w:t>解密电子版投标文件。</w:t>
      </w:r>
      <w:r>
        <w:rPr>
          <w:rFonts w:hint="eastAsia" w:ascii="宋体" w:hAnsi="宋体" w:cs="宋体"/>
          <w:color w:val="auto"/>
          <w:szCs w:val="21"/>
          <w:highlight w:val="none"/>
        </w:rPr>
        <w:t>广西政府采购云平台</w:t>
      </w:r>
      <w:r>
        <w:rPr>
          <w:rFonts w:ascii="宋体" w:hAnsi="宋体" w:cs="仿宋"/>
          <w:color w:val="auto"/>
          <w:kern w:val="1"/>
          <w:szCs w:val="21"/>
          <w:highlight w:val="none"/>
        </w:rPr>
        <w:t>按开标时间自动提取所有投标文件。采购代理机构依托</w:t>
      </w:r>
      <w:r>
        <w:rPr>
          <w:rFonts w:hint="eastAsia" w:ascii="宋体" w:hAnsi="宋体" w:cs="宋体"/>
          <w:color w:val="auto"/>
          <w:szCs w:val="21"/>
          <w:highlight w:val="none"/>
        </w:rPr>
        <w:t>广西政府采购云平台</w:t>
      </w:r>
      <w:r>
        <w:rPr>
          <w:rFonts w:ascii="宋体" w:hAnsi="宋体" w:cs="宋体"/>
          <w:color w:val="auto"/>
          <w:kern w:val="1"/>
          <w:szCs w:val="21"/>
          <w:highlight w:val="none"/>
        </w:rPr>
        <w:t>向各投标人发出电子加密投标文件【开始解密】通知，由投标人</w:t>
      </w:r>
      <w:r>
        <w:rPr>
          <w:rFonts w:hint="eastAsia" w:ascii="宋体" w:hAnsi="宋体" w:cs="宋体"/>
          <w:color w:val="auto"/>
          <w:kern w:val="1"/>
          <w:szCs w:val="21"/>
          <w:highlight w:val="none"/>
        </w:rPr>
        <w:t>在</w:t>
      </w:r>
      <w:r>
        <w:rPr>
          <w:rFonts w:ascii="宋体" w:hAnsi="宋体" w:cs="宋体"/>
          <w:color w:val="auto"/>
          <w:kern w:val="1"/>
          <w:szCs w:val="21"/>
          <w:highlight w:val="none"/>
        </w:rPr>
        <w:t>规定的时间内自行</w:t>
      </w:r>
      <w:r>
        <w:rPr>
          <w:rFonts w:hint="eastAsia" w:ascii="宋体" w:hAnsi="宋体" w:cs="宋体"/>
          <w:color w:val="auto"/>
          <w:kern w:val="1"/>
          <w:szCs w:val="21"/>
          <w:highlight w:val="none"/>
        </w:rPr>
        <w:t>将</w:t>
      </w:r>
      <w:r>
        <w:rPr>
          <w:rFonts w:ascii="宋体" w:hAnsi="宋体" w:cs="宋体"/>
          <w:color w:val="auto"/>
          <w:kern w:val="1"/>
          <w:szCs w:val="21"/>
          <w:highlight w:val="none"/>
        </w:rPr>
        <w:t>投标文件</w:t>
      </w:r>
      <w:r>
        <w:rPr>
          <w:rFonts w:hint="eastAsia" w:ascii="宋体" w:hAnsi="宋体" w:cs="宋体"/>
          <w:color w:val="auto"/>
          <w:kern w:val="1"/>
          <w:szCs w:val="21"/>
          <w:highlight w:val="none"/>
        </w:rPr>
        <w:t>在线</w:t>
      </w:r>
      <w:r>
        <w:rPr>
          <w:rFonts w:ascii="宋体" w:hAnsi="宋体" w:cs="宋体"/>
          <w:color w:val="auto"/>
          <w:kern w:val="1"/>
          <w:szCs w:val="21"/>
          <w:highlight w:val="none"/>
        </w:rPr>
        <w:t>解密。投标人的法定代表人或其委托代理人</w:t>
      </w:r>
      <w:r>
        <w:rPr>
          <w:rFonts w:ascii="宋体" w:hAnsi="宋体" w:cs="宋体"/>
          <w:b/>
          <w:color w:val="auto"/>
          <w:kern w:val="1"/>
          <w:szCs w:val="21"/>
          <w:highlight w:val="none"/>
        </w:rPr>
        <w:t>须携带加密时所用的CA锁准时登录到广西政府采购云平台电子开标大厅签到并对电子</w:t>
      </w:r>
      <w:r>
        <w:rPr>
          <w:rFonts w:hint="eastAsia" w:ascii="宋体" w:hAnsi="宋体" w:cs="宋体"/>
          <w:b/>
          <w:color w:val="auto"/>
          <w:kern w:val="1"/>
          <w:szCs w:val="21"/>
          <w:highlight w:val="none"/>
        </w:rPr>
        <w:t>版</w:t>
      </w:r>
      <w:r>
        <w:rPr>
          <w:rFonts w:ascii="宋体" w:hAnsi="宋体" w:cs="宋体"/>
          <w:b/>
          <w:color w:val="auto"/>
          <w:kern w:val="1"/>
          <w:szCs w:val="21"/>
          <w:highlight w:val="none"/>
        </w:rPr>
        <w:t>投标文件</w:t>
      </w:r>
      <w:r>
        <w:rPr>
          <w:rFonts w:hint="eastAsia" w:ascii="宋体" w:hAnsi="宋体" w:cs="宋体"/>
          <w:b/>
          <w:color w:val="auto"/>
          <w:kern w:val="1"/>
          <w:szCs w:val="21"/>
          <w:highlight w:val="none"/>
        </w:rPr>
        <w:t>在线</w:t>
      </w:r>
      <w:r>
        <w:rPr>
          <w:rFonts w:ascii="宋体" w:hAnsi="宋体" w:cs="宋体"/>
          <w:b/>
          <w:color w:val="auto"/>
          <w:kern w:val="1"/>
          <w:szCs w:val="21"/>
          <w:highlight w:val="none"/>
        </w:rPr>
        <w:t>解密</w:t>
      </w:r>
      <w:r>
        <w:rPr>
          <w:rFonts w:ascii="宋体" w:hAnsi="宋体" w:cs="宋体"/>
          <w:color w:val="auto"/>
          <w:kern w:val="1"/>
          <w:szCs w:val="21"/>
          <w:highlight w:val="none"/>
        </w:rPr>
        <w:t>。</w:t>
      </w:r>
      <w:r>
        <w:rPr>
          <w:rFonts w:ascii="宋体" w:hAnsi="宋体" w:cs="仿宋"/>
          <w:color w:val="auto"/>
          <w:kern w:val="1"/>
          <w:szCs w:val="21"/>
          <w:highlight w:val="none"/>
        </w:rPr>
        <w:t>投标文件未按时解密</w:t>
      </w:r>
      <w:r>
        <w:rPr>
          <w:rFonts w:ascii="宋体" w:hAnsi="宋体" w:cs="宋体"/>
          <w:color w:val="auto"/>
          <w:kern w:val="1"/>
          <w:szCs w:val="21"/>
          <w:highlight w:val="none"/>
        </w:rPr>
        <w:t>的，</w:t>
      </w:r>
      <w:r>
        <w:rPr>
          <w:rFonts w:ascii="宋体" w:hAnsi="宋体" w:cs="宋体"/>
          <w:b/>
          <w:color w:val="auto"/>
          <w:kern w:val="1"/>
          <w:szCs w:val="21"/>
          <w:highlight w:val="none"/>
        </w:rPr>
        <w:t>均视为无效投标。</w:t>
      </w:r>
    </w:p>
    <w:p>
      <w:pPr>
        <w:pStyle w:val="14"/>
        <w:snapToGrid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（解密</w:t>
      </w:r>
      <w:r>
        <w:rPr>
          <w:rFonts w:hint="eastAsia" w:hAnsi="宋体" w:cs="宋体"/>
          <w:bCs/>
          <w:color w:val="auto"/>
          <w:szCs w:val="21"/>
          <w:highlight w:val="none"/>
        </w:rPr>
        <w:t>异常情况处理：详见本章</w:t>
      </w:r>
      <w:r>
        <w:rPr>
          <w:rFonts w:hint="eastAsia" w:hAnsi="宋体" w:cs="宋体"/>
          <w:color w:val="auto"/>
          <w:highlight w:val="none"/>
        </w:rPr>
        <w:t>29.3 电子交易活动的中止。</w:t>
      </w:r>
      <w:r>
        <w:rPr>
          <w:rFonts w:hint="eastAsia" w:hAnsi="宋体" w:cs="宋体"/>
          <w:color w:val="auto"/>
          <w:szCs w:val="21"/>
          <w:highlight w:val="none"/>
        </w:rPr>
        <w:t>）</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
          <w:color w:val="auto"/>
          <w:szCs w:val="21"/>
          <w:highlight w:val="none"/>
        </w:rPr>
        <w:t>电子唱标。</w:t>
      </w:r>
      <w:r>
        <w:rPr>
          <w:rFonts w:hint="eastAsia" w:ascii="宋体" w:hAnsi="宋体" w:cs="宋体"/>
          <w:color w:val="auto"/>
          <w:szCs w:val="21"/>
          <w:highlight w:val="none"/>
        </w:rPr>
        <w:t>投标文件解密结束，各投标人报价均在广西政府采购云平台远程不见面开标大厅展示；</w:t>
      </w:r>
    </w:p>
    <w:p>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（3）开标过程由采购代理机构如实记录，并电子留痕，由参加电子开标的各投标人代表对电子开标记</w:t>
      </w:r>
      <w:r>
        <w:rPr>
          <w:rFonts w:hint="eastAsia" w:ascii="宋体" w:hAnsi="宋体" w:cs="宋体"/>
          <w:b/>
          <w:color w:val="auto"/>
          <w:szCs w:val="21"/>
          <w:highlight w:val="none"/>
        </w:rPr>
        <w:t>录在开标记录公布后15分钟内进行当场校核及勘误，并线上确认</w:t>
      </w:r>
      <w:r>
        <w:rPr>
          <w:rFonts w:hint="eastAsia" w:ascii="宋体" w:hAnsi="宋体" w:cs="宋体"/>
          <w:bCs/>
          <w:color w:val="auto"/>
          <w:szCs w:val="21"/>
          <w:highlight w:val="none"/>
        </w:rPr>
        <w:t>，未确认的视同认可开标结果。</w:t>
      </w:r>
    </w:p>
    <w:p>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4）投标人代表对开标过程和开标记录有疑义，以及认为采购人、采购代理机构相关工作人员有需要回避的情形的，应当场提出在线询问或者回避申请。采购人、采购代理机构对投标人代表提出的询问或者回避申请应当及时处理。</w:t>
      </w:r>
    </w:p>
    <w:p>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（5）开标结束。</w:t>
      </w:r>
    </w:p>
    <w:p>
      <w:pPr>
        <w:pStyle w:val="14"/>
        <w:snapToGrid w:val="0"/>
        <w:spacing w:line="360" w:lineRule="auto"/>
        <w:ind w:firstLine="422" w:firstLineChars="200"/>
        <w:rPr>
          <w:rFonts w:hint="eastAsia" w:hAnsi="宋体" w:cs="宋体"/>
          <w:color w:val="auto"/>
          <w:szCs w:val="21"/>
          <w:highlight w:val="none"/>
        </w:rPr>
      </w:pPr>
      <w:r>
        <w:rPr>
          <w:rFonts w:hint="eastAsia" w:hAnsi="宋体" w:cs="宋体"/>
          <w:b/>
          <w:bCs/>
          <w:color w:val="auto"/>
          <w:szCs w:val="21"/>
          <w:highlight w:val="none"/>
        </w:rPr>
        <w:t>特别说明：</w:t>
      </w:r>
      <w:r>
        <w:rPr>
          <w:rFonts w:hint="eastAsia" w:hAnsi="宋体" w:cs="宋体"/>
          <w:color w:val="auto"/>
          <w:szCs w:val="21"/>
          <w:highlight w:val="none"/>
        </w:rPr>
        <w:t>如遇广西政府采购云平台电子化开标或评审程序调整的，按调整后执行。</w:t>
      </w:r>
    </w:p>
    <w:p>
      <w:pPr>
        <w:pStyle w:val="14"/>
        <w:snapToGrid w:val="0"/>
        <w:spacing w:line="360" w:lineRule="auto"/>
        <w:ind w:left="689" w:leftChars="228" w:hanging="210" w:hangingChars="100"/>
        <w:rPr>
          <w:rFonts w:hint="eastAsia" w:hAnsi="宋体" w:cs="宋体"/>
          <w:color w:val="auto"/>
          <w:highlight w:val="none"/>
        </w:rPr>
      </w:pPr>
    </w:p>
    <w:p>
      <w:pPr>
        <w:pStyle w:val="5"/>
        <w:keepNext w:val="0"/>
        <w:keepLines w:val="0"/>
        <w:spacing w:line="360" w:lineRule="auto"/>
        <w:jc w:val="center"/>
        <w:rPr>
          <w:rFonts w:hint="eastAsia" w:ascii="宋体" w:hAnsi="宋体" w:cs="宋体"/>
          <w:color w:val="auto"/>
          <w:highlight w:val="none"/>
        </w:rPr>
      </w:pPr>
      <w:bookmarkStart w:id="202" w:name="_Toc29347"/>
      <w:bookmarkStart w:id="203" w:name="_Toc30961"/>
      <w:bookmarkStart w:id="204" w:name="_Toc29757"/>
      <w:bookmarkStart w:id="205" w:name="_Toc31687"/>
      <w:bookmarkStart w:id="206" w:name="_Toc10935"/>
      <w:r>
        <w:rPr>
          <w:rFonts w:hint="eastAsia" w:ascii="宋体" w:hAnsi="宋体" w:cs="宋体"/>
          <w:color w:val="auto"/>
          <w:highlight w:val="none"/>
        </w:rPr>
        <w:t>五、资格审查</w:t>
      </w:r>
      <w:bookmarkEnd w:id="202"/>
      <w:bookmarkEnd w:id="203"/>
      <w:bookmarkEnd w:id="204"/>
      <w:bookmarkEnd w:id="205"/>
      <w:bookmarkEnd w:id="206"/>
    </w:p>
    <w:p>
      <w:pPr>
        <w:pStyle w:val="7"/>
        <w:keepNext w:val="0"/>
        <w:keepLines w:val="0"/>
        <w:spacing w:before="0" w:after="0"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25.资格审查</w:t>
      </w:r>
    </w:p>
    <w:p>
      <w:pPr>
        <w:spacing w:line="360" w:lineRule="auto"/>
        <w:ind w:firstLine="422" w:firstLineChars="200"/>
        <w:rPr>
          <w:rFonts w:hint="eastAsia" w:ascii="宋体" w:hAnsi="宋体" w:cs="宋体"/>
          <w:b/>
          <w:bCs/>
          <w:color w:val="auto"/>
          <w:szCs w:val="20"/>
          <w:highlight w:val="none"/>
        </w:rPr>
      </w:pPr>
      <w:r>
        <w:rPr>
          <w:rFonts w:hint="eastAsia" w:ascii="宋体" w:hAnsi="宋体" w:cs="宋体"/>
          <w:b/>
          <w:bCs/>
          <w:color w:val="auto"/>
          <w:szCs w:val="20"/>
          <w:highlight w:val="none"/>
        </w:rPr>
        <w:t>25.1开标结束后，采购人或采购代理机构依法通过电子版投标文件对投标人的资格进行线上审查。</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25.2资格审查标准为本“招标文件”中“投标人须知前附表”13.1点载明对投标人资格要求的条件。本项目资格审查采用合格制，凡符合招标文件规定的投标人资格要求的投标人均通过资格审查。</w:t>
      </w:r>
    </w:p>
    <w:p>
      <w:pPr>
        <w:spacing w:line="360" w:lineRule="auto"/>
        <w:ind w:firstLine="422" w:firstLineChars="200"/>
        <w:rPr>
          <w:rFonts w:hint="eastAsia" w:ascii="宋体" w:hAnsi="宋体" w:cs="宋体"/>
          <w:b/>
          <w:bCs/>
          <w:color w:val="auto"/>
          <w:szCs w:val="20"/>
          <w:highlight w:val="none"/>
        </w:rPr>
      </w:pPr>
      <w:bookmarkStart w:id="207" w:name="_25.3_投标人有下列情形之一的，资格审查不通过而导致其投标无效："/>
      <w:bookmarkEnd w:id="207"/>
      <w:r>
        <w:rPr>
          <w:rFonts w:hint="eastAsia" w:ascii="宋体" w:hAnsi="宋体" w:cs="宋体"/>
          <w:b/>
          <w:bCs/>
          <w:color w:val="auto"/>
          <w:szCs w:val="20"/>
          <w:highlight w:val="none"/>
        </w:rPr>
        <w:t>25.3投标人有下列情形之一的，资格审查不通过，作无效投标处理：</w:t>
      </w:r>
    </w:p>
    <w:p>
      <w:pPr>
        <w:spacing w:line="360" w:lineRule="auto"/>
        <w:ind w:firstLine="420" w:firstLineChars="200"/>
        <w:rPr>
          <w:rFonts w:hint="eastAsia" w:ascii="宋体" w:hAnsi="宋体" w:cs="宋体"/>
          <w:color w:val="auto"/>
          <w:highlight w:val="none"/>
        </w:rPr>
      </w:pPr>
      <w:r>
        <w:rPr>
          <w:rFonts w:hint="eastAsia" w:hAnsi="宋体"/>
          <w:color w:val="auto"/>
          <w:highlight w:val="none"/>
        </w:rPr>
        <w:t>（1）不具备招标文件中规定的资格要求的；（注：其中信用查询规则见“投标人须知前附表”，</w:t>
      </w:r>
      <w:r>
        <w:rPr>
          <w:rFonts w:hint="eastAsia" w:ascii="宋体" w:hAnsi="宋体" w:cs="宋体"/>
          <w:color w:val="auto"/>
          <w:szCs w:val="21"/>
          <w:highlight w:val="none"/>
        </w:rPr>
        <w:t>广西政府采购云平台</w:t>
      </w:r>
      <w:r>
        <w:rPr>
          <w:rFonts w:hint="eastAsia" w:hAnsi="宋体"/>
          <w:color w:val="auto"/>
          <w:highlight w:val="none"/>
        </w:rPr>
        <w:t>已与“信用中国”平台做接口，</w:t>
      </w:r>
      <w:r>
        <w:rPr>
          <w:rFonts w:hint="eastAsia" w:ascii="宋体" w:hAnsi="宋体" w:cs="宋体"/>
          <w:color w:val="auto"/>
          <w:szCs w:val="20"/>
          <w:highlight w:val="none"/>
        </w:rPr>
        <w:t>采购人或者采购代理机构</w:t>
      </w:r>
      <w:r>
        <w:rPr>
          <w:rFonts w:hint="eastAsia" w:ascii="宋体" w:hAnsi="宋体" w:cs="宋体"/>
          <w:color w:val="auto"/>
          <w:highlight w:val="none"/>
        </w:rPr>
        <w:t>可直接在线查询）</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（2）投标文件未提供任一项“投标人须知前附表”资格文件规定的“必须提供”的文件资料的；</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（3）投标文件提供的资格文件出现任一项不符合“投标人须知前附表”资格文件规定的“必须提供”的文件资料要求或者无效的。</w:t>
      </w:r>
    </w:p>
    <w:p>
      <w:pPr>
        <w:pStyle w:val="17"/>
        <w:spacing w:line="360" w:lineRule="auto"/>
        <w:ind w:firstLine="420" w:firstLineChars="200"/>
        <w:rPr>
          <w:rFonts w:hint="eastAsia" w:ascii="宋体" w:hAnsi="宋体" w:cs="宋体"/>
          <w:color w:val="auto"/>
          <w:sz w:val="21"/>
          <w:szCs w:val="24"/>
          <w:highlight w:val="none"/>
        </w:rPr>
      </w:pPr>
      <w:r>
        <w:rPr>
          <w:rFonts w:hint="eastAsia" w:ascii="宋体" w:hAnsi="宋体" w:cs="宋体"/>
          <w:color w:val="auto"/>
          <w:sz w:val="21"/>
          <w:szCs w:val="24"/>
          <w:highlight w:val="none"/>
        </w:rPr>
        <w:t>（4）同一合同项下的不同供应商，单位负责人为同一人或者存在直接控股、管理关系的；为本项目提供过整体设计、规范编制或者项目管理、监理、检测等服务的。</w:t>
      </w:r>
    </w:p>
    <w:p>
      <w:pPr>
        <w:pStyle w:val="7"/>
        <w:keepNext w:val="0"/>
        <w:keepLines w:val="0"/>
        <w:spacing w:before="0" w:after="0" w:line="360" w:lineRule="auto"/>
        <w:ind w:firstLine="420" w:firstLineChars="200"/>
        <w:rPr>
          <w:rFonts w:hint="eastAsia" w:ascii="宋体" w:hAnsi="宋体" w:cs="宋体"/>
          <w:b w:val="0"/>
          <w:bCs w:val="0"/>
          <w:color w:val="auto"/>
          <w:sz w:val="21"/>
          <w:szCs w:val="20"/>
          <w:highlight w:val="none"/>
        </w:rPr>
      </w:pPr>
      <w:r>
        <w:rPr>
          <w:rFonts w:hint="eastAsia" w:ascii="宋体" w:hAnsi="宋体" w:cs="宋体"/>
          <w:b w:val="0"/>
          <w:bCs w:val="0"/>
          <w:color w:val="auto"/>
          <w:sz w:val="21"/>
          <w:szCs w:val="20"/>
          <w:highlight w:val="none"/>
        </w:rPr>
        <w:t>25.4资格审查的合格投标人不足3家的，不得评标。</w:t>
      </w:r>
    </w:p>
    <w:p>
      <w:pPr>
        <w:pStyle w:val="8"/>
        <w:rPr>
          <w:color w:val="auto"/>
          <w:highlight w:val="none"/>
        </w:rPr>
      </w:pPr>
    </w:p>
    <w:p>
      <w:pPr>
        <w:pStyle w:val="5"/>
        <w:keepNext w:val="0"/>
        <w:keepLines w:val="0"/>
        <w:spacing w:line="360" w:lineRule="auto"/>
        <w:jc w:val="center"/>
        <w:rPr>
          <w:rFonts w:hint="eastAsia" w:ascii="宋体" w:hAnsi="宋体" w:cs="宋体"/>
          <w:color w:val="auto"/>
          <w:highlight w:val="none"/>
        </w:rPr>
      </w:pPr>
      <w:bookmarkStart w:id="208" w:name="_Toc10753"/>
      <w:bookmarkStart w:id="209" w:name="_Toc28977"/>
      <w:bookmarkStart w:id="210" w:name="_Toc17458"/>
      <w:bookmarkStart w:id="211" w:name="_Toc23135"/>
      <w:bookmarkStart w:id="212" w:name="_Toc29675"/>
      <w:r>
        <w:rPr>
          <w:rFonts w:hint="eastAsia" w:ascii="宋体" w:hAnsi="宋体" w:cs="宋体"/>
          <w:color w:val="auto"/>
          <w:highlight w:val="none"/>
        </w:rPr>
        <w:t>六、评   标</w:t>
      </w:r>
      <w:bookmarkEnd w:id="208"/>
      <w:bookmarkEnd w:id="209"/>
      <w:bookmarkEnd w:id="210"/>
      <w:bookmarkEnd w:id="211"/>
      <w:bookmarkEnd w:id="212"/>
    </w:p>
    <w:p>
      <w:pPr>
        <w:spacing w:line="360" w:lineRule="auto"/>
        <w:ind w:firstLine="480" w:firstLineChars="200"/>
        <w:rPr>
          <w:rFonts w:hint="eastAsia" w:ascii="宋体" w:hAnsi="宋体" w:cs="宋体"/>
          <w:color w:val="auto"/>
          <w:sz w:val="24"/>
          <w:highlight w:val="none"/>
        </w:rPr>
      </w:pPr>
      <w:bookmarkStart w:id="213" w:name="_26.组建评标委员会"/>
      <w:bookmarkEnd w:id="213"/>
      <w:r>
        <w:rPr>
          <w:rFonts w:hint="eastAsia" w:ascii="宋体" w:hAnsi="宋体" w:cs="宋体"/>
          <w:color w:val="auto"/>
          <w:sz w:val="24"/>
          <w:highlight w:val="none"/>
        </w:rPr>
        <w:t>26.组建评标委员会</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评标委员会由采购人代表和评审专家组成，人数为5人以上单数，其中评审专家不得少于成员总数的三分之二。</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参加过采购项目前期咨询论证的专家，不得参加该采购项目的评审活动。</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27.评标的依据</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评标委员会以招标文件为依据对投标文件进行评审，“第四章 评标方法和评标标准”没有规定的方法、评审因素和标准，不作为评标依据。</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28.评标原则</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28.2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28.3评标过程的监控。本项目电子评标过程实行网上留痕、全程录音、录像监控，投标人在评标过程中所进行的试图影响评标结果的不公正活动，可能导致其投标作无效处理。</w:t>
      </w:r>
    </w:p>
    <w:p>
      <w:pPr>
        <w:pStyle w:val="17"/>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4"/>
          <w:highlight w:val="none"/>
        </w:rPr>
        <w:t>28.4</w:t>
      </w:r>
      <w:r>
        <w:rPr>
          <w:rFonts w:hint="eastAsia" w:ascii="宋体" w:hAnsi="宋体" w:cs="宋体"/>
          <w:color w:val="auto"/>
          <w:sz w:val="21"/>
          <w:szCs w:val="21"/>
          <w:highlight w:val="none"/>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29.评标方法和评标标准</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29.1本项目的评标方法详见“投标人须知前附表”。</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29.2 评标委员会按照</w:t>
      </w:r>
      <w:r>
        <w:rPr>
          <w:rFonts w:hint="eastAsia" w:ascii="宋体" w:hAnsi="宋体" w:cs="宋体"/>
          <w:b/>
          <w:color w:val="auto"/>
          <w:highlight w:val="none"/>
        </w:rPr>
        <w:t>“第四章 评标方法和评标标准”</w:t>
      </w:r>
      <w:r>
        <w:rPr>
          <w:rFonts w:hint="eastAsia" w:ascii="宋体" w:hAnsi="宋体" w:cs="宋体"/>
          <w:color w:val="auto"/>
          <w:highlight w:val="none"/>
        </w:rPr>
        <w:t>规定的方法、评审因素、标准和程序对投标文件进行评审。</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29.3 电子交易活动的中止。采购过程中出现以下情形，导致电子交易平台无法正常运行，或者无法保证电子交易的公平、公正和安全时，采购机构可中止电子交易活动：</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 xml:space="preserve">（1）电子交易平台发生故障而无法登录访问的； </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（2）电子交易平台应用或数据库出现错误，不能进行正常操作的；</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（3）电子交易平台发现严重安全漏洞，有潜在泄密危险的；</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 xml:space="preserve">（4）病毒发作导致不能进行正常操作的； </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（5）其他无法保证电子交易的公平、公正和安全的情况。</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29.4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pPr>
        <w:pStyle w:val="14"/>
        <w:snapToGrid w:val="0"/>
        <w:spacing w:line="360" w:lineRule="auto"/>
        <w:ind w:firstLine="420" w:firstLineChars="200"/>
        <w:rPr>
          <w:rFonts w:hint="eastAsia" w:hAnsi="宋体" w:cs="宋体"/>
          <w:color w:val="auto"/>
          <w:highlight w:val="none"/>
        </w:rPr>
      </w:pPr>
    </w:p>
    <w:p>
      <w:pPr>
        <w:pStyle w:val="5"/>
        <w:keepNext w:val="0"/>
        <w:keepLines w:val="0"/>
        <w:spacing w:line="360" w:lineRule="auto"/>
        <w:jc w:val="center"/>
        <w:rPr>
          <w:rFonts w:hint="eastAsia" w:ascii="宋体" w:hAnsi="宋体" w:cs="宋体"/>
          <w:color w:val="auto"/>
          <w:highlight w:val="none"/>
        </w:rPr>
      </w:pPr>
      <w:bookmarkStart w:id="214" w:name="_Toc254970687"/>
      <w:bookmarkStart w:id="215" w:name="_Toc254970546"/>
      <w:bookmarkStart w:id="216" w:name="_Toc17138"/>
      <w:bookmarkStart w:id="217" w:name="_Toc6053"/>
      <w:bookmarkStart w:id="218" w:name="_Toc11609"/>
      <w:bookmarkStart w:id="219" w:name="_Toc20927"/>
      <w:bookmarkStart w:id="220" w:name="_Toc16461"/>
      <w:r>
        <w:rPr>
          <w:rFonts w:hint="eastAsia" w:ascii="宋体" w:hAnsi="宋体" w:cs="宋体"/>
          <w:color w:val="auto"/>
          <w:highlight w:val="none"/>
        </w:rPr>
        <w:t>七、</w:t>
      </w:r>
      <w:bookmarkEnd w:id="214"/>
      <w:bookmarkEnd w:id="215"/>
      <w:r>
        <w:rPr>
          <w:rFonts w:hint="eastAsia" w:ascii="宋体" w:hAnsi="宋体" w:cs="宋体"/>
          <w:color w:val="auto"/>
          <w:highlight w:val="none"/>
        </w:rPr>
        <w:t>中标和合同</w:t>
      </w:r>
      <w:bookmarkEnd w:id="216"/>
      <w:bookmarkEnd w:id="217"/>
      <w:bookmarkEnd w:id="218"/>
      <w:bookmarkEnd w:id="219"/>
      <w:bookmarkEnd w:id="220"/>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30.确定中标人</w:t>
      </w:r>
    </w:p>
    <w:p>
      <w:pPr>
        <w:spacing w:line="360" w:lineRule="auto"/>
        <w:ind w:firstLine="420" w:firstLineChars="200"/>
        <w:rPr>
          <w:rFonts w:hint="eastAsia" w:ascii="宋体" w:hAnsi="宋体" w:cs="宋体"/>
          <w:b/>
          <w:bCs/>
          <w:color w:val="auto"/>
          <w:szCs w:val="21"/>
          <w:highlight w:val="none"/>
        </w:rPr>
      </w:pPr>
      <w:r>
        <w:rPr>
          <w:rFonts w:hint="eastAsia" w:ascii="宋体" w:hAnsi="宋体" w:cs="宋体"/>
          <w:color w:val="auto"/>
          <w:szCs w:val="21"/>
          <w:highlight w:val="none"/>
        </w:rPr>
        <w:t>30.1</w:t>
      </w:r>
      <w:r>
        <w:rPr>
          <w:rFonts w:hint="eastAsia" w:ascii="宋体" w:hAnsi="宋体" w:cs="宋体"/>
          <w:color w:val="auto"/>
          <w:highlight w:val="none"/>
        </w:rPr>
        <w:t>采购人在收到评标委员会出具的评标报告之日起5个工作日内在评标报告推荐的中标候选人名单中按顺序确定中标人。采购人也可以事先授权评标委员会直接确定中标人。</w:t>
      </w:r>
      <w:r>
        <w:rPr>
          <w:rFonts w:ascii="宋体" w:hAnsi="宋体" w:cs="宋体"/>
          <w:color w:val="auto"/>
          <w:highlight w:val="none"/>
        </w:rPr>
        <w:t>中标候选人并列的，由采购人或者采购人委托评标委员会按照</w:t>
      </w:r>
      <w:r>
        <w:rPr>
          <w:rFonts w:hint="eastAsia"/>
          <w:color w:val="auto"/>
          <w:highlight w:val="none"/>
        </w:rPr>
        <w:t>“投标人须知前附表”</w:t>
      </w:r>
      <w:r>
        <w:rPr>
          <w:rFonts w:ascii="宋体" w:hAnsi="宋体" w:cs="宋体"/>
          <w:color w:val="auto"/>
          <w:highlight w:val="none"/>
        </w:rPr>
        <w:t>规定的方式确定中标人；招标文件未规定的，采取随机抽取的方式确定。</w:t>
      </w:r>
      <w:r>
        <w:rPr>
          <w:rFonts w:hint="eastAsia" w:ascii="宋体" w:hAnsi="宋体" w:cs="宋体"/>
          <w:b/>
          <w:bCs/>
          <w:color w:val="auto"/>
          <w:szCs w:val="21"/>
          <w:highlight w:val="none"/>
        </w:rPr>
        <w:t xml:space="preserve">   </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30.2采购人、采购代理机构认为供应商对采购过程、中标结果提出的质疑成立且影响或者可能影响中标结果的，合格供应商符合法定数量时，可以从合格的中标候选人中另行确定中标人的，应当依法另行确定中标人；否则应当重新开展采购活动。</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30.3中标人无正当理由拒</w:t>
      </w:r>
      <w:bookmarkStart w:id="221" w:name="OLE_LINK7"/>
      <w:r>
        <w:rPr>
          <w:rFonts w:hint="eastAsia" w:ascii="宋体" w:hAnsi="宋体" w:cs="宋体"/>
          <w:color w:val="auto"/>
          <w:szCs w:val="21"/>
          <w:highlight w:val="none"/>
        </w:rPr>
        <w:t>签合同</w:t>
      </w:r>
      <w:bookmarkEnd w:id="221"/>
      <w:r>
        <w:rPr>
          <w:rFonts w:hint="eastAsia" w:ascii="宋体" w:hAnsi="宋体" w:cs="宋体"/>
          <w:color w:val="auto"/>
          <w:szCs w:val="21"/>
          <w:highlight w:val="none"/>
        </w:rPr>
        <w:t>的，根据《中华人民共和国政府采购法》</w:t>
      </w:r>
      <w:r>
        <w:rPr>
          <w:rFonts w:ascii="宋体" w:hAnsi="宋体" w:cs="宋体"/>
          <w:color w:val="auto"/>
          <w:szCs w:val="21"/>
          <w:highlight w:val="none"/>
        </w:rPr>
        <w:t>第七十七条第一款</w:t>
      </w:r>
      <w:r>
        <w:rPr>
          <w:rFonts w:hint="eastAsia" w:ascii="宋体" w:hAnsi="宋体" w:cs="宋体"/>
          <w:color w:val="auto"/>
          <w:szCs w:val="21"/>
          <w:highlight w:val="none"/>
        </w:rPr>
        <w:t>规定处理。</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30.4根据《</w:t>
      </w:r>
      <w:bookmarkStart w:id="222" w:name="OLE_LINK8"/>
      <w:r>
        <w:rPr>
          <w:rFonts w:hint="eastAsia" w:ascii="宋体" w:hAnsi="宋体" w:cs="宋体"/>
          <w:color w:val="auto"/>
          <w:szCs w:val="21"/>
          <w:highlight w:val="none"/>
        </w:rPr>
        <w:t>中华人民共和国民法典</w:t>
      </w:r>
      <w:bookmarkEnd w:id="222"/>
      <w:r>
        <w:rPr>
          <w:rFonts w:hint="eastAsia" w:ascii="宋体" w:hAnsi="宋体" w:cs="宋体"/>
          <w:color w:val="auto"/>
          <w:szCs w:val="21"/>
          <w:highlight w:val="none"/>
        </w:rPr>
        <w:t>》第</w:t>
      </w:r>
      <w:bookmarkStart w:id="223" w:name="OLE_LINK9"/>
      <w:r>
        <w:rPr>
          <w:rFonts w:hint="eastAsia" w:ascii="宋体" w:hAnsi="宋体" w:cs="宋体"/>
          <w:color w:val="auto"/>
          <w:szCs w:val="21"/>
          <w:highlight w:val="none"/>
        </w:rPr>
        <w:t>五百六十三</w:t>
      </w:r>
      <w:bookmarkEnd w:id="223"/>
      <w:r>
        <w:rPr>
          <w:rFonts w:hint="eastAsia" w:ascii="宋体" w:hAnsi="宋体" w:cs="宋体"/>
          <w:color w:val="auto"/>
          <w:szCs w:val="21"/>
          <w:highlight w:val="none"/>
        </w:rPr>
        <w:t>条，因不可抗力致使不能实现合同目的的，当事人可以解除合同。</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31. 结果公告</w:t>
      </w:r>
    </w:p>
    <w:p>
      <w:pPr>
        <w:spacing w:line="360" w:lineRule="auto"/>
        <w:ind w:firstLine="420" w:firstLineChars="200"/>
        <w:rPr>
          <w:rFonts w:hint="eastAsia" w:ascii="宋体" w:hAnsi="宋体" w:cs="宋体"/>
          <w:color w:val="auto"/>
          <w:highlight w:val="none"/>
        </w:rPr>
      </w:pPr>
      <w:r>
        <w:rPr>
          <w:rFonts w:hint="eastAsia" w:ascii="宋体" w:hAnsi="宋体" w:cs="宋体"/>
          <w:color w:val="auto"/>
          <w:szCs w:val="21"/>
          <w:highlight w:val="none"/>
        </w:rPr>
        <w:t>31.1</w:t>
      </w:r>
      <w:r>
        <w:rPr>
          <w:rFonts w:hint="eastAsia" w:ascii="宋体" w:hAnsi="宋体" w:cs="宋体"/>
          <w:color w:val="auto"/>
          <w:highlight w:val="none"/>
        </w:rPr>
        <w:t>在中标人确定之日起2个工作日内，由采购代理机构</w:t>
      </w:r>
      <w:r>
        <w:rPr>
          <w:rFonts w:hint="eastAsia" w:ascii="宋体" w:hAnsi="宋体" w:cs="宋体"/>
          <w:b/>
          <w:color w:val="auto"/>
          <w:szCs w:val="21"/>
          <w:highlight w:val="none"/>
        </w:rPr>
        <w:t>在招标公告发布媒体上</w:t>
      </w:r>
      <w:r>
        <w:rPr>
          <w:rFonts w:hint="eastAsia" w:ascii="宋体" w:hAnsi="宋体" w:cs="宋体"/>
          <w:color w:val="auto"/>
          <w:highlight w:val="none"/>
        </w:rPr>
        <w:t>发布中标结果公告，中标结果公告期限为1个工作日，发布中标结果公告的同时向中标人发出中标通知书。</w:t>
      </w:r>
      <w:r>
        <w:rPr>
          <w:rFonts w:hint="eastAsia" w:ascii="宋体" w:hAnsi="宋体" w:cs="宋体"/>
          <w:b/>
          <w:color w:val="auto"/>
          <w:szCs w:val="21"/>
          <w:highlight w:val="none"/>
        </w:rPr>
        <w:t>采购代理机构发出中标通知书前，应当对中标人信用进行核实，对列入失信被执行人、重大税收违法失信主体、政府采购严重违法失信行为记录名单及其他不符合《中华人民共和国政府采购法》第二十二条规定条件的投标人，取消其中标资格，并依法确定排名第二的中标候选人为中标人。</w:t>
      </w:r>
      <w:r>
        <w:rPr>
          <w:rFonts w:hint="eastAsia" w:ascii="宋体" w:hAnsi="宋体" w:cs="宋体"/>
          <w:color w:val="auto"/>
          <w:szCs w:val="21"/>
          <w:highlight w:val="none"/>
        </w:rPr>
        <w:t>排名第二的中标候选人因前款规定的同样原因被取消中标资格的，采购人可以依法确定排名第三的中标候选人为中标人，以此类推。</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以上信息查询记录及相关证据与采购文件一并保存。</w:t>
      </w:r>
    </w:p>
    <w:p>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31.2中小企业在政府采购活动过程中，请根据企业的真实情况出具《中小企业声明函》。依法享受中小企业扶持政策的，采购人或者采购代理机构在公告中标结果时，同时公告其《中小企业声明函》，接受社会监督。</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32.发出中标通知书</w:t>
      </w:r>
    </w:p>
    <w:p>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32.1在发布中标公告的同时，采购代理机构向中标人通过广西政府采购云平台发出电子中标通知书。</w:t>
      </w:r>
    </w:p>
    <w:p>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32.2对未通过资格审查的投标人，采购人或采购代理机构应当告知其未通过的原因；采用综合评分办法评审的，采购人或采购机构还应当告知未中标人本人的评审得分与排序。</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33. 无义务解释未中标原因</w:t>
      </w:r>
    </w:p>
    <w:p>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采购代理机构无义务向未中标的投标人解释未中标原因和退还投标文件。</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34.合同授予标准</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合同将授予被确定实质上响应招标文件要求，具备履行合同能力的中标人（招标文件另有约定多名中标人的除外）。</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35.履约保证金（如有）</w:t>
      </w:r>
    </w:p>
    <w:p>
      <w:pPr>
        <w:pStyle w:val="7"/>
        <w:keepNext w:val="0"/>
        <w:keepLines w:val="0"/>
        <w:spacing w:before="0" w:after="0" w:line="360" w:lineRule="auto"/>
        <w:ind w:firstLine="315" w:firstLineChars="150"/>
        <w:rPr>
          <w:rFonts w:hint="eastAsia" w:ascii="宋体" w:hAnsi="宋体" w:cs="宋体"/>
          <w:b w:val="0"/>
          <w:color w:val="auto"/>
          <w:sz w:val="21"/>
          <w:szCs w:val="21"/>
          <w:highlight w:val="none"/>
        </w:rPr>
      </w:pPr>
      <w:bookmarkStart w:id="224" w:name="_39.1中标人须于签订合同前按本须知前附表规定的金额转账或电汇到指定账"/>
      <w:bookmarkEnd w:id="224"/>
      <w:r>
        <w:rPr>
          <w:rFonts w:hint="eastAsia" w:ascii="宋体" w:hAnsi="宋体" w:cs="宋体"/>
          <w:b w:val="0"/>
          <w:color w:val="auto"/>
          <w:sz w:val="21"/>
          <w:szCs w:val="21"/>
          <w:highlight w:val="none"/>
        </w:rPr>
        <w:t xml:space="preserve"> 35.1 履约保证金的金额、提交方式、退付的时间和条件详见 “投标人须知前附表”。中标人未按规定提交履约保证金的，视为拒绝与采购人签订合同，采购人可以按照评标报告推荐的中标候选人名单排序，依法确定下一候选人为中标人，也可以重新开展政府采购活动。</w:t>
      </w:r>
    </w:p>
    <w:p>
      <w:pPr>
        <w:pStyle w:val="7"/>
        <w:keepNext w:val="0"/>
        <w:keepLines w:val="0"/>
        <w:spacing w:before="0" w:after="0" w:line="360" w:lineRule="auto"/>
        <w:ind w:firstLine="315" w:firstLineChars="15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 xml:space="preserve"> 35.2签订合同后，如中标人不按双方签订的合同规定履约，则没收其全部履约保证金，履约保证金不足以赔偿损失的，按实际损失赔偿。</w:t>
      </w:r>
    </w:p>
    <w:p>
      <w:pPr>
        <w:pStyle w:val="7"/>
        <w:keepNext w:val="0"/>
        <w:keepLines w:val="0"/>
        <w:spacing w:before="0" w:after="0" w:line="360" w:lineRule="auto"/>
        <w:ind w:firstLine="420" w:firstLine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35.3在履约保证金退还日期前，若中标人的开户名称、开户银行、账号有变动的，请以书面形式通知履约保证金收取单位，否则由此产生的后果由中标人自行承担。</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36.签订合同</w:t>
      </w:r>
    </w:p>
    <w:p>
      <w:pPr>
        <w:spacing w:line="360" w:lineRule="auto"/>
        <w:ind w:firstLine="420" w:firstLineChars="200"/>
        <w:rPr>
          <w:rFonts w:hint="eastAsia" w:ascii="宋体" w:hAnsi="宋体" w:cs="宋体"/>
          <w:color w:val="auto"/>
          <w:szCs w:val="21"/>
          <w:highlight w:val="none"/>
        </w:rPr>
      </w:pPr>
      <w:bookmarkStart w:id="225" w:name="_40.1投标人接到中标通知书后，按须知前附表规定向采购人出示相关资格证"/>
      <w:bookmarkEnd w:id="225"/>
      <w:r>
        <w:rPr>
          <w:rFonts w:hint="eastAsia" w:ascii="宋体" w:hAnsi="宋体" w:cs="宋体"/>
          <w:color w:val="auto"/>
          <w:szCs w:val="21"/>
          <w:highlight w:val="none"/>
        </w:rPr>
        <w:t>36.1中标人在中标通知书发出之日起，按规定的日期、时间、地点，由法定代表人或其授权代表与采购人代表签订采购合同。如中标人为联合体的，由联合体成员各方法定代表人或其授权代表与采购人代表签订合同，签订携带资料详见“投标人须知前附表”。</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zh-CN"/>
        </w:rPr>
        <w:t>36.2采购合同由采购人与中标人根据招标文件、投标文件等内容签订。</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36.3签订合同时间：按中标通知书规定的时间与采购人签订合同。</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36.4中标人拒绝与采购人签订合同的，采购人可以按照评审报告推荐的中标候选人名单排序，依法确定下一候选人为中标人，也可以重新开展政府采购活动。如采购人无正当理由拒签合同的，给中标人造成损失的，中标人可追究采购人承担相应的法律责任。</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36.5政府采购合同是政府采购项目验收的依据，中标人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36.6采购人或中标人不得单方面向合同另一方提出任何招标文件没有约定的条件或不合理的要求，作为签订合同的条件；也不得协商另行订立背离招标文件和合同实质性内容的协议。</w:t>
      </w:r>
    </w:p>
    <w:p>
      <w:pPr>
        <w:spacing w:line="360" w:lineRule="auto"/>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36.7如签订合同并生效后，中标人无故拒绝或延期，除按照合同条款处理外，将承担相应的法律责任。</w:t>
      </w:r>
    </w:p>
    <w:p>
      <w:pPr>
        <w:spacing w:line="360" w:lineRule="auto"/>
        <w:ind w:firstLine="480" w:firstLineChars="200"/>
        <w:rPr>
          <w:rFonts w:hint="eastAsia" w:ascii="宋体" w:hAnsi="宋体" w:cs="宋体"/>
          <w:color w:val="auto"/>
          <w:sz w:val="24"/>
          <w:highlight w:val="none"/>
        </w:rPr>
      </w:pPr>
      <w:bookmarkStart w:id="226" w:name="_41.政府采购合同公告"/>
      <w:bookmarkEnd w:id="226"/>
      <w:r>
        <w:rPr>
          <w:rFonts w:hint="eastAsia" w:ascii="宋体" w:hAnsi="宋体" w:cs="宋体"/>
          <w:color w:val="auto"/>
          <w:sz w:val="24"/>
          <w:highlight w:val="none"/>
        </w:rPr>
        <w:t>37.政府采购合同公告</w:t>
      </w:r>
    </w:p>
    <w:p>
      <w:pPr>
        <w:spacing w:line="360" w:lineRule="auto"/>
        <w:ind w:firstLine="420" w:firstLineChars="200"/>
        <w:rPr>
          <w:rFonts w:hint="eastAsia" w:ascii="宋体" w:hAnsi="宋体" w:cs="宋体"/>
          <w:color w:val="auto"/>
          <w:highlight w:val="none"/>
        </w:rPr>
      </w:pPr>
      <w:r>
        <w:rPr>
          <w:rFonts w:hint="eastAsia" w:cs="宋体"/>
          <w:color w:val="auto"/>
          <w:kern w:val="1"/>
          <w:highlight w:val="none"/>
        </w:rPr>
        <w:t>采购人应当自政府采购合同签订之日起2个工作日内，将政府采购合同</w:t>
      </w:r>
      <w:r>
        <w:rPr>
          <w:rFonts w:hint="eastAsia" w:ascii="宋体" w:hAnsi="宋体" w:cs="宋体"/>
          <w:bCs/>
          <w:color w:val="auto"/>
          <w:kern w:val="1"/>
          <w:highlight w:val="none"/>
        </w:rPr>
        <w:t>在</w:t>
      </w:r>
      <w:r>
        <w:rPr>
          <w:rFonts w:hint="eastAsia"/>
          <w:color w:val="auto"/>
          <w:highlight w:val="none"/>
        </w:rPr>
        <w:t>省级以上人民政府财政部门指定的</w:t>
      </w:r>
      <w:r>
        <w:rPr>
          <w:rFonts w:hint="eastAsia" w:ascii="宋体" w:hAnsi="宋体" w:cs="宋体"/>
          <w:bCs/>
          <w:color w:val="auto"/>
          <w:kern w:val="1"/>
          <w:highlight w:val="none"/>
        </w:rPr>
        <w:t>媒体上</w:t>
      </w:r>
      <w:r>
        <w:rPr>
          <w:rFonts w:hint="eastAsia" w:cs="宋体"/>
          <w:color w:val="auto"/>
          <w:kern w:val="1"/>
          <w:highlight w:val="none"/>
        </w:rPr>
        <w:t>公告，</w:t>
      </w:r>
      <w:r>
        <w:rPr>
          <w:rFonts w:cs="宋体"/>
          <w:color w:val="auto"/>
          <w:kern w:val="1"/>
          <w:highlight w:val="none"/>
        </w:rPr>
        <w:t>但政府采购合同中涉及国家秘密、商业秘密的内容除外。</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38. 询问、质疑和投诉</w:t>
      </w:r>
    </w:p>
    <w:p>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38.1询问</w:t>
      </w:r>
    </w:p>
    <w:p>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38.1.1供应商在开标前对政府采购活动事项有疑问的，可以向采购人或采购代理机构项目负责人提出询问。</w:t>
      </w:r>
    </w:p>
    <w:p>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38.1.2采购人或采购人委托的采购代理机构自受理询问之日起3个工作日内对供应商依法提出的询问作出答复，</w:t>
      </w:r>
      <w:r>
        <w:rPr>
          <w:rFonts w:hint="eastAsia" w:ascii="宋体" w:hAnsi="宋体" w:cs="宋体"/>
          <w:color w:val="auto"/>
          <w:highlight w:val="none"/>
        </w:rPr>
        <w:t>但答复内容不得涉及商业秘密</w:t>
      </w:r>
      <w:r>
        <w:rPr>
          <w:rFonts w:hint="eastAsia" w:ascii="宋体" w:hAnsi="宋体" w:cs="宋体"/>
          <w:bCs/>
          <w:color w:val="auto"/>
          <w:szCs w:val="21"/>
          <w:highlight w:val="none"/>
        </w:rPr>
        <w:t>。</w:t>
      </w:r>
    </w:p>
    <w:p>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38.1.3 询问事项可能影响中标结果的，采购人应当暂停签订合同，已经签订合同的，应当中止履行合同。</w:t>
      </w:r>
    </w:p>
    <w:p>
      <w:pPr>
        <w:spacing w:line="360" w:lineRule="auto"/>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 xml:space="preserve"> </w:t>
      </w:r>
      <w:r>
        <w:rPr>
          <w:rFonts w:hint="eastAsia" w:ascii="宋体" w:hAnsi="宋体" w:cs="宋体"/>
          <w:color w:val="auto"/>
          <w:szCs w:val="21"/>
          <w:highlight w:val="none"/>
        </w:rPr>
        <w:t>38.2质疑</w:t>
      </w:r>
    </w:p>
    <w:p>
      <w:pPr>
        <w:spacing w:line="360" w:lineRule="auto"/>
        <w:ind w:firstLine="420" w:firstLineChars="200"/>
        <w:rPr>
          <w:rFonts w:hint="eastAsia" w:ascii="宋体" w:hAnsi="宋体" w:cs="宋体"/>
          <w:b/>
          <w:color w:val="auto"/>
          <w:szCs w:val="21"/>
          <w:highlight w:val="none"/>
        </w:rPr>
      </w:pPr>
      <w:r>
        <w:rPr>
          <w:rFonts w:hint="eastAsia" w:ascii="宋体" w:hAnsi="宋体" w:cs="宋体"/>
          <w:bCs/>
          <w:color w:val="auto"/>
          <w:szCs w:val="21"/>
          <w:highlight w:val="none"/>
        </w:rPr>
        <w:t>38.2.1</w:t>
      </w:r>
      <w:r>
        <w:rPr>
          <w:rFonts w:hint="eastAsia" w:ascii="宋体" w:hAnsi="宋体" w:cs="宋体"/>
          <w:b/>
          <w:color w:val="auto"/>
          <w:szCs w:val="21"/>
          <w:highlight w:val="none"/>
        </w:rPr>
        <w:t xml:space="preserve">供应商认为招标文件、采购过程或者中标结果使自己的合法权益受到损害的，必须在知道或者应知其权益受到损害之日起7个工作日内，以书面形式向采购人或采购代理机构提出质疑，质疑有效期结束后，采购人或采购代理机构不再受理该项目质疑。采购人、采购代理机构接收质疑函的方式、联系部门、联系电话和通讯地址等信息详见“投标人须知前附表”。具体质疑起算时间及处理方式如下： </w:t>
      </w:r>
    </w:p>
    <w:p>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（1）潜在供应商依法获取招标文件后，认为采购文件使自己的权益受到损害的，应当在招标文件公告期限届满之日起7个工作日内提出质疑。</w:t>
      </w:r>
    </w:p>
    <w:p>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采购代理机构提出，由采购人或采购代理机构受理并负责答复；对采购过程中采购执行程序的质疑由采购代理机构受理并负责答复。</w:t>
      </w:r>
    </w:p>
    <w:p>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（3）供应商认为中标或者成交结果使自己的权益受到损害的，应当在中标或者成交结果公告期限届满之日起7个工作日内提出质疑，由采购人受理并负责答复。</w:t>
      </w:r>
    </w:p>
    <w:p>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38.2.2供应商质疑实行实名制，其质疑应当有具体的质疑事项及事实根据，质疑应当坚持依法依规、诚实信用原则，不得进行虚假、恶意质疑。</w:t>
      </w:r>
    </w:p>
    <w:p>
      <w:pPr>
        <w:spacing w:line="360" w:lineRule="auto"/>
        <w:ind w:firstLine="420" w:firstLineChars="200"/>
        <w:rPr>
          <w:rFonts w:hint="eastAsia" w:ascii="宋体" w:hAnsi="宋体" w:cs="宋体"/>
          <w:bCs/>
          <w:color w:val="auto"/>
          <w:highlight w:val="none"/>
        </w:rPr>
      </w:pPr>
      <w:r>
        <w:rPr>
          <w:rFonts w:hint="eastAsia" w:ascii="宋体" w:hAnsi="宋体" w:cs="宋体"/>
          <w:bCs/>
          <w:color w:val="auto"/>
          <w:szCs w:val="21"/>
          <w:highlight w:val="none"/>
        </w:rPr>
        <w:t>38.2.3</w:t>
      </w:r>
      <w:r>
        <w:rPr>
          <w:rFonts w:hint="eastAsia" w:ascii="宋体" w:hAnsi="宋体" w:cs="宋体"/>
          <w:bCs/>
          <w:color w:val="auto"/>
          <w:highlight w:val="none"/>
        </w:rPr>
        <w:t xml:space="preserve"> 质疑供应商可以委托代理人办理质疑事务。委托代理人应熟悉相关业务情况。代理人办理质疑事务时，除提交质疑书外，还应当提交质疑供应商的授权委托书和委托代理人身份证明复印件</w:t>
      </w:r>
      <w:r>
        <w:rPr>
          <w:rFonts w:hint="eastAsia" w:ascii="宋体" w:hAnsi="宋体" w:cs="宋体"/>
          <w:color w:val="auto"/>
          <w:highlight w:val="none"/>
        </w:rPr>
        <w:t>。</w:t>
      </w:r>
    </w:p>
    <w:p>
      <w:pPr>
        <w:spacing w:line="360" w:lineRule="auto"/>
        <w:ind w:firstLine="422" w:firstLineChars="200"/>
        <w:rPr>
          <w:rFonts w:hint="eastAsia" w:ascii="宋体" w:hAnsi="宋体" w:cs="宋体"/>
          <w:b/>
          <w:bCs/>
          <w:color w:val="auto"/>
          <w:highlight w:val="none"/>
        </w:rPr>
      </w:pPr>
      <w:r>
        <w:rPr>
          <w:rFonts w:hint="eastAsia" w:ascii="宋体" w:hAnsi="宋体" w:cs="宋体"/>
          <w:b/>
          <w:bCs/>
          <w:color w:val="auto"/>
          <w:highlight w:val="none"/>
        </w:rPr>
        <w:t>38.2.4 质疑供应商提起质疑应当符合下列条件：</w:t>
      </w:r>
    </w:p>
    <w:p>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（1）质疑供应商是参与所质疑</w:t>
      </w:r>
      <w:r>
        <w:rPr>
          <w:rFonts w:hint="eastAsia" w:ascii="宋体" w:hAnsi="宋体" w:cs="宋体"/>
          <w:bCs/>
          <w:color w:val="auto"/>
          <w:szCs w:val="21"/>
          <w:highlight w:val="none"/>
        </w:rPr>
        <w:t>项目</w:t>
      </w:r>
      <w:r>
        <w:rPr>
          <w:rFonts w:hint="eastAsia" w:ascii="宋体" w:hAnsi="宋体" w:cs="宋体"/>
          <w:bCs/>
          <w:color w:val="auto"/>
          <w:highlight w:val="none"/>
        </w:rPr>
        <w:t>采购活动的供应商（潜在供应商已依法获取可质疑的采购文件的，可以对该采购文件质疑）；</w:t>
      </w:r>
    </w:p>
    <w:p>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（2）质疑函内容符合本章第38.2.5项的规定；</w:t>
      </w:r>
    </w:p>
    <w:p>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（3）在质疑有效期限内提起质疑；</w:t>
      </w:r>
    </w:p>
    <w:p>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 xml:space="preserve">（4）属于所质疑的采购人或采购人委托的采购代理机构组织的采购活动； </w:t>
      </w:r>
    </w:p>
    <w:p>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（5）供应商对同一采购程序环节的质疑应当在质疑有效期内一次性提出；</w:t>
      </w:r>
    </w:p>
    <w:p>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（6）供应商提交质疑应当提交必要的证明材料，证明材料应以合法手段取得；</w:t>
      </w:r>
    </w:p>
    <w:p>
      <w:pPr>
        <w:spacing w:line="360" w:lineRule="auto"/>
        <w:ind w:firstLine="420" w:firstLineChars="200"/>
        <w:rPr>
          <w:rFonts w:hint="eastAsia" w:ascii="宋体" w:hAnsi="宋体" w:cs="宋体"/>
          <w:color w:val="auto"/>
          <w:highlight w:val="none"/>
        </w:rPr>
      </w:pPr>
      <w:r>
        <w:rPr>
          <w:rFonts w:hint="eastAsia" w:ascii="宋体" w:hAnsi="宋体" w:cs="宋体"/>
          <w:bCs/>
          <w:color w:val="auto"/>
          <w:highlight w:val="none"/>
        </w:rPr>
        <w:t>（7）财政部门规定的其他条件。</w:t>
      </w:r>
    </w:p>
    <w:p>
      <w:pPr>
        <w:spacing w:line="360" w:lineRule="auto"/>
        <w:ind w:firstLine="422" w:firstLineChars="200"/>
        <w:rPr>
          <w:rFonts w:hint="eastAsia" w:ascii="宋体" w:hAnsi="宋体" w:cs="宋体"/>
          <w:b/>
          <w:color w:val="auto"/>
          <w:szCs w:val="21"/>
          <w:highlight w:val="none"/>
        </w:rPr>
      </w:pPr>
      <w:bookmarkStart w:id="227" w:name="_9.2质疑、投诉应当采用书面形式，质疑函、投诉书均应明确阐述招标文件、"/>
      <w:bookmarkEnd w:id="227"/>
      <w:r>
        <w:rPr>
          <w:rFonts w:hint="eastAsia" w:ascii="宋体" w:hAnsi="宋体" w:cs="宋体"/>
          <w:b/>
          <w:bCs/>
          <w:color w:val="auto"/>
          <w:szCs w:val="21"/>
          <w:highlight w:val="none"/>
        </w:rPr>
        <w:t xml:space="preserve"> 38.2.5 </w:t>
      </w:r>
      <w:r>
        <w:rPr>
          <w:rFonts w:hint="eastAsia" w:ascii="宋体" w:hAnsi="宋体" w:cs="宋体"/>
          <w:b/>
          <w:color w:val="auto"/>
          <w:highlight w:val="none"/>
        </w:rPr>
        <w:t>供应商提出质疑应当提交质疑函和必要的证明材料，针对同一采购程序环节的质疑必须在法定质疑期内一次性提出。质疑函应当包括下列内容（质疑函格式后附）</w:t>
      </w:r>
      <w:r>
        <w:rPr>
          <w:rFonts w:hint="eastAsia" w:ascii="宋体" w:hAnsi="宋体" w:cs="宋体"/>
          <w:bCs/>
          <w:color w:val="auto"/>
          <w:highlight w:val="none"/>
        </w:rPr>
        <w:t>：</w:t>
      </w:r>
    </w:p>
    <w:p>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（1）供应商的姓名或者名称、地址、邮编、联系人及联系电话；</w:t>
      </w:r>
    </w:p>
    <w:p>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（2）质疑项目的名称、编号；</w:t>
      </w:r>
    </w:p>
    <w:p>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（3）具体、明确的质疑事项和与质疑事项相关的请求；</w:t>
      </w:r>
    </w:p>
    <w:p>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（4）事实依据（列明权益受到损害的事实和理由）；</w:t>
      </w:r>
    </w:p>
    <w:p>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（5）必要的法律依据；</w:t>
      </w:r>
    </w:p>
    <w:p>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（6）提出质疑的日期。</w:t>
      </w:r>
    </w:p>
    <w:p>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供应商为自然人的，应当由本人签字；供应商为法人或者其他组织的，应当由法定代表人、主要负责人，或者其委托代理人签字或者盖章，并加盖公章。</w:t>
      </w:r>
    </w:p>
    <w:p>
      <w:pPr>
        <w:spacing w:line="360" w:lineRule="auto"/>
        <w:ind w:firstLine="422" w:firstLineChars="200"/>
        <w:rPr>
          <w:rFonts w:hint="eastAsia" w:ascii="宋体" w:hAnsi="宋体" w:cs="宋体"/>
          <w:b/>
          <w:color w:val="auto"/>
          <w:szCs w:val="20"/>
          <w:highlight w:val="none"/>
        </w:rPr>
      </w:pPr>
      <w:r>
        <w:rPr>
          <w:rFonts w:hint="eastAsia" w:ascii="宋体" w:hAnsi="宋体" w:cs="宋体"/>
          <w:b/>
          <w:color w:val="auto"/>
          <w:szCs w:val="20"/>
          <w:highlight w:val="none"/>
        </w:rPr>
        <w:t>38.2.6采购人或采购人委托的采购代理机构在收到质疑函后7个工作日内作出答复，并以书面形式通知质疑供应商及其他有关供应商。对不符合质疑条件的质疑，答复不予受理，并说明理由；对符合质疑条件的质疑，对质疑事项作出答复</w:t>
      </w:r>
      <w:r>
        <w:rPr>
          <w:rFonts w:hint="eastAsia" w:ascii="宋体" w:hAnsi="宋体" w:cs="宋体"/>
          <w:bCs/>
          <w:color w:val="auto"/>
          <w:highlight w:val="none"/>
        </w:rPr>
        <w:t>。</w:t>
      </w:r>
    </w:p>
    <w:p>
      <w:pPr>
        <w:spacing w:line="360" w:lineRule="auto"/>
        <w:ind w:firstLine="420" w:firstLineChars="200"/>
        <w:rPr>
          <w:rFonts w:hint="eastAsia" w:ascii="宋体" w:hAnsi="宋体" w:cs="宋体"/>
          <w:bCs/>
          <w:color w:val="auto"/>
          <w:szCs w:val="21"/>
          <w:highlight w:val="none"/>
        </w:rPr>
      </w:pPr>
      <w:r>
        <w:rPr>
          <w:rFonts w:hint="eastAsia" w:ascii="宋体" w:hAnsi="宋体" w:cs="宋体"/>
          <w:color w:val="auto"/>
          <w:szCs w:val="21"/>
          <w:highlight w:val="none"/>
        </w:rPr>
        <w:t>3</w:t>
      </w:r>
      <w:r>
        <w:rPr>
          <w:rFonts w:hint="eastAsia" w:ascii="宋体" w:hAnsi="宋体" w:cs="宋体"/>
          <w:bCs/>
          <w:color w:val="auto"/>
          <w:szCs w:val="21"/>
          <w:highlight w:val="none"/>
        </w:rPr>
        <w:t>8.2.7采购人、采购代理机构认为供应商质疑不成立，或者成立但未对中标结果构成影响的，继续开展采购活动；认为供应商质疑成立且影响或者可能影响中标结果的，按照下列情况处理：</w:t>
      </w:r>
    </w:p>
    <w:p>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　　（一）对招标文件提出的质疑，依法通过澄清或者修改可以继续开展采购活动的，澄清或者修改招标文件后继续开展采购活动；否则应当修改招标文件后重新开展采购活动。</w:t>
      </w:r>
    </w:p>
    <w:p>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　　（二）对采购过程、中标结果提出的质疑，合格供应商符合法定数量时，可以从合格的中标候选人中另行确定中标供应商的，应当依法另行确定中标供应商；否则应当重新开展采购活动。</w:t>
      </w:r>
    </w:p>
    <w:p>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质疑答复导致中标结果改变的，采购人或者采购代理机构应当将有关情况书面报告</w:t>
      </w:r>
      <w:r>
        <w:rPr>
          <w:rFonts w:hint="eastAsia" w:ascii="宋体" w:hAnsi="宋体" w:cs="宋体"/>
          <w:color w:val="auto"/>
          <w:szCs w:val="21"/>
          <w:highlight w:val="none"/>
        </w:rPr>
        <w:t>本级财政部门</w:t>
      </w:r>
      <w:r>
        <w:rPr>
          <w:rFonts w:hint="eastAsia" w:ascii="宋体" w:hAnsi="宋体" w:cs="宋体"/>
          <w:bCs/>
          <w:color w:val="auto"/>
          <w:highlight w:val="none"/>
        </w:rPr>
        <w:t>。</w:t>
      </w:r>
    </w:p>
    <w:p>
      <w:pPr>
        <w:spacing w:line="360" w:lineRule="auto"/>
        <w:ind w:firstLine="422" w:firstLineChars="200"/>
        <w:rPr>
          <w:rFonts w:hint="eastAsia" w:ascii="宋体" w:hAnsi="宋体" w:cs="宋体"/>
          <w:b/>
          <w:color w:val="auto"/>
          <w:highlight w:val="none"/>
        </w:rPr>
      </w:pPr>
      <w:r>
        <w:rPr>
          <w:rFonts w:hint="eastAsia" w:ascii="宋体" w:hAnsi="宋体" w:cs="宋体"/>
          <w:b/>
          <w:color w:val="auto"/>
          <w:highlight w:val="none"/>
        </w:rPr>
        <w:t>38.3投诉</w:t>
      </w:r>
    </w:p>
    <w:p>
      <w:pPr>
        <w:spacing w:line="360" w:lineRule="auto"/>
        <w:ind w:firstLine="422" w:firstLineChars="200"/>
        <w:rPr>
          <w:rFonts w:hint="eastAsia" w:ascii="宋体" w:hAnsi="宋体" w:cs="宋体"/>
          <w:bCs/>
          <w:color w:val="auto"/>
          <w:highlight w:val="none"/>
        </w:rPr>
      </w:pPr>
      <w:r>
        <w:rPr>
          <w:rFonts w:hint="eastAsia" w:ascii="宋体" w:hAnsi="宋体" w:cs="宋体"/>
          <w:b/>
          <w:color w:val="auto"/>
          <w:highlight w:val="none"/>
        </w:rPr>
        <w:t>38.3</w:t>
      </w:r>
      <w:r>
        <w:rPr>
          <w:rFonts w:hint="eastAsia" w:ascii="宋体" w:hAnsi="宋体" w:cs="宋体"/>
          <w:bCs/>
          <w:color w:val="auto"/>
          <w:highlight w:val="none"/>
        </w:rPr>
        <w:t>.</w:t>
      </w:r>
      <w:r>
        <w:rPr>
          <w:rFonts w:hint="eastAsia" w:ascii="宋体" w:hAnsi="宋体" w:cs="宋体"/>
          <w:b/>
          <w:bCs/>
          <w:color w:val="auto"/>
          <w:highlight w:val="none"/>
        </w:rPr>
        <w:t xml:space="preserve">1 </w:t>
      </w:r>
      <w:r>
        <w:rPr>
          <w:rFonts w:hint="eastAsia" w:ascii="宋体" w:hAnsi="宋体" w:cs="宋体"/>
          <w:bCs/>
          <w:color w:val="auto"/>
          <w:highlight w:val="none"/>
        </w:rPr>
        <w:t xml:space="preserve"> 供应商认为采购文件、采购过程、中标和成交结果使自己的合法权益受到损害的，应当首先依法向采购人或采购人委托的</w:t>
      </w:r>
      <w:r>
        <w:rPr>
          <w:rFonts w:hint="eastAsia" w:ascii="宋体" w:hAnsi="宋体" w:cs="宋体"/>
          <w:color w:val="auto"/>
          <w:highlight w:val="none"/>
        </w:rPr>
        <w:t>采购代理机构</w:t>
      </w:r>
      <w:r>
        <w:rPr>
          <w:rFonts w:hint="eastAsia" w:ascii="宋体" w:hAnsi="宋体" w:cs="宋体"/>
          <w:bCs/>
          <w:color w:val="auto"/>
          <w:highlight w:val="none"/>
        </w:rPr>
        <w:t>提出质疑。对采购人或</w:t>
      </w:r>
      <w:r>
        <w:rPr>
          <w:rFonts w:hint="eastAsia" w:ascii="宋体" w:hAnsi="宋体" w:cs="宋体"/>
          <w:color w:val="auto"/>
          <w:highlight w:val="none"/>
        </w:rPr>
        <w:t>采购代理机构</w:t>
      </w:r>
      <w:r>
        <w:rPr>
          <w:rFonts w:hint="eastAsia" w:ascii="宋体" w:hAnsi="宋体" w:cs="宋体"/>
          <w:bCs/>
          <w:color w:val="auto"/>
          <w:highlight w:val="none"/>
        </w:rPr>
        <w:t>的答复不满意，或者采购人或</w:t>
      </w:r>
      <w:r>
        <w:rPr>
          <w:rFonts w:hint="eastAsia" w:ascii="宋体" w:hAnsi="宋体" w:cs="宋体"/>
          <w:color w:val="auto"/>
          <w:highlight w:val="none"/>
        </w:rPr>
        <w:t>采购代理机构</w:t>
      </w:r>
      <w:r>
        <w:rPr>
          <w:rFonts w:hint="eastAsia" w:ascii="宋体" w:hAnsi="宋体" w:cs="宋体"/>
          <w:bCs/>
          <w:color w:val="auto"/>
          <w:highlight w:val="none"/>
        </w:rPr>
        <w:t>未在规定期限内做出答复的，供应商可以在答复期满后15个工作日内向本级财政部门提起投诉，投诉联系方式见“投标人须知前附表”。</w:t>
      </w:r>
    </w:p>
    <w:p>
      <w:pPr>
        <w:spacing w:line="360" w:lineRule="auto"/>
        <w:ind w:firstLine="422" w:firstLineChars="200"/>
        <w:rPr>
          <w:rFonts w:hint="eastAsia" w:ascii="宋体" w:hAnsi="宋体" w:cs="宋体"/>
          <w:b/>
          <w:color w:val="auto"/>
          <w:highlight w:val="none"/>
        </w:rPr>
      </w:pPr>
      <w:r>
        <w:rPr>
          <w:rFonts w:hint="eastAsia" w:ascii="宋体" w:hAnsi="宋体" w:cs="宋体"/>
          <w:b/>
          <w:color w:val="auto"/>
          <w:highlight w:val="none"/>
        </w:rPr>
        <w:t>38.3.2  投诉人投诉时，应当提交投诉书，并按照被投诉采购人、采购代理机构和与投诉事项有关的供应商数量提供投诉书的副本。投诉书</w:t>
      </w:r>
      <w:r>
        <w:rPr>
          <w:rFonts w:hint="eastAsia" w:ascii="宋体" w:hAnsi="宋体" w:cs="宋体"/>
          <w:b/>
          <w:color w:val="auto"/>
          <w:szCs w:val="21"/>
          <w:highlight w:val="none"/>
        </w:rPr>
        <w:t>应当包括下列主要内容</w:t>
      </w:r>
      <w:r>
        <w:rPr>
          <w:rFonts w:hint="eastAsia" w:ascii="宋体" w:hAnsi="宋体" w:cs="宋体"/>
          <w:b/>
          <w:color w:val="auto"/>
          <w:highlight w:val="none"/>
        </w:rPr>
        <w:t>（如材料中有外文资料应同时附上对应的中文译本）（投诉书格式后附）</w:t>
      </w:r>
      <w:r>
        <w:rPr>
          <w:rFonts w:hint="eastAsia" w:ascii="宋体" w:hAnsi="宋体" w:cs="宋体"/>
          <w:b/>
          <w:color w:val="auto"/>
          <w:szCs w:val="21"/>
          <w:highlight w:val="none"/>
        </w:rPr>
        <w:t>：</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 xml:space="preserve">（1）投诉人和被投诉人的名称、地址、邮编、联系人及联系电话等； </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 xml:space="preserve">（2）质疑和质疑答复情况及相关证明材料； </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（3）具体、明确的投诉事项和与投诉事项相关的投诉请求；</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（4）事实依据；</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（5）法律依据；</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（6）提起投诉的日期。</w:t>
      </w:r>
      <w:r>
        <w:rPr>
          <w:rFonts w:hint="eastAsia" w:ascii="宋体" w:hAnsi="宋体" w:cs="宋体"/>
          <w:color w:val="auto"/>
          <w:highlight w:val="none"/>
        </w:rPr>
        <w:tab/>
      </w:r>
    </w:p>
    <w:p>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投诉人为自然人的，应当由本人签字；投诉人为法人或者其他组织的，应当由法定代表人、主要负责人，或者其授权代表签字或者盖章，并加盖公章。</w:t>
      </w:r>
    </w:p>
    <w:p>
      <w:pPr>
        <w:spacing w:line="360" w:lineRule="auto"/>
        <w:ind w:firstLine="422" w:firstLineChars="200"/>
        <w:rPr>
          <w:rFonts w:hint="eastAsia" w:ascii="宋体" w:hAnsi="宋体" w:cs="宋体"/>
          <w:bCs/>
          <w:color w:val="auto"/>
          <w:highlight w:val="none"/>
        </w:rPr>
      </w:pPr>
      <w:r>
        <w:rPr>
          <w:rFonts w:hint="eastAsia" w:ascii="宋体" w:hAnsi="宋体" w:cs="宋体"/>
          <w:b/>
          <w:color w:val="auto"/>
          <w:highlight w:val="none"/>
        </w:rPr>
        <w:t xml:space="preserve">38.3.3  </w:t>
      </w:r>
      <w:r>
        <w:rPr>
          <w:rFonts w:hint="eastAsia" w:ascii="宋体" w:hAnsi="宋体" w:cs="宋体"/>
          <w:color w:val="auto"/>
          <w:highlight w:val="none"/>
        </w:rPr>
        <w:t>投诉人可以委托代理人办理投诉事务。</w:t>
      </w:r>
      <w:r>
        <w:rPr>
          <w:rFonts w:hint="eastAsia" w:ascii="宋体" w:hAnsi="宋体" w:cs="宋体"/>
          <w:bCs/>
          <w:color w:val="auto"/>
          <w:highlight w:val="none"/>
        </w:rPr>
        <w:t>委托代理人应熟悉相关业务情况。</w:t>
      </w:r>
      <w:r>
        <w:rPr>
          <w:rFonts w:hint="eastAsia" w:ascii="宋体" w:hAnsi="宋体" w:cs="宋体"/>
          <w:color w:val="auto"/>
          <w:highlight w:val="none"/>
        </w:rPr>
        <w:t>代理人办理投诉事务时，除提交投诉书外，还应当提交投诉人的授权委托书和委托代理人身份证明复印件。</w:t>
      </w:r>
    </w:p>
    <w:p>
      <w:pPr>
        <w:spacing w:line="360" w:lineRule="auto"/>
        <w:ind w:firstLine="422" w:firstLineChars="200"/>
        <w:rPr>
          <w:rFonts w:hint="eastAsia" w:ascii="宋体" w:hAnsi="宋体" w:cs="宋体"/>
          <w:color w:val="auto"/>
          <w:highlight w:val="none"/>
        </w:rPr>
      </w:pPr>
      <w:r>
        <w:rPr>
          <w:rFonts w:hint="eastAsia" w:ascii="宋体" w:hAnsi="宋体" w:cs="宋体"/>
          <w:b/>
          <w:color w:val="auto"/>
          <w:highlight w:val="none"/>
        </w:rPr>
        <w:t>38.3.4</w:t>
      </w:r>
      <w:r>
        <w:rPr>
          <w:rFonts w:hint="eastAsia" w:ascii="宋体" w:hAnsi="宋体" w:cs="宋体"/>
          <w:color w:val="auto"/>
          <w:highlight w:val="none"/>
        </w:rPr>
        <w:t xml:space="preserve">  投诉人提起投诉应当符合下列条件：</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（1）投诉人是参与所投诉政府采购活动的供应商；</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（2）提起投诉前已依法进行质疑；</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（3）投诉书内容符合本章第38.3.2项的规定；</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（4）在投诉有效期限内提起投诉；</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（5）同一投诉事项未经</w:t>
      </w:r>
      <w:r>
        <w:rPr>
          <w:rFonts w:hint="eastAsia" w:ascii="宋体" w:hAnsi="宋体" w:cs="宋体"/>
          <w:bCs/>
          <w:color w:val="auto"/>
          <w:highlight w:val="none"/>
        </w:rPr>
        <w:t>财政部门</w:t>
      </w:r>
      <w:r>
        <w:rPr>
          <w:rFonts w:hint="eastAsia" w:ascii="宋体" w:hAnsi="宋体" w:cs="宋体"/>
          <w:color w:val="auto"/>
          <w:highlight w:val="none"/>
        </w:rPr>
        <w:t>投诉处理；</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（6）国务院财政部门规定的其他条件。</w:t>
      </w:r>
    </w:p>
    <w:p>
      <w:pPr>
        <w:pStyle w:val="5"/>
        <w:spacing w:line="360" w:lineRule="auto"/>
        <w:ind w:firstLine="4498" w:firstLineChars="1400"/>
        <w:rPr>
          <w:rFonts w:hint="eastAsia" w:ascii="宋体" w:hAnsi="宋体" w:cs="宋体"/>
          <w:color w:val="auto"/>
          <w:highlight w:val="none"/>
        </w:rPr>
      </w:pPr>
      <w:bookmarkStart w:id="228" w:name="_Toc18873"/>
      <w:bookmarkStart w:id="229" w:name="_Toc22303"/>
      <w:bookmarkStart w:id="230" w:name="_Toc17503"/>
      <w:bookmarkStart w:id="231" w:name="_Toc28886"/>
      <w:bookmarkStart w:id="232" w:name="_Toc17335"/>
      <w:r>
        <w:rPr>
          <w:rFonts w:hint="eastAsia" w:ascii="宋体" w:hAnsi="宋体" w:cs="宋体"/>
          <w:color w:val="auto"/>
          <w:highlight w:val="none"/>
        </w:rPr>
        <w:t>八、验收</w:t>
      </w:r>
      <w:bookmarkEnd w:id="228"/>
      <w:bookmarkEnd w:id="229"/>
      <w:bookmarkEnd w:id="230"/>
      <w:bookmarkEnd w:id="231"/>
      <w:bookmarkEnd w:id="232"/>
    </w:p>
    <w:p>
      <w:pPr>
        <w:spacing w:line="360" w:lineRule="auto"/>
        <w:ind w:firstLine="422" w:firstLineChars="200"/>
        <w:rPr>
          <w:rFonts w:hint="eastAsia" w:ascii="宋体" w:hAnsi="宋体" w:cs="宋体"/>
          <w:b/>
          <w:color w:val="auto"/>
          <w:highlight w:val="none"/>
        </w:rPr>
      </w:pPr>
      <w:r>
        <w:rPr>
          <w:rFonts w:hint="eastAsia" w:ascii="宋体" w:hAnsi="宋体" w:cs="宋体"/>
          <w:b/>
          <w:color w:val="auto"/>
          <w:highlight w:val="none"/>
        </w:rPr>
        <w:t>39.验收</w:t>
      </w:r>
    </w:p>
    <w:p>
      <w:pPr>
        <w:tabs>
          <w:tab w:val="left" w:pos="0"/>
        </w:tabs>
        <w:spacing w:line="360" w:lineRule="auto"/>
        <w:ind w:firstLine="480"/>
        <w:rPr>
          <w:rFonts w:hint="eastAsia" w:ascii="宋体" w:hAnsi="宋体" w:cs="宋体"/>
          <w:color w:val="auto"/>
          <w:highlight w:val="none"/>
        </w:rPr>
      </w:pPr>
      <w:r>
        <w:rPr>
          <w:rFonts w:hint="eastAsia" w:ascii="宋体" w:hAnsi="宋体" w:cs="宋体"/>
          <w:color w:val="auto"/>
          <w:highlight w:val="none"/>
        </w:rPr>
        <w:t>39.1采购人组织对中标人履约的验收。大型或者复杂的政府采购项目，应当邀请国家认可的质量检测机构参加验收工作。验收方成员应当在验收书上签字，并承担相应的法律责任。如果发现与合同中要求不符，中标人须承担由此发生的一切损失和费用，并接受相应的处理。</w:t>
      </w:r>
    </w:p>
    <w:p>
      <w:pPr>
        <w:tabs>
          <w:tab w:val="left" w:pos="0"/>
        </w:tabs>
        <w:spacing w:line="360" w:lineRule="auto"/>
        <w:ind w:firstLine="480"/>
        <w:rPr>
          <w:rFonts w:hint="eastAsia" w:ascii="宋体" w:hAnsi="宋体" w:cs="宋体"/>
          <w:color w:val="auto"/>
          <w:highlight w:val="none"/>
        </w:rPr>
      </w:pPr>
      <w:r>
        <w:rPr>
          <w:rFonts w:hint="eastAsia" w:ascii="宋体" w:hAnsi="宋体" w:cs="宋体"/>
          <w:color w:val="auto"/>
          <w:highlight w:val="none"/>
        </w:rPr>
        <w:t>39.2采购人可以邀请参加本项目的其他投标人或者第三方机构参与验收。参与验收的投标人或者第三方机构的意见作为验收书的参考资料一并存档。</w:t>
      </w:r>
    </w:p>
    <w:p>
      <w:pPr>
        <w:tabs>
          <w:tab w:val="left" w:pos="0"/>
        </w:tabs>
        <w:spacing w:line="360" w:lineRule="auto"/>
        <w:ind w:firstLine="480"/>
        <w:rPr>
          <w:rFonts w:hint="eastAsia" w:ascii="宋体" w:hAnsi="宋体" w:cs="宋体"/>
          <w:color w:val="auto"/>
          <w:highlight w:val="none"/>
        </w:rPr>
      </w:pPr>
      <w:r>
        <w:rPr>
          <w:rFonts w:hint="eastAsia" w:ascii="宋体" w:hAnsi="宋体" w:cs="宋体"/>
          <w:color w:val="auto"/>
          <w:highlight w:val="none"/>
        </w:rPr>
        <w:t>39.3严格按照采购合同开展履约验收。采购人成立验收小组，按照采购合同的约定对中标人履约情况进行验收。验收时，按照采购合同的约定对每一项技术、货物、安全标准的履约情况进行确认。验收结束后，应当出具验收书，列明各项标准的验收情况及项目总体评价，由验收双方共同签署。验收结果与采购合同约定的资金支付及履约保证金（如有）返还条件挂钩。履约验收的各项资料应当存档备查。</w:t>
      </w:r>
    </w:p>
    <w:p>
      <w:pPr>
        <w:tabs>
          <w:tab w:val="left" w:pos="0"/>
        </w:tabs>
        <w:spacing w:line="360" w:lineRule="auto"/>
        <w:ind w:firstLine="480"/>
        <w:rPr>
          <w:rFonts w:hint="eastAsia" w:ascii="宋体" w:hAnsi="宋体" w:cs="宋体"/>
          <w:color w:val="auto"/>
          <w:highlight w:val="none"/>
        </w:rPr>
      </w:pPr>
      <w:r>
        <w:rPr>
          <w:rFonts w:hint="eastAsia" w:ascii="宋体" w:hAnsi="宋体" w:cs="宋体"/>
          <w:color w:val="auto"/>
          <w:highlight w:val="none"/>
        </w:rPr>
        <w:t>39.4验收合格的项目，采购人将根据采购合同的约定及时向中标人支付采购资金。验收不合格的项目，采购人将依法及时处理。采购合同的履行、违约责任和解决争议的方式等适用《中华人民共和国民法典》。中标人在履约过程中有政府采购法律法规规定的违法违规情形的，采购人应当及时报告本级财政部门。</w:t>
      </w:r>
    </w:p>
    <w:p>
      <w:pPr>
        <w:pStyle w:val="14"/>
        <w:snapToGrid w:val="0"/>
        <w:spacing w:line="360" w:lineRule="auto"/>
        <w:rPr>
          <w:rFonts w:hint="eastAsia" w:hAnsi="宋体" w:cs="宋体"/>
          <w:color w:val="auto"/>
          <w:highlight w:val="none"/>
        </w:rPr>
      </w:pPr>
    </w:p>
    <w:p>
      <w:pPr>
        <w:pStyle w:val="5"/>
        <w:keepNext w:val="0"/>
        <w:keepLines w:val="0"/>
        <w:spacing w:line="360" w:lineRule="auto"/>
        <w:jc w:val="center"/>
        <w:rPr>
          <w:rFonts w:hint="eastAsia" w:ascii="宋体" w:hAnsi="宋体" w:cs="宋体"/>
          <w:color w:val="auto"/>
          <w:highlight w:val="none"/>
        </w:rPr>
      </w:pPr>
      <w:bookmarkStart w:id="233" w:name="_八、其他事项"/>
      <w:bookmarkEnd w:id="233"/>
      <w:bookmarkStart w:id="234" w:name="_Toc32572"/>
      <w:bookmarkStart w:id="235" w:name="_Toc22183"/>
      <w:bookmarkStart w:id="236" w:name="_Toc30046"/>
      <w:bookmarkStart w:id="237" w:name="_Toc13415"/>
      <w:bookmarkStart w:id="238" w:name="_Toc18658"/>
      <w:r>
        <w:rPr>
          <w:rFonts w:hint="eastAsia" w:ascii="宋体" w:hAnsi="宋体" w:cs="宋体"/>
          <w:color w:val="auto"/>
          <w:highlight w:val="none"/>
        </w:rPr>
        <w:t>九、其他事项</w:t>
      </w:r>
      <w:bookmarkEnd w:id="234"/>
      <w:bookmarkEnd w:id="235"/>
      <w:bookmarkEnd w:id="236"/>
      <w:bookmarkEnd w:id="237"/>
      <w:bookmarkEnd w:id="238"/>
    </w:p>
    <w:p>
      <w:pPr>
        <w:spacing w:line="360" w:lineRule="auto"/>
        <w:ind w:firstLine="480" w:firstLineChars="200"/>
        <w:rPr>
          <w:rFonts w:hint="eastAsia" w:ascii="宋体" w:hAnsi="宋体" w:cs="宋体"/>
          <w:color w:val="auto"/>
          <w:sz w:val="24"/>
          <w:highlight w:val="none"/>
        </w:rPr>
      </w:pPr>
      <w:bookmarkStart w:id="239" w:name="_42.代理服务费"/>
      <w:bookmarkEnd w:id="239"/>
      <w:r>
        <w:rPr>
          <w:rFonts w:hint="eastAsia" w:ascii="宋体" w:hAnsi="宋体" w:cs="宋体"/>
          <w:color w:val="auto"/>
          <w:sz w:val="24"/>
          <w:highlight w:val="none"/>
        </w:rPr>
        <w:t>40.采购代理服务费</w:t>
      </w:r>
    </w:p>
    <w:p>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40.1采购代理服务费收费标准及缴费账户详见“投标人须知前附表”，投标人为联合体的，可以由联合体中的一方或者多方共同缴纳采购代理服务费。</w:t>
      </w:r>
    </w:p>
    <w:p>
      <w:pPr>
        <w:pStyle w:val="7"/>
        <w:keepNext w:val="0"/>
        <w:keepLines w:val="0"/>
        <w:spacing w:before="0" w:after="0" w:line="360" w:lineRule="auto"/>
        <w:ind w:left="420" w:leftChars="200"/>
        <w:rPr>
          <w:rFonts w:hint="eastAsia" w:ascii="宋体" w:hAnsi="宋体" w:cs="宋体"/>
          <w:b w:val="0"/>
          <w:color w:val="auto"/>
          <w:sz w:val="21"/>
          <w:szCs w:val="21"/>
          <w:highlight w:val="none"/>
        </w:rPr>
      </w:pPr>
      <w:r>
        <w:rPr>
          <w:rFonts w:hint="eastAsia" w:ascii="宋体" w:hAnsi="宋体" w:cs="宋体"/>
          <w:b w:val="0"/>
          <w:color w:val="auto"/>
          <w:sz w:val="21"/>
          <w:szCs w:val="21"/>
          <w:highlight w:val="none"/>
        </w:rPr>
        <w:t>40.2采购代理服务费收费标准：</w:t>
      </w:r>
    </w:p>
    <w:tbl>
      <w:tblPr>
        <w:tblStyle w:val="27"/>
        <w:tblW w:w="5131"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中标金额</w:t>
            </w:r>
          </w:p>
        </w:tc>
        <w:tc>
          <w:tcPr>
            <w:tcW w:w="1659" w:type="dxa"/>
          </w:tcPr>
          <w:p>
            <w:pPr>
              <w:spacing w:line="360" w:lineRule="auto"/>
              <w:rPr>
                <w:rFonts w:hint="eastAsia" w:ascii="宋体" w:hAnsi="宋体" w:cs="宋体"/>
                <w:color w:val="auto"/>
                <w:kern w:val="0"/>
                <w:szCs w:val="21"/>
                <w:highlight w:val="none"/>
              </w:rPr>
            </w:pPr>
            <w:r>
              <w:rPr>
                <w:rFonts w:hint="eastAsia" w:ascii="宋体" w:hAnsi="宋体" w:cs="宋体"/>
                <w:color w:val="auto"/>
                <w:szCs w:val="21"/>
                <w:highlight w:val="none"/>
              </w:rP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100万元以下</w:t>
            </w:r>
          </w:p>
        </w:tc>
        <w:tc>
          <w:tcPr>
            <w:tcW w:w="1659" w:type="dxa"/>
          </w:tcPr>
          <w:p>
            <w:pPr>
              <w:spacing w:line="360" w:lineRule="auto"/>
              <w:rPr>
                <w:rFonts w:hint="eastAsia" w:ascii="宋体" w:hAnsi="宋体" w:cs="宋体"/>
                <w:color w:val="auto"/>
                <w:szCs w:val="21"/>
                <w:highlight w:val="none"/>
              </w:rPr>
            </w:pPr>
            <w:r>
              <w:rPr>
                <w:rFonts w:hint="eastAsia" w:ascii="宋体" w:hAnsi="宋体" w:cs="宋体"/>
                <w:color w:val="auto"/>
                <w:kern w:val="0"/>
                <w:szCs w:val="21"/>
                <w:highlight w:val="none"/>
              </w:rPr>
              <w:t xml:space="preserve">  1.5%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100～500万元</w:t>
            </w:r>
          </w:p>
        </w:tc>
        <w:tc>
          <w:tcPr>
            <w:tcW w:w="1659" w:type="dxa"/>
          </w:tcPr>
          <w:p>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1.1%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500～1000万元</w:t>
            </w:r>
          </w:p>
        </w:tc>
        <w:tc>
          <w:tcPr>
            <w:tcW w:w="1659" w:type="dxa"/>
          </w:tcPr>
          <w:p>
            <w:pPr>
              <w:spacing w:line="360" w:lineRule="auto"/>
              <w:rPr>
                <w:rFonts w:hint="eastAsia" w:ascii="宋体" w:hAnsi="宋体" w:cs="宋体"/>
                <w:color w:val="auto"/>
                <w:szCs w:val="21"/>
                <w:highlight w:val="none"/>
              </w:rPr>
            </w:pPr>
            <w:r>
              <w:rPr>
                <w:rFonts w:hint="eastAsia" w:ascii="宋体" w:hAnsi="宋体" w:cs="宋体"/>
                <w:color w:val="auto"/>
                <w:kern w:val="0"/>
                <w:szCs w:val="21"/>
                <w:highlight w:val="none"/>
              </w:rPr>
              <w:t xml:space="preserve">  0.8%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1000～5000万元</w:t>
            </w:r>
          </w:p>
        </w:tc>
        <w:tc>
          <w:tcPr>
            <w:tcW w:w="1659" w:type="dxa"/>
          </w:tcPr>
          <w:p>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5000万元～1亿元</w:t>
            </w:r>
          </w:p>
        </w:tc>
        <w:tc>
          <w:tcPr>
            <w:tcW w:w="1659" w:type="dxa"/>
          </w:tcPr>
          <w:p>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kern w:val="0"/>
                <w:szCs w:val="21"/>
                <w:highlight w:val="none"/>
              </w:rPr>
              <w:t xml:space="preserve">0.25%                 </w:t>
            </w:r>
          </w:p>
        </w:tc>
      </w:tr>
    </w:tbl>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注: </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（1）按本表费率计算的收费为采购代理的收费基准价格；</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（2）采购代理收费按差额定率累进法计算。</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例如：某货物采购代理业务中标金额或者暂定价为200万元，计算采购代理收费额如下：</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100 万元×l.5 ％＝ 1.5 万元</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200 － 100 ）万元 ×1.1％＝1.1万元</w:t>
      </w:r>
    </w:p>
    <w:p>
      <w:pPr>
        <w:pStyle w:val="14"/>
        <w:snapToGrid w:val="0"/>
        <w:spacing w:line="360" w:lineRule="auto"/>
        <w:ind w:firstLine="420" w:firstLineChars="200"/>
        <w:rPr>
          <w:rFonts w:hint="eastAsia" w:hAnsi="宋体" w:cs="宋体"/>
          <w:color w:val="auto"/>
          <w:highlight w:val="none"/>
        </w:rPr>
      </w:pPr>
      <w:r>
        <w:rPr>
          <w:rFonts w:hint="eastAsia" w:hAnsi="宋体" w:cs="宋体"/>
          <w:color w:val="auto"/>
          <w:highlight w:val="none"/>
        </w:rPr>
        <w:t>合计收费＝ 1.5+1.1＝ 2.6 （万元）</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41. 需要补充的其他内容</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41.1本招标文件解释规则详见“投标人须知前附表”。</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41.2 其他事项详见“投标人须知前附表”。</w:t>
      </w:r>
    </w:p>
    <w:p>
      <w:pPr>
        <w:pStyle w:val="14"/>
        <w:spacing w:line="360" w:lineRule="auto"/>
        <w:ind w:firstLine="420" w:firstLineChars="200"/>
        <w:rPr>
          <w:rFonts w:hint="eastAsia" w:hAnsi="宋体" w:cs="宋体"/>
          <w:color w:val="auto"/>
          <w:highlight w:val="none"/>
        </w:rPr>
      </w:pPr>
      <w:r>
        <w:rPr>
          <w:rFonts w:hint="eastAsia" w:hAnsi="宋体" w:cs="宋体"/>
          <w:color w:val="auto"/>
          <w:highlight w:val="none"/>
        </w:rPr>
        <w:t>41.3</w:t>
      </w:r>
      <w:bookmarkStart w:id="240" w:name="_Hlk65857140"/>
      <w:r>
        <w:rPr>
          <w:rFonts w:hint="eastAsia" w:hAnsi="宋体" w:cs="宋体"/>
          <w:color w:val="auto"/>
          <w:highlight w:val="none"/>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投标人提供的货物由中小企业制造，即货物由中小企业生产且使用该中小企业商号或者注册商标，不对其中涉及的工程承建商和服务的承接商作出要求的，享受本文件规定的中小企业扶持政策。</w:t>
      </w:r>
    </w:p>
    <w:p>
      <w:pPr>
        <w:pStyle w:val="14"/>
        <w:spacing w:line="360" w:lineRule="auto"/>
        <w:ind w:firstLine="420" w:firstLineChars="200"/>
        <w:contextualSpacing/>
        <w:rPr>
          <w:rFonts w:hint="eastAsia" w:hAnsi="宋体" w:cs="宋体"/>
          <w:color w:val="auto"/>
          <w:highlight w:val="none"/>
        </w:rPr>
      </w:pPr>
      <w:r>
        <w:rPr>
          <w:rFonts w:hint="eastAsia" w:hAnsi="宋体" w:cs="宋体"/>
          <w:color w:val="auto"/>
          <w:highlight w:val="none"/>
        </w:rPr>
        <w:t>在货物采购项目中，投标人提供的货物既有中小企业制造货物，也有大型企业制造货物的，不享受本文件规定的中小企业扶持政策。以联合体形式参加政府采购活动，联合体各方均为中小企业的，联合体视同中小企业。其中，联合体各方均为小微企业的，联合体视同小微企业。</w:t>
      </w:r>
    </w:p>
    <w:p>
      <w:pPr>
        <w:pStyle w:val="14"/>
        <w:spacing w:line="360" w:lineRule="auto"/>
        <w:ind w:firstLine="420" w:firstLineChars="200"/>
        <w:contextualSpacing/>
        <w:rPr>
          <w:rFonts w:hint="eastAsia" w:hAnsi="宋体" w:cs="宋体"/>
          <w:color w:val="auto"/>
          <w:highlight w:val="none"/>
        </w:rPr>
      </w:pPr>
      <w:r>
        <w:rPr>
          <w:rFonts w:hint="eastAsia" w:hAnsi="宋体" w:cs="宋体"/>
          <w:color w:val="auto"/>
          <w:highlight w:val="none"/>
        </w:rPr>
        <w:t>依据本文件规定享受扶持政策获得政府采购合同的，小微企业不得将合同分包给大中型企业，中型企业不得将合同分包给大型企业。</w:t>
      </w:r>
      <w:bookmarkEnd w:id="240"/>
    </w:p>
    <w:p>
      <w:pPr>
        <w:pStyle w:val="14"/>
        <w:spacing w:line="360" w:lineRule="auto"/>
        <w:ind w:firstLine="420" w:firstLineChars="200"/>
        <w:rPr>
          <w:color w:val="auto"/>
          <w:highlight w:val="none"/>
        </w:rPr>
      </w:pPr>
      <w:r>
        <w:rPr>
          <w:rFonts w:hint="eastAsia" w:hAnsi="宋体" w:cs="宋体"/>
          <w:color w:val="auto"/>
          <w:highlight w:val="none"/>
        </w:rPr>
        <w:t>41.4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42. 广西线上“政采贷”政策告知函</w:t>
      </w:r>
    </w:p>
    <w:p>
      <w:pPr>
        <w:spacing w:line="580" w:lineRule="exact"/>
        <w:jc w:val="center"/>
        <w:rPr>
          <w:rFonts w:hint="eastAsia" w:ascii="宋体" w:hAnsi="宋体" w:cs="宋体"/>
          <w:color w:val="auto"/>
          <w:sz w:val="44"/>
          <w:szCs w:val="44"/>
          <w:highlight w:val="none"/>
        </w:rPr>
      </w:pPr>
    </w:p>
    <w:p>
      <w:pPr>
        <w:spacing w:line="580" w:lineRule="exact"/>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广西线上“政采贷”政策告知函</w:t>
      </w:r>
    </w:p>
    <w:p>
      <w:pPr>
        <w:spacing w:line="580" w:lineRule="exact"/>
        <w:ind w:firstLine="420" w:firstLineChars="200"/>
        <w:rPr>
          <w:rFonts w:hint="eastAsia" w:ascii="宋体" w:hAnsi="宋体" w:cs="宋体"/>
          <w:color w:val="auto"/>
          <w:szCs w:val="32"/>
          <w:highlight w:val="none"/>
        </w:rPr>
      </w:pPr>
    </w:p>
    <w:p>
      <w:pPr>
        <w:spacing w:line="580" w:lineRule="exact"/>
        <w:rPr>
          <w:rFonts w:hint="eastAsia" w:ascii="宋体" w:hAnsi="宋体" w:cs="宋体"/>
          <w:color w:val="auto"/>
          <w:szCs w:val="21"/>
          <w:highlight w:val="none"/>
        </w:rPr>
      </w:pPr>
      <w:r>
        <w:rPr>
          <w:rFonts w:hint="eastAsia" w:ascii="宋体" w:hAnsi="宋体" w:cs="宋体"/>
          <w:color w:val="auto"/>
          <w:szCs w:val="21"/>
          <w:highlight w:val="none"/>
        </w:rPr>
        <w:t>各供应商：</w:t>
      </w:r>
    </w:p>
    <w:p>
      <w:pPr>
        <w:spacing w:line="5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欢迎贵公司参与广西政府采购活动！</w:t>
      </w:r>
    </w:p>
    <w:p>
      <w:pPr>
        <w:spacing w:line="5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银行业金融机构申请贷款，融资机构将根据《中国人民银行南宁中心支行 广西壮族自治区财政厅关于推广线上“政采贷”融资模式的通知》（南宁银发〔2021〕258号），按照双方自愿的原则提供便捷、优惠的贷款服务。</w:t>
      </w:r>
    </w:p>
    <w:p>
      <w:pPr>
        <w:spacing w:line="5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相关金融产品和银行业金融机构联系方式，可在中征应收账款融资服务平台查询（网址：</w:t>
      </w:r>
      <w:r>
        <w:rPr>
          <w:color w:val="auto"/>
          <w:highlight w:val="none"/>
        </w:rPr>
        <w:fldChar w:fldCharType="begin"/>
      </w:r>
      <w:r>
        <w:rPr>
          <w:color w:val="auto"/>
          <w:highlight w:val="none"/>
        </w:rPr>
        <w:instrText xml:space="preserve"> HYPERLINK "https://www.crcrfsp.com/" </w:instrText>
      </w:r>
      <w:r>
        <w:rPr>
          <w:color w:val="auto"/>
          <w:highlight w:val="none"/>
        </w:rPr>
        <w:fldChar w:fldCharType="separate"/>
      </w:r>
      <w:r>
        <w:rPr>
          <w:rStyle w:val="32"/>
          <w:rFonts w:hint="default" w:ascii="宋体" w:hAnsi="宋体" w:eastAsia="宋体" w:cs="宋体"/>
          <w:color w:val="auto"/>
          <w:szCs w:val="21"/>
          <w:highlight w:val="none"/>
        </w:rPr>
        <w:t>https://www.crcrfsp.com</w:t>
      </w:r>
      <w:r>
        <w:rPr>
          <w:rStyle w:val="32"/>
          <w:rFonts w:hint="default" w:ascii="宋体" w:hAnsi="宋体" w:eastAsia="宋体" w:cs="宋体"/>
          <w:color w:val="auto"/>
          <w:szCs w:val="21"/>
          <w:highlight w:val="none"/>
        </w:rPr>
        <w:fldChar w:fldCharType="end"/>
      </w:r>
      <w:r>
        <w:rPr>
          <w:rFonts w:hint="eastAsia" w:ascii="宋体" w:hAnsi="宋体" w:cs="宋体"/>
          <w:color w:val="auto"/>
          <w:szCs w:val="21"/>
          <w:highlight w:val="none"/>
        </w:rPr>
        <w:t>，客服电话：400-009-0001）。</w:t>
      </w:r>
    </w:p>
    <w:p>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br w:type="page"/>
      </w:r>
      <w:bookmarkStart w:id="241" w:name="_Toc532545043"/>
    </w:p>
    <w:p>
      <w:pPr>
        <w:pStyle w:val="14"/>
        <w:jc w:val="center"/>
        <w:outlineLvl w:val="0"/>
        <w:rPr>
          <w:rFonts w:hint="eastAsia" w:hAnsi="宋体" w:cs="宋体"/>
          <w:b/>
          <w:color w:val="auto"/>
          <w:sz w:val="36"/>
          <w:highlight w:val="none"/>
        </w:rPr>
      </w:pPr>
      <w:bookmarkStart w:id="242" w:name="_Toc5517"/>
      <w:bookmarkStart w:id="243" w:name="_Toc18150"/>
      <w:bookmarkStart w:id="244" w:name="_Toc28215"/>
      <w:bookmarkStart w:id="245" w:name="_Toc2111"/>
      <w:bookmarkStart w:id="246" w:name="_Toc25066"/>
      <w:bookmarkStart w:id="247" w:name="_Toc31334"/>
      <w:bookmarkStart w:id="248" w:name="_Toc6459"/>
      <w:bookmarkStart w:id="249" w:name="_Toc12598"/>
      <w:bookmarkStart w:id="250" w:name="_Toc22076"/>
      <w:bookmarkStart w:id="251" w:name="_Toc22348"/>
      <w:bookmarkStart w:id="252" w:name="_Toc26538"/>
      <w:r>
        <w:rPr>
          <w:rFonts w:hint="eastAsia" w:hAnsi="宋体" w:cs="宋体"/>
          <w:b/>
          <w:color w:val="auto"/>
          <w:sz w:val="36"/>
          <w:highlight w:val="none"/>
        </w:rPr>
        <w:t xml:space="preserve">第四章  </w:t>
      </w:r>
      <w:bookmarkEnd w:id="241"/>
      <w:bookmarkEnd w:id="242"/>
      <w:bookmarkEnd w:id="243"/>
      <w:r>
        <w:rPr>
          <w:rFonts w:hint="eastAsia" w:hAnsi="宋体" w:cs="宋体"/>
          <w:b/>
          <w:color w:val="auto"/>
          <w:sz w:val="36"/>
          <w:highlight w:val="none"/>
        </w:rPr>
        <w:t>评标方法和评标标准</w:t>
      </w:r>
      <w:bookmarkEnd w:id="244"/>
      <w:bookmarkEnd w:id="245"/>
      <w:bookmarkEnd w:id="246"/>
      <w:bookmarkEnd w:id="247"/>
      <w:bookmarkEnd w:id="248"/>
      <w:bookmarkEnd w:id="249"/>
      <w:bookmarkEnd w:id="250"/>
      <w:bookmarkEnd w:id="251"/>
      <w:bookmarkEnd w:id="252"/>
    </w:p>
    <w:p>
      <w:pPr>
        <w:pStyle w:val="14"/>
        <w:jc w:val="center"/>
        <w:outlineLvl w:val="1"/>
        <w:rPr>
          <w:rFonts w:hint="eastAsia" w:hAnsi="宋体" w:cs="宋体"/>
          <w:b/>
          <w:bCs/>
          <w:color w:val="auto"/>
          <w:sz w:val="32"/>
          <w:szCs w:val="32"/>
          <w:highlight w:val="none"/>
        </w:rPr>
      </w:pPr>
      <w:bookmarkStart w:id="253" w:name="_Toc8187"/>
      <w:bookmarkStart w:id="254" w:name="_Toc3364"/>
      <w:bookmarkStart w:id="255" w:name="_Toc2086"/>
      <w:bookmarkStart w:id="256" w:name="_Toc31286"/>
      <w:bookmarkStart w:id="257" w:name="_Toc18908"/>
      <w:r>
        <w:rPr>
          <w:rFonts w:hint="eastAsia" w:hAnsi="宋体" w:cs="宋体"/>
          <w:b/>
          <w:bCs/>
          <w:color w:val="auto"/>
          <w:sz w:val="32"/>
          <w:szCs w:val="32"/>
          <w:highlight w:val="none"/>
        </w:rPr>
        <w:t>第一节 评标方法</w:t>
      </w:r>
      <w:bookmarkEnd w:id="253"/>
      <w:bookmarkEnd w:id="254"/>
      <w:bookmarkEnd w:id="255"/>
      <w:bookmarkEnd w:id="256"/>
      <w:bookmarkEnd w:id="257"/>
    </w:p>
    <w:p>
      <w:pPr>
        <w:pStyle w:val="14"/>
        <w:tabs>
          <w:tab w:val="left" w:pos="2472"/>
        </w:tabs>
        <w:spacing w:line="460" w:lineRule="exact"/>
        <w:ind w:firstLine="420" w:firstLineChars="200"/>
        <w:rPr>
          <w:rFonts w:hint="eastAsia" w:hAnsi="宋体" w:cs="宋体"/>
          <w:color w:val="auto"/>
          <w:szCs w:val="21"/>
          <w:highlight w:val="none"/>
        </w:rPr>
      </w:pPr>
      <w:r>
        <w:rPr>
          <w:rFonts w:hint="eastAsia" w:hAnsi="宋体" w:cs="宋体"/>
          <w:color w:val="auto"/>
          <w:szCs w:val="21"/>
          <w:highlight w:val="none"/>
        </w:rPr>
        <w:t>本项目采用</w:t>
      </w:r>
      <w:r>
        <w:rPr>
          <w:rFonts w:hint="eastAsia" w:hAnsi="宋体" w:cs="宋体"/>
          <w:color w:val="auto"/>
          <w:szCs w:val="21"/>
          <w:highlight w:val="none"/>
          <w:u w:val="single"/>
        </w:rPr>
        <w:t xml:space="preserve"> 以下勾选的方式</w:t>
      </w:r>
      <w:r>
        <w:rPr>
          <w:rFonts w:hint="eastAsia" w:hAnsi="宋体" w:cs="宋体"/>
          <w:color w:val="auto"/>
          <w:szCs w:val="21"/>
          <w:highlight w:val="none"/>
        </w:rPr>
        <w:t>进行评审。</w:t>
      </w:r>
    </w:p>
    <w:p>
      <w:pPr>
        <w:pStyle w:val="14"/>
        <w:spacing w:line="360" w:lineRule="auto"/>
        <w:ind w:firstLine="420"/>
        <w:rPr>
          <w:rFonts w:hint="eastAsia" w:hAnsi="宋体" w:cs="宋体"/>
          <w:color w:val="auto"/>
          <w:highlight w:val="none"/>
        </w:rPr>
      </w:pPr>
      <w:r>
        <w:rPr>
          <w:rFonts w:hint="eastAsia" w:hAnsi="宋体" w:cs="宋体"/>
          <w:color w:val="auto"/>
          <w:szCs w:val="21"/>
          <w:highlight w:val="none"/>
        </w:rPr>
        <w:t>□最低评标价法，是指投标文件满足招标文件</w:t>
      </w:r>
      <w:r>
        <w:rPr>
          <w:rFonts w:hint="eastAsia" w:hAnsi="宋体" w:cs="宋体"/>
          <w:color w:val="auto"/>
          <w:highlight w:val="none"/>
        </w:rPr>
        <w:t>全部实质性要求，且投标报价最低的投标人为中标候选人的评标方法。</w:t>
      </w:r>
    </w:p>
    <w:p>
      <w:pPr>
        <w:widowControl/>
        <w:spacing w:before="100" w:beforeAutospacing="1" w:after="100" w:afterAutospacing="1"/>
        <w:ind w:firstLine="420" w:firstLineChars="200"/>
        <w:jc w:val="left"/>
        <w:rPr>
          <w:rFonts w:hint="eastAsia" w:ascii="宋体" w:hAnsi="宋体" w:cs="宋体"/>
          <w:color w:val="auto"/>
          <w:sz w:val="24"/>
          <w:highlight w:val="none"/>
        </w:rPr>
      </w:pPr>
      <w:r>
        <w:rPr>
          <w:rFonts w:hint="eastAsia" w:ascii="宋体" w:hAnsi="宋体" w:cs="宋体"/>
          <w:color w:val="auto"/>
          <w:highlight w:val="none"/>
        </w:rPr>
        <w:sym w:font="Wingdings 2" w:char="0052"/>
      </w:r>
      <w:r>
        <w:rPr>
          <w:rFonts w:hint="eastAsia" w:ascii="宋体" w:hAnsi="宋体" w:cs="宋体"/>
          <w:color w:val="auto"/>
          <w:highlight w:val="none"/>
        </w:rPr>
        <w:t>综合评分法，</w:t>
      </w:r>
      <w:r>
        <w:rPr>
          <w:rFonts w:hint="eastAsia" w:ascii="宋体" w:hAnsi="宋体" w:cs="宋体"/>
          <w:color w:val="auto"/>
          <w:szCs w:val="20"/>
          <w:highlight w:val="none"/>
        </w:rPr>
        <w:t xml:space="preserve">是指投标文件满足招标文件全部实质性要求，且按照评审因素的量化指标评审得分最高的投标人为中标候选人的评标方法。 </w:t>
      </w:r>
    </w:p>
    <w:p>
      <w:pPr>
        <w:pStyle w:val="14"/>
        <w:spacing w:line="360" w:lineRule="auto"/>
        <w:ind w:firstLine="420"/>
        <w:rPr>
          <w:rFonts w:hint="eastAsia" w:hAnsi="宋体" w:cs="宋体"/>
          <w:color w:val="auto"/>
          <w:highlight w:val="none"/>
        </w:rPr>
      </w:pPr>
    </w:p>
    <w:p>
      <w:pPr>
        <w:pStyle w:val="14"/>
        <w:tabs>
          <w:tab w:val="left" w:pos="2472"/>
        </w:tabs>
        <w:spacing w:line="460" w:lineRule="exact"/>
        <w:jc w:val="center"/>
        <w:outlineLvl w:val="1"/>
        <w:rPr>
          <w:rFonts w:hint="eastAsia" w:hAnsi="宋体" w:cs="宋体"/>
          <w:b/>
          <w:bCs/>
          <w:color w:val="auto"/>
          <w:sz w:val="32"/>
          <w:szCs w:val="32"/>
          <w:highlight w:val="none"/>
        </w:rPr>
      </w:pPr>
      <w:bookmarkStart w:id="258" w:name="_Toc13037"/>
      <w:bookmarkStart w:id="259" w:name="_Toc12508"/>
      <w:bookmarkStart w:id="260" w:name="_Toc13065"/>
      <w:bookmarkStart w:id="261" w:name="_Toc11308"/>
      <w:bookmarkStart w:id="262" w:name="_Toc6695"/>
      <w:r>
        <w:rPr>
          <w:rFonts w:hint="eastAsia" w:hAnsi="宋体" w:cs="宋体"/>
          <w:b/>
          <w:bCs/>
          <w:color w:val="auto"/>
          <w:sz w:val="32"/>
          <w:szCs w:val="32"/>
          <w:highlight w:val="none"/>
        </w:rPr>
        <w:t>第二节 评标程序</w:t>
      </w:r>
      <w:bookmarkEnd w:id="258"/>
      <w:bookmarkEnd w:id="259"/>
      <w:bookmarkEnd w:id="260"/>
      <w:bookmarkEnd w:id="261"/>
      <w:bookmarkEnd w:id="262"/>
    </w:p>
    <w:p>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1.符合性审查</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评标委员会应当对符合资格的投标人的投标文件进行投标报价、商务、技术等实质性内容符合性审查，以确定其是否满足招标文件的实质性要求。</w:t>
      </w:r>
    </w:p>
    <w:p>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2.符合性审查不通过而导致投标无效的情形</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投标人的投标文件中存在对招标文件的任何实质性要求的负偏离，将被视为投标无效。</w:t>
      </w:r>
    </w:p>
    <w:p>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2.1在报价评审时，如发现下列情形之一的，将被视为投标无效：</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（1）不满足招标文件实质性要求的；</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（2）未采用人民币报价或者未按照招标文件标明的币种报价的；</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（3）报价超出招标文件规定最高限价，或者超出采购预算金额的；</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投标人未就所投分标进行报价或者存在漏项报价；投标人未就所投分标的单项内容作唯一报价；投标人未就所投分标的全部内容作唯一总价报价；存在有选择、有条件报价的（招标文件允许有备选方案或者其他约定的除外）；</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（5）修正后的报价，投标人不确认的；</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（6）投标人属于本章第5条第（4）项情形的。</w:t>
      </w:r>
    </w:p>
    <w:p>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2.2在商务评审时，如发现下列情形之一的，将被视为投标无效：</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（1）投标文件未按招标文件要求签署、盖章的；</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（2）委托代理人未能出具有效身份证明或者出具的身份证明与授权委托书中的信息不符的； </w:t>
      </w:r>
    </w:p>
    <w:p>
      <w:pPr>
        <w:pStyle w:val="17"/>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（3）为无效投标保证金的或者未按照招标文件的规定提交投标保证金的；</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（4）投标有效期不满足招标文件要求的；</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（5）投标文件的实质性内容未使用中文表述、使用计量单位不符合招标文件要求的；</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（6）投标文件中的文件资料因填写不齐全或者内容虚假或者出现其他情形而导致被评标委员会认定无效的；</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（7）投标文件含有采购人不能接受的附加条件的；</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（8）不满足招标文件实质性要求的；</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（9）属于投标人须知正文第9.2条情形的；</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（10）法律法规和招标文件规定的其他无效情形。</w:t>
      </w:r>
    </w:p>
    <w:p>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2.3在技术评审时，如发现下列情形之一的，将被视为投标无效：</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（1）不满足招标文件实质性要求的；</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（2）虚假投标，或者出现其他情形而导致被评标委员会认定无效的；</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（3）招标文件要求提供技术方案的，投标技术方案不明确，招标文件未允许但存在一个或者一个以上备选（替代）投标方案的。</w:t>
      </w:r>
    </w:p>
    <w:p>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3.澄清、说明或者补正</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投标人公章后在线上传至评标委员会。投标人的澄清、说明或者补正不得超出投标文件的范围或者改变投标文件的实质性内容。</w:t>
      </w:r>
      <w:r>
        <w:rPr>
          <w:rFonts w:hint="eastAsia" w:ascii="宋体" w:hAnsi="宋体" w:cs="宋体"/>
          <w:b/>
          <w:bCs/>
          <w:color w:val="auto"/>
          <w:szCs w:val="21"/>
          <w:highlight w:val="none"/>
        </w:rPr>
        <w:t>投标人未在规定时间内进行澄清、说明或者补正的，有可能对评审产生影响</w:t>
      </w:r>
      <w:r>
        <w:rPr>
          <w:rFonts w:hint="eastAsia" w:ascii="宋体" w:hAnsi="宋体" w:cs="宋体"/>
          <w:color w:val="auto"/>
          <w:szCs w:val="21"/>
          <w:highlight w:val="none"/>
        </w:rPr>
        <w:t>。</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4.投标文件修正</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4.1投标文件报价出现前后不一致的，按照下列规定修正： </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（1）广西政府采购云平台电子开标大厅中的“开标记录表”内容与电子版投标文件中相应内容不一致的，以广西政府采购云平台电子开标大厅中的“开标记录表”为准；</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（2）大写金额和小写金额不一致的，以大写金额为准；</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（3）单价金额小数点或者百分比有明显错位的，以开标一览表的总价为准，并修改单价；</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（4）总价金额与按单价汇总金额不一致的，以单价金额计算结果为准。</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同时出现两种以上不一致的，按照以上（1）-（4）规定的顺序修正。</w:t>
      </w:r>
      <w:r>
        <w:rPr>
          <w:rFonts w:hint="eastAsia" w:ascii="宋体" w:hAnsi="宋体" w:cs="宋体"/>
          <w:b/>
          <w:bCs/>
          <w:color w:val="auto"/>
          <w:highlight w:val="none"/>
        </w:rPr>
        <w:t>修正后的报价经投标人确认后产生约束力，投标人不确认的，其投标无效</w:t>
      </w:r>
      <w:r>
        <w:rPr>
          <w:rFonts w:hint="eastAsia" w:ascii="宋体" w:hAnsi="宋体" w:cs="宋体"/>
          <w:color w:val="auto"/>
          <w:highlight w:val="none"/>
        </w:rPr>
        <w:t>。</w:t>
      </w:r>
    </w:p>
    <w:p>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4.2经投标人确认修正后的报价若超过采购预算金额或者最高限价，投标人的投标文件作无效投标处理。</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4.3经投标人确认修正后的报价作为签订合同的依据，并以此报价计算价格分。</w:t>
      </w:r>
    </w:p>
    <w:p>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5.比较与评价</w:t>
      </w:r>
    </w:p>
    <w:p>
      <w:pPr>
        <w:tabs>
          <w:tab w:val="center" w:pos="4153"/>
          <w:tab w:val="right" w:pos="8306"/>
        </w:tabs>
        <w:spacing w:line="360" w:lineRule="auto"/>
        <w:ind w:firstLine="420" w:firstLineChars="200"/>
        <w:rPr>
          <w:color w:val="auto"/>
          <w:highlight w:val="none"/>
        </w:rPr>
      </w:pPr>
      <w:r>
        <w:rPr>
          <w:rFonts w:hint="eastAsia" w:ascii="宋体" w:hAnsi="宋体" w:cs="宋体"/>
          <w:color w:val="auto"/>
          <w:highlight w:val="none"/>
        </w:rPr>
        <w:t>（1）</w:t>
      </w:r>
      <w:r>
        <w:rPr>
          <w:rFonts w:hint="eastAsia" w:ascii="宋体" w:hAnsi="宋体" w:cs="宋体"/>
          <w:color w:val="auto"/>
          <w:szCs w:val="21"/>
          <w:highlight w:val="none"/>
        </w:rPr>
        <w:t>评标委员会成员要根据政府采购法律法规和招标文件所载明的评标方法、标准进行评审。对投标人的价格分等客观评分项的评分应当一致，对其他需要借助专业知识评判的主观评分项，应当严格按照评分细则公正评分。</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（2）评标委员会按照招标文件中规定的评标方法和评标标准，对符合性审查合格的投标文件进行商务和技术评估，综合比较与评价。</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（3）评标委员会各成员独立对每个投标人的投标文件进行评价，并汇总每个投标人的得分。</w:t>
      </w:r>
    </w:p>
    <w:p>
      <w:pPr>
        <w:spacing w:line="360" w:lineRule="auto"/>
        <w:ind w:firstLine="422" w:firstLineChars="200"/>
        <w:rPr>
          <w:rFonts w:hint="eastAsia" w:ascii="宋体" w:hAnsi="宋体" w:cs="宋体"/>
          <w:b/>
          <w:bCs/>
          <w:color w:val="auto"/>
          <w:highlight w:val="none"/>
        </w:rPr>
      </w:pPr>
      <w:r>
        <w:rPr>
          <w:rFonts w:hint="eastAsia" w:ascii="宋体" w:hAnsi="宋体" w:cs="宋体"/>
          <w:b/>
          <w:bCs/>
          <w:color w:val="auto"/>
          <w:highlight w:val="none"/>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将其作为无效投标处理。</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 xml:space="preserve">①采购评审中出现下列情形之一的，评标委员会应当启动异常低价投标审查程序： </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 xml:space="preserve">A.投标报价低于全部通过符合性审查投标人投标报价平均值50%的，即投标报价＜全部通过符合性审查投标人投标报价平均值×50%； </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 xml:space="preserve">B.投标报价低于通过符合性审查的次低报价投标人投标报价50%的，即投标报价＜通过符合性审查的次低报价投标人投标报价×50%； </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C.投标报价低于采购项目最高限价45%的，即投标报价＜采购项目最高限价×45%；</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D.评标委员会基于专业判断，认为投标人报价过低，有可能影响产品质量或者不能诚信履约的其他情形。</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相关法律法规对投标人报价有规定的，从其规定。</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 xml:space="preserve">   ②评标委员会启动异常低价投标审查后，属于上述A项至D项情形的，应当要求相关投标人在评标现场合理的时间内对投标价格作出解释，提供项目具体成本测算等与报价合理性相关的书面说明及必要的证明材料，包括但不限于原材料成本、人工成本、制造费用等，给予相关投标人的合理时间一般不少于30分钟。其中，属于上述C项情形，投标人已随投标文件一并提交相关书面说明及必要的证明材料的，在评标现场可不再重复提交。</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 xml:space="preserve">   ③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无效投标处理。</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（5）评标委员会按照招标文件中规定的评标方法和标准计算各投标人的报价得分。在评标过程中，不得去掉报价中的最高报价和最低报价。</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（6）各投标人的得分为评标委员会各成员的有效评分的算术平均数。</w:t>
      </w:r>
    </w:p>
    <w:p>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（7）评标委员会按照招标文件中的规定推荐中标候选人。</w:t>
      </w:r>
    </w:p>
    <w:p>
      <w:pPr>
        <w:tabs>
          <w:tab w:val="center" w:pos="4153"/>
          <w:tab w:val="right" w:pos="8306"/>
        </w:tabs>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8）起草并签署评标报告。评标委员会根据评标委员会各成员签字的原始评标记录和评标结果编写评标报告。评标委员会各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6.评审复核</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6.1评标报告签署前，评标委员会要对评审结果进行复核，复核意见要体现在评标报告中。</w:t>
      </w:r>
    </w:p>
    <w:p>
      <w:pPr>
        <w:widowControl/>
        <w:spacing w:line="360" w:lineRule="auto"/>
        <w:ind w:firstLine="420" w:firstLineChars="200"/>
        <w:jc w:val="left"/>
        <w:textAlignment w:val="baseline"/>
        <w:rPr>
          <w:rFonts w:hint="eastAsia" w:hAnsi="宋体"/>
          <w:color w:val="auto"/>
          <w:highlight w:val="none"/>
        </w:rPr>
      </w:pPr>
      <w:r>
        <w:rPr>
          <w:rFonts w:hint="eastAsia" w:ascii="宋体" w:hAnsi="宋体" w:cs="宋体"/>
          <w:color w:val="auto"/>
          <w:highlight w:val="none"/>
        </w:rPr>
        <w:t>6.2</w:t>
      </w:r>
      <w:r>
        <w:rPr>
          <w:rFonts w:hint="eastAsia" w:hAnsi="宋体"/>
          <w:color w:val="auto"/>
          <w:highlight w:val="none"/>
        </w:rPr>
        <w:t>评标结果汇总完成后，除下列情形外，任何人不得修改评标结果：</w:t>
      </w:r>
    </w:p>
    <w:p>
      <w:pPr>
        <w:widowControl/>
        <w:spacing w:line="360" w:lineRule="auto"/>
        <w:jc w:val="left"/>
        <w:textAlignment w:val="baseline"/>
        <w:rPr>
          <w:rFonts w:hint="eastAsia" w:hAnsi="宋体"/>
          <w:color w:val="auto"/>
          <w:highlight w:val="none"/>
        </w:rPr>
      </w:pPr>
      <w:r>
        <w:rPr>
          <w:rFonts w:hint="eastAsia" w:hAnsi="宋体"/>
          <w:color w:val="auto"/>
          <w:highlight w:val="none"/>
        </w:rPr>
        <w:t>　　（一）分值汇总计算错误的；</w:t>
      </w:r>
    </w:p>
    <w:p>
      <w:pPr>
        <w:widowControl/>
        <w:spacing w:line="360" w:lineRule="auto"/>
        <w:jc w:val="left"/>
        <w:textAlignment w:val="baseline"/>
        <w:rPr>
          <w:rFonts w:hint="eastAsia" w:hAnsi="宋体"/>
          <w:color w:val="auto"/>
          <w:highlight w:val="none"/>
        </w:rPr>
      </w:pPr>
      <w:r>
        <w:rPr>
          <w:rFonts w:hint="eastAsia" w:hAnsi="宋体"/>
          <w:color w:val="auto"/>
          <w:highlight w:val="none"/>
        </w:rPr>
        <w:t>　　（二）分项评分超出评分标准范围的；</w:t>
      </w:r>
    </w:p>
    <w:p>
      <w:pPr>
        <w:widowControl/>
        <w:spacing w:line="360" w:lineRule="auto"/>
        <w:jc w:val="left"/>
        <w:textAlignment w:val="baseline"/>
        <w:rPr>
          <w:rFonts w:hint="eastAsia" w:hAnsi="宋体"/>
          <w:color w:val="auto"/>
          <w:highlight w:val="none"/>
        </w:rPr>
      </w:pPr>
      <w:r>
        <w:rPr>
          <w:rFonts w:hint="eastAsia" w:hAnsi="宋体"/>
          <w:color w:val="auto"/>
          <w:highlight w:val="none"/>
        </w:rPr>
        <w:t>　　（三）评标委员会成员对客观评审因素评分不一致的；</w:t>
      </w:r>
    </w:p>
    <w:p>
      <w:pPr>
        <w:widowControl/>
        <w:spacing w:line="360" w:lineRule="auto"/>
        <w:jc w:val="left"/>
        <w:textAlignment w:val="baseline"/>
        <w:rPr>
          <w:rFonts w:hint="eastAsia" w:hAnsi="宋体"/>
          <w:color w:val="auto"/>
          <w:highlight w:val="none"/>
        </w:rPr>
      </w:pPr>
      <w:r>
        <w:rPr>
          <w:rFonts w:hint="eastAsia" w:hAnsi="宋体"/>
          <w:color w:val="auto"/>
          <w:highlight w:val="none"/>
        </w:rPr>
        <w:t>　　（四）经评标委员会认定评分畸高、畸低的。</w:t>
      </w:r>
    </w:p>
    <w:p>
      <w:pPr>
        <w:spacing w:line="360" w:lineRule="auto"/>
        <w:ind w:firstLine="420" w:firstLineChars="200"/>
        <w:rPr>
          <w:rFonts w:hint="eastAsia" w:hAnsi="宋体"/>
          <w:color w:val="auto"/>
          <w:highlight w:val="none"/>
        </w:rPr>
      </w:pPr>
      <w:r>
        <w:rPr>
          <w:rFonts w:hint="eastAsia" w:hAnsi="宋体"/>
          <w:color w:val="auto"/>
          <w:highlight w:val="none"/>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pPr>
        <w:pStyle w:val="17"/>
        <w:rPr>
          <w:color w:val="auto"/>
          <w:highlight w:val="none"/>
        </w:rPr>
      </w:pPr>
    </w:p>
    <w:p>
      <w:pPr>
        <w:pStyle w:val="4"/>
        <w:jc w:val="center"/>
        <w:rPr>
          <w:rFonts w:hint="eastAsia" w:ascii="宋体" w:hAnsi="宋体" w:eastAsia="宋体" w:cs="宋体"/>
          <w:b w:val="0"/>
          <w:color w:val="auto"/>
          <w:sz w:val="30"/>
          <w:szCs w:val="30"/>
          <w:highlight w:val="none"/>
        </w:rPr>
      </w:pPr>
      <w:bookmarkStart w:id="263" w:name="_Toc25387"/>
      <w:bookmarkStart w:id="264" w:name="_Toc17840"/>
      <w:bookmarkStart w:id="265" w:name="_Toc32041"/>
      <w:bookmarkStart w:id="266" w:name="_Toc17655"/>
      <w:bookmarkStart w:id="267" w:name="_Toc2655"/>
      <w:r>
        <w:rPr>
          <w:rFonts w:hint="eastAsia" w:ascii="宋体" w:hAnsi="宋体" w:eastAsia="宋体" w:cs="宋体"/>
          <w:b w:val="0"/>
          <w:color w:val="auto"/>
          <w:sz w:val="30"/>
          <w:szCs w:val="30"/>
          <w:highlight w:val="none"/>
        </w:rPr>
        <w:t>第三节 评分标准</w:t>
      </w:r>
      <w:bookmarkEnd w:id="263"/>
      <w:bookmarkEnd w:id="264"/>
      <w:bookmarkEnd w:id="265"/>
      <w:bookmarkEnd w:id="266"/>
      <w:bookmarkEnd w:id="267"/>
    </w:p>
    <w:p>
      <w:pPr>
        <w:pStyle w:val="14"/>
        <w:ind w:firstLine="602" w:firstLineChars="200"/>
        <w:jc w:val="center"/>
        <w:rPr>
          <w:rFonts w:hint="eastAsia" w:hAnsi="宋体" w:cs="宋体"/>
          <w:b/>
          <w:color w:val="auto"/>
          <w:sz w:val="30"/>
          <w:szCs w:val="30"/>
          <w:highlight w:val="none"/>
        </w:rPr>
      </w:pPr>
      <w:r>
        <w:rPr>
          <w:rFonts w:hint="eastAsia" w:hAnsi="宋体" w:cs="宋体"/>
          <w:b/>
          <w:color w:val="auto"/>
          <w:sz w:val="30"/>
          <w:szCs w:val="30"/>
          <w:highlight w:val="none"/>
        </w:rPr>
        <w:t>综合评分法</w:t>
      </w:r>
    </w:p>
    <w:p>
      <w:pPr>
        <w:pStyle w:val="14"/>
        <w:spacing w:line="360" w:lineRule="auto"/>
        <w:ind w:firstLine="420"/>
        <w:rPr>
          <w:rFonts w:hint="eastAsia" w:hAnsi="宋体" w:cs="宋体"/>
          <w:bCs/>
          <w:color w:val="auto"/>
          <w:highlight w:val="none"/>
        </w:rPr>
      </w:pPr>
      <w:r>
        <w:rPr>
          <w:rFonts w:hint="eastAsia" w:hAnsi="宋体" w:cs="宋体"/>
          <w:bCs/>
          <w:color w:val="auto"/>
          <w:highlight w:val="none"/>
        </w:rPr>
        <w:t>注：计分方法按四舍五入取至百分位。</w:t>
      </w:r>
    </w:p>
    <w:p>
      <w:pPr>
        <w:pStyle w:val="10"/>
        <w:ind w:left="0" w:firstLine="211" w:firstLineChars="100"/>
        <w:jc w:val="left"/>
        <w:rPr>
          <w:b/>
          <w:color w:val="auto"/>
          <w:highlight w:val="none"/>
        </w:rPr>
      </w:pPr>
      <w:r>
        <w:rPr>
          <w:rFonts w:hint="eastAsia" w:hAnsi="宋体" w:cs="宋体"/>
          <w:b/>
          <w:color w:val="auto"/>
          <w:highlight w:val="none"/>
        </w:rPr>
        <w:t>标项一</w:t>
      </w:r>
    </w:p>
    <w:tbl>
      <w:tblPr>
        <w:tblStyle w:val="27"/>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1566"/>
        <w:gridCol w:w="1330"/>
        <w:gridCol w:w="60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1" w:type="dxa"/>
            <w:gridSpan w:val="2"/>
            <w:vAlign w:val="center"/>
          </w:tcPr>
          <w:p>
            <w:pPr>
              <w:adjustRightInd w:val="0"/>
              <w:spacing w:after="0" w:line="440" w:lineRule="atLeast"/>
              <w:jc w:val="center"/>
              <w:textAlignment w:val="baseline"/>
              <w:rPr>
                <w:rFonts w:hint="eastAsia" w:ascii="宋体" w:hAnsi="宋体" w:cs="宋体"/>
                <w:color w:val="auto"/>
                <w:szCs w:val="21"/>
                <w:highlight w:val="none"/>
              </w:rPr>
            </w:pPr>
            <w:r>
              <w:rPr>
                <w:rFonts w:hint="eastAsia" w:ascii="宋体" w:hAnsi="宋体" w:cs="宋体"/>
                <w:b/>
                <w:color w:val="auto"/>
                <w:szCs w:val="21"/>
                <w:highlight w:val="none"/>
              </w:rPr>
              <w:t>序号</w:t>
            </w:r>
          </w:p>
        </w:tc>
        <w:tc>
          <w:tcPr>
            <w:tcW w:w="1330" w:type="dxa"/>
            <w:vAlign w:val="center"/>
          </w:tcPr>
          <w:p>
            <w:pPr>
              <w:adjustRightInd w:val="0"/>
              <w:spacing w:after="0" w:line="440" w:lineRule="atLeast"/>
              <w:jc w:val="center"/>
              <w:textAlignment w:val="baseline"/>
              <w:rPr>
                <w:rFonts w:hint="eastAsia" w:ascii="宋体" w:hAnsi="宋体" w:cs="宋体"/>
                <w:color w:val="auto"/>
                <w:szCs w:val="21"/>
                <w:highlight w:val="none"/>
              </w:rPr>
            </w:pPr>
            <w:r>
              <w:rPr>
                <w:rFonts w:hint="eastAsia" w:ascii="宋体" w:hAnsi="宋体" w:cs="宋体"/>
                <w:b/>
                <w:color w:val="auto"/>
                <w:szCs w:val="21"/>
                <w:highlight w:val="none"/>
              </w:rPr>
              <w:t>评审因素</w:t>
            </w:r>
          </w:p>
        </w:tc>
        <w:tc>
          <w:tcPr>
            <w:tcW w:w="6029" w:type="dxa"/>
            <w:vAlign w:val="center"/>
          </w:tcPr>
          <w:p>
            <w:pPr>
              <w:adjustRightInd w:val="0"/>
              <w:spacing w:after="0" w:line="440" w:lineRule="atLeast"/>
              <w:jc w:val="center"/>
              <w:textAlignment w:val="baseline"/>
              <w:rPr>
                <w:rFonts w:hint="eastAsia" w:ascii="宋体" w:hAnsi="宋体" w:cs="宋体"/>
                <w:color w:val="auto"/>
                <w:szCs w:val="21"/>
                <w:highlight w:val="none"/>
              </w:rPr>
            </w:pPr>
            <w:r>
              <w:rPr>
                <w:rFonts w:hint="eastAsia" w:ascii="宋体" w:hAnsi="宋体" w:cs="宋体"/>
                <w:b/>
                <w:color w:val="auto"/>
                <w:szCs w:val="21"/>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Align w:val="center"/>
          </w:tcPr>
          <w:p>
            <w:pPr>
              <w:adjustRightInd w:val="0"/>
              <w:spacing w:after="0" w:line="440" w:lineRule="atLeast"/>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rPr>
              <w:t>1</w:t>
            </w:r>
          </w:p>
        </w:tc>
        <w:tc>
          <w:tcPr>
            <w:tcW w:w="1566" w:type="dxa"/>
            <w:vAlign w:val="center"/>
          </w:tcPr>
          <w:p>
            <w:pPr>
              <w:adjustRightInd w:val="0"/>
              <w:spacing w:after="0" w:line="440" w:lineRule="atLeast"/>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rPr>
              <w:t>价格分</w:t>
            </w:r>
          </w:p>
          <w:p>
            <w:pPr>
              <w:adjustRightInd w:val="0"/>
              <w:spacing w:after="0" w:line="440" w:lineRule="atLeast"/>
              <w:jc w:val="center"/>
              <w:textAlignment w:val="baseline"/>
              <w:rPr>
                <w:rFonts w:hint="eastAsia" w:ascii="宋体" w:hAnsi="宋体" w:cs="宋体"/>
                <w:color w:val="auto"/>
                <w:szCs w:val="21"/>
                <w:highlight w:val="none"/>
              </w:rPr>
            </w:pPr>
            <w:r>
              <w:rPr>
                <w:rFonts w:hint="eastAsia" w:ascii="宋体" w:hAnsi="宋体" w:cs="宋体"/>
                <w:color w:val="auto"/>
                <w:szCs w:val="21"/>
                <w:highlight w:val="none"/>
              </w:rPr>
              <w:t>（满分</w:t>
            </w:r>
            <w:r>
              <w:rPr>
                <w:rFonts w:hint="eastAsia" w:ascii="宋体" w:hAnsi="宋体" w:cs="宋体"/>
                <w:color w:val="auto"/>
                <w:szCs w:val="21"/>
                <w:highlight w:val="none"/>
                <w:u w:val="single"/>
              </w:rPr>
              <w:t>50</w:t>
            </w:r>
            <w:r>
              <w:rPr>
                <w:rFonts w:hint="eastAsia" w:ascii="宋体" w:hAnsi="宋体" w:cs="宋体"/>
                <w:color w:val="auto"/>
                <w:szCs w:val="21"/>
                <w:highlight w:val="none"/>
              </w:rPr>
              <w:t>分）</w:t>
            </w:r>
          </w:p>
          <w:p>
            <w:pPr>
              <w:adjustRightInd w:val="0"/>
              <w:spacing w:after="0" w:line="440" w:lineRule="atLeast"/>
              <w:jc w:val="left"/>
              <w:textAlignment w:val="baseline"/>
              <w:rPr>
                <w:rFonts w:hint="eastAsia" w:ascii="宋体" w:hAnsi="宋体" w:cs="宋体"/>
                <w:color w:val="auto"/>
                <w:szCs w:val="21"/>
                <w:highlight w:val="none"/>
              </w:rPr>
            </w:pPr>
          </w:p>
        </w:tc>
        <w:tc>
          <w:tcPr>
            <w:tcW w:w="1330" w:type="dxa"/>
            <w:vAlign w:val="center"/>
          </w:tcPr>
          <w:p>
            <w:pPr>
              <w:adjustRightInd w:val="0"/>
              <w:spacing w:after="0" w:line="440" w:lineRule="atLeast"/>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rPr>
              <w:t>投标报价</w:t>
            </w:r>
          </w:p>
        </w:tc>
        <w:tc>
          <w:tcPr>
            <w:tcW w:w="6029" w:type="dxa"/>
            <w:vAlign w:val="center"/>
          </w:tcPr>
          <w:p>
            <w:pPr>
              <w:spacing w:after="0" w:line="440" w:lineRule="atLeas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1.1评标价为投标人的投标报价进行政策性扣除后</w:t>
            </w:r>
            <w:r>
              <w:rPr>
                <w:rFonts w:hint="eastAsia" w:ascii="宋体" w:hAnsi="宋体" w:cs="宋体"/>
                <w:bCs/>
                <w:color w:val="auto"/>
                <w:szCs w:val="21"/>
                <w:highlight w:val="none"/>
                <w:lang w:eastAsia="zh-CN"/>
              </w:rPr>
              <w:t>（如有）</w:t>
            </w:r>
            <w:r>
              <w:rPr>
                <w:rFonts w:hint="eastAsia" w:ascii="宋体" w:hAnsi="宋体" w:cs="宋体"/>
                <w:bCs/>
                <w:color w:val="auto"/>
                <w:szCs w:val="21"/>
                <w:highlight w:val="none"/>
              </w:rPr>
              <w:t>的价格，评标价只是作为评标时使用。最终中标人的中标金额等于投标报价。</w:t>
            </w:r>
          </w:p>
          <w:p>
            <w:pPr>
              <w:spacing w:after="0" w:line="440" w:lineRule="atLeas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1.2 政策性扣除计算方法。</w:t>
            </w:r>
          </w:p>
          <w:p>
            <w:pPr>
              <w:spacing w:after="0" w:line="440" w:lineRule="atLeas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1.2.1对小微企业的价格评审优惠</w:t>
            </w:r>
          </w:p>
          <w:p>
            <w:pPr>
              <w:spacing w:after="0" w:line="440" w:lineRule="atLeas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投标人被评定为监狱企业或者残疾人福利性单位或者其提供的货物全部由符合政策要求的小型、微型企业制造，即货物由小型、微型企业生产且使用该小型、微型企业商号或者注册商标的，该投标人的投标报价给予</w:t>
            </w:r>
            <w:r>
              <w:rPr>
                <w:rFonts w:hint="eastAsia" w:ascii="宋体" w:hAnsi="宋体" w:cs="宋体"/>
                <w:bCs/>
                <w:color w:val="auto"/>
                <w:szCs w:val="21"/>
                <w:highlight w:val="none"/>
                <w:lang w:val="en-US" w:eastAsia="zh-CN"/>
              </w:rPr>
              <w:t>1</w:t>
            </w:r>
            <w:r>
              <w:rPr>
                <w:rFonts w:hint="eastAsia" w:ascii="宋体" w:hAnsi="宋体" w:cs="宋体"/>
                <w:bCs/>
                <w:color w:val="auto"/>
                <w:szCs w:val="21"/>
                <w:highlight w:val="none"/>
              </w:rPr>
              <w:t>0%的扣除，扣除后的价格为评标价，即评标价=投标报价×（1-</w:t>
            </w:r>
            <w:r>
              <w:rPr>
                <w:rFonts w:hint="eastAsia" w:ascii="宋体" w:hAnsi="宋体" w:cs="宋体"/>
                <w:bCs/>
                <w:color w:val="auto"/>
                <w:szCs w:val="21"/>
                <w:highlight w:val="none"/>
                <w:lang w:val="en-US" w:eastAsia="zh-CN"/>
              </w:rPr>
              <w:t>1</w:t>
            </w:r>
            <w:r>
              <w:rPr>
                <w:rFonts w:hint="eastAsia" w:ascii="宋体" w:hAnsi="宋体" w:cs="宋体"/>
                <w:bCs/>
                <w:color w:val="auto"/>
                <w:szCs w:val="21"/>
                <w:highlight w:val="none"/>
              </w:rPr>
              <w:t>0%）；接受大中型企业与小微企业组成联合体或者允许大中型企业向一家或者多家小微企业分包的采购项目，对于联合协议或者分包意向协议约定小微企业的合同份额占到合同总金额30%以上的，对联合体或者大中型企业的投标报价给予6%的扣除，用扣除后的价格参加评审，扣除后的价格为评标价，即评标价=投标报价×（1－6%）。</w:t>
            </w:r>
          </w:p>
          <w:p>
            <w:pPr>
              <w:spacing w:after="0" w:line="440" w:lineRule="atLeas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1.2.2对本国产品的价格评审优惠</w:t>
            </w:r>
          </w:p>
          <w:p>
            <w:pPr>
              <w:spacing w:after="0" w:line="440" w:lineRule="atLeas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投标人对其提供的产品出具《关于符合本国产品标准的声明函》（样式见“第六章投标文件格式”）或财政部会同有关部门规定的有关证明文件，该产品被视为本国产品的，给予政策性价格扣除，用扣除后的价格参与评审。</w:t>
            </w:r>
          </w:p>
          <w:p>
            <w:pPr>
              <w:spacing w:after="0" w:line="440" w:lineRule="atLeas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对本国产品的支持政策：政府采购活动中既有本国产品又有非本国产品参与竞争的，依法对本国产品给予价格评审优惠，对本国产品的报价给予20%的价格扣除，用扣除后的价格参与评审。</w:t>
            </w:r>
          </w:p>
          <w:p>
            <w:pPr>
              <w:spacing w:after="0" w:line="440" w:lineRule="atLeas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pPr>
              <w:spacing w:after="0" w:line="440" w:lineRule="atLeas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除上述情况外，评标价=投标报价。</w:t>
            </w:r>
          </w:p>
          <w:p>
            <w:pPr>
              <w:spacing w:after="0" w:line="440" w:lineRule="atLeas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1.3满足招标文件要求且评标价最低的评标价为评标基准价，基准价得分为50分。</w:t>
            </w:r>
          </w:p>
          <w:p>
            <w:pPr>
              <w:spacing w:after="0" w:line="440" w:lineRule="atLeas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1.4价格分计算公式：        </w:t>
            </w:r>
          </w:p>
          <w:p>
            <w:pPr>
              <w:spacing w:after="0" w:line="440" w:lineRule="atLeas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价格分=(评标基准价／评标价)×50分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Merge w:val="restart"/>
            <w:vAlign w:val="center"/>
          </w:tcPr>
          <w:p>
            <w:pPr>
              <w:adjustRightInd w:val="0"/>
              <w:spacing w:after="0" w:line="440" w:lineRule="atLeast"/>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rPr>
              <w:t>2</w:t>
            </w:r>
          </w:p>
        </w:tc>
        <w:tc>
          <w:tcPr>
            <w:tcW w:w="1566" w:type="dxa"/>
            <w:vMerge w:val="restart"/>
            <w:vAlign w:val="center"/>
          </w:tcPr>
          <w:p>
            <w:pPr>
              <w:adjustRightInd w:val="0"/>
              <w:spacing w:after="0" w:line="440" w:lineRule="atLeast"/>
              <w:ind w:left="-105" w:leftChars="-50" w:right="-105" w:rightChars="-50"/>
              <w:jc w:val="center"/>
              <w:textAlignment w:val="baseline"/>
              <w:rPr>
                <w:rFonts w:hint="eastAsia" w:ascii="宋体" w:hAnsi="宋体" w:cs="宋体"/>
                <w:b/>
                <w:bCs/>
                <w:color w:val="auto"/>
                <w:szCs w:val="21"/>
                <w:highlight w:val="none"/>
              </w:rPr>
            </w:pPr>
            <w:r>
              <w:rPr>
                <w:rFonts w:hint="eastAsia" w:ascii="宋体" w:hAnsi="宋体" w:cs="宋体"/>
                <w:b/>
                <w:bCs/>
                <w:color w:val="auto"/>
                <w:szCs w:val="21"/>
                <w:highlight w:val="none"/>
              </w:rPr>
              <w:t>技术分</w:t>
            </w:r>
          </w:p>
          <w:p>
            <w:pPr>
              <w:adjustRightInd w:val="0"/>
              <w:spacing w:after="0" w:line="440" w:lineRule="atLeast"/>
              <w:ind w:left="-105" w:leftChars="-50" w:right="-105" w:rightChars="-50"/>
              <w:jc w:val="center"/>
              <w:textAlignment w:val="baseline"/>
              <w:rPr>
                <w:rFonts w:hint="eastAsia" w:ascii="宋体" w:hAnsi="宋体" w:cs="宋体"/>
                <w:color w:val="auto"/>
                <w:spacing w:val="-18"/>
                <w:szCs w:val="21"/>
                <w:highlight w:val="none"/>
              </w:rPr>
            </w:pPr>
            <w:r>
              <w:rPr>
                <w:rFonts w:hint="eastAsia" w:ascii="宋体" w:hAnsi="宋体" w:cs="宋体"/>
                <w:bCs/>
                <w:color w:val="auto"/>
                <w:szCs w:val="21"/>
                <w:highlight w:val="none"/>
              </w:rPr>
              <w:t>（</w:t>
            </w:r>
            <w:r>
              <w:rPr>
                <w:rFonts w:hint="eastAsia" w:ascii="宋体" w:hAnsi="宋体" w:cs="宋体"/>
                <w:color w:val="auto"/>
                <w:szCs w:val="21"/>
                <w:highlight w:val="none"/>
              </w:rPr>
              <w:t>满分</w:t>
            </w:r>
            <w:r>
              <w:rPr>
                <w:rFonts w:hint="eastAsia" w:ascii="宋体" w:hAnsi="宋体" w:cs="宋体"/>
                <w:color w:val="auto"/>
                <w:szCs w:val="21"/>
                <w:highlight w:val="none"/>
                <w:u w:val="single"/>
              </w:rPr>
              <w:t>45</w:t>
            </w:r>
            <w:r>
              <w:rPr>
                <w:rFonts w:hint="eastAsia" w:ascii="宋体" w:hAnsi="宋体" w:cs="宋体"/>
                <w:bCs/>
                <w:color w:val="auto"/>
                <w:szCs w:val="21"/>
                <w:highlight w:val="none"/>
              </w:rPr>
              <w:t>分）</w:t>
            </w:r>
          </w:p>
        </w:tc>
        <w:tc>
          <w:tcPr>
            <w:tcW w:w="1330" w:type="dxa"/>
            <w:vAlign w:val="center"/>
          </w:tcPr>
          <w:p>
            <w:pPr>
              <w:adjustRightInd w:val="0"/>
              <w:spacing w:after="0" w:line="440" w:lineRule="atLeast"/>
              <w:jc w:val="center"/>
              <w:textAlignment w:val="baseline"/>
              <w:rPr>
                <w:rFonts w:hint="eastAsia" w:ascii="宋体" w:hAnsi="宋体" w:cs="宋体"/>
                <w:color w:val="auto"/>
                <w:szCs w:val="21"/>
                <w:highlight w:val="none"/>
                <w:u w:val="single"/>
              </w:rPr>
            </w:pPr>
            <w:r>
              <w:rPr>
                <w:rFonts w:hint="eastAsia" w:ascii="宋体" w:hAnsi="宋体" w:cs="宋体"/>
                <w:b/>
                <w:bCs/>
                <w:color w:val="auto"/>
                <w:szCs w:val="21"/>
                <w:highlight w:val="none"/>
              </w:rPr>
              <w:t>2.1技术性能分（满分16分）</w:t>
            </w:r>
          </w:p>
        </w:tc>
        <w:tc>
          <w:tcPr>
            <w:tcW w:w="6029" w:type="dxa"/>
            <w:vAlign w:val="center"/>
          </w:tcPr>
          <w:p>
            <w:pPr>
              <w:pStyle w:val="14"/>
              <w:spacing w:after="0" w:line="440" w:lineRule="atLeast"/>
              <w:ind w:firstLine="420" w:firstLineChars="200"/>
              <w:rPr>
                <w:rFonts w:hint="eastAsia" w:hAnsi="宋体" w:cs="宋体"/>
                <w:color w:val="auto"/>
                <w:szCs w:val="21"/>
                <w:highlight w:val="none"/>
              </w:rPr>
            </w:pPr>
            <w:r>
              <w:rPr>
                <w:rFonts w:hint="eastAsia" w:hAnsi="宋体" w:cs="宋体"/>
                <w:color w:val="auto"/>
                <w:kern w:val="0"/>
                <w:szCs w:val="21"/>
                <w:highlight w:val="none"/>
              </w:rPr>
              <w:t>投标人所投产品的技术参数及配置每有一项</w:t>
            </w:r>
            <w:r>
              <w:rPr>
                <w:rFonts w:hint="eastAsia"/>
                <w:color w:val="auto"/>
                <w:highlight w:val="none"/>
              </w:rPr>
              <w:t>正偏离或完全满足</w:t>
            </w:r>
            <w:r>
              <w:rPr>
                <w:rFonts w:hint="eastAsia" w:hAnsi="宋体" w:cs="宋体"/>
                <w:color w:val="auto"/>
                <w:kern w:val="0"/>
                <w:szCs w:val="21"/>
                <w:highlight w:val="none"/>
              </w:rPr>
              <w:t>“</w:t>
            </w:r>
            <w:r>
              <w:rPr>
                <w:rFonts w:hint="eastAsia" w:hAnsi="宋体" w:cs="宋体"/>
                <w:bCs/>
                <w:color w:val="auto"/>
                <w:kern w:val="0"/>
                <w:szCs w:val="21"/>
                <w:highlight w:val="none"/>
              </w:rPr>
              <w:t>●</w:t>
            </w:r>
            <w:r>
              <w:rPr>
                <w:rFonts w:hint="eastAsia" w:hAnsi="宋体" w:cs="宋体"/>
                <w:color w:val="auto"/>
                <w:kern w:val="0"/>
                <w:szCs w:val="21"/>
                <w:highlight w:val="none"/>
              </w:rPr>
              <w:t>”的条款并能提供佐证材料的得1分，满分16分。</w:t>
            </w:r>
          </w:p>
          <w:p>
            <w:pPr>
              <w:pStyle w:val="14"/>
              <w:spacing w:after="0" w:line="440" w:lineRule="atLeast"/>
              <w:ind w:firstLine="420" w:firstLineChars="200"/>
              <w:rPr>
                <w:rFonts w:hint="eastAsia" w:hAnsi="宋体" w:cs="宋体"/>
                <w:bCs/>
                <w:color w:val="auto"/>
                <w:szCs w:val="21"/>
                <w:highlight w:val="none"/>
              </w:rPr>
            </w:pPr>
            <w:r>
              <w:rPr>
                <w:rFonts w:hint="eastAsia" w:hAnsi="宋体" w:cs="宋体"/>
                <w:color w:val="auto"/>
                <w:kern w:val="0"/>
                <w:szCs w:val="21"/>
                <w:highlight w:val="none"/>
              </w:rPr>
              <w:t>注明：佐证材料可以是由国家认可的第三方检测机构出具的检测报告或厂家官网截图或产品说明书或产品界面截图，非正偏离或不完全满足或未提供佐证材料的不得分。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Merge w:val="continue"/>
            <w:vAlign w:val="center"/>
          </w:tcPr>
          <w:p>
            <w:pPr>
              <w:adjustRightInd w:val="0"/>
              <w:spacing w:after="0" w:line="440" w:lineRule="atLeast"/>
              <w:jc w:val="center"/>
              <w:textAlignment w:val="baseline"/>
              <w:rPr>
                <w:rFonts w:hint="eastAsia" w:ascii="宋体" w:hAnsi="宋体" w:cs="宋体"/>
                <w:b/>
                <w:color w:val="auto"/>
                <w:szCs w:val="21"/>
                <w:highlight w:val="none"/>
              </w:rPr>
            </w:pPr>
          </w:p>
        </w:tc>
        <w:tc>
          <w:tcPr>
            <w:tcW w:w="1566" w:type="dxa"/>
            <w:vMerge w:val="continue"/>
            <w:vAlign w:val="center"/>
          </w:tcPr>
          <w:p>
            <w:pPr>
              <w:adjustRightInd w:val="0"/>
              <w:spacing w:after="0" w:line="440" w:lineRule="atLeast"/>
              <w:ind w:left="-105" w:leftChars="-50" w:right="-105" w:rightChars="-50"/>
              <w:jc w:val="center"/>
              <w:textAlignment w:val="baseline"/>
              <w:rPr>
                <w:rFonts w:hint="eastAsia" w:ascii="宋体" w:hAnsi="宋体" w:cs="宋体"/>
                <w:color w:val="auto"/>
                <w:spacing w:val="-18"/>
                <w:szCs w:val="21"/>
                <w:highlight w:val="none"/>
              </w:rPr>
            </w:pPr>
          </w:p>
        </w:tc>
        <w:tc>
          <w:tcPr>
            <w:tcW w:w="1330" w:type="dxa"/>
            <w:vAlign w:val="center"/>
          </w:tcPr>
          <w:p>
            <w:pPr>
              <w:widowControl/>
              <w:snapToGrid w:val="0"/>
              <w:spacing w:after="0" w:line="4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2.2项目实施方案分</w:t>
            </w:r>
          </w:p>
          <w:p>
            <w:pPr>
              <w:adjustRightInd w:val="0"/>
              <w:spacing w:after="0" w:line="440" w:lineRule="atLeast"/>
              <w:jc w:val="center"/>
              <w:textAlignment w:val="baseline"/>
              <w:rPr>
                <w:rFonts w:hint="eastAsia" w:ascii="宋体" w:hAnsi="宋体" w:cs="宋体"/>
                <w:color w:val="auto"/>
                <w:szCs w:val="21"/>
                <w:highlight w:val="none"/>
                <w:u w:val="single"/>
              </w:rPr>
            </w:pPr>
            <w:r>
              <w:rPr>
                <w:rFonts w:hint="eastAsia" w:ascii="宋体" w:hAnsi="宋体" w:cs="宋体"/>
                <w:b/>
                <w:color w:val="auto"/>
                <w:szCs w:val="21"/>
                <w:highlight w:val="none"/>
              </w:rPr>
              <w:t>（满分12分）</w:t>
            </w:r>
          </w:p>
        </w:tc>
        <w:tc>
          <w:tcPr>
            <w:tcW w:w="6029" w:type="dxa"/>
            <w:vAlign w:val="center"/>
          </w:tcPr>
          <w:p>
            <w:pPr>
              <w:pStyle w:val="14"/>
              <w:spacing w:after="0" w:line="440" w:lineRule="atLeast"/>
              <w:ind w:firstLine="420" w:firstLineChars="200"/>
              <w:rPr>
                <w:rFonts w:hint="eastAsia" w:hAnsi="宋体" w:cs="宋体"/>
                <w:bCs/>
                <w:color w:val="auto"/>
                <w:szCs w:val="21"/>
                <w:highlight w:val="none"/>
              </w:rPr>
            </w:pPr>
            <w:r>
              <w:rPr>
                <w:rFonts w:hint="eastAsia" w:hAnsi="宋体" w:cs="宋体"/>
                <w:bCs/>
                <w:color w:val="auto"/>
                <w:szCs w:val="21"/>
                <w:highlight w:val="none"/>
              </w:rPr>
              <w:t>一档（3分）：提供有项目的实施</w:t>
            </w:r>
            <w:r>
              <w:rPr>
                <w:rFonts w:hint="eastAsia" w:hAnsi="宋体" w:cs="宋体"/>
                <w:color w:val="auto"/>
                <w:szCs w:val="21"/>
                <w:highlight w:val="none"/>
              </w:rPr>
              <w:t>进度安排</w:t>
            </w:r>
            <w:r>
              <w:rPr>
                <w:rFonts w:hint="eastAsia" w:hAnsi="宋体" w:cs="宋体"/>
                <w:bCs/>
                <w:color w:val="auto"/>
                <w:szCs w:val="21"/>
                <w:highlight w:val="none"/>
              </w:rPr>
              <w:t>、实施环节步骤；</w:t>
            </w:r>
          </w:p>
          <w:p>
            <w:pPr>
              <w:pStyle w:val="14"/>
              <w:spacing w:after="0" w:line="440" w:lineRule="atLeast"/>
              <w:ind w:firstLine="420" w:firstLineChars="200"/>
              <w:rPr>
                <w:rFonts w:hint="eastAsia" w:hAnsi="宋体" w:cs="宋体"/>
                <w:bCs/>
                <w:color w:val="auto"/>
                <w:szCs w:val="21"/>
                <w:highlight w:val="none"/>
              </w:rPr>
            </w:pPr>
            <w:r>
              <w:rPr>
                <w:rFonts w:hint="eastAsia" w:hAnsi="宋体" w:cs="宋体"/>
                <w:bCs/>
                <w:color w:val="auto"/>
                <w:szCs w:val="21"/>
                <w:highlight w:val="none"/>
              </w:rPr>
              <w:t>二档（6分）：提供有项目实施</w:t>
            </w:r>
            <w:r>
              <w:rPr>
                <w:rFonts w:hint="eastAsia" w:hAnsi="宋体" w:cs="宋体"/>
                <w:color w:val="auto"/>
                <w:szCs w:val="21"/>
                <w:highlight w:val="none"/>
              </w:rPr>
              <w:t>进度安排</w:t>
            </w:r>
            <w:r>
              <w:rPr>
                <w:rFonts w:hint="eastAsia" w:hAnsi="宋体" w:cs="宋体"/>
                <w:bCs/>
                <w:color w:val="auto"/>
                <w:szCs w:val="21"/>
                <w:highlight w:val="none"/>
              </w:rPr>
              <w:t>和</w:t>
            </w:r>
            <w:r>
              <w:rPr>
                <w:rFonts w:hint="eastAsia" w:hAnsi="宋体" w:cs="宋体"/>
                <w:color w:val="auto"/>
                <w:szCs w:val="21"/>
                <w:highlight w:val="none"/>
              </w:rPr>
              <w:t>保障措施</w:t>
            </w:r>
            <w:r>
              <w:rPr>
                <w:rFonts w:hint="eastAsia" w:hAnsi="宋体" w:cs="宋体"/>
                <w:bCs/>
                <w:color w:val="auto"/>
                <w:szCs w:val="21"/>
                <w:highlight w:val="none"/>
              </w:rPr>
              <w:t>、</w:t>
            </w:r>
            <w:r>
              <w:rPr>
                <w:rFonts w:hint="eastAsia" w:hAnsi="宋体" w:cs="宋体"/>
                <w:color w:val="auto"/>
                <w:szCs w:val="21"/>
                <w:highlight w:val="none"/>
              </w:rPr>
              <w:t>各个阶段工作安排，提出本项目的风险预见和技术重点、难点</w:t>
            </w:r>
            <w:r>
              <w:rPr>
                <w:rFonts w:hint="eastAsia" w:hAnsi="宋体" w:cs="宋体"/>
                <w:bCs/>
                <w:color w:val="auto"/>
                <w:szCs w:val="21"/>
                <w:highlight w:val="none"/>
              </w:rPr>
              <w:t>；</w:t>
            </w:r>
          </w:p>
          <w:p>
            <w:pPr>
              <w:pStyle w:val="14"/>
              <w:spacing w:after="0" w:line="440" w:lineRule="atLeast"/>
              <w:ind w:firstLine="420" w:firstLineChars="200"/>
              <w:rPr>
                <w:rFonts w:hint="eastAsia" w:hAnsi="宋体" w:cs="宋体"/>
                <w:bCs/>
                <w:color w:val="auto"/>
                <w:szCs w:val="21"/>
                <w:highlight w:val="none"/>
              </w:rPr>
            </w:pPr>
            <w:r>
              <w:rPr>
                <w:rFonts w:hint="eastAsia" w:hAnsi="宋体" w:cs="宋体"/>
                <w:bCs/>
                <w:color w:val="auto"/>
                <w:szCs w:val="21"/>
                <w:highlight w:val="none"/>
              </w:rPr>
              <w:t>三档（9分）：有详细的项目实施</w:t>
            </w:r>
            <w:r>
              <w:rPr>
                <w:rFonts w:hint="eastAsia" w:hAnsi="宋体" w:cs="宋体"/>
                <w:color w:val="auto"/>
                <w:szCs w:val="21"/>
                <w:highlight w:val="none"/>
              </w:rPr>
              <w:t>进度安排</w:t>
            </w:r>
            <w:r>
              <w:rPr>
                <w:rFonts w:hint="eastAsia" w:hAnsi="宋体" w:cs="宋体"/>
                <w:bCs/>
                <w:color w:val="auto"/>
                <w:szCs w:val="21"/>
                <w:highlight w:val="none"/>
              </w:rPr>
              <w:t>和</w:t>
            </w:r>
            <w:r>
              <w:rPr>
                <w:rFonts w:hint="eastAsia" w:hAnsi="宋体" w:cs="宋体"/>
                <w:color w:val="auto"/>
                <w:szCs w:val="21"/>
                <w:highlight w:val="none"/>
              </w:rPr>
              <w:t>保障措施</w:t>
            </w:r>
            <w:r>
              <w:rPr>
                <w:rFonts w:hint="eastAsia" w:hAnsi="宋体" w:cs="宋体"/>
                <w:bCs/>
                <w:color w:val="auto"/>
                <w:szCs w:val="21"/>
                <w:highlight w:val="none"/>
              </w:rPr>
              <w:t>，有人员岗位安排</w:t>
            </w:r>
            <w:r>
              <w:rPr>
                <w:rFonts w:hint="eastAsia" w:hAnsi="宋体" w:cs="宋体"/>
                <w:color w:val="auto"/>
                <w:szCs w:val="21"/>
                <w:highlight w:val="none"/>
              </w:rPr>
              <w:t>，人员配置有保障，</w:t>
            </w:r>
            <w:r>
              <w:rPr>
                <w:rFonts w:hint="eastAsia" w:hAnsi="宋体" w:cs="宋体"/>
                <w:bCs/>
                <w:color w:val="auto"/>
                <w:szCs w:val="21"/>
                <w:highlight w:val="none"/>
              </w:rPr>
              <w:t>实施环节步骤详细，</w:t>
            </w:r>
            <w:r>
              <w:rPr>
                <w:rFonts w:hint="eastAsia" w:hAnsi="宋体" w:cs="宋体"/>
                <w:color w:val="auto"/>
                <w:szCs w:val="21"/>
                <w:highlight w:val="none"/>
              </w:rPr>
              <w:t>能说明各个阶段工作安排，提出本项目的风险预见及措施</w:t>
            </w:r>
            <w:r>
              <w:rPr>
                <w:rFonts w:hint="eastAsia" w:hAnsi="宋体" w:cs="宋体"/>
                <w:bCs/>
                <w:color w:val="auto"/>
                <w:szCs w:val="21"/>
                <w:highlight w:val="none"/>
              </w:rPr>
              <w:t>；分析了</w:t>
            </w:r>
            <w:r>
              <w:rPr>
                <w:rFonts w:hint="eastAsia" w:hAnsi="宋体" w:cs="宋体"/>
                <w:color w:val="auto"/>
                <w:szCs w:val="21"/>
                <w:highlight w:val="none"/>
              </w:rPr>
              <w:t>本项目的技术重点、难点</w:t>
            </w:r>
            <w:r>
              <w:rPr>
                <w:rFonts w:hint="eastAsia" w:hAnsi="宋体" w:cs="宋体"/>
                <w:bCs/>
                <w:color w:val="auto"/>
                <w:szCs w:val="21"/>
                <w:highlight w:val="none"/>
              </w:rPr>
              <w:t>及提供相应建议，满足项目要求；</w:t>
            </w:r>
          </w:p>
          <w:p>
            <w:pPr>
              <w:pStyle w:val="14"/>
              <w:spacing w:after="0" w:line="440" w:lineRule="atLeast"/>
              <w:ind w:firstLine="420" w:firstLineChars="200"/>
              <w:rPr>
                <w:rFonts w:hint="eastAsia" w:hAnsi="宋体" w:cs="宋体"/>
                <w:bCs/>
                <w:color w:val="auto"/>
                <w:szCs w:val="21"/>
                <w:highlight w:val="none"/>
              </w:rPr>
            </w:pPr>
            <w:r>
              <w:rPr>
                <w:rFonts w:hint="eastAsia" w:hAnsi="宋体" w:cs="宋体"/>
                <w:bCs/>
                <w:color w:val="auto"/>
                <w:szCs w:val="21"/>
                <w:highlight w:val="none"/>
              </w:rPr>
              <w:t>四档（12分）：有严谨的项目实施</w:t>
            </w:r>
            <w:r>
              <w:rPr>
                <w:rFonts w:hint="eastAsia" w:hAnsi="宋体" w:cs="宋体"/>
                <w:color w:val="auto"/>
                <w:szCs w:val="21"/>
                <w:highlight w:val="none"/>
              </w:rPr>
              <w:t>进度安排</w:t>
            </w:r>
            <w:r>
              <w:rPr>
                <w:rFonts w:hint="eastAsia" w:hAnsi="宋体" w:cs="宋体"/>
                <w:bCs/>
                <w:color w:val="auto"/>
                <w:szCs w:val="21"/>
                <w:highlight w:val="none"/>
              </w:rPr>
              <w:t>和</w:t>
            </w:r>
            <w:r>
              <w:rPr>
                <w:rFonts w:hint="eastAsia" w:hAnsi="宋体" w:cs="宋体"/>
                <w:color w:val="auto"/>
                <w:szCs w:val="21"/>
                <w:highlight w:val="none"/>
              </w:rPr>
              <w:t>保障措施</w:t>
            </w:r>
            <w:r>
              <w:rPr>
                <w:rFonts w:hint="eastAsia" w:hAnsi="宋体" w:cs="宋体"/>
                <w:bCs/>
                <w:color w:val="auto"/>
                <w:szCs w:val="21"/>
                <w:highlight w:val="none"/>
              </w:rPr>
              <w:t>，</w:t>
            </w:r>
            <w:r>
              <w:rPr>
                <w:rFonts w:hint="eastAsia" w:hAnsi="宋体" w:cs="宋体"/>
                <w:color w:val="auto"/>
                <w:szCs w:val="21"/>
                <w:highlight w:val="none"/>
              </w:rPr>
              <w:t>分工与职责明确，人员配置有保障，</w:t>
            </w:r>
            <w:r>
              <w:rPr>
                <w:rFonts w:hint="eastAsia" w:hAnsi="宋体" w:cs="宋体"/>
                <w:bCs/>
                <w:color w:val="auto"/>
                <w:szCs w:val="21"/>
                <w:highlight w:val="none"/>
              </w:rPr>
              <w:t>各实施环节步骤详细清晰，</w:t>
            </w:r>
            <w:r>
              <w:rPr>
                <w:rFonts w:hint="eastAsia" w:hAnsi="宋体" w:cs="宋体"/>
                <w:color w:val="auto"/>
                <w:szCs w:val="21"/>
                <w:highlight w:val="none"/>
              </w:rPr>
              <w:t>能说明各个阶段关键工作安排及关键部分的分析准确，分析本项目的风险预见及风险应对措施</w:t>
            </w:r>
            <w:r>
              <w:rPr>
                <w:rFonts w:hint="eastAsia" w:hAnsi="宋体" w:cs="宋体"/>
                <w:bCs/>
                <w:color w:val="auto"/>
                <w:szCs w:val="21"/>
                <w:highlight w:val="none"/>
              </w:rPr>
              <w:t>；能</w:t>
            </w:r>
            <w:r>
              <w:rPr>
                <w:rFonts w:hint="eastAsia" w:hAnsi="宋体" w:cs="宋体"/>
                <w:color w:val="auto"/>
                <w:szCs w:val="21"/>
                <w:highlight w:val="none"/>
              </w:rPr>
              <w:t>把握本项目的技术重点、难点</w:t>
            </w:r>
            <w:r>
              <w:rPr>
                <w:rFonts w:hint="eastAsia" w:hAnsi="宋体" w:cs="宋体"/>
                <w:bCs/>
                <w:color w:val="auto"/>
                <w:szCs w:val="21"/>
                <w:highlight w:val="none"/>
              </w:rPr>
              <w:t>，切合实际且有针对性，</w:t>
            </w:r>
            <w:r>
              <w:rPr>
                <w:rFonts w:hint="eastAsia" w:hAnsi="宋体" w:cs="宋体"/>
                <w:color w:val="auto"/>
                <w:szCs w:val="21"/>
                <w:highlight w:val="none"/>
              </w:rPr>
              <w:t>利于项目实施，</w:t>
            </w:r>
            <w:r>
              <w:rPr>
                <w:rFonts w:hint="eastAsia" w:hAnsi="宋体" w:cs="宋体"/>
                <w:bCs/>
                <w:color w:val="auto"/>
                <w:szCs w:val="21"/>
                <w:highlight w:val="none"/>
              </w:rPr>
              <w:t>能保障推进项目实施。</w:t>
            </w:r>
          </w:p>
          <w:p>
            <w:pPr>
              <w:pStyle w:val="17"/>
              <w:spacing w:after="0" w:line="440" w:lineRule="atLeast"/>
              <w:ind w:firstLine="420" w:firstLineChars="200"/>
              <w:rPr>
                <w:rFonts w:hint="eastAsia" w:ascii="宋体" w:hAnsi="宋体" w:cs="宋体"/>
                <w:bCs/>
                <w:color w:val="auto"/>
                <w:sz w:val="21"/>
                <w:szCs w:val="21"/>
                <w:highlight w:val="none"/>
              </w:rPr>
            </w:pPr>
            <w:r>
              <w:rPr>
                <w:rFonts w:hint="eastAsia" w:ascii="宋体" w:hAnsi="宋体" w:cs="宋体"/>
                <w:color w:val="auto"/>
                <w:sz w:val="21"/>
                <w:szCs w:val="21"/>
                <w:highlight w:val="none"/>
              </w:rPr>
              <w:t>注明：不满足入档要求的，得0分。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Merge w:val="continue"/>
            <w:vAlign w:val="center"/>
          </w:tcPr>
          <w:p>
            <w:pPr>
              <w:adjustRightInd w:val="0"/>
              <w:spacing w:after="0" w:line="440" w:lineRule="atLeast"/>
              <w:jc w:val="center"/>
              <w:textAlignment w:val="baseline"/>
              <w:rPr>
                <w:rFonts w:hint="eastAsia" w:ascii="宋体" w:hAnsi="宋体" w:cs="宋体"/>
                <w:b/>
                <w:color w:val="auto"/>
                <w:szCs w:val="21"/>
                <w:highlight w:val="none"/>
              </w:rPr>
            </w:pPr>
          </w:p>
        </w:tc>
        <w:tc>
          <w:tcPr>
            <w:tcW w:w="1566" w:type="dxa"/>
            <w:vMerge w:val="continue"/>
            <w:vAlign w:val="center"/>
          </w:tcPr>
          <w:p>
            <w:pPr>
              <w:adjustRightInd w:val="0"/>
              <w:spacing w:after="0" w:line="440" w:lineRule="atLeast"/>
              <w:ind w:left="-105" w:leftChars="-50" w:right="-105" w:rightChars="-50"/>
              <w:jc w:val="center"/>
              <w:textAlignment w:val="baseline"/>
              <w:rPr>
                <w:rFonts w:hint="eastAsia" w:ascii="宋体" w:hAnsi="宋体" w:cs="宋体"/>
                <w:bCs/>
                <w:color w:val="auto"/>
                <w:szCs w:val="21"/>
                <w:highlight w:val="none"/>
              </w:rPr>
            </w:pPr>
          </w:p>
        </w:tc>
        <w:tc>
          <w:tcPr>
            <w:tcW w:w="1330" w:type="dxa"/>
            <w:vAlign w:val="center"/>
          </w:tcPr>
          <w:p>
            <w:pPr>
              <w:widowControl/>
              <w:snapToGrid w:val="0"/>
              <w:spacing w:after="0" w:line="440" w:lineRule="atLeast"/>
              <w:jc w:val="center"/>
              <w:rPr>
                <w:rFonts w:hint="eastAsia" w:ascii="宋体" w:hAnsi="宋体" w:cs="宋体"/>
                <w:color w:val="auto"/>
                <w:szCs w:val="21"/>
                <w:highlight w:val="none"/>
                <w:u w:val="single"/>
              </w:rPr>
            </w:pPr>
            <w:r>
              <w:rPr>
                <w:rFonts w:hint="eastAsia" w:ascii="宋体" w:hAnsi="宋体" w:cs="宋体"/>
                <w:b/>
                <w:bCs/>
                <w:color w:val="auto"/>
                <w:kern w:val="0"/>
                <w:szCs w:val="21"/>
                <w:highlight w:val="none"/>
              </w:rPr>
              <w:t xml:space="preserve">2.3 </w:t>
            </w:r>
            <w:r>
              <w:rPr>
                <w:rFonts w:hint="eastAsia" w:ascii="宋体" w:hAnsi="宋体" w:cs="宋体"/>
                <w:b/>
                <w:color w:val="auto"/>
                <w:szCs w:val="21"/>
                <w:highlight w:val="none"/>
              </w:rPr>
              <w:t>安装调试方案（5分）</w:t>
            </w:r>
          </w:p>
        </w:tc>
        <w:tc>
          <w:tcPr>
            <w:tcW w:w="6029" w:type="dxa"/>
            <w:vAlign w:val="center"/>
          </w:tcPr>
          <w:p>
            <w:pPr>
              <w:pStyle w:val="14"/>
              <w:spacing w:after="0" w:line="440" w:lineRule="atLeast"/>
              <w:ind w:firstLine="420" w:firstLineChars="200"/>
              <w:rPr>
                <w:rFonts w:hint="eastAsia" w:hAnsi="宋体" w:cs="宋体"/>
                <w:color w:val="auto"/>
                <w:szCs w:val="21"/>
                <w:highlight w:val="none"/>
              </w:rPr>
            </w:pPr>
            <w:r>
              <w:rPr>
                <w:rFonts w:hint="eastAsia" w:hAnsi="宋体" w:cs="宋体"/>
                <w:color w:val="auto"/>
                <w:szCs w:val="21"/>
                <w:highlight w:val="none"/>
              </w:rPr>
              <w:t>一档（1分）：提供有本项目安装、配送、调试描述</w:t>
            </w:r>
            <w:r>
              <w:rPr>
                <w:rFonts w:hint="eastAsia" w:hAnsi="宋体" w:cs="宋体"/>
                <w:bCs/>
                <w:color w:val="auto"/>
                <w:szCs w:val="21"/>
                <w:highlight w:val="none"/>
              </w:rPr>
              <w:t>；</w:t>
            </w:r>
          </w:p>
          <w:p>
            <w:pPr>
              <w:pStyle w:val="14"/>
              <w:spacing w:after="0" w:line="440" w:lineRule="atLeast"/>
              <w:ind w:firstLine="420" w:firstLineChars="200"/>
              <w:rPr>
                <w:rFonts w:hint="eastAsia" w:hAnsi="宋体" w:cs="宋体"/>
                <w:color w:val="auto"/>
                <w:szCs w:val="21"/>
                <w:highlight w:val="none"/>
              </w:rPr>
            </w:pPr>
            <w:r>
              <w:rPr>
                <w:rFonts w:hint="eastAsia" w:hAnsi="宋体" w:cs="宋体"/>
                <w:color w:val="auto"/>
                <w:szCs w:val="21"/>
                <w:highlight w:val="none"/>
              </w:rPr>
              <w:t>二档（3分）：提供有本项目安装、配送、调试技术说明及实施措施，分析本项目安装、配送、调试的关键点，能把握项目的总体要求</w:t>
            </w:r>
            <w:r>
              <w:rPr>
                <w:rFonts w:hint="eastAsia" w:hAnsi="宋体" w:cs="宋体"/>
                <w:bCs/>
                <w:color w:val="auto"/>
                <w:szCs w:val="21"/>
                <w:highlight w:val="none"/>
              </w:rPr>
              <w:t>；</w:t>
            </w:r>
          </w:p>
          <w:p>
            <w:pPr>
              <w:pStyle w:val="14"/>
              <w:spacing w:after="0" w:line="440" w:lineRule="atLeast"/>
              <w:ind w:firstLine="420" w:firstLineChars="200"/>
              <w:rPr>
                <w:rFonts w:hint="eastAsia" w:hAnsi="宋体" w:cs="宋体"/>
                <w:color w:val="auto"/>
                <w:szCs w:val="21"/>
                <w:highlight w:val="none"/>
              </w:rPr>
            </w:pPr>
            <w:r>
              <w:rPr>
                <w:rFonts w:hint="eastAsia" w:hAnsi="宋体" w:cs="宋体"/>
                <w:color w:val="auto"/>
                <w:szCs w:val="21"/>
                <w:highlight w:val="none"/>
              </w:rPr>
              <w:t>三档（5分）：提供有切合本项目的安装、配送、调试技术说明及实施措施，条理清晰，能结合本项目实际情况分析本项目安装、配送、调试的难点及关键点，总体思路清晰、切合项目特点，并提出有针对性的意见和建议。</w:t>
            </w:r>
          </w:p>
          <w:p>
            <w:pPr>
              <w:pStyle w:val="14"/>
              <w:spacing w:after="0" w:line="440" w:lineRule="atLeast"/>
              <w:ind w:firstLine="420" w:firstLineChars="200"/>
              <w:rPr>
                <w:rFonts w:hint="eastAsia" w:hAnsi="宋体" w:cs="宋体"/>
                <w:color w:val="auto"/>
                <w:szCs w:val="21"/>
                <w:highlight w:val="none"/>
              </w:rPr>
            </w:pPr>
            <w:r>
              <w:rPr>
                <w:rFonts w:hint="eastAsia" w:hAnsi="宋体" w:cs="宋体"/>
                <w:color w:val="auto"/>
                <w:szCs w:val="21"/>
                <w:highlight w:val="none"/>
              </w:rPr>
              <w:t>注明：不满足入档要求的，得0分。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Merge w:val="continue"/>
            <w:vAlign w:val="center"/>
          </w:tcPr>
          <w:p>
            <w:pPr>
              <w:adjustRightInd w:val="0"/>
              <w:spacing w:after="0" w:line="440" w:lineRule="atLeast"/>
              <w:jc w:val="center"/>
              <w:textAlignment w:val="baseline"/>
              <w:rPr>
                <w:rFonts w:hint="eastAsia" w:ascii="宋体" w:hAnsi="宋体" w:cs="宋体"/>
                <w:b/>
                <w:color w:val="auto"/>
                <w:szCs w:val="21"/>
                <w:highlight w:val="none"/>
              </w:rPr>
            </w:pPr>
          </w:p>
        </w:tc>
        <w:tc>
          <w:tcPr>
            <w:tcW w:w="1566" w:type="dxa"/>
            <w:vMerge w:val="continue"/>
            <w:vAlign w:val="center"/>
          </w:tcPr>
          <w:p>
            <w:pPr>
              <w:adjustRightInd w:val="0"/>
              <w:spacing w:after="0" w:line="440" w:lineRule="atLeast"/>
              <w:ind w:left="-105" w:leftChars="-50" w:right="-105" w:rightChars="-50"/>
              <w:jc w:val="center"/>
              <w:textAlignment w:val="baseline"/>
              <w:rPr>
                <w:rFonts w:hint="eastAsia" w:ascii="宋体" w:hAnsi="宋体" w:cs="宋体"/>
                <w:bCs/>
                <w:color w:val="auto"/>
                <w:szCs w:val="21"/>
                <w:highlight w:val="none"/>
              </w:rPr>
            </w:pPr>
          </w:p>
        </w:tc>
        <w:tc>
          <w:tcPr>
            <w:tcW w:w="1330" w:type="dxa"/>
            <w:vAlign w:val="center"/>
          </w:tcPr>
          <w:p>
            <w:pPr>
              <w:widowControl/>
              <w:snapToGrid w:val="0"/>
              <w:spacing w:after="0" w:line="440" w:lineRule="atLeast"/>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2.4售后服务分（满分12分）</w:t>
            </w:r>
          </w:p>
        </w:tc>
        <w:tc>
          <w:tcPr>
            <w:tcW w:w="6029" w:type="dxa"/>
            <w:vAlign w:val="center"/>
          </w:tcPr>
          <w:p>
            <w:pPr>
              <w:pStyle w:val="14"/>
              <w:spacing w:after="0" w:line="440" w:lineRule="atLeast"/>
              <w:ind w:firstLine="420" w:firstLineChars="200"/>
              <w:rPr>
                <w:rFonts w:hint="eastAsia" w:hAnsi="宋体" w:cs="宋体"/>
                <w:color w:val="auto"/>
                <w:szCs w:val="21"/>
                <w:highlight w:val="none"/>
              </w:rPr>
            </w:pPr>
            <w:r>
              <w:rPr>
                <w:rFonts w:hint="eastAsia" w:hAnsi="宋体" w:cs="宋体"/>
                <w:color w:val="auto"/>
                <w:szCs w:val="21"/>
                <w:highlight w:val="none"/>
                <w:lang w:eastAsia="zh-Hans"/>
              </w:rPr>
              <w:t>一档（</w:t>
            </w:r>
            <w:r>
              <w:rPr>
                <w:rFonts w:hint="eastAsia" w:hAnsi="宋体" w:cs="宋体"/>
                <w:color w:val="auto"/>
                <w:szCs w:val="21"/>
                <w:highlight w:val="none"/>
              </w:rPr>
              <w:t>3</w:t>
            </w:r>
            <w:r>
              <w:rPr>
                <w:rFonts w:hint="eastAsia" w:hAnsi="宋体" w:cs="宋体"/>
                <w:color w:val="auto"/>
                <w:szCs w:val="21"/>
                <w:highlight w:val="none"/>
                <w:lang w:eastAsia="zh-Hans"/>
              </w:rPr>
              <w:t>分）：提供有培训计划、售后服务</w:t>
            </w:r>
            <w:r>
              <w:rPr>
                <w:rFonts w:hint="eastAsia" w:hAnsi="宋体" w:cs="宋体"/>
                <w:color w:val="auto"/>
                <w:szCs w:val="21"/>
                <w:highlight w:val="none"/>
              </w:rPr>
              <w:t>方式</w:t>
            </w:r>
            <w:r>
              <w:rPr>
                <w:rFonts w:hint="eastAsia" w:hAnsi="宋体" w:cs="宋体"/>
                <w:color w:val="auto"/>
                <w:szCs w:val="21"/>
                <w:highlight w:val="none"/>
                <w:lang w:eastAsia="zh-Hans"/>
              </w:rPr>
              <w:t>、售后服务流程、应急预案</w:t>
            </w:r>
            <w:r>
              <w:rPr>
                <w:rFonts w:hint="eastAsia" w:hAnsi="宋体" w:cs="宋体"/>
                <w:color w:val="auto"/>
                <w:szCs w:val="21"/>
                <w:highlight w:val="none"/>
              </w:rPr>
              <w:t>，并承诺能在接到采购人通知后24小时内到达现场</w:t>
            </w:r>
            <w:r>
              <w:rPr>
                <w:rFonts w:hint="eastAsia" w:hAnsi="宋体" w:cs="宋体"/>
                <w:bCs/>
                <w:color w:val="auto"/>
                <w:szCs w:val="21"/>
                <w:highlight w:val="none"/>
              </w:rPr>
              <w:t>；</w:t>
            </w:r>
          </w:p>
          <w:p>
            <w:pPr>
              <w:pStyle w:val="14"/>
              <w:spacing w:after="0" w:line="440" w:lineRule="atLeast"/>
              <w:ind w:firstLine="420" w:firstLineChars="200"/>
              <w:rPr>
                <w:rFonts w:hint="eastAsia" w:hAnsi="宋体" w:cs="宋体"/>
                <w:color w:val="auto"/>
                <w:szCs w:val="21"/>
                <w:highlight w:val="none"/>
                <w:lang w:eastAsia="zh-Hans"/>
              </w:rPr>
            </w:pPr>
            <w:r>
              <w:rPr>
                <w:rFonts w:hint="eastAsia" w:hAnsi="宋体" w:cs="宋体"/>
                <w:color w:val="auto"/>
                <w:szCs w:val="21"/>
                <w:highlight w:val="none"/>
                <w:lang w:eastAsia="zh-Hans"/>
              </w:rPr>
              <w:t>二档（</w:t>
            </w:r>
            <w:r>
              <w:rPr>
                <w:rFonts w:hint="eastAsia" w:hAnsi="宋体" w:cs="宋体"/>
                <w:color w:val="auto"/>
                <w:szCs w:val="21"/>
                <w:highlight w:val="none"/>
              </w:rPr>
              <w:t>6</w:t>
            </w:r>
            <w:r>
              <w:rPr>
                <w:rFonts w:hint="eastAsia" w:hAnsi="宋体" w:cs="宋体"/>
                <w:color w:val="auto"/>
                <w:szCs w:val="21"/>
                <w:highlight w:val="none"/>
                <w:lang w:eastAsia="zh-Hans"/>
              </w:rPr>
              <w:t>分）：</w:t>
            </w:r>
            <w:r>
              <w:rPr>
                <w:rFonts w:hint="eastAsia" w:hAnsi="宋体" w:cs="宋体"/>
                <w:color w:val="auto"/>
                <w:szCs w:val="21"/>
                <w:highlight w:val="none"/>
              </w:rPr>
              <w:t>提供</w:t>
            </w:r>
            <w:r>
              <w:rPr>
                <w:rFonts w:hint="eastAsia" w:hAnsi="宋体" w:cs="宋体"/>
                <w:color w:val="auto"/>
                <w:szCs w:val="21"/>
                <w:highlight w:val="none"/>
                <w:lang w:eastAsia="zh-Hans"/>
              </w:rPr>
              <w:t>有培训计划、售后服务</w:t>
            </w:r>
            <w:r>
              <w:rPr>
                <w:rFonts w:hint="eastAsia" w:hAnsi="宋体" w:cs="宋体"/>
                <w:color w:val="auto"/>
                <w:szCs w:val="21"/>
                <w:highlight w:val="none"/>
              </w:rPr>
              <w:t>方式</w:t>
            </w:r>
            <w:r>
              <w:rPr>
                <w:rFonts w:hint="eastAsia" w:hAnsi="宋体" w:cs="宋体"/>
                <w:color w:val="auto"/>
                <w:szCs w:val="21"/>
                <w:highlight w:val="none"/>
                <w:lang w:eastAsia="zh-Hans"/>
              </w:rPr>
              <w:t>、售后服务流程、应急预案</w:t>
            </w:r>
            <w:r>
              <w:rPr>
                <w:rFonts w:hint="eastAsia" w:hAnsi="宋体" w:cs="宋体"/>
                <w:color w:val="auto"/>
                <w:szCs w:val="21"/>
                <w:highlight w:val="none"/>
              </w:rPr>
              <w:t>及</w:t>
            </w:r>
            <w:r>
              <w:rPr>
                <w:rFonts w:hint="eastAsia" w:hAnsi="宋体" w:cs="宋体"/>
                <w:color w:val="auto"/>
                <w:szCs w:val="21"/>
                <w:highlight w:val="none"/>
                <w:lang w:eastAsia="zh-Hans"/>
              </w:rPr>
              <w:t>保障措施</w:t>
            </w:r>
            <w:r>
              <w:rPr>
                <w:rFonts w:hint="eastAsia" w:hAnsi="宋体" w:cs="宋体"/>
                <w:color w:val="auto"/>
                <w:szCs w:val="21"/>
                <w:highlight w:val="none"/>
              </w:rPr>
              <w:t>，并承诺能在接到采购人通知后12小时内到达现场</w:t>
            </w:r>
            <w:r>
              <w:rPr>
                <w:rFonts w:hint="eastAsia" w:hAnsi="宋体" w:cs="宋体"/>
                <w:bCs/>
                <w:color w:val="auto"/>
                <w:szCs w:val="21"/>
                <w:highlight w:val="none"/>
              </w:rPr>
              <w:t>；</w:t>
            </w:r>
          </w:p>
          <w:p>
            <w:pPr>
              <w:pStyle w:val="14"/>
              <w:spacing w:after="0" w:line="440" w:lineRule="atLeast"/>
              <w:ind w:firstLine="420" w:firstLineChars="200"/>
              <w:rPr>
                <w:rFonts w:hint="eastAsia" w:hAnsi="宋体" w:cs="宋体"/>
                <w:color w:val="auto"/>
                <w:szCs w:val="21"/>
                <w:highlight w:val="none"/>
              </w:rPr>
            </w:pPr>
            <w:r>
              <w:rPr>
                <w:rFonts w:hint="eastAsia" w:hAnsi="宋体" w:cs="宋体"/>
                <w:color w:val="auto"/>
                <w:szCs w:val="21"/>
                <w:highlight w:val="none"/>
              </w:rPr>
              <w:t>三</w:t>
            </w:r>
            <w:r>
              <w:rPr>
                <w:rFonts w:hint="eastAsia" w:hAnsi="宋体" w:cs="宋体"/>
                <w:color w:val="auto"/>
                <w:szCs w:val="21"/>
                <w:highlight w:val="none"/>
                <w:lang w:eastAsia="zh-Hans"/>
              </w:rPr>
              <w:t>档（</w:t>
            </w:r>
            <w:r>
              <w:rPr>
                <w:rFonts w:hint="eastAsia" w:hAnsi="宋体" w:cs="宋体"/>
                <w:color w:val="auto"/>
                <w:szCs w:val="21"/>
                <w:highlight w:val="none"/>
              </w:rPr>
              <w:t>9</w:t>
            </w:r>
            <w:r>
              <w:rPr>
                <w:rFonts w:hint="eastAsia" w:hAnsi="宋体" w:cs="宋体"/>
                <w:color w:val="auto"/>
                <w:szCs w:val="21"/>
                <w:highlight w:val="none"/>
                <w:lang w:eastAsia="zh-Hans"/>
              </w:rPr>
              <w:t>分）：</w:t>
            </w:r>
            <w:r>
              <w:rPr>
                <w:rFonts w:hint="eastAsia" w:hAnsi="宋体" w:cs="宋体"/>
                <w:color w:val="auto"/>
                <w:szCs w:val="21"/>
                <w:highlight w:val="none"/>
              </w:rPr>
              <w:t>提供有详细</w:t>
            </w:r>
            <w:r>
              <w:rPr>
                <w:rFonts w:hint="eastAsia" w:hAnsi="宋体" w:cs="宋体"/>
                <w:color w:val="auto"/>
                <w:szCs w:val="21"/>
                <w:highlight w:val="none"/>
                <w:lang w:eastAsia="zh-Hans"/>
              </w:rPr>
              <w:t>的培训计划、售后服务</w:t>
            </w:r>
            <w:r>
              <w:rPr>
                <w:rFonts w:hint="eastAsia" w:hAnsi="宋体" w:cs="宋体"/>
                <w:color w:val="auto"/>
                <w:szCs w:val="21"/>
                <w:highlight w:val="none"/>
              </w:rPr>
              <w:t>方式</w:t>
            </w:r>
            <w:r>
              <w:rPr>
                <w:rFonts w:hint="eastAsia" w:hAnsi="宋体" w:cs="宋体"/>
                <w:color w:val="auto"/>
                <w:szCs w:val="21"/>
                <w:highlight w:val="none"/>
                <w:lang w:eastAsia="zh-Hans"/>
              </w:rPr>
              <w:t>、售后服务流程、应急预案</w:t>
            </w:r>
            <w:r>
              <w:rPr>
                <w:rFonts w:hint="eastAsia" w:hAnsi="宋体" w:cs="宋体"/>
                <w:color w:val="auto"/>
                <w:szCs w:val="21"/>
                <w:highlight w:val="none"/>
              </w:rPr>
              <w:t>及相应的</w:t>
            </w:r>
            <w:r>
              <w:rPr>
                <w:rFonts w:hint="eastAsia" w:hAnsi="宋体" w:cs="宋体"/>
                <w:color w:val="auto"/>
                <w:szCs w:val="21"/>
                <w:highlight w:val="none"/>
                <w:lang w:eastAsia="zh-Hans"/>
              </w:rPr>
              <w:t>保障措施，有售后技术服务队伍</w:t>
            </w:r>
            <w:r>
              <w:rPr>
                <w:rFonts w:hint="eastAsia" w:hAnsi="宋体" w:cs="宋体"/>
                <w:color w:val="auto"/>
                <w:szCs w:val="21"/>
                <w:highlight w:val="none"/>
              </w:rPr>
              <w:t>。承诺能在接到采购人通知后6小时内到达现场</w:t>
            </w:r>
            <w:r>
              <w:rPr>
                <w:rFonts w:hint="eastAsia" w:hAnsi="宋体" w:cs="宋体"/>
                <w:bCs/>
                <w:color w:val="auto"/>
                <w:szCs w:val="21"/>
                <w:highlight w:val="none"/>
              </w:rPr>
              <w:t>；</w:t>
            </w:r>
          </w:p>
          <w:p>
            <w:pPr>
              <w:pStyle w:val="14"/>
              <w:spacing w:after="0" w:line="440" w:lineRule="atLeast"/>
              <w:ind w:firstLine="420" w:firstLineChars="200"/>
              <w:rPr>
                <w:rFonts w:hint="eastAsia" w:hAnsi="宋体" w:cs="宋体"/>
                <w:color w:val="auto"/>
                <w:szCs w:val="21"/>
                <w:highlight w:val="none"/>
              </w:rPr>
            </w:pPr>
            <w:r>
              <w:rPr>
                <w:rFonts w:hint="eastAsia" w:hAnsi="宋体" w:cs="宋体"/>
                <w:color w:val="auto"/>
                <w:szCs w:val="21"/>
                <w:highlight w:val="none"/>
              </w:rPr>
              <w:t>四</w:t>
            </w:r>
            <w:r>
              <w:rPr>
                <w:rFonts w:hint="eastAsia" w:hAnsi="宋体" w:cs="宋体"/>
                <w:color w:val="auto"/>
                <w:szCs w:val="21"/>
                <w:highlight w:val="none"/>
                <w:lang w:eastAsia="zh-Hans"/>
              </w:rPr>
              <w:t>档（</w:t>
            </w:r>
            <w:r>
              <w:rPr>
                <w:rFonts w:hint="eastAsia" w:hAnsi="宋体" w:cs="宋体"/>
                <w:color w:val="auto"/>
                <w:szCs w:val="21"/>
                <w:highlight w:val="none"/>
              </w:rPr>
              <w:t>12</w:t>
            </w:r>
            <w:r>
              <w:rPr>
                <w:rFonts w:hint="eastAsia" w:hAnsi="宋体" w:cs="宋体"/>
                <w:color w:val="auto"/>
                <w:szCs w:val="21"/>
                <w:highlight w:val="none"/>
                <w:lang w:eastAsia="zh-Hans"/>
              </w:rPr>
              <w:t>分）：</w:t>
            </w:r>
            <w:r>
              <w:rPr>
                <w:rFonts w:hint="eastAsia" w:hAnsi="宋体" w:cs="宋体"/>
                <w:color w:val="auto"/>
                <w:szCs w:val="21"/>
                <w:highlight w:val="none"/>
              </w:rPr>
              <w:t>提供有针对性</w:t>
            </w:r>
            <w:r>
              <w:rPr>
                <w:rFonts w:hint="eastAsia" w:hAnsi="宋体" w:cs="宋体"/>
                <w:color w:val="auto"/>
                <w:szCs w:val="21"/>
                <w:highlight w:val="none"/>
                <w:lang w:eastAsia="zh-Hans"/>
              </w:rPr>
              <w:t>的培训计划、售后服务</w:t>
            </w:r>
            <w:r>
              <w:rPr>
                <w:rFonts w:hint="eastAsia" w:hAnsi="宋体" w:cs="宋体"/>
                <w:color w:val="auto"/>
                <w:szCs w:val="21"/>
                <w:highlight w:val="none"/>
              </w:rPr>
              <w:t>方式</w:t>
            </w:r>
            <w:r>
              <w:rPr>
                <w:rFonts w:hint="eastAsia" w:hAnsi="宋体" w:cs="宋体"/>
                <w:color w:val="auto"/>
                <w:szCs w:val="21"/>
                <w:highlight w:val="none"/>
                <w:lang w:eastAsia="zh-Hans"/>
              </w:rPr>
              <w:t>、售后服务流程、应急预案</w:t>
            </w:r>
            <w:r>
              <w:rPr>
                <w:rFonts w:hint="eastAsia" w:hAnsi="宋体" w:cs="宋体"/>
                <w:color w:val="auto"/>
                <w:szCs w:val="21"/>
                <w:highlight w:val="none"/>
              </w:rPr>
              <w:t>及相应的</w:t>
            </w:r>
            <w:r>
              <w:rPr>
                <w:rFonts w:hint="eastAsia" w:hAnsi="宋体" w:cs="宋体"/>
                <w:color w:val="auto"/>
                <w:szCs w:val="21"/>
                <w:highlight w:val="none"/>
                <w:lang w:eastAsia="zh-Hans"/>
              </w:rPr>
              <w:t>保障措施，措施</w:t>
            </w:r>
            <w:r>
              <w:rPr>
                <w:rFonts w:hint="eastAsia" w:hAnsi="宋体" w:cs="宋体"/>
                <w:color w:val="auto"/>
                <w:szCs w:val="21"/>
                <w:highlight w:val="none"/>
              </w:rPr>
              <w:t>具体严谨</w:t>
            </w:r>
            <w:r>
              <w:rPr>
                <w:rFonts w:hint="eastAsia" w:hAnsi="宋体" w:cs="宋体"/>
                <w:color w:val="auto"/>
                <w:szCs w:val="21"/>
                <w:highlight w:val="none"/>
                <w:lang w:eastAsia="zh-Hans"/>
              </w:rPr>
              <w:t>，有</w:t>
            </w:r>
            <w:r>
              <w:rPr>
                <w:rFonts w:hint="eastAsia" w:hAnsi="宋体" w:cs="宋体"/>
                <w:color w:val="auto"/>
                <w:szCs w:val="21"/>
                <w:highlight w:val="none"/>
              </w:rPr>
              <w:t>明确</w:t>
            </w:r>
            <w:r>
              <w:rPr>
                <w:rFonts w:hint="eastAsia" w:hAnsi="宋体" w:cs="宋体"/>
                <w:color w:val="auto"/>
                <w:szCs w:val="21"/>
                <w:highlight w:val="none"/>
                <w:lang w:eastAsia="zh-Hans"/>
              </w:rPr>
              <w:t>的售后技术服务队伍人员</w:t>
            </w:r>
            <w:r>
              <w:rPr>
                <w:rFonts w:hint="eastAsia" w:hAnsi="宋体" w:cs="宋体"/>
                <w:color w:val="auto"/>
                <w:szCs w:val="21"/>
                <w:highlight w:val="none"/>
              </w:rPr>
              <w:t>及</w:t>
            </w:r>
            <w:r>
              <w:rPr>
                <w:rFonts w:hint="eastAsia" w:hAnsi="宋体" w:cs="宋体"/>
                <w:color w:val="auto"/>
                <w:szCs w:val="21"/>
                <w:highlight w:val="none"/>
                <w:lang w:eastAsia="zh-Hans"/>
              </w:rPr>
              <w:t>相应售后技术实力</w:t>
            </w:r>
            <w:r>
              <w:rPr>
                <w:rFonts w:hint="eastAsia" w:hAnsi="宋体" w:cs="宋体"/>
                <w:color w:val="auto"/>
                <w:szCs w:val="21"/>
                <w:highlight w:val="none"/>
              </w:rPr>
              <w:t>。承诺能在接到采购人通知后3小时内到达现场。</w:t>
            </w:r>
          </w:p>
          <w:p>
            <w:pPr>
              <w:pStyle w:val="17"/>
              <w:spacing w:after="0" w:line="440" w:lineRule="atLeas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注明：不满足入档要求的，得0分。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Align w:val="center"/>
          </w:tcPr>
          <w:p>
            <w:pPr>
              <w:spacing w:after="0" w:line="4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3</w:t>
            </w:r>
          </w:p>
        </w:tc>
        <w:tc>
          <w:tcPr>
            <w:tcW w:w="1566" w:type="dxa"/>
            <w:vAlign w:val="center"/>
          </w:tcPr>
          <w:p>
            <w:pPr>
              <w:adjustRightInd w:val="0"/>
              <w:spacing w:after="0" w:line="440" w:lineRule="atLeast"/>
              <w:jc w:val="center"/>
              <w:textAlignment w:val="baseline"/>
              <w:rPr>
                <w:rFonts w:hint="eastAsia" w:ascii="宋体" w:hAnsi="宋体" w:cs="宋体"/>
                <w:bCs/>
                <w:color w:val="auto"/>
                <w:szCs w:val="21"/>
                <w:highlight w:val="none"/>
              </w:rPr>
            </w:pPr>
            <w:r>
              <w:rPr>
                <w:rFonts w:hint="eastAsia" w:ascii="宋体" w:hAnsi="宋体" w:cs="宋体"/>
                <w:b/>
                <w:color w:val="auto"/>
                <w:szCs w:val="21"/>
                <w:highlight w:val="none"/>
              </w:rPr>
              <w:t>商务分（满分5分）</w:t>
            </w:r>
          </w:p>
        </w:tc>
        <w:tc>
          <w:tcPr>
            <w:tcW w:w="1330" w:type="dxa"/>
            <w:vAlign w:val="center"/>
          </w:tcPr>
          <w:p>
            <w:pPr>
              <w:spacing w:after="0" w:line="4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3.1业绩分</w:t>
            </w:r>
          </w:p>
          <w:p>
            <w:pPr>
              <w:spacing w:after="0" w:line="440" w:lineRule="atLeast"/>
              <w:jc w:val="center"/>
              <w:rPr>
                <w:rFonts w:hint="eastAsia" w:ascii="宋体" w:hAnsi="宋体" w:cs="宋体"/>
                <w:b/>
                <w:bCs/>
                <w:color w:val="auto"/>
                <w:kern w:val="0"/>
                <w:szCs w:val="21"/>
                <w:highlight w:val="none"/>
              </w:rPr>
            </w:pPr>
            <w:r>
              <w:rPr>
                <w:rFonts w:hint="eastAsia" w:ascii="宋体" w:hAnsi="宋体" w:cs="宋体"/>
                <w:b/>
                <w:color w:val="auto"/>
                <w:szCs w:val="21"/>
                <w:highlight w:val="none"/>
              </w:rPr>
              <w:t>（满分5分）</w:t>
            </w:r>
          </w:p>
        </w:tc>
        <w:tc>
          <w:tcPr>
            <w:tcW w:w="6029" w:type="dxa"/>
            <w:vAlign w:val="center"/>
          </w:tcPr>
          <w:p>
            <w:pPr>
              <w:widowControl/>
              <w:adjustRightInd w:val="0"/>
              <w:snapToGrid w:val="0"/>
              <w:spacing w:after="0" w:line="440" w:lineRule="atLeas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投标人自2022年1月1日至投标文件递交截止之日，承担过</w:t>
            </w:r>
            <w:r>
              <w:rPr>
                <w:rFonts w:hint="eastAsia" w:ascii="宋体" w:hAnsi="宋体" w:cs="宋体"/>
                <w:color w:val="auto"/>
                <w:szCs w:val="21"/>
                <w:highlight w:val="none"/>
              </w:rPr>
              <w:t>与本次采购内容有关的类似项目业绩</w:t>
            </w:r>
            <w:r>
              <w:rPr>
                <w:rFonts w:hint="eastAsia" w:ascii="宋体" w:hAnsi="宋体" w:cs="宋体"/>
                <w:color w:val="auto"/>
                <w:kern w:val="0"/>
                <w:szCs w:val="21"/>
                <w:highlight w:val="none"/>
              </w:rPr>
              <w:t>，每有1个业绩得1分，满分5分。</w:t>
            </w:r>
          </w:p>
          <w:p>
            <w:pPr>
              <w:widowControl/>
              <w:adjustRightInd w:val="0"/>
              <w:snapToGrid w:val="0"/>
              <w:spacing w:after="0" w:line="440" w:lineRule="atLeast"/>
              <w:ind w:firstLine="420" w:firstLineChars="200"/>
              <w:rPr>
                <w:rFonts w:hint="eastAsia" w:ascii="宋体" w:hAnsi="宋体" w:cs="宋体"/>
                <w:color w:val="auto"/>
                <w:szCs w:val="21"/>
                <w:highlight w:val="none"/>
              </w:rPr>
            </w:pPr>
            <w:r>
              <w:rPr>
                <w:rFonts w:hint="eastAsia" w:ascii="宋体" w:hAnsi="宋体" w:cs="宋体"/>
                <w:color w:val="auto"/>
                <w:kern w:val="0"/>
                <w:szCs w:val="21"/>
                <w:highlight w:val="none"/>
              </w:rPr>
              <w:t>注明：投标文件中须提供中标（成交）通知书或合同复印件并加盖投标人公章，否则不予计分。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0" w:type="dxa"/>
            <w:gridSpan w:val="4"/>
            <w:vAlign w:val="center"/>
          </w:tcPr>
          <w:p>
            <w:pPr>
              <w:widowControl/>
              <w:adjustRightInd w:val="0"/>
              <w:snapToGrid w:val="0"/>
              <w:spacing w:after="0" w:line="440" w:lineRule="atLeast"/>
              <w:rPr>
                <w:rFonts w:hint="eastAsia" w:ascii="宋体" w:hAnsi="宋体" w:cs="宋体"/>
                <w:color w:val="auto"/>
                <w:kern w:val="0"/>
                <w:szCs w:val="21"/>
                <w:highlight w:val="none"/>
              </w:rPr>
            </w:pPr>
            <w:r>
              <w:rPr>
                <w:rFonts w:hint="eastAsia" w:ascii="宋体" w:hAnsi="宋体" w:cs="宋体"/>
                <w:b/>
                <w:bCs/>
                <w:color w:val="auto"/>
                <w:szCs w:val="21"/>
                <w:highlight w:val="none"/>
              </w:rPr>
              <w:t>总得分=1+2+3</w:t>
            </w:r>
          </w:p>
        </w:tc>
      </w:tr>
    </w:tbl>
    <w:p>
      <w:pPr>
        <w:pStyle w:val="2"/>
        <w:rPr>
          <w:color w:val="auto"/>
          <w:highlight w:val="none"/>
        </w:rPr>
      </w:pPr>
    </w:p>
    <w:p>
      <w:pP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br w:type="page"/>
      </w:r>
    </w:p>
    <w:p>
      <w:pPr>
        <w:pStyle w:val="2"/>
        <w:rPr>
          <w:rFonts w:hint="eastAsia" w:eastAsia="宋体"/>
          <w:b/>
          <w:bCs/>
          <w:color w:val="auto"/>
          <w:sz w:val="24"/>
          <w:highlight w:val="none"/>
          <w:lang w:eastAsia="zh-CN"/>
        </w:rPr>
      </w:pPr>
      <w:r>
        <w:rPr>
          <w:rFonts w:hint="eastAsia"/>
          <w:b/>
          <w:bCs/>
          <w:color w:val="auto"/>
          <w:sz w:val="24"/>
          <w:highlight w:val="none"/>
        </w:rPr>
        <w:t>标项</w:t>
      </w:r>
      <w:r>
        <w:rPr>
          <w:rFonts w:hint="eastAsia"/>
          <w:b/>
          <w:bCs/>
          <w:color w:val="auto"/>
          <w:sz w:val="24"/>
          <w:highlight w:val="none"/>
          <w:lang w:eastAsia="zh-CN"/>
        </w:rPr>
        <w:t>二</w:t>
      </w:r>
    </w:p>
    <w:tbl>
      <w:tblPr>
        <w:tblStyle w:val="27"/>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1566"/>
        <w:gridCol w:w="1330"/>
        <w:gridCol w:w="60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1" w:type="dxa"/>
            <w:gridSpan w:val="2"/>
            <w:vAlign w:val="center"/>
          </w:tcPr>
          <w:p>
            <w:pPr>
              <w:adjustRightInd w:val="0"/>
              <w:spacing w:after="0" w:line="440" w:lineRule="atLeast"/>
              <w:jc w:val="center"/>
              <w:textAlignment w:val="baseline"/>
              <w:rPr>
                <w:rFonts w:hint="eastAsia" w:ascii="宋体" w:hAnsi="宋体" w:cs="宋体"/>
                <w:color w:val="auto"/>
                <w:szCs w:val="21"/>
                <w:highlight w:val="none"/>
              </w:rPr>
            </w:pPr>
            <w:r>
              <w:rPr>
                <w:rFonts w:hint="eastAsia" w:ascii="宋体" w:hAnsi="宋体" w:cs="宋体"/>
                <w:b/>
                <w:color w:val="auto"/>
                <w:szCs w:val="21"/>
                <w:highlight w:val="none"/>
              </w:rPr>
              <w:t>序号</w:t>
            </w:r>
          </w:p>
        </w:tc>
        <w:tc>
          <w:tcPr>
            <w:tcW w:w="1330" w:type="dxa"/>
            <w:vAlign w:val="center"/>
          </w:tcPr>
          <w:p>
            <w:pPr>
              <w:adjustRightInd w:val="0"/>
              <w:spacing w:after="0" w:line="440" w:lineRule="atLeast"/>
              <w:jc w:val="center"/>
              <w:textAlignment w:val="baseline"/>
              <w:rPr>
                <w:rFonts w:hint="eastAsia" w:ascii="宋体" w:hAnsi="宋体" w:cs="宋体"/>
                <w:color w:val="auto"/>
                <w:szCs w:val="21"/>
                <w:highlight w:val="none"/>
              </w:rPr>
            </w:pPr>
            <w:r>
              <w:rPr>
                <w:rFonts w:hint="eastAsia" w:ascii="宋体" w:hAnsi="宋体" w:cs="宋体"/>
                <w:b/>
                <w:color w:val="auto"/>
                <w:szCs w:val="21"/>
                <w:highlight w:val="none"/>
              </w:rPr>
              <w:t>评审因素</w:t>
            </w:r>
          </w:p>
        </w:tc>
        <w:tc>
          <w:tcPr>
            <w:tcW w:w="6029" w:type="dxa"/>
            <w:vAlign w:val="center"/>
          </w:tcPr>
          <w:p>
            <w:pPr>
              <w:adjustRightInd w:val="0"/>
              <w:spacing w:after="0" w:line="440" w:lineRule="atLeast"/>
              <w:jc w:val="center"/>
              <w:textAlignment w:val="baseline"/>
              <w:rPr>
                <w:rFonts w:hint="eastAsia" w:ascii="宋体" w:hAnsi="宋体" w:cs="宋体"/>
                <w:color w:val="auto"/>
                <w:szCs w:val="21"/>
                <w:highlight w:val="none"/>
              </w:rPr>
            </w:pPr>
            <w:r>
              <w:rPr>
                <w:rFonts w:hint="eastAsia" w:ascii="宋体" w:hAnsi="宋体" w:cs="宋体"/>
                <w:b/>
                <w:color w:val="auto"/>
                <w:szCs w:val="21"/>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Align w:val="center"/>
          </w:tcPr>
          <w:p>
            <w:pPr>
              <w:adjustRightInd w:val="0"/>
              <w:spacing w:after="0" w:line="440" w:lineRule="atLeast"/>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rPr>
              <w:t>1</w:t>
            </w:r>
          </w:p>
        </w:tc>
        <w:tc>
          <w:tcPr>
            <w:tcW w:w="1566" w:type="dxa"/>
            <w:vAlign w:val="center"/>
          </w:tcPr>
          <w:p>
            <w:pPr>
              <w:adjustRightInd w:val="0"/>
              <w:spacing w:after="0" w:line="440" w:lineRule="atLeast"/>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rPr>
              <w:t>价格分</w:t>
            </w:r>
          </w:p>
          <w:p>
            <w:pPr>
              <w:adjustRightInd w:val="0"/>
              <w:spacing w:after="0" w:line="440" w:lineRule="atLeast"/>
              <w:jc w:val="center"/>
              <w:textAlignment w:val="baseline"/>
              <w:rPr>
                <w:rFonts w:hint="eastAsia" w:ascii="宋体" w:hAnsi="宋体" w:cs="宋体"/>
                <w:color w:val="auto"/>
                <w:szCs w:val="21"/>
                <w:highlight w:val="none"/>
              </w:rPr>
            </w:pPr>
            <w:r>
              <w:rPr>
                <w:rFonts w:hint="eastAsia" w:ascii="宋体" w:hAnsi="宋体" w:cs="宋体"/>
                <w:color w:val="auto"/>
                <w:szCs w:val="21"/>
                <w:highlight w:val="none"/>
              </w:rPr>
              <w:t>（满分</w:t>
            </w:r>
            <w:r>
              <w:rPr>
                <w:rFonts w:hint="eastAsia" w:ascii="宋体" w:hAnsi="宋体" w:cs="宋体"/>
                <w:color w:val="auto"/>
                <w:szCs w:val="21"/>
                <w:highlight w:val="none"/>
                <w:u w:val="single"/>
              </w:rPr>
              <w:t>50</w:t>
            </w:r>
            <w:r>
              <w:rPr>
                <w:rFonts w:hint="eastAsia" w:ascii="宋体" w:hAnsi="宋体" w:cs="宋体"/>
                <w:color w:val="auto"/>
                <w:szCs w:val="21"/>
                <w:highlight w:val="none"/>
              </w:rPr>
              <w:t>分）</w:t>
            </w:r>
          </w:p>
          <w:p>
            <w:pPr>
              <w:adjustRightInd w:val="0"/>
              <w:spacing w:after="0" w:line="440" w:lineRule="atLeast"/>
              <w:jc w:val="left"/>
              <w:textAlignment w:val="baseline"/>
              <w:rPr>
                <w:rFonts w:hint="eastAsia" w:ascii="宋体" w:hAnsi="宋体" w:cs="宋体"/>
                <w:color w:val="auto"/>
                <w:szCs w:val="21"/>
                <w:highlight w:val="none"/>
              </w:rPr>
            </w:pPr>
          </w:p>
        </w:tc>
        <w:tc>
          <w:tcPr>
            <w:tcW w:w="1330" w:type="dxa"/>
            <w:vAlign w:val="center"/>
          </w:tcPr>
          <w:p>
            <w:pPr>
              <w:adjustRightInd w:val="0"/>
              <w:spacing w:after="0" w:line="440" w:lineRule="atLeast"/>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rPr>
              <w:t>投标报价</w:t>
            </w:r>
          </w:p>
        </w:tc>
        <w:tc>
          <w:tcPr>
            <w:tcW w:w="6029" w:type="dxa"/>
            <w:vAlign w:val="center"/>
          </w:tcPr>
          <w:p>
            <w:pPr>
              <w:spacing w:after="0" w:line="440" w:lineRule="atLeas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1.1评标价为投标人的投标报价进行政策性扣除后</w:t>
            </w:r>
            <w:r>
              <w:rPr>
                <w:rFonts w:hint="eastAsia" w:ascii="宋体" w:hAnsi="宋体" w:cs="宋体"/>
                <w:bCs/>
                <w:color w:val="auto"/>
                <w:szCs w:val="21"/>
                <w:highlight w:val="none"/>
                <w:lang w:eastAsia="zh-CN"/>
              </w:rPr>
              <w:t>（如有）</w:t>
            </w:r>
            <w:r>
              <w:rPr>
                <w:rFonts w:hint="eastAsia" w:ascii="宋体" w:hAnsi="宋体" w:cs="宋体"/>
                <w:bCs/>
                <w:color w:val="auto"/>
                <w:szCs w:val="21"/>
                <w:highlight w:val="none"/>
              </w:rPr>
              <w:t>的价格，评标价只是作为评标时使用。最终中标人的中标金额等于投标报价。</w:t>
            </w:r>
          </w:p>
          <w:p>
            <w:pPr>
              <w:spacing w:after="0" w:line="440" w:lineRule="atLeas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1.2 政策性扣除计算方法。</w:t>
            </w:r>
          </w:p>
          <w:p>
            <w:pPr>
              <w:spacing w:after="0" w:line="440" w:lineRule="atLeas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1.2.1对小微企业的价格评审优惠</w:t>
            </w:r>
          </w:p>
          <w:p>
            <w:pPr>
              <w:spacing w:after="0" w:line="440" w:lineRule="atLeas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投标人被评定为监狱企业或者残疾人福利性单位或者其提供的货物全部由符合政策要求的小型、微型企业制造，即货物由小型、微型企业生产且使用该小型、微型企业商号或者注册商标的，该投标人的投标报价给予</w:t>
            </w:r>
            <w:r>
              <w:rPr>
                <w:rFonts w:hint="eastAsia" w:ascii="宋体" w:hAnsi="宋体" w:cs="宋体"/>
                <w:bCs/>
                <w:color w:val="auto"/>
                <w:szCs w:val="21"/>
                <w:highlight w:val="none"/>
                <w:lang w:val="en-US" w:eastAsia="zh-CN"/>
              </w:rPr>
              <w:t>1</w:t>
            </w:r>
            <w:r>
              <w:rPr>
                <w:rFonts w:hint="eastAsia" w:ascii="宋体" w:hAnsi="宋体" w:cs="宋体"/>
                <w:bCs/>
                <w:color w:val="auto"/>
                <w:szCs w:val="21"/>
                <w:highlight w:val="none"/>
              </w:rPr>
              <w:t>0%的扣除，扣除后的价格为评标价，即评标价=投标报价×（1-</w:t>
            </w:r>
            <w:r>
              <w:rPr>
                <w:rFonts w:hint="eastAsia" w:ascii="宋体" w:hAnsi="宋体" w:cs="宋体"/>
                <w:bCs/>
                <w:color w:val="auto"/>
                <w:szCs w:val="21"/>
                <w:highlight w:val="none"/>
                <w:lang w:val="en-US" w:eastAsia="zh-CN"/>
              </w:rPr>
              <w:t>1</w:t>
            </w:r>
            <w:r>
              <w:rPr>
                <w:rFonts w:hint="eastAsia" w:ascii="宋体" w:hAnsi="宋体" w:cs="宋体"/>
                <w:bCs/>
                <w:color w:val="auto"/>
                <w:szCs w:val="21"/>
                <w:highlight w:val="none"/>
              </w:rPr>
              <w:t>0%）；接受大中型企业与小微企业组成联合体或者允许大中型企业向一家或者多家小微企业分包的采购项目，对于联合协议或者分包意向协议约定小微企业的合同份额占到合同总金额30%以上的，对联合体或者大中型企业的投标报价给予6%的扣除，用扣除后的价格参加评审，扣除后的价格为评标价，即评标价=投标报价×（1－6%）。</w:t>
            </w:r>
          </w:p>
          <w:p>
            <w:pPr>
              <w:spacing w:after="0" w:line="440" w:lineRule="atLeas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1.2.2对本国产品的价格评审优惠</w:t>
            </w:r>
          </w:p>
          <w:p>
            <w:pPr>
              <w:spacing w:after="0" w:line="440" w:lineRule="atLeas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投标人对其提供的产品出具《关于符合本国产品标准的声明函》（样式见“第六章投标文件格式”）或财政部会同有关部门规定的有关证明文件，该产品被视为本国产品的，给予政策性价格扣除，用扣除后的价格参与评审。</w:t>
            </w:r>
          </w:p>
          <w:p>
            <w:pPr>
              <w:spacing w:after="0" w:line="440" w:lineRule="atLeas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对本国产品的支持政策：政府采购活动中既有本国产品又有非本国产品参与竞争的，依法对本国产品给予价格评审优惠，对本国产品的报价给予20%的价格扣除，用扣除后的价格参与评审。</w:t>
            </w:r>
          </w:p>
          <w:p>
            <w:pPr>
              <w:spacing w:after="0" w:line="440" w:lineRule="atLeas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pPr>
              <w:spacing w:after="0" w:line="440" w:lineRule="atLeas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除上述情况外，评标价=投标报价。</w:t>
            </w:r>
          </w:p>
          <w:p>
            <w:pPr>
              <w:spacing w:after="0" w:line="440" w:lineRule="atLeas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1.3满足招标文件要求且评标价最低的评标价为评标基准价，基准价得分为50分。</w:t>
            </w:r>
          </w:p>
          <w:p>
            <w:pPr>
              <w:spacing w:after="0" w:line="440" w:lineRule="atLeas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1.4价格分计算公式：        </w:t>
            </w:r>
          </w:p>
          <w:p>
            <w:pPr>
              <w:spacing w:after="0" w:line="440" w:lineRule="atLeas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价格分=(评标基准价／评标价)×50分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Merge w:val="restart"/>
            <w:vAlign w:val="center"/>
          </w:tcPr>
          <w:p>
            <w:pPr>
              <w:adjustRightInd w:val="0"/>
              <w:spacing w:after="0" w:line="440" w:lineRule="atLeast"/>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rPr>
              <w:t>2</w:t>
            </w:r>
          </w:p>
        </w:tc>
        <w:tc>
          <w:tcPr>
            <w:tcW w:w="1566" w:type="dxa"/>
            <w:vMerge w:val="restart"/>
            <w:vAlign w:val="center"/>
          </w:tcPr>
          <w:p>
            <w:pPr>
              <w:adjustRightInd w:val="0"/>
              <w:spacing w:after="0" w:line="440" w:lineRule="atLeast"/>
              <w:ind w:left="-105" w:leftChars="-50" w:right="-105" w:rightChars="-50"/>
              <w:jc w:val="center"/>
              <w:textAlignment w:val="baseline"/>
              <w:rPr>
                <w:rFonts w:hint="eastAsia" w:ascii="宋体" w:hAnsi="宋体" w:cs="宋体"/>
                <w:b/>
                <w:bCs/>
                <w:color w:val="auto"/>
                <w:szCs w:val="21"/>
                <w:highlight w:val="none"/>
              </w:rPr>
            </w:pPr>
            <w:r>
              <w:rPr>
                <w:rFonts w:hint="eastAsia" w:ascii="宋体" w:hAnsi="宋体" w:cs="宋体"/>
                <w:b/>
                <w:bCs/>
                <w:color w:val="auto"/>
                <w:szCs w:val="21"/>
                <w:highlight w:val="none"/>
              </w:rPr>
              <w:t>技术分</w:t>
            </w:r>
          </w:p>
          <w:p>
            <w:pPr>
              <w:adjustRightInd w:val="0"/>
              <w:spacing w:after="0" w:line="440" w:lineRule="atLeast"/>
              <w:ind w:left="-105" w:leftChars="-50" w:right="-105" w:rightChars="-50"/>
              <w:jc w:val="center"/>
              <w:textAlignment w:val="baseline"/>
              <w:rPr>
                <w:rFonts w:hint="eastAsia" w:ascii="宋体" w:hAnsi="宋体" w:cs="宋体"/>
                <w:color w:val="auto"/>
                <w:spacing w:val="-18"/>
                <w:szCs w:val="21"/>
                <w:highlight w:val="none"/>
              </w:rPr>
            </w:pPr>
            <w:r>
              <w:rPr>
                <w:rFonts w:hint="eastAsia" w:ascii="宋体" w:hAnsi="宋体" w:cs="宋体"/>
                <w:bCs/>
                <w:color w:val="auto"/>
                <w:szCs w:val="21"/>
                <w:highlight w:val="none"/>
              </w:rPr>
              <w:t>（</w:t>
            </w:r>
            <w:r>
              <w:rPr>
                <w:rFonts w:hint="eastAsia" w:ascii="宋体" w:hAnsi="宋体" w:cs="宋体"/>
                <w:color w:val="auto"/>
                <w:szCs w:val="21"/>
                <w:highlight w:val="none"/>
              </w:rPr>
              <w:t>满分</w:t>
            </w:r>
            <w:r>
              <w:rPr>
                <w:rFonts w:hint="eastAsia" w:ascii="宋体" w:hAnsi="宋体" w:cs="宋体"/>
                <w:color w:val="auto"/>
                <w:szCs w:val="21"/>
                <w:highlight w:val="none"/>
                <w:u w:val="single"/>
              </w:rPr>
              <w:t>45</w:t>
            </w:r>
            <w:r>
              <w:rPr>
                <w:rFonts w:hint="eastAsia" w:ascii="宋体" w:hAnsi="宋体" w:cs="宋体"/>
                <w:bCs/>
                <w:color w:val="auto"/>
                <w:szCs w:val="21"/>
                <w:highlight w:val="none"/>
              </w:rPr>
              <w:t>分）</w:t>
            </w:r>
          </w:p>
        </w:tc>
        <w:tc>
          <w:tcPr>
            <w:tcW w:w="1330" w:type="dxa"/>
            <w:vAlign w:val="center"/>
          </w:tcPr>
          <w:p>
            <w:pPr>
              <w:adjustRightInd w:val="0"/>
              <w:spacing w:after="0" w:line="440" w:lineRule="atLeast"/>
              <w:jc w:val="center"/>
              <w:textAlignment w:val="baseline"/>
              <w:rPr>
                <w:rFonts w:hint="eastAsia" w:ascii="宋体" w:hAnsi="宋体" w:cs="宋体"/>
                <w:color w:val="auto"/>
                <w:szCs w:val="21"/>
                <w:highlight w:val="none"/>
                <w:u w:val="single"/>
              </w:rPr>
            </w:pPr>
            <w:r>
              <w:rPr>
                <w:rFonts w:hint="eastAsia" w:ascii="宋体" w:hAnsi="宋体" w:cs="宋体"/>
                <w:b/>
                <w:bCs/>
                <w:color w:val="auto"/>
                <w:szCs w:val="21"/>
                <w:highlight w:val="none"/>
              </w:rPr>
              <w:t>2.1技术性能分（满分15分）</w:t>
            </w:r>
          </w:p>
        </w:tc>
        <w:tc>
          <w:tcPr>
            <w:tcW w:w="6029" w:type="dxa"/>
            <w:vAlign w:val="center"/>
          </w:tcPr>
          <w:p>
            <w:pPr>
              <w:pStyle w:val="14"/>
              <w:spacing w:after="0" w:line="440" w:lineRule="atLeast"/>
              <w:ind w:firstLine="420" w:firstLineChars="200"/>
              <w:rPr>
                <w:rFonts w:hint="eastAsia" w:hAnsi="宋体" w:cs="宋体"/>
                <w:color w:val="auto"/>
                <w:szCs w:val="21"/>
                <w:highlight w:val="none"/>
              </w:rPr>
            </w:pPr>
            <w:r>
              <w:rPr>
                <w:rFonts w:hint="eastAsia" w:hAnsi="宋体" w:cs="宋体"/>
                <w:color w:val="auto"/>
                <w:kern w:val="0"/>
                <w:szCs w:val="21"/>
                <w:highlight w:val="none"/>
              </w:rPr>
              <w:t>投标人所投产品的技术参数及配置每有一项</w:t>
            </w:r>
            <w:r>
              <w:rPr>
                <w:rFonts w:hint="eastAsia"/>
                <w:color w:val="auto"/>
                <w:highlight w:val="none"/>
              </w:rPr>
              <w:t>正偏离或完全满足</w:t>
            </w:r>
            <w:r>
              <w:rPr>
                <w:rFonts w:hint="eastAsia" w:hAnsi="宋体" w:cs="宋体"/>
                <w:color w:val="auto"/>
                <w:kern w:val="0"/>
                <w:szCs w:val="21"/>
                <w:highlight w:val="none"/>
              </w:rPr>
              <w:t>“</w:t>
            </w:r>
            <w:r>
              <w:rPr>
                <w:rFonts w:hint="eastAsia" w:hAnsi="宋体" w:cs="宋体"/>
                <w:bCs/>
                <w:color w:val="auto"/>
                <w:kern w:val="0"/>
                <w:szCs w:val="21"/>
                <w:highlight w:val="none"/>
              </w:rPr>
              <w:t>●</w:t>
            </w:r>
            <w:r>
              <w:rPr>
                <w:rFonts w:hint="eastAsia" w:hAnsi="宋体" w:cs="宋体"/>
                <w:color w:val="auto"/>
                <w:kern w:val="0"/>
                <w:szCs w:val="21"/>
                <w:highlight w:val="none"/>
              </w:rPr>
              <w:t>”的条款并能提供佐证材料的得1分，满分15分。</w:t>
            </w:r>
          </w:p>
          <w:p>
            <w:pPr>
              <w:pStyle w:val="14"/>
              <w:spacing w:after="0" w:line="440" w:lineRule="atLeast"/>
              <w:ind w:firstLine="420" w:firstLineChars="200"/>
              <w:rPr>
                <w:rFonts w:hint="eastAsia" w:hAnsi="宋体" w:cs="宋体"/>
                <w:bCs/>
                <w:color w:val="auto"/>
                <w:szCs w:val="21"/>
                <w:highlight w:val="none"/>
              </w:rPr>
            </w:pPr>
            <w:r>
              <w:rPr>
                <w:rFonts w:hint="eastAsia" w:hAnsi="宋体" w:cs="宋体"/>
                <w:color w:val="auto"/>
                <w:kern w:val="0"/>
                <w:szCs w:val="21"/>
                <w:highlight w:val="none"/>
              </w:rPr>
              <w:t>注明：佐证材料可以是由国家认可的第三方检测机构出具的检测报告或厂家官网截图或产品说明书或产品界面截图，非正偏离或不完全满足或未提供佐证材料的不得分。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Merge w:val="continue"/>
            <w:vAlign w:val="center"/>
          </w:tcPr>
          <w:p>
            <w:pPr>
              <w:adjustRightInd w:val="0"/>
              <w:spacing w:after="0" w:line="440" w:lineRule="atLeast"/>
              <w:jc w:val="center"/>
              <w:textAlignment w:val="baseline"/>
              <w:rPr>
                <w:rFonts w:hint="eastAsia" w:ascii="宋体" w:hAnsi="宋体" w:cs="宋体"/>
                <w:b/>
                <w:color w:val="auto"/>
                <w:szCs w:val="21"/>
                <w:highlight w:val="none"/>
              </w:rPr>
            </w:pPr>
          </w:p>
        </w:tc>
        <w:tc>
          <w:tcPr>
            <w:tcW w:w="1566" w:type="dxa"/>
            <w:vMerge w:val="continue"/>
            <w:vAlign w:val="center"/>
          </w:tcPr>
          <w:p>
            <w:pPr>
              <w:adjustRightInd w:val="0"/>
              <w:spacing w:after="0" w:line="440" w:lineRule="atLeast"/>
              <w:ind w:left="-105" w:leftChars="-50" w:right="-105" w:rightChars="-50"/>
              <w:jc w:val="center"/>
              <w:textAlignment w:val="baseline"/>
              <w:rPr>
                <w:rFonts w:hint="eastAsia" w:ascii="宋体" w:hAnsi="宋体" w:cs="宋体"/>
                <w:color w:val="auto"/>
                <w:spacing w:val="-18"/>
                <w:szCs w:val="21"/>
                <w:highlight w:val="none"/>
              </w:rPr>
            </w:pPr>
          </w:p>
        </w:tc>
        <w:tc>
          <w:tcPr>
            <w:tcW w:w="1330" w:type="dxa"/>
            <w:vAlign w:val="center"/>
          </w:tcPr>
          <w:p>
            <w:pPr>
              <w:widowControl/>
              <w:snapToGrid w:val="0"/>
              <w:spacing w:after="0" w:line="4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2.2项目实施方案分</w:t>
            </w:r>
          </w:p>
          <w:p>
            <w:pPr>
              <w:adjustRightInd w:val="0"/>
              <w:spacing w:after="0" w:line="440" w:lineRule="atLeast"/>
              <w:jc w:val="center"/>
              <w:textAlignment w:val="baseline"/>
              <w:rPr>
                <w:rFonts w:hint="eastAsia" w:ascii="宋体" w:hAnsi="宋体" w:cs="宋体"/>
                <w:color w:val="auto"/>
                <w:szCs w:val="21"/>
                <w:highlight w:val="none"/>
                <w:u w:val="single"/>
              </w:rPr>
            </w:pPr>
            <w:r>
              <w:rPr>
                <w:rFonts w:hint="eastAsia" w:ascii="宋体" w:hAnsi="宋体" w:cs="宋体"/>
                <w:b/>
                <w:color w:val="auto"/>
                <w:szCs w:val="21"/>
                <w:highlight w:val="none"/>
              </w:rPr>
              <w:t>（满分12分）</w:t>
            </w:r>
          </w:p>
        </w:tc>
        <w:tc>
          <w:tcPr>
            <w:tcW w:w="6029" w:type="dxa"/>
            <w:vAlign w:val="center"/>
          </w:tcPr>
          <w:p>
            <w:pPr>
              <w:pStyle w:val="14"/>
              <w:spacing w:after="0" w:line="440" w:lineRule="atLeast"/>
              <w:ind w:firstLine="420" w:firstLineChars="200"/>
              <w:rPr>
                <w:rFonts w:hint="eastAsia" w:hAnsi="宋体" w:cs="宋体"/>
                <w:bCs/>
                <w:color w:val="auto"/>
                <w:szCs w:val="21"/>
                <w:highlight w:val="none"/>
              </w:rPr>
            </w:pPr>
            <w:r>
              <w:rPr>
                <w:rFonts w:hint="eastAsia" w:hAnsi="宋体" w:cs="宋体"/>
                <w:bCs/>
                <w:color w:val="auto"/>
                <w:szCs w:val="21"/>
                <w:highlight w:val="none"/>
              </w:rPr>
              <w:t>一档（3分）：提供有项目的实施</w:t>
            </w:r>
            <w:r>
              <w:rPr>
                <w:rFonts w:hint="eastAsia" w:hAnsi="宋体" w:cs="宋体"/>
                <w:color w:val="auto"/>
                <w:szCs w:val="21"/>
                <w:highlight w:val="none"/>
              </w:rPr>
              <w:t>进度安排</w:t>
            </w:r>
            <w:r>
              <w:rPr>
                <w:rFonts w:hint="eastAsia" w:hAnsi="宋体" w:cs="宋体"/>
                <w:bCs/>
                <w:color w:val="auto"/>
                <w:szCs w:val="21"/>
                <w:highlight w:val="none"/>
              </w:rPr>
              <w:t>、实施环节步骤；</w:t>
            </w:r>
          </w:p>
          <w:p>
            <w:pPr>
              <w:pStyle w:val="14"/>
              <w:spacing w:after="0" w:line="440" w:lineRule="atLeast"/>
              <w:ind w:firstLine="420" w:firstLineChars="200"/>
              <w:rPr>
                <w:rFonts w:hint="eastAsia" w:hAnsi="宋体" w:cs="宋体"/>
                <w:bCs/>
                <w:color w:val="auto"/>
                <w:szCs w:val="21"/>
                <w:highlight w:val="none"/>
              </w:rPr>
            </w:pPr>
            <w:r>
              <w:rPr>
                <w:rFonts w:hint="eastAsia" w:hAnsi="宋体" w:cs="宋体"/>
                <w:bCs/>
                <w:color w:val="auto"/>
                <w:szCs w:val="21"/>
                <w:highlight w:val="none"/>
              </w:rPr>
              <w:t>二档（6分）：提供有项目实施</w:t>
            </w:r>
            <w:r>
              <w:rPr>
                <w:rFonts w:hint="eastAsia" w:hAnsi="宋体" w:cs="宋体"/>
                <w:color w:val="auto"/>
                <w:szCs w:val="21"/>
                <w:highlight w:val="none"/>
              </w:rPr>
              <w:t>进度安排</w:t>
            </w:r>
            <w:r>
              <w:rPr>
                <w:rFonts w:hint="eastAsia" w:hAnsi="宋体" w:cs="宋体"/>
                <w:bCs/>
                <w:color w:val="auto"/>
                <w:szCs w:val="21"/>
                <w:highlight w:val="none"/>
              </w:rPr>
              <w:t>和</w:t>
            </w:r>
            <w:r>
              <w:rPr>
                <w:rFonts w:hint="eastAsia" w:hAnsi="宋体" w:cs="宋体"/>
                <w:color w:val="auto"/>
                <w:szCs w:val="21"/>
                <w:highlight w:val="none"/>
              </w:rPr>
              <w:t>保障措施</w:t>
            </w:r>
            <w:r>
              <w:rPr>
                <w:rFonts w:hint="eastAsia" w:hAnsi="宋体" w:cs="宋体"/>
                <w:bCs/>
                <w:color w:val="auto"/>
                <w:szCs w:val="21"/>
                <w:highlight w:val="none"/>
              </w:rPr>
              <w:t>、</w:t>
            </w:r>
            <w:r>
              <w:rPr>
                <w:rFonts w:hint="eastAsia" w:hAnsi="宋体" w:cs="宋体"/>
                <w:color w:val="auto"/>
                <w:szCs w:val="21"/>
                <w:highlight w:val="none"/>
              </w:rPr>
              <w:t>各个阶段工作安排，提出本项目的风险预见和技术重点、难点</w:t>
            </w:r>
            <w:r>
              <w:rPr>
                <w:rFonts w:hint="eastAsia" w:hAnsi="宋体" w:cs="宋体"/>
                <w:bCs/>
                <w:color w:val="auto"/>
                <w:szCs w:val="21"/>
                <w:highlight w:val="none"/>
              </w:rPr>
              <w:t>；</w:t>
            </w:r>
          </w:p>
          <w:p>
            <w:pPr>
              <w:pStyle w:val="14"/>
              <w:spacing w:after="0" w:line="440" w:lineRule="atLeast"/>
              <w:ind w:firstLine="420" w:firstLineChars="200"/>
              <w:rPr>
                <w:rFonts w:hint="eastAsia" w:hAnsi="宋体" w:cs="宋体"/>
                <w:bCs/>
                <w:color w:val="auto"/>
                <w:szCs w:val="21"/>
                <w:highlight w:val="none"/>
              </w:rPr>
            </w:pPr>
            <w:r>
              <w:rPr>
                <w:rFonts w:hint="eastAsia" w:hAnsi="宋体" w:cs="宋体"/>
                <w:bCs/>
                <w:color w:val="auto"/>
                <w:szCs w:val="21"/>
                <w:highlight w:val="none"/>
              </w:rPr>
              <w:t>三档（9分）：有详细的项目实施</w:t>
            </w:r>
            <w:r>
              <w:rPr>
                <w:rFonts w:hint="eastAsia" w:hAnsi="宋体" w:cs="宋体"/>
                <w:color w:val="auto"/>
                <w:szCs w:val="21"/>
                <w:highlight w:val="none"/>
              </w:rPr>
              <w:t>进度安排</w:t>
            </w:r>
            <w:r>
              <w:rPr>
                <w:rFonts w:hint="eastAsia" w:hAnsi="宋体" w:cs="宋体"/>
                <w:bCs/>
                <w:color w:val="auto"/>
                <w:szCs w:val="21"/>
                <w:highlight w:val="none"/>
              </w:rPr>
              <w:t>和</w:t>
            </w:r>
            <w:r>
              <w:rPr>
                <w:rFonts w:hint="eastAsia" w:hAnsi="宋体" w:cs="宋体"/>
                <w:color w:val="auto"/>
                <w:szCs w:val="21"/>
                <w:highlight w:val="none"/>
              </w:rPr>
              <w:t>保障措施</w:t>
            </w:r>
            <w:r>
              <w:rPr>
                <w:rFonts w:hint="eastAsia" w:hAnsi="宋体" w:cs="宋体"/>
                <w:bCs/>
                <w:color w:val="auto"/>
                <w:szCs w:val="21"/>
                <w:highlight w:val="none"/>
              </w:rPr>
              <w:t>，有人员岗位安排</w:t>
            </w:r>
            <w:r>
              <w:rPr>
                <w:rFonts w:hint="eastAsia" w:hAnsi="宋体" w:cs="宋体"/>
                <w:color w:val="auto"/>
                <w:szCs w:val="21"/>
                <w:highlight w:val="none"/>
              </w:rPr>
              <w:t>，人员配置有保障，</w:t>
            </w:r>
            <w:r>
              <w:rPr>
                <w:rFonts w:hint="eastAsia" w:hAnsi="宋体" w:cs="宋体"/>
                <w:bCs/>
                <w:color w:val="auto"/>
                <w:szCs w:val="21"/>
                <w:highlight w:val="none"/>
              </w:rPr>
              <w:t>实施环节步骤详细，</w:t>
            </w:r>
            <w:r>
              <w:rPr>
                <w:rFonts w:hint="eastAsia" w:hAnsi="宋体" w:cs="宋体"/>
                <w:color w:val="auto"/>
                <w:szCs w:val="21"/>
                <w:highlight w:val="none"/>
              </w:rPr>
              <w:t>能说明各个阶段工作安排，提出本项目的风险预见及措施</w:t>
            </w:r>
            <w:r>
              <w:rPr>
                <w:rFonts w:hint="eastAsia" w:hAnsi="宋体" w:cs="宋体"/>
                <w:bCs/>
                <w:color w:val="auto"/>
                <w:szCs w:val="21"/>
                <w:highlight w:val="none"/>
              </w:rPr>
              <w:t>；分析了</w:t>
            </w:r>
            <w:r>
              <w:rPr>
                <w:rFonts w:hint="eastAsia" w:hAnsi="宋体" w:cs="宋体"/>
                <w:color w:val="auto"/>
                <w:szCs w:val="21"/>
                <w:highlight w:val="none"/>
              </w:rPr>
              <w:t>本项目的技术重点、难点</w:t>
            </w:r>
            <w:r>
              <w:rPr>
                <w:rFonts w:hint="eastAsia" w:hAnsi="宋体" w:cs="宋体"/>
                <w:bCs/>
                <w:color w:val="auto"/>
                <w:szCs w:val="21"/>
                <w:highlight w:val="none"/>
              </w:rPr>
              <w:t>及提供相应建议，满足项目要求；</w:t>
            </w:r>
          </w:p>
          <w:p>
            <w:pPr>
              <w:pStyle w:val="14"/>
              <w:spacing w:after="0" w:line="440" w:lineRule="atLeast"/>
              <w:ind w:firstLine="420" w:firstLineChars="200"/>
              <w:rPr>
                <w:rFonts w:hint="eastAsia" w:hAnsi="宋体" w:cs="宋体"/>
                <w:bCs/>
                <w:color w:val="auto"/>
                <w:szCs w:val="21"/>
                <w:highlight w:val="none"/>
              </w:rPr>
            </w:pPr>
            <w:r>
              <w:rPr>
                <w:rFonts w:hint="eastAsia" w:hAnsi="宋体" w:cs="宋体"/>
                <w:bCs/>
                <w:color w:val="auto"/>
                <w:szCs w:val="21"/>
                <w:highlight w:val="none"/>
              </w:rPr>
              <w:t>四档（12分）：有严谨的项目实施</w:t>
            </w:r>
            <w:r>
              <w:rPr>
                <w:rFonts w:hint="eastAsia" w:hAnsi="宋体" w:cs="宋体"/>
                <w:color w:val="auto"/>
                <w:szCs w:val="21"/>
                <w:highlight w:val="none"/>
              </w:rPr>
              <w:t>进度安排</w:t>
            </w:r>
            <w:r>
              <w:rPr>
                <w:rFonts w:hint="eastAsia" w:hAnsi="宋体" w:cs="宋体"/>
                <w:bCs/>
                <w:color w:val="auto"/>
                <w:szCs w:val="21"/>
                <w:highlight w:val="none"/>
              </w:rPr>
              <w:t>和</w:t>
            </w:r>
            <w:r>
              <w:rPr>
                <w:rFonts w:hint="eastAsia" w:hAnsi="宋体" w:cs="宋体"/>
                <w:color w:val="auto"/>
                <w:szCs w:val="21"/>
                <w:highlight w:val="none"/>
              </w:rPr>
              <w:t>保障措施</w:t>
            </w:r>
            <w:r>
              <w:rPr>
                <w:rFonts w:hint="eastAsia" w:hAnsi="宋体" w:cs="宋体"/>
                <w:bCs/>
                <w:color w:val="auto"/>
                <w:szCs w:val="21"/>
                <w:highlight w:val="none"/>
              </w:rPr>
              <w:t>，</w:t>
            </w:r>
            <w:r>
              <w:rPr>
                <w:rFonts w:hint="eastAsia" w:hAnsi="宋体" w:cs="宋体"/>
                <w:color w:val="auto"/>
                <w:szCs w:val="21"/>
                <w:highlight w:val="none"/>
              </w:rPr>
              <w:t>分工与职责明确，人员配置有保障，</w:t>
            </w:r>
            <w:r>
              <w:rPr>
                <w:rFonts w:hint="eastAsia" w:hAnsi="宋体" w:cs="宋体"/>
                <w:bCs/>
                <w:color w:val="auto"/>
                <w:szCs w:val="21"/>
                <w:highlight w:val="none"/>
              </w:rPr>
              <w:t>各实施环节步骤详细清晰，</w:t>
            </w:r>
            <w:r>
              <w:rPr>
                <w:rFonts w:hint="eastAsia" w:hAnsi="宋体" w:cs="宋体"/>
                <w:color w:val="auto"/>
                <w:szCs w:val="21"/>
                <w:highlight w:val="none"/>
              </w:rPr>
              <w:t>能说明各个阶段关键工作安排及关键部分的分析准确，分析本项目的风险预见及风险应对措施</w:t>
            </w:r>
            <w:r>
              <w:rPr>
                <w:rFonts w:hint="eastAsia" w:hAnsi="宋体" w:cs="宋体"/>
                <w:bCs/>
                <w:color w:val="auto"/>
                <w:szCs w:val="21"/>
                <w:highlight w:val="none"/>
              </w:rPr>
              <w:t>；能</w:t>
            </w:r>
            <w:r>
              <w:rPr>
                <w:rFonts w:hint="eastAsia" w:hAnsi="宋体" w:cs="宋体"/>
                <w:color w:val="auto"/>
                <w:szCs w:val="21"/>
                <w:highlight w:val="none"/>
              </w:rPr>
              <w:t>把握本项目的技术重点、难点</w:t>
            </w:r>
            <w:r>
              <w:rPr>
                <w:rFonts w:hint="eastAsia" w:hAnsi="宋体" w:cs="宋体"/>
                <w:bCs/>
                <w:color w:val="auto"/>
                <w:szCs w:val="21"/>
                <w:highlight w:val="none"/>
              </w:rPr>
              <w:t>，切合实际且有针对性，</w:t>
            </w:r>
            <w:r>
              <w:rPr>
                <w:rFonts w:hint="eastAsia" w:hAnsi="宋体" w:cs="宋体"/>
                <w:color w:val="auto"/>
                <w:szCs w:val="21"/>
                <w:highlight w:val="none"/>
              </w:rPr>
              <w:t>利于项目实施，</w:t>
            </w:r>
            <w:r>
              <w:rPr>
                <w:rFonts w:hint="eastAsia" w:hAnsi="宋体" w:cs="宋体"/>
                <w:bCs/>
                <w:color w:val="auto"/>
                <w:szCs w:val="21"/>
                <w:highlight w:val="none"/>
              </w:rPr>
              <w:t>能保障推进项目实施。</w:t>
            </w:r>
          </w:p>
          <w:p>
            <w:pPr>
              <w:pStyle w:val="17"/>
              <w:spacing w:after="0" w:line="440" w:lineRule="atLeast"/>
              <w:ind w:firstLine="420" w:firstLineChars="200"/>
              <w:rPr>
                <w:rFonts w:hint="eastAsia" w:ascii="宋体" w:hAnsi="宋体" w:cs="宋体"/>
                <w:bCs/>
                <w:color w:val="auto"/>
                <w:sz w:val="21"/>
                <w:szCs w:val="21"/>
                <w:highlight w:val="none"/>
              </w:rPr>
            </w:pPr>
            <w:r>
              <w:rPr>
                <w:rFonts w:hint="eastAsia" w:ascii="宋体" w:hAnsi="宋体" w:cs="宋体"/>
                <w:color w:val="auto"/>
                <w:sz w:val="21"/>
                <w:szCs w:val="21"/>
                <w:highlight w:val="none"/>
              </w:rPr>
              <w:t>注明：不满足入档要求的，得0分。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Merge w:val="continue"/>
            <w:vAlign w:val="center"/>
          </w:tcPr>
          <w:p>
            <w:pPr>
              <w:adjustRightInd w:val="0"/>
              <w:spacing w:after="0" w:line="440" w:lineRule="atLeast"/>
              <w:jc w:val="center"/>
              <w:textAlignment w:val="baseline"/>
              <w:rPr>
                <w:rFonts w:hint="eastAsia" w:ascii="宋体" w:hAnsi="宋体" w:cs="宋体"/>
                <w:b/>
                <w:color w:val="auto"/>
                <w:szCs w:val="21"/>
                <w:highlight w:val="none"/>
              </w:rPr>
            </w:pPr>
          </w:p>
        </w:tc>
        <w:tc>
          <w:tcPr>
            <w:tcW w:w="1566" w:type="dxa"/>
            <w:vMerge w:val="continue"/>
            <w:vAlign w:val="center"/>
          </w:tcPr>
          <w:p>
            <w:pPr>
              <w:adjustRightInd w:val="0"/>
              <w:spacing w:after="0" w:line="440" w:lineRule="atLeast"/>
              <w:ind w:left="-105" w:leftChars="-50" w:right="-105" w:rightChars="-50"/>
              <w:jc w:val="center"/>
              <w:textAlignment w:val="baseline"/>
              <w:rPr>
                <w:rFonts w:hint="eastAsia" w:ascii="宋体" w:hAnsi="宋体" w:cs="宋体"/>
                <w:bCs/>
                <w:color w:val="auto"/>
                <w:szCs w:val="21"/>
                <w:highlight w:val="none"/>
              </w:rPr>
            </w:pPr>
          </w:p>
        </w:tc>
        <w:tc>
          <w:tcPr>
            <w:tcW w:w="1330" w:type="dxa"/>
            <w:vAlign w:val="center"/>
          </w:tcPr>
          <w:p>
            <w:pPr>
              <w:widowControl/>
              <w:snapToGrid w:val="0"/>
              <w:spacing w:after="0" w:line="440" w:lineRule="atLeast"/>
              <w:jc w:val="center"/>
              <w:rPr>
                <w:rFonts w:hint="eastAsia" w:ascii="宋体" w:hAnsi="宋体" w:cs="宋体"/>
                <w:color w:val="auto"/>
                <w:szCs w:val="21"/>
                <w:highlight w:val="none"/>
                <w:u w:val="single"/>
              </w:rPr>
            </w:pPr>
            <w:r>
              <w:rPr>
                <w:rFonts w:hint="eastAsia" w:ascii="宋体" w:hAnsi="宋体" w:cs="宋体"/>
                <w:b/>
                <w:bCs/>
                <w:color w:val="auto"/>
                <w:kern w:val="0"/>
                <w:szCs w:val="21"/>
                <w:highlight w:val="none"/>
              </w:rPr>
              <w:t xml:space="preserve">2.3 </w:t>
            </w:r>
            <w:r>
              <w:rPr>
                <w:rFonts w:hint="eastAsia" w:ascii="宋体" w:hAnsi="宋体" w:cs="宋体"/>
                <w:b/>
                <w:color w:val="auto"/>
                <w:szCs w:val="21"/>
                <w:highlight w:val="none"/>
              </w:rPr>
              <w:t>安装调试方案（6分）</w:t>
            </w:r>
          </w:p>
        </w:tc>
        <w:tc>
          <w:tcPr>
            <w:tcW w:w="6029" w:type="dxa"/>
            <w:vAlign w:val="center"/>
          </w:tcPr>
          <w:p>
            <w:pPr>
              <w:pStyle w:val="14"/>
              <w:spacing w:after="0" w:line="440" w:lineRule="atLeast"/>
              <w:ind w:firstLine="420" w:firstLineChars="200"/>
              <w:rPr>
                <w:rFonts w:hint="eastAsia" w:hAnsi="宋体" w:cs="宋体"/>
                <w:color w:val="auto"/>
                <w:szCs w:val="21"/>
                <w:highlight w:val="none"/>
              </w:rPr>
            </w:pPr>
            <w:r>
              <w:rPr>
                <w:rFonts w:hint="eastAsia" w:hAnsi="宋体" w:cs="宋体"/>
                <w:color w:val="auto"/>
                <w:szCs w:val="21"/>
                <w:highlight w:val="none"/>
              </w:rPr>
              <w:t>一档（2分）：提供有本项目安装、配送、调试描述</w:t>
            </w:r>
            <w:r>
              <w:rPr>
                <w:rFonts w:hint="eastAsia" w:hAnsi="宋体" w:cs="宋体"/>
                <w:bCs/>
                <w:color w:val="auto"/>
                <w:szCs w:val="21"/>
                <w:highlight w:val="none"/>
              </w:rPr>
              <w:t>；</w:t>
            </w:r>
          </w:p>
          <w:p>
            <w:pPr>
              <w:pStyle w:val="14"/>
              <w:spacing w:after="0" w:line="440" w:lineRule="atLeast"/>
              <w:ind w:firstLine="420" w:firstLineChars="200"/>
              <w:rPr>
                <w:rFonts w:hint="eastAsia" w:hAnsi="宋体" w:cs="宋体"/>
                <w:color w:val="auto"/>
                <w:szCs w:val="21"/>
                <w:highlight w:val="none"/>
              </w:rPr>
            </w:pPr>
            <w:r>
              <w:rPr>
                <w:rFonts w:hint="eastAsia" w:hAnsi="宋体" w:cs="宋体"/>
                <w:color w:val="auto"/>
                <w:szCs w:val="21"/>
                <w:highlight w:val="none"/>
              </w:rPr>
              <w:t>二档（4分）：提供有本项目安装、配送、调试技术说明及实施措施，分析本项目安装、配送、调试的关键点，能把握项目的总体要求</w:t>
            </w:r>
            <w:r>
              <w:rPr>
                <w:rFonts w:hint="eastAsia" w:hAnsi="宋体" w:cs="宋体"/>
                <w:bCs/>
                <w:color w:val="auto"/>
                <w:szCs w:val="21"/>
                <w:highlight w:val="none"/>
              </w:rPr>
              <w:t>；</w:t>
            </w:r>
          </w:p>
          <w:p>
            <w:pPr>
              <w:pStyle w:val="14"/>
              <w:spacing w:after="0" w:line="440" w:lineRule="atLeast"/>
              <w:ind w:firstLine="420" w:firstLineChars="200"/>
              <w:rPr>
                <w:rFonts w:hint="eastAsia" w:hAnsi="宋体" w:cs="宋体"/>
                <w:color w:val="auto"/>
                <w:szCs w:val="21"/>
                <w:highlight w:val="none"/>
              </w:rPr>
            </w:pPr>
            <w:r>
              <w:rPr>
                <w:rFonts w:hint="eastAsia" w:hAnsi="宋体" w:cs="宋体"/>
                <w:color w:val="auto"/>
                <w:szCs w:val="21"/>
                <w:highlight w:val="none"/>
              </w:rPr>
              <w:t>三档（6分）：提供有切合本项目的安装、配送、调试技术说明及实施措施，条理清晰，能结合本项目实际情况分析本项目安装、配送、调试的难点及关键点，总体思路清晰、切合项目特点，并提出有针对性的意见和建议。</w:t>
            </w:r>
          </w:p>
          <w:p>
            <w:pPr>
              <w:pStyle w:val="14"/>
              <w:spacing w:after="0" w:line="440" w:lineRule="atLeast"/>
              <w:ind w:firstLine="420" w:firstLineChars="200"/>
              <w:rPr>
                <w:rFonts w:hint="eastAsia" w:hAnsi="宋体" w:cs="宋体"/>
                <w:color w:val="auto"/>
                <w:szCs w:val="21"/>
                <w:highlight w:val="none"/>
              </w:rPr>
            </w:pPr>
            <w:r>
              <w:rPr>
                <w:rFonts w:hint="eastAsia" w:hAnsi="宋体" w:cs="宋体"/>
                <w:color w:val="auto"/>
                <w:szCs w:val="21"/>
                <w:highlight w:val="none"/>
              </w:rPr>
              <w:t>注明：不满足入档要求的，得0分。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Merge w:val="continue"/>
            <w:vAlign w:val="center"/>
          </w:tcPr>
          <w:p>
            <w:pPr>
              <w:adjustRightInd w:val="0"/>
              <w:spacing w:after="0" w:line="440" w:lineRule="atLeast"/>
              <w:jc w:val="center"/>
              <w:textAlignment w:val="baseline"/>
              <w:rPr>
                <w:rFonts w:hint="eastAsia" w:ascii="宋体" w:hAnsi="宋体" w:cs="宋体"/>
                <w:b/>
                <w:color w:val="auto"/>
                <w:szCs w:val="21"/>
                <w:highlight w:val="none"/>
              </w:rPr>
            </w:pPr>
          </w:p>
        </w:tc>
        <w:tc>
          <w:tcPr>
            <w:tcW w:w="1566" w:type="dxa"/>
            <w:vMerge w:val="continue"/>
            <w:vAlign w:val="center"/>
          </w:tcPr>
          <w:p>
            <w:pPr>
              <w:adjustRightInd w:val="0"/>
              <w:spacing w:after="0" w:line="440" w:lineRule="atLeast"/>
              <w:ind w:left="-105" w:leftChars="-50" w:right="-105" w:rightChars="-50"/>
              <w:jc w:val="center"/>
              <w:textAlignment w:val="baseline"/>
              <w:rPr>
                <w:rFonts w:hint="eastAsia" w:ascii="宋体" w:hAnsi="宋体" w:cs="宋体"/>
                <w:bCs/>
                <w:color w:val="auto"/>
                <w:szCs w:val="21"/>
                <w:highlight w:val="none"/>
              </w:rPr>
            </w:pPr>
          </w:p>
        </w:tc>
        <w:tc>
          <w:tcPr>
            <w:tcW w:w="1330" w:type="dxa"/>
            <w:vAlign w:val="center"/>
          </w:tcPr>
          <w:p>
            <w:pPr>
              <w:widowControl/>
              <w:snapToGrid w:val="0"/>
              <w:spacing w:after="0" w:line="440" w:lineRule="atLeast"/>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2.4售后服务分（满分12分）</w:t>
            </w:r>
          </w:p>
        </w:tc>
        <w:tc>
          <w:tcPr>
            <w:tcW w:w="6029" w:type="dxa"/>
            <w:vAlign w:val="center"/>
          </w:tcPr>
          <w:p>
            <w:pPr>
              <w:pStyle w:val="14"/>
              <w:spacing w:after="0" w:line="440" w:lineRule="atLeast"/>
              <w:ind w:firstLine="420" w:firstLineChars="200"/>
              <w:rPr>
                <w:rFonts w:hint="eastAsia" w:hAnsi="宋体" w:cs="宋体"/>
                <w:color w:val="auto"/>
                <w:szCs w:val="21"/>
                <w:highlight w:val="none"/>
              </w:rPr>
            </w:pPr>
            <w:r>
              <w:rPr>
                <w:rFonts w:hint="eastAsia" w:hAnsi="宋体" w:cs="宋体"/>
                <w:color w:val="auto"/>
                <w:szCs w:val="21"/>
                <w:highlight w:val="none"/>
                <w:lang w:eastAsia="zh-Hans"/>
              </w:rPr>
              <w:t>一档（</w:t>
            </w:r>
            <w:r>
              <w:rPr>
                <w:rFonts w:hint="eastAsia" w:hAnsi="宋体" w:cs="宋体"/>
                <w:color w:val="auto"/>
                <w:szCs w:val="21"/>
                <w:highlight w:val="none"/>
              </w:rPr>
              <w:t>3</w:t>
            </w:r>
            <w:r>
              <w:rPr>
                <w:rFonts w:hint="eastAsia" w:hAnsi="宋体" w:cs="宋体"/>
                <w:color w:val="auto"/>
                <w:szCs w:val="21"/>
                <w:highlight w:val="none"/>
                <w:lang w:eastAsia="zh-Hans"/>
              </w:rPr>
              <w:t>分）：提供有培训计划、售后服务</w:t>
            </w:r>
            <w:r>
              <w:rPr>
                <w:rFonts w:hint="eastAsia" w:hAnsi="宋体" w:cs="宋体"/>
                <w:color w:val="auto"/>
                <w:szCs w:val="21"/>
                <w:highlight w:val="none"/>
              </w:rPr>
              <w:t>方式</w:t>
            </w:r>
            <w:r>
              <w:rPr>
                <w:rFonts w:hint="eastAsia" w:hAnsi="宋体" w:cs="宋体"/>
                <w:color w:val="auto"/>
                <w:szCs w:val="21"/>
                <w:highlight w:val="none"/>
                <w:lang w:eastAsia="zh-Hans"/>
              </w:rPr>
              <w:t>、售后服务流程、应急预案</w:t>
            </w:r>
            <w:r>
              <w:rPr>
                <w:rFonts w:hint="eastAsia" w:hAnsi="宋体" w:cs="宋体"/>
                <w:color w:val="auto"/>
                <w:szCs w:val="21"/>
                <w:highlight w:val="none"/>
              </w:rPr>
              <w:t>，并承诺能在接到采购人通知后24小时内到达现场</w:t>
            </w:r>
            <w:r>
              <w:rPr>
                <w:rFonts w:hint="eastAsia" w:hAnsi="宋体" w:cs="宋体"/>
                <w:bCs/>
                <w:color w:val="auto"/>
                <w:szCs w:val="21"/>
                <w:highlight w:val="none"/>
              </w:rPr>
              <w:t>；</w:t>
            </w:r>
          </w:p>
          <w:p>
            <w:pPr>
              <w:pStyle w:val="14"/>
              <w:spacing w:after="0" w:line="440" w:lineRule="atLeast"/>
              <w:ind w:firstLine="420" w:firstLineChars="200"/>
              <w:rPr>
                <w:rFonts w:hint="eastAsia" w:hAnsi="宋体" w:cs="宋体"/>
                <w:color w:val="auto"/>
                <w:szCs w:val="21"/>
                <w:highlight w:val="none"/>
                <w:lang w:eastAsia="zh-Hans"/>
              </w:rPr>
            </w:pPr>
            <w:r>
              <w:rPr>
                <w:rFonts w:hint="eastAsia" w:hAnsi="宋体" w:cs="宋体"/>
                <w:color w:val="auto"/>
                <w:szCs w:val="21"/>
                <w:highlight w:val="none"/>
                <w:lang w:eastAsia="zh-Hans"/>
              </w:rPr>
              <w:t>二档（</w:t>
            </w:r>
            <w:r>
              <w:rPr>
                <w:rFonts w:hint="eastAsia" w:hAnsi="宋体" w:cs="宋体"/>
                <w:color w:val="auto"/>
                <w:szCs w:val="21"/>
                <w:highlight w:val="none"/>
              </w:rPr>
              <w:t>6</w:t>
            </w:r>
            <w:r>
              <w:rPr>
                <w:rFonts w:hint="eastAsia" w:hAnsi="宋体" w:cs="宋体"/>
                <w:color w:val="auto"/>
                <w:szCs w:val="21"/>
                <w:highlight w:val="none"/>
                <w:lang w:eastAsia="zh-Hans"/>
              </w:rPr>
              <w:t>分）：</w:t>
            </w:r>
            <w:r>
              <w:rPr>
                <w:rFonts w:hint="eastAsia" w:hAnsi="宋体" w:cs="宋体"/>
                <w:color w:val="auto"/>
                <w:szCs w:val="21"/>
                <w:highlight w:val="none"/>
              </w:rPr>
              <w:t>提供</w:t>
            </w:r>
            <w:r>
              <w:rPr>
                <w:rFonts w:hint="eastAsia" w:hAnsi="宋体" w:cs="宋体"/>
                <w:color w:val="auto"/>
                <w:szCs w:val="21"/>
                <w:highlight w:val="none"/>
                <w:lang w:eastAsia="zh-Hans"/>
              </w:rPr>
              <w:t>有培训计划、售后服务</w:t>
            </w:r>
            <w:r>
              <w:rPr>
                <w:rFonts w:hint="eastAsia" w:hAnsi="宋体" w:cs="宋体"/>
                <w:color w:val="auto"/>
                <w:szCs w:val="21"/>
                <w:highlight w:val="none"/>
              </w:rPr>
              <w:t>方式</w:t>
            </w:r>
            <w:r>
              <w:rPr>
                <w:rFonts w:hint="eastAsia" w:hAnsi="宋体" w:cs="宋体"/>
                <w:color w:val="auto"/>
                <w:szCs w:val="21"/>
                <w:highlight w:val="none"/>
                <w:lang w:eastAsia="zh-Hans"/>
              </w:rPr>
              <w:t>、售后服务流程、应急预案</w:t>
            </w:r>
            <w:r>
              <w:rPr>
                <w:rFonts w:hint="eastAsia" w:hAnsi="宋体" w:cs="宋体"/>
                <w:color w:val="auto"/>
                <w:szCs w:val="21"/>
                <w:highlight w:val="none"/>
              </w:rPr>
              <w:t>及</w:t>
            </w:r>
            <w:r>
              <w:rPr>
                <w:rFonts w:hint="eastAsia" w:hAnsi="宋体" w:cs="宋体"/>
                <w:color w:val="auto"/>
                <w:szCs w:val="21"/>
                <w:highlight w:val="none"/>
                <w:lang w:eastAsia="zh-Hans"/>
              </w:rPr>
              <w:t>保障措施</w:t>
            </w:r>
            <w:r>
              <w:rPr>
                <w:rFonts w:hint="eastAsia" w:hAnsi="宋体" w:cs="宋体"/>
                <w:color w:val="auto"/>
                <w:szCs w:val="21"/>
                <w:highlight w:val="none"/>
              </w:rPr>
              <w:t>，并承诺能在接到采购人通知后12小时内到达现场</w:t>
            </w:r>
            <w:r>
              <w:rPr>
                <w:rFonts w:hint="eastAsia" w:hAnsi="宋体" w:cs="宋体"/>
                <w:bCs/>
                <w:color w:val="auto"/>
                <w:szCs w:val="21"/>
                <w:highlight w:val="none"/>
              </w:rPr>
              <w:t>；</w:t>
            </w:r>
          </w:p>
          <w:p>
            <w:pPr>
              <w:pStyle w:val="14"/>
              <w:spacing w:after="0" w:line="440" w:lineRule="atLeast"/>
              <w:ind w:firstLine="420" w:firstLineChars="200"/>
              <w:rPr>
                <w:rFonts w:hint="eastAsia" w:hAnsi="宋体" w:cs="宋体"/>
                <w:color w:val="auto"/>
                <w:szCs w:val="21"/>
                <w:highlight w:val="none"/>
              </w:rPr>
            </w:pPr>
            <w:r>
              <w:rPr>
                <w:rFonts w:hint="eastAsia" w:hAnsi="宋体" w:cs="宋体"/>
                <w:color w:val="auto"/>
                <w:szCs w:val="21"/>
                <w:highlight w:val="none"/>
              </w:rPr>
              <w:t>三</w:t>
            </w:r>
            <w:r>
              <w:rPr>
                <w:rFonts w:hint="eastAsia" w:hAnsi="宋体" w:cs="宋体"/>
                <w:color w:val="auto"/>
                <w:szCs w:val="21"/>
                <w:highlight w:val="none"/>
                <w:lang w:eastAsia="zh-Hans"/>
              </w:rPr>
              <w:t>档（</w:t>
            </w:r>
            <w:r>
              <w:rPr>
                <w:rFonts w:hint="eastAsia" w:hAnsi="宋体" w:cs="宋体"/>
                <w:color w:val="auto"/>
                <w:szCs w:val="21"/>
                <w:highlight w:val="none"/>
              </w:rPr>
              <w:t>9</w:t>
            </w:r>
            <w:r>
              <w:rPr>
                <w:rFonts w:hint="eastAsia" w:hAnsi="宋体" w:cs="宋体"/>
                <w:color w:val="auto"/>
                <w:szCs w:val="21"/>
                <w:highlight w:val="none"/>
                <w:lang w:eastAsia="zh-Hans"/>
              </w:rPr>
              <w:t>分）：</w:t>
            </w:r>
            <w:r>
              <w:rPr>
                <w:rFonts w:hint="eastAsia" w:hAnsi="宋体" w:cs="宋体"/>
                <w:color w:val="auto"/>
                <w:szCs w:val="21"/>
                <w:highlight w:val="none"/>
              </w:rPr>
              <w:t>提供有详细</w:t>
            </w:r>
            <w:r>
              <w:rPr>
                <w:rFonts w:hint="eastAsia" w:hAnsi="宋体" w:cs="宋体"/>
                <w:color w:val="auto"/>
                <w:szCs w:val="21"/>
                <w:highlight w:val="none"/>
                <w:lang w:eastAsia="zh-Hans"/>
              </w:rPr>
              <w:t>的培训计划、售后服务</w:t>
            </w:r>
            <w:r>
              <w:rPr>
                <w:rFonts w:hint="eastAsia" w:hAnsi="宋体" w:cs="宋体"/>
                <w:color w:val="auto"/>
                <w:szCs w:val="21"/>
                <w:highlight w:val="none"/>
              </w:rPr>
              <w:t>方式</w:t>
            </w:r>
            <w:r>
              <w:rPr>
                <w:rFonts w:hint="eastAsia" w:hAnsi="宋体" w:cs="宋体"/>
                <w:color w:val="auto"/>
                <w:szCs w:val="21"/>
                <w:highlight w:val="none"/>
                <w:lang w:eastAsia="zh-Hans"/>
              </w:rPr>
              <w:t>、售后服务流程、应急预案</w:t>
            </w:r>
            <w:r>
              <w:rPr>
                <w:rFonts w:hint="eastAsia" w:hAnsi="宋体" w:cs="宋体"/>
                <w:color w:val="auto"/>
                <w:szCs w:val="21"/>
                <w:highlight w:val="none"/>
              </w:rPr>
              <w:t>及相应的</w:t>
            </w:r>
            <w:r>
              <w:rPr>
                <w:rFonts w:hint="eastAsia" w:hAnsi="宋体" w:cs="宋体"/>
                <w:color w:val="auto"/>
                <w:szCs w:val="21"/>
                <w:highlight w:val="none"/>
                <w:lang w:eastAsia="zh-Hans"/>
              </w:rPr>
              <w:t>保障措施，有售后技术服务队伍</w:t>
            </w:r>
            <w:r>
              <w:rPr>
                <w:rFonts w:hint="eastAsia" w:hAnsi="宋体" w:cs="宋体"/>
                <w:color w:val="auto"/>
                <w:szCs w:val="21"/>
                <w:highlight w:val="none"/>
              </w:rPr>
              <w:t>。承诺能在接到采购人通知后6小时内到达现场</w:t>
            </w:r>
            <w:r>
              <w:rPr>
                <w:rFonts w:hint="eastAsia" w:hAnsi="宋体" w:cs="宋体"/>
                <w:bCs/>
                <w:color w:val="auto"/>
                <w:szCs w:val="21"/>
                <w:highlight w:val="none"/>
              </w:rPr>
              <w:t>；</w:t>
            </w:r>
          </w:p>
          <w:p>
            <w:pPr>
              <w:pStyle w:val="14"/>
              <w:spacing w:after="0" w:line="440" w:lineRule="atLeast"/>
              <w:ind w:firstLine="420" w:firstLineChars="200"/>
              <w:rPr>
                <w:rFonts w:hint="eastAsia" w:hAnsi="宋体" w:cs="宋体"/>
                <w:color w:val="auto"/>
                <w:szCs w:val="21"/>
                <w:highlight w:val="none"/>
              </w:rPr>
            </w:pPr>
            <w:r>
              <w:rPr>
                <w:rFonts w:hint="eastAsia" w:hAnsi="宋体" w:cs="宋体"/>
                <w:color w:val="auto"/>
                <w:szCs w:val="21"/>
                <w:highlight w:val="none"/>
              </w:rPr>
              <w:t>四</w:t>
            </w:r>
            <w:r>
              <w:rPr>
                <w:rFonts w:hint="eastAsia" w:hAnsi="宋体" w:cs="宋体"/>
                <w:color w:val="auto"/>
                <w:szCs w:val="21"/>
                <w:highlight w:val="none"/>
                <w:lang w:eastAsia="zh-Hans"/>
              </w:rPr>
              <w:t>档（</w:t>
            </w:r>
            <w:r>
              <w:rPr>
                <w:rFonts w:hint="eastAsia" w:hAnsi="宋体" w:cs="宋体"/>
                <w:color w:val="auto"/>
                <w:szCs w:val="21"/>
                <w:highlight w:val="none"/>
              </w:rPr>
              <w:t>12</w:t>
            </w:r>
            <w:r>
              <w:rPr>
                <w:rFonts w:hint="eastAsia" w:hAnsi="宋体" w:cs="宋体"/>
                <w:color w:val="auto"/>
                <w:szCs w:val="21"/>
                <w:highlight w:val="none"/>
                <w:lang w:eastAsia="zh-Hans"/>
              </w:rPr>
              <w:t>分）：</w:t>
            </w:r>
            <w:r>
              <w:rPr>
                <w:rFonts w:hint="eastAsia" w:hAnsi="宋体" w:cs="宋体"/>
                <w:color w:val="auto"/>
                <w:szCs w:val="21"/>
                <w:highlight w:val="none"/>
              </w:rPr>
              <w:t>提供有针对性</w:t>
            </w:r>
            <w:r>
              <w:rPr>
                <w:rFonts w:hint="eastAsia" w:hAnsi="宋体" w:cs="宋体"/>
                <w:color w:val="auto"/>
                <w:szCs w:val="21"/>
                <w:highlight w:val="none"/>
                <w:lang w:eastAsia="zh-Hans"/>
              </w:rPr>
              <w:t>的培训计划、售后服务</w:t>
            </w:r>
            <w:r>
              <w:rPr>
                <w:rFonts w:hint="eastAsia" w:hAnsi="宋体" w:cs="宋体"/>
                <w:color w:val="auto"/>
                <w:szCs w:val="21"/>
                <w:highlight w:val="none"/>
              </w:rPr>
              <w:t>方式</w:t>
            </w:r>
            <w:r>
              <w:rPr>
                <w:rFonts w:hint="eastAsia" w:hAnsi="宋体" w:cs="宋体"/>
                <w:color w:val="auto"/>
                <w:szCs w:val="21"/>
                <w:highlight w:val="none"/>
                <w:lang w:eastAsia="zh-Hans"/>
              </w:rPr>
              <w:t>、售后服务流程、应急预案</w:t>
            </w:r>
            <w:r>
              <w:rPr>
                <w:rFonts w:hint="eastAsia" w:hAnsi="宋体" w:cs="宋体"/>
                <w:color w:val="auto"/>
                <w:szCs w:val="21"/>
                <w:highlight w:val="none"/>
              </w:rPr>
              <w:t>及相应的</w:t>
            </w:r>
            <w:r>
              <w:rPr>
                <w:rFonts w:hint="eastAsia" w:hAnsi="宋体" w:cs="宋体"/>
                <w:color w:val="auto"/>
                <w:szCs w:val="21"/>
                <w:highlight w:val="none"/>
                <w:lang w:eastAsia="zh-Hans"/>
              </w:rPr>
              <w:t>保障措施，措施</w:t>
            </w:r>
            <w:r>
              <w:rPr>
                <w:rFonts w:hint="eastAsia" w:hAnsi="宋体" w:cs="宋体"/>
                <w:color w:val="auto"/>
                <w:szCs w:val="21"/>
                <w:highlight w:val="none"/>
              </w:rPr>
              <w:t>具体严谨</w:t>
            </w:r>
            <w:r>
              <w:rPr>
                <w:rFonts w:hint="eastAsia" w:hAnsi="宋体" w:cs="宋体"/>
                <w:color w:val="auto"/>
                <w:szCs w:val="21"/>
                <w:highlight w:val="none"/>
                <w:lang w:eastAsia="zh-Hans"/>
              </w:rPr>
              <w:t>，有</w:t>
            </w:r>
            <w:r>
              <w:rPr>
                <w:rFonts w:hint="eastAsia" w:hAnsi="宋体" w:cs="宋体"/>
                <w:color w:val="auto"/>
                <w:szCs w:val="21"/>
                <w:highlight w:val="none"/>
              </w:rPr>
              <w:t>明确</w:t>
            </w:r>
            <w:r>
              <w:rPr>
                <w:rFonts w:hint="eastAsia" w:hAnsi="宋体" w:cs="宋体"/>
                <w:color w:val="auto"/>
                <w:szCs w:val="21"/>
                <w:highlight w:val="none"/>
                <w:lang w:eastAsia="zh-Hans"/>
              </w:rPr>
              <w:t>的售后技术服务队伍人员</w:t>
            </w:r>
            <w:r>
              <w:rPr>
                <w:rFonts w:hint="eastAsia" w:hAnsi="宋体" w:cs="宋体"/>
                <w:color w:val="auto"/>
                <w:szCs w:val="21"/>
                <w:highlight w:val="none"/>
              </w:rPr>
              <w:t>及</w:t>
            </w:r>
            <w:r>
              <w:rPr>
                <w:rFonts w:hint="eastAsia" w:hAnsi="宋体" w:cs="宋体"/>
                <w:color w:val="auto"/>
                <w:szCs w:val="21"/>
                <w:highlight w:val="none"/>
                <w:lang w:eastAsia="zh-Hans"/>
              </w:rPr>
              <w:t>相应售后技术实力</w:t>
            </w:r>
            <w:r>
              <w:rPr>
                <w:rFonts w:hint="eastAsia" w:hAnsi="宋体" w:cs="宋体"/>
                <w:color w:val="auto"/>
                <w:szCs w:val="21"/>
                <w:highlight w:val="none"/>
              </w:rPr>
              <w:t>。承诺能在接到采购人通知后3小时内到达现场。</w:t>
            </w:r>
          </w:p>
          <w:p>
            <w:pPr>
              <w:pStyle w:val="17"/>
              <w:spacing w:after="0" w:line="440" w:lineRule="atLeas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注明：不满足入档要求的，得0分。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Align w:val="center"/>
          </w:tcPr>
          <w:p>
            <w:pPr>
              <w:spacing w:after="0" w:line="4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3</w:t>
            </w:r>
          </w:p>
        </w:tc>
        <w:tc>
          <w:tcPr>
            <w:tcW w:w="1566" w:type="dxa"/>
            <w:vAlign w:val="center"/>
          </w:tcPr>
          <w:p>
            <w:pPr>
              <w:adjustRightInd w:val="0"/>
              <w:spacing w:after="0" w:line="440" w:lineRule="atLeast"/>
              <w:jc w:val="center"/>
              <w:textAlignment w:val="baseline"/>
              <w:rPr>
                <w:rFonts w:hint="eastAsia" w:ascii="宋体" w:hAnsi="宋体" w:cs="宋体"/>
                <w:bCs/>
                <w:color w:val="auto"/>
                <w:szCs w:val="21"/>
                <w:highlight w:val="none"/>
              </w:rPr>
            </w:pPr>
            <w:r>
              <w:rPr>
                <w:rFonts w:hint="eastAsia" w:ascii="宋体" w:hAnsi="宋体" w:cs="宋体"/>
                <w:b/>
                <w:color w:val="auto"/>
                <w:szCs w:val="21"/>
                <w:highlight w:val="none"/>
              </w:rPr>
              <w:t>商务分（满分2分）</w:t>
            </w:r>
          </w:p>
        </w:tc>
        <w:tc>
          <w:tcPr>
            <w:tcW w:w="1330" w:type="dxa"/>
            <w:vAlign w:val="center"/>
          </w:tcPr>
          <w:p>
            <w:pPr>
              <w:spacing w:after="0" w:line="4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3.1业绩分</w:t>
            </w:r>
          </w:p>
          <w:p>
            <w:pPr>
              <w:spacing w:after="0" w:line="440" w:lineRule="atLeast"/>
              <w:jc w:val="center"/>
              <w:rPr>
                <w:rFonts w:hint="eastAsia" w:ascii="宋体" w:hAnsi="宋体" w:cs="宋体"/>
                <w:b/>
                <w:bCs/>
                <w:color w:val="auto"/>
                <w:kern w:val="0"/>
                <w:szCs w:val="21"/>
                <w:highlight w:val="none"/>
              </w:rPr>
            </w:pPr>
            <w:r>
              <w:rPr>
                <w:rFonts w:hint="eastAsia" w:ascii="宋体" w:hAnsi="宋体" w:cs="宋体"/>
                <w:b/>
                <w:color w:val="auto"/>
                <w:szCs w:val="21"/>
                <w:highlight w:val="none"/>
              </w:rPr>
              <w:t>（满分2分）</w:t>
            </w:r>
          </w:p>
        </w:tc>
        <w:tc>
          <w:tcPr>
            <w:tcW w:w="6029" w:type="dxa"/>
            <w:vAlign w:val="center"/>
          </w:tcPr>
          <w:p>
            <w:pPr>
              <w:widowControl/>
              <w:adjustRightInd w:val="0"/>
              <w:snapToGrid w:val="0"/>
              <w:spacing w:after="0" w:line="440" w:lineRule="atLeas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投标人自2022年1月1日至投标文件递交截止之日，承担过</w:t>
            </w:r>
            <w:r>
              <w:rPr>
                <w:rFonts w:hint="eastAsia" w:ascii="宋体" w:hAnsi="宋体" w:cs="宋体"/>
                <w:color w:val="auto"/>
                <w:szCs w:val="21"/>
                <w:highlight w:val="none"/>
              </w:rPr>
              <w:t>与本次采购内容有关的类似项目业绩</w:t>
            </w:r>
            <w:r>
              <w:rPr>
                <w:rFonts w:hint="eastAsia" w:ascii="宋体" w:hAnsi="宋体" w:cs="宋体"/>
                <w:color w:val="auto"/>
                <w:kern w:val="0"/>
                <w:szCs w:val="21"/>
                <w:highlight w:val="none"/>
              </w:rPr>
              <w:t>，每有1个业绩得1分，满分2分。</w:t>
            </w:r>
          </w:p>
          <w:p>
            <w:pPr>
              <w:widowControl/>
              <w:adjustRightInd w:val="0"/>
              <w:snapToGrid w:val="0"/>
              <w:spacing w:after="0" w:line="440" w:lineRule="atLeast"/>
              <w:ind w:firstLine="420" w:firstLineChars="200"/>
              <w:rPr>
                <w:rFonts w:hint="eastAsia" w:ascii="宋体" w:hAnsi="宋体" w:cs="宋体"/>
                <w:color w:val="auto"/>
                <w:szCs w:val="21"/>
                <w:highlight w:val="none"/>
              </w:rPr>
            </w:pPr>
            <w:r>
              <w:rPr>
                <w:rFonts w:hint="eastAsia" w:ascii="宋体" w:hAnsi="宋体" w:cs="宋体"/>
                <w:color w:val="auto"/>
                <w:kern w:val="0"/>
                <w:szCs w:val="21"/>
                <w:highlight w:val="none"/>
              </w:rPr>
              <w:t>注明：投标文件中须提供中标（成交）通知书或合同复印件并加盖投标人公章，否则不予计分。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Align w:val="center"/>
          </w:tcPr>
          <w:p>
            <w:pPr>
              <w:spacing w:after="0" w:line="4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4</w:t>
            </w:r>
          </w:p>
        </w:tc>
        <w:tc>
          <w:tcPr>
            <w:tcW w:w="1566" w:type="dxa"/>
            <w:vAlign w:val="center"/>
          </w:tcPr>
          <w:p>
            <w:pPr>
              <w:adjustRightInd w:val="0"/>
              <w:spacing w:after="0" w:line="440" w:lineRule="atLeast"/>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rPr>
              <w:t>政策分（满分3</w:t>
            </w:r>
          </w:p>
          <w:p>
            <w:pPr>
              <w:adjustRightInd w:val="0"/>
              <w:spacing w:after="0" w:line="440" w:lineRule="atLeast"/>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rPr>
              <w:t xml:space="preserve">  分）</w:t>
            </w:r>
          </w:p>
        </w:tc>
        <w:tc>
          <w:tcPr>
            <w:tcW w:w="1330" w:type="dxa"/>
            <w:vAlign w:val="center"/>
          </w:tcPr>
          <w:p>
            <w:pPr>
              <w:adjustRightInd w:val="0"/>
              <w:spacing w:after="0" w:line="440" w:lineRule="atLeast"/>
              <w:jc w:val="center"/>
              <w:textAlignment w:val="baseline"/>
              <w:rPr>
                <w:rFonts w:hint="eastAsia" w:ascii="宋体" w:hAnsi="宋体" w:cs="宋体"/>
                <w:b/>
                <w:color w:val="auto"/>
                <w:szCs w:val="21"/>
                <w:highlight w:val="none"/>
              </w:rPr>
            </w:pPr>
            <w:r>
              <w:rPr>
                <w:rFonts w:hint="eastAsia" w:ascii="宋体" w:hAnsi="宋体" w:cs="宋体"/>
                <w:b/>
                <w:color w:val="auto"/>
                <w:szCs w:val="21"/>
                <w:highlight w:val="none"/>
              </w:rPr>
              <w:t>政策分（满分3 分）</w:t>
            </w:r>
          </w:p>
        </w:tc>
        <w:tc>
          <w:tcPr>
            <w:tcW w:w="6029" w:type="dxa"/>
            <w:vAlign w:val="center"/>
          </w:tcPr>
          <w:p>
            <w:pPr>
              <w:widowControl/>
              <w:adjustRightInd w:val="0"/>
              <w:snapToGrid w:val="0"/>
              <w:spacing w:after="0" w:line="440" w:lineRule="atLeas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属于财政部《节能产品政府采购品目清单》内优先采购（清单内未标注“★”的品目）的产品，每提供一项得1分，满分3分。</w:t>
            </w:r>
          </w:p>
          <w:p>
            <w:pPr>
              <w:widowControl/>
              <w:adjustRightInd w:val="0"/>
              <w:snapToGrid w:val="0"/>
              <w:spacing w:after="0" w:line="440" w:lineRule="atLeas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注明：投标文件中须提供有效的认证证书复印件及品目清单（标注出投标产品在品目清单中所属的品目），并加盖投标人公章，否则不予计分。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0" w:type="dxa"/>
            <w:gridSpan w:val="4"/>
            <w:vAlign w:val="center"/>
          </w:tcPr>
          <w:p>
            <w:pPr>
              <w:widowControl/>
              <w:adjustRightInd w:val="0"/>
              <w:snapToGrid w:val="0"/>
              <w:spacing w:after="0" w:line="440" w:lineRule="atLeast"/>
              <w:rPr>
                <w:rFonts w:hint="eastAsia" w:ascii="宋体" w:hAnsi="宋体" w:cs="宋体"/>
                <w:color w:val="auto"/>
                <w:kern w:val="0"/>
                <w:szCs w:val="21"/>
                <w:highlight w:val="none"/>
              </w:rPr>
            </w:pPr>
            <w:r>
              <w:rPr>
                <w:rFonts w:hint="eastAsia" w:ascii="宋体" w:hAnsi="宋体" w:cs="宋体"/>
                <w:b/>
                <w:bCs/>
                <w:color w:val="auto"/>
                <w:szCs w:val="21"/>
                <w:highlight w:val="none"/>
              </w:rPr>
              <w:t>总得分=1+2+3+4</w:t>
            </w:r>
          </w:p>
        </w:tc>
      </w:tr>
    </w:tbl>
    <w:p>
      <w:pPr>
        <w:pStyle w:val="22"/>
        <w:rPr>
          <w:color w:val="auto"/>
          <w:highlight w:val="none"/>
        </w:rPr>
      </w:pPr>
    </w:p>
    <w:p>
      <w:pPr>
        <w:rPr>
          <w:color w:val="auto"/>
          <w:highlight w:val="none"/>
        </w:rPr>
      </w:pPr>
      <w:r>
        <w:rPr>
          <w:rFonts w:hint="eastAsia"/>
          <w:color w:val="auto"/>
          <w:highlight w:val="none"/>
        </w:rPr>
        <w:br w:type="page"/>
      </w:r>
    </w:p>
    <w:p>
      <w:pPr>
        <w:pStyle w:val="2"/>
        <w:rPr>
          <w:color w:val="auto"/>
          <w:highlight w:val="none"/>
        </w:rPr>
      </w:pPr>
    </w:p>
    <w:p>
      <w:pPr>
        <w:pStyle w:val="4"/>
        <w:jc w:val="center"/>
        <w:rPr>
          <w:rFonts w:hint="eastAsia" w:ascii="宋体" w:hAnsi="宋体" w:eastAsia="宋体" w:cs="宋体"/>
          <w:b w:val="0"/>
          <w:color w:val="auto"/>
          <w:sz w:val="30"/>
          <w:szCs w:val="30"/>
          <w:highlight w:val="none"/>
        </w:rPr>
      </w:pPr>
      <w:bookmarkStart w:id="268" w:name="_Toc30734"/>
      <w:bookmarkStart w:id="269" w:name="_Toc16607"/>
      <w:bookmarkStart w:id="270" w:name="_Toc1251"/>
      <w:bookmarkStart w:id="271" w:name="_Toc5054"/>
      <w:bookmarkStart w:id="272" w:name="_Toc28332"/>
      <w:r>
        <w:rPr>
          <w:rFonts w:hint="eastAsia" w:ascii="宋体" w:hAnsi="宋体" w:eastAsia="宋体" w:cs="宋体"/>
          <w:b w:val="0"/>
          <w:color w:val="auto"/>
          <w:sz w:val="30"/>
          <w:szCs w:val="30"/>
          <w:highlight w:val="none"/>
        </w:rPr>
        <w:t>第四节 中标候选人推荐原则</w:t>
      </w:r>
      <w:bookmarkEnd w:id="268"/>
      <w:bookmarkEnd w:id="269"/>
      <w:bookmarkEnd w:id="270"/>
      <w:bookmarkEnd w:id="271"/>
      <w:bookmarkEnd w:id="272"/>
    </w:p>
    <w:p>
      <w:pPr>
        <w:pStyle w:val="14"/>
        <w:numPr>
          <w:ilvl w:val="0"/>
          <w:numId w:val="2"/>
        </w:numPr>
        <w:spacing w:line="360" w:lineRule="auto"/>
        <w:contextualSpacing/>
        <w:rPr>
          <w:rFonts w:hint="eastAsia" w:hAnsi="宋体" w:cs="宋体"/>
          <w:b/>
          <w:bCs/>
          <w:color w:val="auto"/>
          <w:sz w:val="24"/>
          <w:szCs w:val="24"/>
          <w:highlight w:val="none"/>
        </w:rPr>
      </w:pPr>
      <w:r>
        <w:rPr>
          <w:rFonts w:hint="eastAsia" w:hAnsi="宋体" w:cs="宋体"/>
          <w:b/>
          <w:bCs/>
          <w:color w:val="auto"/>
          <w:sz w:val="24"/>
          <w:szCs w:val="24"/>
          <w:highlight w:val="none"/>
        </w:rPr>
        <w:t>综合评分法</w:t>
      </w:r>
    </w:p>
    <w:p>
      <w:pPr>
        <w:pStyle w:val="14"/>
        <w:spacing w:line="360" w:lineRule="auto"/>
        <w:ind w:firstLine="420" w:firstLineChars="200"/>
        <w:rPr>
          <w:rFonts w:hint="eastAsia" w:hAnsi="宋体" w:cs="宋体"/>
          <w:color w:val="auto"/>
          <w:highlight w:val="none"/>
        </w:rPr>
      </w:pPr>
      <w:r>
        <w:rPr>
          <w:rFonts w:hint="eastAsia" w:hAnsi="宋体" w:cs="宋体"/>
          <w:color w:val="auto"/>
          <w:highlight w:val="none"/>
        </w:rPr>
        <w:t>1.评标委员会将根据评审后总得分由高到低排列次序并推荐中标候选人。总得分相同的，以投标报价由低到高顺序排列，得分相同且投标报价相同的并列。投标文件满足招标文件全部实质性要求，且按照评审因素的量化指标评审得分最高的投标人为排名第一的中标候选人。</w:t>
      </w:r>
    </w:p>
    <w:p>
      <w:pPr>
        <w:pStyle w:val="14"/>
        <w:spacing w:line="360" w:lineRule="auto"/>
        <w:ind w:firstLine="420" w:firstLineChars="200"/>
        <w:rPr>
          <w:rFonts w:hint="eastAsia" w:hAnsi="宋体" w:cs="宋体"/>
          <w:color w:val="auto"/>
          <w:highlight w:val="none"/>
        </w:rPr>
      </w:pPr>
      <w:r>
        <w:rPr>
          <w:rFonts w:hint="eastAsia" w:hAnsi="宋体" w:cs="宋体"/>
          <w:color w:val="auto"/>
          <w:highlight w:val="none"/>
        </w:rPr>
        <w:t>2.根据《政府采购货物和服务招标投标管理办法》（财政部令第87号）第三十一条第二款规定，采用综合评分法的采购项目，提供相同品牌产品且通过资格审查、符合性审查的不同投标人参加同一合同项下投标的，按一家投标人计算，评审后得分最高的同品牌投标人获得中标人推荐资格；评审得分相同的，按照“投标人须知前附表”8.4条款的规定推荐，确定后其他同品牌投标人不作为中标候选人。</w:t>
      </w:r>
    </w:p>
    <w:p>
      <w:pPr>
        <w:pStyle w:val="14"/>
        <w:spacing w:line="360" w:lineRule="auto"/>
        <w:ind w:firstLine="420" w:firstLineChars="200"/>
        <w:rPr>
          <w:rFonts w:hint="eastAsia" w:hAnsi="宋体" w:cs="宋体"/>
          <w:color w:val="auto"/>
          <w:highlight w:val="none"/>
        </w:rPr>
      </w:pPr>
    </w:p>
    <w:p>
      <w:pPr>
        <w:pStyle w:val="14"/>
        <w:tabs>
          <w:tab w:val="left" w:pos="2472"/>
        </w:tabs>
        <w:spacing w:line="480" w:lineRule="exact"/>
        <w:ind w:firstLine="420" w:firstLineChars="200"/>
        <w:rPr>
          <w:rFonts w:hint="eastAsia" w:hAnsi="宋体" w:cs="宋体"/>
          <w:color w:val="auto"/>
          <w:highlight w:val="none"/>
        </w:rPr>
      </w:pPr>
    </w:p>
    <w:p>
      <w:pPr>
        <w:pStyle w:val="4"/>
        <w:spacing w:before="0" w:after="0" w:line="360" w:lineRule="auto"/>
        <w:ind w:firstLine="600" w:firstLineChars="200"/>
        <w:jc w:val="center"/>
        <w:rPr>
          <w:rFonts w:hint="eastAsia" w:ascii="宋体" w:hAnsi="宋体" w:eastAsia="宋体" w:cs="宋体"/>
          <w:b w:val="0"/>
          <w:color w:val="auto"/>
          <w:sz w:val="30"/>
          <w:szCs w:val="30"/>
          <w:highlight w:val="none"/>
        </w:rPr>
      </w:pPr>
      <w:bookmarkStart w:id="273" w:name="_Toc8014"/>
      <w:bookmarkStart w:id="274" w:name="_Toc24005"/>
      <w:bookmarkStart w:id="275" w:name="_Toc21738"/>
      <w:bookmarkStart w:id="276" w:name="_Toc671"/>
      <w:bookmarkStart w:id="277" w:name="_Toc29998"/>
      <w:r>
        <w:rPr>
          <w:rFonts w:hint="eastAsia" w:ascii="宋体" w:hAnsi="宋体" w:eastAsia="宋体" w:cs="宋体"/>
          <w:b w:val="0"/>
          <w:color w:val="auto"/>
          <w:sz w:val="30"/>
          <w:szCs w:val="30"/>
          <w:highlight w:val="none"/>
        </w:rPr>
        <w:t>第五节 评标报告</w:t>
      </w:r>
      <w:bookmarkEnd w:id="273"/>
      <w:bookmarkEnd w:id="274"/>
      <w:bookmarkEnd w:id="275"/>
      <w:bookmarkEnd w:id="276"/>
      <w:bookmarkEnd w:id="277"/>
    </w:p>
    <w:p>
      <w:pPr>
        <w:pStyle w:val="47"/>
        <w:spacing w:before="0"/>
        <w:ind w:firstLine="482"/>
        <w:rPr>
          <w:rFonts w:hint="eastAsia" w:ascii="宋体" w:hAnsi="宋体" w:cs="宋体"/>
          <w:b/>
          <w:bCs/>
          <w:color w:val="auto"/>
          <w:szCs w:val="24"/>
          <w:highlight w:val="none"/>
        </w:rPr>
      </w:pPr>
      <w:r>
        <w:rPr>
          <w:rFonts w:hint="eastAsia" w:ascii="宋体" w:hAnsi="宋体" w:cs="宋体"/>
          <w:b/>
          <w:bCs/>
          <w:color w:val="auto"/>
          <w:szCs w:val="24"/>
          <w:highlight w:val="none"/>
        </w:rPr>
        <w:t>（一）评标报告与推荐中标候选人</w:t>
      </w:r>
    </w:p>
    <w:p>
      <w:pPr>
        <w:pStyle w:val="14"/>
        <w:tabs>
          <w:tab w:val="left" w:pos="2472"/>
        </w:tabs>
        <w:spacing w:line="360" w:lineRule="auto"/>
        <w:ind w:firstLine="420" w:firstLineChars="200"/>
        <w:rPr>
          <w:rFonts w:hint="eastAsia" w:hAnsi="宋体" w:cs="宋体"/>
          <w:color w:val="auto"/>
          <w:highlight w:val="none"/>
        </w:rPr>
      </w:pPr>
      <w:r>
        <w:rPr>
          <w:rFonts w:hint="eastAsia" w:hAnsi="宋体" w:cs="宋体"/>
          <w:color w:val="auto"/>
          <w:highlight w:val="none"/>
        </w:rPr>
        <w:t>评标委员会根据原始评标记录和评标结果编写评标报告，并通过电子交易平台向采购人、采购代理机构提交。</w:t>
      </w:r>
    </w:p>
    <w:p>
      <w:pPr>
        <w:widowControl/>
        <w:spacing w:line="360" w:lineRule="auto"/>
        <w:ind w:firstLine="482" w:firstLineChars="200"/>
        <w:jc w:val="left"/>
        <w:rPr>
          <w:rFonts w:hint="eastAsia" w:ascii="宋体" w:hAnsi="宋体" w:cs="宋体"/>
          <w:b/>
          <w:bCs/>
          <w:color w:val="auto"/>
          <w:sz w:val="24"/>
          <w:highlight w:val="none"/>
        </w:rPr>
      </w:pPr>
      <w:r>
        <w:rPr>
          <w:rFonts w:hint="eastAsia" w:ascii="宋体" w:hAnsi="宋体" w:cs="宋体"/>
          <w:b/>
          <w:bCs/>
          <w:color w:val="auto"/>
          <w:sz w:val="24"/>
          <w:highlight w:val="none"/>
        </w:rPr>
        <w:t>（二）评标争议事项处理</w:t>
      </w:r>
    </w:p>
    <w:p>
      <w:pPr>
        <w:pStyle w:val="14"/>
        <w:tabs>
          <w:tab w:val="left" w:pos="2472"/>
        </w:tabs>
        <w:spacing w:line="360" w:lineRule="auto"/>
        <w:ind w:firstLine="420" w:firstLineChars="200"/>
        <w:rPr>
          <w:rFonts w:hint="eastAsia" w:hAnsi="宋体" w:cs="宋体"/>
          <w:color w:val="auto"/>
          <w:highlight w:val="none"/>
        </w:rPr>
      </w:pPr>
      <w:r>
        <w:rPr>
          <w:rFonts w:hint="eastAsia" w:hAnsi="宋体" w:cs="宋体"/>
          <w:color w:val="auto"/>
          <w:highlight w:val="none"/>
        </w:rPr>
        <w:t>评标委员会成员对需要共同认定的事项存在争议的，应当按照少数服从多数的原则作出结论。持不同意见的评标委员会成员应当在评标报告上签署不同意见及理由，否则视为同意评标报告。</w:t>
      </w:r>
    </w:p>
    <w:p>
      <w:pPr>
        <w:widowControl/>
        <w:jc w:val="left"/>
        <w:rPr>
          <w:rFonts w:hint="eastAsia" w:ascii="宋体" w:hAnsi="宋体" w:cs="宋体"/>
          <w:b/>
          <w:color w:val="auto"/>
          <w:sz w:val="36"/>
          <w:szCs w:val="20"/>
          <w:highlight w:val="none"/>
        </w:rPr>
        <w:sectPr>
          <w:pgSz w:w="11906" w:h="16838"/>
          <w:pgMar w:top="1134" w:right="1020" w:bottom="1020" w:left="1134" w:header="720" w:footer="720" w:gutter="0"/>
          <w:pgNumType w:fmt="decimal"/>
          <w:cols w:space="720" w:num="1"/>
          <w:docGrid w:type="lines" w:linePitch="331" w:charSpace="0"/>
        </w:sectPr>
      </w:pPr>
    </w:p>
    <w:p>
      <w:pPr>
        <w:pStyle w:val="14"/>
        <w:tabs>
          <w:tab w:val="left" w:pos="2472"/>
        </w:tabs>
        <w:spacing w:line="460" w:lineRule="exact"/>
        <w:jc w:val="center"/>
        <w:rPr>
          <w:rFonts w:hint="eastAsia" w:hAnsi="宋体" w:cs="宋体"/>
          <w:b/>
          <w:color w:val="auto"/>
          <w:sz w:val="36"/>
          <w:highlight w:val="none"/>
        </w:rPr>
      </w:pPr>
    </w:p>
    <w:p>
      <w:pPr>
        <w:pStyle w:val="14"/>
        <w:tabs>
          <w:tab w:val="left" w:pos="2472"/>
        </w:tabs>
        <w:spacing w:line="460" w:lineRule="exact"/>
        <w:jc w:val="center"/>
        <w:rPr>
          <w:rFonts w:hint="eastAsia" w:hAnsi="宋体" w:cs="宋体"/>
          <w:b/>
          <w:color w:val="auto"/>
          <w:sz w:val="36"/>
          <w:highlight w:val="none"/>
        </w:rPr>
      </w:pPr>
    </w:p>
    <w:p>
      <w:pPr>
        <w:pStyle w:val="14"/>
        <w:tabs>
          <w:tab w:val="left" w:pos="2472"/>
        </w:tabs>
        <w:spacing w:line="460" w:lineRule="exact"/>
        <w:jc w:val="center"/>
        <w:rPr>
          <w:rFonts w:hint="eastAsia" w:hAnsi="宋体" w:cs="宋体"/>
          <w:b/>
          <w:color w:val="auto"/>
          <w:sz w:val="36"/>
          <w:highlight w:val="none"/>
        </w:rPr>
      </w:pPr>
    </w:p>
    <w:p>
      <w:pPr>
        <w:pStyle w:val="14"/>
        <w:tabs>
          <w:tab w:val="left" w:pos="2472"/>
        </w:tabs>
        <w:spacing w:line="460" w:lineRule="exact"/>
        <w:jc w:val="center"/>
        <w:rPr>
          <w:rFonts w:hint="eastAsia" w:hAnsi="宋体" w:cs="宋体"/>
          <w:b/>
          <w:color w:val="auto"/>
          <w:sz w:val="36"/>
          <w:highlight w:val="none"/>
        </w:rPr>
      </w:pPr>
    </w:p>
    <w:p>
      <w:pPr>
        <w:pStyle w:val="14"/>
        <w:tabs>
          <w:tab w:val="left" w:pos="2472"/>
        </w:tabs>
        <w:spacing w:line="460" w:lineRule="exact"/>
        <w:jc w:val="center"/>
        <w:rPr>
          <w:rFonts w:hint="eastAsia" w:hAnsi="宋体" w:cs="宋体"/>
          <w:b/>
          <w:color w:val="auto"/>
          <w:sz w:val="36"/>
          <w:highlight w:val="none"/>
        </w:rPr>
      </w:pPr>
    </w:p>
    <w:p>
      <w:pPr>
        <w:pStyle w:val="14"/>
        <w:tabs>
          <w:tab w:val="left" w:pos="2472"/>
        </w:tabs>
        <w:spacing w:line="460" w:lineRule="exact"/>
        <w:jc w:val="center"/>
        <w:rPr>
          <w:rFonts w:hint="eastAsia" w:hAnsi="宋体" w:cs="宋体"/>
          <w:b/>
          <w:color w:val="auto"/>
          <w:sz w:val="36"/>
          <w:highlight w:val="none"/>
        </w:rPr>
      </w:pPr>
    </w:p>
    <w:p>
      <w:pPr>
        <w:pStyle w:val="14"/>
        <w:tabs>
          <w:tab w:val="left" w:pos="2472"/>
        </w:tabs>
        <w:spacing w:line="460" w:lineRule="exact"/>
        <w:jc w:val="center"/>
        <w:rPr>
          <w:rFonts w:hint="eastAsia" w:hAnsi="宋体" w:cs="宋体"/>
          <w:b/>
          <w:color w:val="auto"/>
          <w:sz w:val="36"/>
          <w:highlight w:val="none"/>
        </w:rPr>
      </w:pPr>
    </w:p>
    <w:p>
      <w:pPr>
        <w:pStyle w:val="14"/>
        <w:tabs>
          <w:tab w:val="left" w:pos="2472"/>
        </w:tabs>
        <w:spacing w:line="460" w:lineRule="exact"/>
        <w:jc w:val="center"/>
        <w:rPr>
          <w:rFonts w:hint="eastAsia" w:hAnsi="宋体" w:cs="宋体"/>
          <w:b/>
          <w:color w:val="auto"/>
          <w:sz w:val="36"/>
          <w:highlight w:val="none"/>
        </w:rPr>
      </w:pPr>
    </w:p>
    <w:p>
      <w:pPr>
        <w:pStyle w:val="14"/>
        <w:tabs>
          <w:tab w:val="left" w:pos="2472"/>
        </w:tabs>
        <w:spacing w:line="460" w:lineRule="exact"/>
        <w:jc w:val="center"/>
        <w:rPr>
          <w:rFonts w:hint="eastAsia" w:hAnsi="宋体" w:cs="宋体"/>
          <w:b/>
          <w:color w:val="auto"/>
          <w:sz w:val="36"/>
          <w:highlight w:val="none"/>
        </w:rPr>
      </w:pPr>
    </w:p>
    <w:p>
      <w:pPr>
        <w:pStyle w:val="14"/>
        <w:tabs>
          <w:tab w:val="left" w:pos="2472"/>
        </w:tabs>
        <w:spacing w:line="460" w:lineRule="exact"/>
        <w:jc w:val="center"/>
        <w:rPr>
          <w:rFonts w:hint="eastAsia" w:hAnsi="宋体" w:cs="宋体"/>
          <w:b/>
          <w:color w:val="auto"/>
          <w:sz w:val="36"/>
          <w:highlight w:val="none"/>
        </w:rPr>
      </w:pPr>
    </w:p>
    <w:p>
      <w:pPr>
        <w:pStyle w:val="14"/>
        <w:tabs>
          <w:tab w:val="left" w:pos="2472"/>
        </w:tabs>
        <w:spacing w:line="460" w:lineRule="exact"/>
        <w:jc w:val="center"/>
        <w:rPr>
          <w:rFonts w:hint="eastAsia" w:hAnsi="宋体" w:cs="宋体"/>
          <w:b/>
          <w:color w:val="auto"/>
          <w:sz w:val="36"/>
          <w:highlight w:val="none"/>
        </w:rPr>
      </w:pPr>
    </w:p>
    <w:p>
      <w:pPr>
        <w:pStyle w:val="14"/>
        <w:tabs>
          <w:tab w:val="left" w:pos="2472"/>
        </w:tabs>
        <w:spacing w:line="460" w:lineRule="exact"/>
        <w:jc w:val="center"/>
        <w:rPr>
          <w:rFonts w:hint="eastAsia" w:hAnsi="宋体" w:cs="宋体"/>
          <w:b/>
          <w:color w:val="auto"/>
          <w:sz w:val="36"/>
          <w:highlight w:val="none"/>
        </w:rPr>
      </w:pPr>
    </w:p>
    <w:p>
      <w:pPr>
        <w:pStyle w:val="14"/>
        <w:tabs>
          <w:tab w:val="left" w:pos="2472"/>
        </w:tabs>
        <w:spacing w:line="460" w:lineRule="exact"/>
        <w:jc w:val="center"/>
        <w:rPr>
          <w:rFonts w:hint="eastAsia" w:hAnsi="宋体" w:cs="宋体"/>
          <w:b/>
          <w:color w:val="auto"/>
          <w:sz w:val="36"/>
          <w:highlight w:val="none"/>
        </w:rPr>
      </w:pPr>
    </w:p>
    <w:p>
      <w:pPr>
        <w:pStyle w:val="14"/>
        <w:tabs>
          <w:tab w:val="left" w:pos="2472"/>
        </w:tabs>
        <w:spacing w:line="460" w:lineRule="exact"/>
        <w:jc w:val="center"/>
        <w:outlineLvl w:val="0"/>
        <w:rPr>
          <w:rFonts w:hint="eastAsia" w:hAnsi="宋体" w:cs="宋体"/>
          <w:b/>
          <w:color w:val="auto"/>
          <w:sz w:val="36"/>
          <w:highlight w:val="none"/>
        </w:rPr>
      </w:pPr>
      <w:bookmarkStart w:id="278" w:name="_Toc30669"/>
      <w:bookmarkStart w:id="279" w:name="_Toc1174"/>
      <w:bookmarkStart w:id="280" w:name="_Toc1169"/>
      <w:bookmarkStart w:id="281" w:name="_Toc15462"/>
      <w:bookmarkStart w:id="282" w:name="_Toc5426"/>
      <w:bookmarkStart w:id="283" w:name="_Toc14956"/>
      <w:bookmarkStart w:id="284" w:name="_Toc24905"/>
      <w:bookmarkStart w:id="285" w:name="_Toc27349"/>
      <w:bookmarkStart w:id="286" w:name="_Toc17443"/>
      <w:bookmarkStart w:id="287" w:name="_Toc3087"/>
      <w:bookmarkStart w:id="288" w:name="_Toc14385"/>
      <w:r>
        <w:rPr>
          <w:rFonts w:hint="eastAsia" w:hAnsi="宋体" w:cs="宋体"/>
          <w:b/>
          <w:color w:val="auto"/>
          <w:sz w:val="36"/>
          <w:highlight w:val="none"/>
        </w:rPr>
        <w:t>第五章 拟签订的合同文本</w:t>
      </w:r>
      <w:bookmarkEnd w:id="278"/>
      <w:bookmarkEnd w:id="279"/>
      <w:bookmarkEnd w:id="280"/>
      <w:bookmarkEnd w:id="281"/>
      <w:bookmarkEnd w:id="282"/>
      <w:bookmarkEnd w:id="283"/>
      <w:bookmarkEnd w:id="284"/>
      <w:bookmarkEnd w:id="285"/>
      <w:bookmarkEnd w:id="286"/>
      <w:bookmarkEnd w:id="287"/>
      <w:bookmarkEnd w:id="288"/>
    </w:p>
    <w:p>
      <w:pPr>
        <w:widowControl/>
        <w:jc w:val="left"/>
        <w:rPr>
          <w:rFonts w:hint="eastAsia" w:ascii="宋体" w:hAnsi="宋体" w:cs="宋体"/>
          <w:bCs/>
          <w:color w:val="auto"/>
          <w:szCs w:val="20"/>
          <w:highlight w:val="none"/>
        </w:rPr>
        <w:sectPr>
          <w:pgSz w:w="11906" w:h="16838"/>
          <w:pgMar w:top="1134" w:right="1020" w:bottom="1020" w:left="1134" w:header="720" w:footer="720" w:gutter="0"/>
          <w:pgNumType w:fmt="decimal"/>
          <w:cols w:space="720" w:num="1"/>
          <w:docGrid w:type="lines" w:linePitch="331" w:charSpace="0"/>
        </w:sectPr>
      </w:pPr>
    </w:p>
    <w:p>
      <w:pPr>
        <w:jc w:val="center"/>
        <w:rPr>
          <w:rFonts w:hint="eastAsia" w:ascii="宋体" w:hAnsi="宋体"/>
          <w:bCs/>
          <w:color w:val="auto"/>
          <w:sz w:val="72"/>
          <w:szCs w:val="72"/>
          <w:highlight w:val="none"/>
        </w:rPr>
      </w:pPr>
    </w:p>
    <w:p>
      <w:pPr>
        <w:jc w:val="center"/>
        <w:rPr>
          <w:rFonts w:hint="eastAsia" w:ascii="宋体" w:hAnsi="宋体"/>
          <w:bCs/>
          <w:color w:val="auto"/>
          <w:sz w:val="72"/>
          <w:szCs w:val="72"/>
          <w:highlight w:val="none"/>
        </w:rPr>
      </w:pPr>
    </w:p>
    <w:p>
      <w:pPr>
        <w:jc w:val="center"/>
        <w:rPr>
          <w:rFonts w:hint="eastAsia" w:ascii="宋体" w:hAnsi="宋体"/>
          <w:bCs/>
          <w:color w:val="auto"/>
          <w:sz w:val="72"/>
          <w:szCs w:val="72"/>
          <w:highlight w:val="none"/>
        </w:rPr>
      </w:pPr>
    </w:p>
    <w:p>
      <w:pPr>
        <w:jc w:val="center"/>
        <w:rPr>
          <w:rFonts w:hint="eastAsia" w:ascii="宋体" w:hAnsi="宋体"/>
          <w:bCs/>
          <w:color w:val="auto"/>
          <w:sz w:val="72"/>
          <w:szCs w:val="72"/>
          <w:highlight w:val="none"/>
        </w:rPr>
      </w:pPr>
      <w:r>
        <w:rPr>
          <w:rFonts w:ascii="宋体" w:hAnsi="宋体"/>
          <w:bCs/>
          <w:color w:val="auto"/>
          <w:sz w:val="72"/>
          <w:szCs w:val="72"/>
          <w:highlight w:val="none"/>
        </w:rPr>
        <w:t>采购合同</w:t>
      </w:r>
    </w:p>
    <w:p>
      <w:pPr>
        <w:rPr>
          <w:rFonts w:hint="eastAsia" w:ascii="宋体" w:hAnsi="宋体"/>
          <w:color w:val="auto"/>
          <w:szCs w:val="20"/>
          <w:highlight w:val="none"/>
        </w:rPr>
      </w:pPr>
    </w:p>
    <w:p>
      <w:pPr>
        <w:rPr>
          <w:rFonts w:hint="eastAsia" w:ascii="宋体" w:hAnsi="宋体"/>
          <w:color w:val="auto"/>
          <w:szCs w:val="20"/>
          <w:highlight w:val="none"/>
        </w:rPr>
      </w:pPr>
    </w:p>
    <w:p>
      <w:pPr>
        <w:rPr>
          <w:rFonts w:hint="eastAsia" w:ascii="宋体" w:hAnsi="宋体"/>
          <w:color w:val="auto"/>
          <w:szCs w:val="20"/>
          <w:highlight w:val="none"/>
        </w:rPr>
      </w:pPr>
    </w:p>
    <w:p>
      <w:pPr>
        <w:rPr>
          <w:rFonts w:hint="eastAsia" w:ascii="宋体" w:hAnsi="宋体"/>
          <w:color w:val="auto"/>
          <w:szCs w:val="20"/>
          <w:highlight w:val="none"/>
        </w:rPr>
      </w:pPr>
    </w:p>
    <w:p>
      <w:pPr>
        <w:rPr>
          <w:rFonts w:hint="eastAsia" w:ascii="宋体" w:hAnsi="宋体"/>
          <w:color w:val="auto"/>
          <w:szCs w:val="20"/>
          <w:highlight w:val="none"/>
        </w:rPr>
      </w:pPr>
    </w:p>
    <w:p>
      <w:pPr>
        <w:rPr>
          <w:rFonts w:hint="eastAsia" w:ascii="宋体" w:hAnsi="宋体"/>
          <w:color w:val="auto"/>
          <w:szCs w:val="20"/>
          <w:highlight w:val="none"/>
        </w:rPr>
      </w:pPr>
    </w:p>
    <w:p>
      <w:pPr>
        <w:rPr>
          <w:rFonts w:hint="eastAsia" w:ascii="宋体" w:hAnsi="宋体"/>
          <w:color w:val="auto"/>
          <w:szCs w:val="20"/>
          <w:highlight w:val="none"/>
        </w:rPr>
      </w:pPr>
    </w:p>
    <w:p>
      <w:pPr>
        <w:ind w:firstLine="1584" w:firstLineChars="495"/>
        <w:rPr>
          <w:rFonts w:hint="eastAsia" w:ascii="宋体" w:hAnsi="宋体"/>
          <w:bCs/>
          <w:color w:val="auto"/>
          <w:sz w:val="32"/>
          <w:szCs w:val="32"/>
          <w:highlight w:val="none"/>
          <w:u w:val="single"/>
        </w:rPr>
      </w:pPr>
      <w:r>
        <w:rPr>
          <w:rFonts w:ascii="宋体" w:hAnsi="宋体"/>
          <w:bCs/>
          <w:color w:val="auto"/>
          <w:sz w:val="32"/>
          <w:szCs w:val="32"/>
          <w:highlight w:val="none"/>
        </w:rPr>
        <w:t>合同名称：</w:t>
      </w:r>
      <w:r>
        <w:rPr>
          <w:rFonts w:ascii="宋体" w:hAnsi="宋体"/>
          <w:bCs/>
          <w:color w:val="auto"/>
          <w:sz w:val="32"/>
          <w:szCs w:val="32"/>
          <w:highlight w:val="none"/>
          <w:u w:val="single"/>
        </w:rPr>
        <w:t xml:space="preserve">                    </w:t>
      </w:r>
    </w:p>
    <w:p>
      <w:pPr>
        <w:ind w:firstLine="1584" w:firstLineChars="495"/>
        <w:rPr>
          <w:rFonts w:hint="eastAsia" w:ascii="宋体" w:hAnsi="宋体"/>
          <w:bCs/>
          <w:color w:val="auto"/>
          <w:sz w:val="32"/>
          <w:szCs w:val="32"/>
          <w:highlight w:val="none"/>
          <w:u w:val="single"/>
        </w:rPr>
      </w:pPr>
    </w:p>
    <w:p>
      <w:pPr>
        <w:ind w:firstLine="1584" w:firstLineChars="495"/>
        <w:rPr>
          <w:rFonts w:hint="eastAsia" w:ascii="宋体" w:hAnsi="宋体"/>
          <w:bCs/>
          <w:color w:val="auto"/>
          <w:sz w:val="32"/>
          <w:szCs w:val="32"/>
          <w:highlight w:val="none"/>
          <w:u w:val="single"/>
        </w:rPr>
      </w:pPr>
      <w:r>
        <w:rPr>
          <w:rFonts w:ascii="宋体" w:hAnsi="宋体"/>
          <w:bCs/>
          <w:color w:val="auto"/>
          <w:sz w:val="32"/>
          <w:szCs w:val="32"/>
          <w:highlight w:val="none"/>
        </w:rPr>
        <w:t>合同编号：</w:t>
      </w:r>
      <w:r>
        <w:rPr>
          <w:rFonts w:ascii="宋体" w:hAnsi="宋体"/>
          <w:bCs/>
          <w:color w:val="auto"/>
          <w:sz w:val="32"/>
          <w:szCs w:val="32"/>
          <w:highlight w:val="none"/>
          <w:u w:val="single"/>
        </w:rPr>
        <w:t xml:space="preserve">                    </w:t>
      </w:r>
    </w:p>
    <w:p>
      <w:pPr>
        <w:jc w:val="center"/>
        <w:rPr>
          <w:rFonts w:hint="eastAsia" w:ascii="宋体" w:hAnsi="宋体"/>
          <w:bCs/>
          <w:color w:val="auto"/>
          <w:szCs w:val="20"/>
          <w:highlight w:val="none"/>
        </w:rPr>
      </w:pPr>
    </w:p>
    <w:p>
      <w:pPr>
        <w:jc w:val="center"/>
        <w:rPr>
          <w:rFonts w:hint="eastAsia" w:ascii="宋体" w:hAnsi="宋体"/>
          <w:bCs/>
          <w:color w:val="auto"/>
          <w:szCs w:val="20"/>
          <w:highlight w:val="none"/>
        </w:rPr>
      </w:pPr>
    </w:p>
    <w:p>
      <w:pPr>
        <w:jc w:val="center"/>
        <w:rPr>
          <w:rFonts w:hint="eastAsia" w:ascii="宋体" w:hAnsi="宋体"/>
          <w:bCs/>
          <w:color w:val="auto"/>
          <w:szCs w:val="20"/>
          <w:highlight w:val="none"/>
        </w:rPr>
      </w:pPr>
    </w:p>
    <w:p>
      <w:pPr>
        <w:jc w:val="center"/>
        <w:rPr>
          <w:rFonts w:hint="eastAsia" w:ascii="宋体" w:hAnsi="宋体"/>
          <w:bCs/>
          <w:color w:val="auto"/>
          <w:szCs w:val="20"/>
          <w:highlight w:val="none"/>
        </w:rPr>
      </w:pPr>
    </w:p>
    <w:p>
      <w:pPr>
        <w:jc w:val="center"/>
        <w:rPr>
          <w:rFonts w:hint="eastAsia" w:ascii="宋体" w:hAnsi="宋体"/>
          <w:bCs/>
          <w:color w:val="auto"/>
          <w:szCs w:val="20"/>
          <w:highlight w:val="none"/>
        </w:rPr>
      </w:pPr>
    </w:p>
    <w:p>
      <w:pPr>
        <w:spacing w:line="340" w:lineRule="exact"/>
        <w:ind w:firstLine="1584" w:firstLineChars="495"/>
        <w:rPr>
          <w:rFonts w:hint="eastAsia" w:ascii="宋体" w:hAnsi="宋体"/>
          <w:bCs/>
          <w:color w:val="auto"/>
          <w:sz w:val="32"/>
          <w:szCs w:val="32"/>
          <w:highlight w:val="none"/>
        </w:rPr>
      </w:pPr>
      <w:r>
        <w:rPr>
          <w:rFonts w:hint="eastAsia" w:ascii="宋体" w:hAnsi="宋体"/>
          <w:bCs/>
          <w:color w:val="auto"/>
          <w:sz w:val="32"/>
          <w:szCs w:val="32"/>
          <w:highlight w:val="none"/>
        </w:rPr>
        <w:t>采购人</w:t>
      </w:r>
      <w:r>
        <w:rPr>
          <w:rFonts w:ascii="宋体" w:hAnsi="宋体"/>
          <w:bCs/>
          <w:color w:val="auto"/>
          <w:sz w:val="32"/>
          <w:szCs w:val="32"/>
          <w:highlight w:val="none"/>
        </w:rPr>
        <w:t>（甲方）</w:t>
      </w:r>
      <w:r>
        <w:rPr>
          <w:rFonts w:ascii="宋体" w:hAnsi="宋体"/>
          <w:bCs/>
          <w:color w:val="auto"/>
          <w:sz w:val="32"/>
          <w:szCs w:val="32"/>
          <w:highlight w:val="none"/>
          <w:u w:val="single"/>
        </w:rPr>
        <w:t xml:space="preserve">                    </w:t>
      </w:r>
    </w:p>
    <w:p>
      <w:pPr>
        <w:spacing w:line="340" w:lineRule="exact"/>
        <w:ind w:firstLine="1584" w:firstLineChars="495"/>
        <w:rPr>
          <w:rFonts w:hint="eastAsia" w:ascii="宋体" w:hAnsi="宋体"/>
          <w:bCs/>
          <w:color w:val="auto"/>
          <w:sz w:val="32"/>
          <w:szCs w:val="32"/>
          <w:highlight w:val="none"/>
        </w:rPr>
      </w:pPr>
    </w:p>
    <w:p>
      <w:pPr>
        <w:spacing w:line="340" w:lineRule="exact"/>
        <w:rPr>
          <w:rFonts w:hint="eastAsia" w:ascii="宋体" w:hAnsi="宋体"/>
          <w:bCs/>
          <w:color w:val="auto"/>
          <w:sz w:val="32"/>
          <w:szCs w:val="32"/>
          <w:highlight w:val="none"/>
        </w:rPr>
      </w:pPr>
    </w:p>
    <w:p>
      <w:pPr>
        <w:spacing w:line="340" w:lineRule="exact"/>
        <w:ind w:firstLine="1584" w:firstLineChars="495"/>
        <w:rPr>
          <w:rFonts w:hint="eastAsia" w:ascii="宋体" w:hAnsi="宋体"/>
          <w:bCs/>
          <w:color w:val="auto"/>
          <w:sz w:val="32"/>
          <w:szCs w:val="32"/>
          <w:highlight w:val="none"/>
        </w:rPr>
      </w:pPr>
      <w:r>
        <w:rPr>
          <w:rFonts w:hint="eastAsia" w:ascii="宋体" w:hAnsi="宋体"/>
          <w:bCs/>
          <w:color w:val="auto"/>
          <w:sz w:val="32"/>
          <w:szCs w:val="32"/>
          <w:highlight w:val="none"/>
        </w:rPr>
        <w:t>中标人</w:t>
      </w:r>
      <w:r>
        <w:rPr>
          <w:rFonts w:ascii="宋体" w:hAnsi="宋体"/>
          <w:bCs/>
          <w:color w:val="auto"/>
          <w:sz w:val="32"/>
          <w:szCs w:val="32"/>
          <w:highlight w:val="none"/>
        </w:rPr>
        <w:t>（乙方）</w:t>
      </w:r>
      <w:r>
        <w:rPr>
          <w:rFonts w:ascii="宋体" w:hAnsi="宋体"/>
          <w:bCs/>
          <w:color w:val="auto"/>
          <w:sz w:val="32"/>
          <w:szCs w:val="32"/>
          <w:highlight w:val="none"/>
          <w:u w:val="single"/>
        </w:rPr>
        <w:t xml:space="preserve">                   </w:t>
      </w:r>
    </w:p>
    <w:p>
      <w:pPr>
        <w:pStyle w:val="2"/>
        <w:spacing w:line="242" w:lineRule="auto"/>
        <w:rPr>
          <w:color w:val="auto"/>
          <w:highlight w:val="none"/>
        </w:rPr>
      </w:pPr>
    </w:p>
    <w:p>
      <w:pPr>
        <w:pStyle w:val="2"/>
        <w:spacing w:line="242" w:lineRule="auto"/>
        <w:rPr>
          <w:color w:val="auto"/>
          <w:highlight w:val="none"/>
        </w:rPr>
      </w:pPr>
    </w:p>
    <w:p>
      <w:pPr>
        <w:pStyle w:val="2"/>
        <w:spacing w:line="242" w:lineRule="auto"/>
        <w:rPr>
          <w:color w:val="auto"/>
          <w:highlight w:val="none"/>
        </w:rPr>
      </w:pPr>
    </w:p>
    <w:p>
      <w:pPr>
        <w:pStyle w:val="2"/>
        <w:spacing w:line="243" w:lineRule="auto"/>
        <w:rPr>
          <w:color w:val="auto"/>
          <w:highlight w:val="none"/>
        </w:rPr>
      </w:pPr>
    </w:p>
    <w:p>
      <w:pPr>
        <w:pStyle w:val="2"/>
        <w:spacing w:line="243" w:lineRule="auto"/>
        <w:rPr>
          <w:color w:val="auto"/>
          <w:highlight w:val="none"/>
        </w:rPr>
      </w:pPr>
    </w:p>
    <w:p>
      <w:pPr>
        <w:pStyle w:val="2"/>
        <w:spacing w:line="243" w:lineRule="auto"/>
        <w:rPr>
          <w:color w:val="auto"/>
          <w:highlight w:val="none"/>
        </w:rPr>
      </w:pPr>
    </w:p>
    <w:p>
      <w:pPr>
        <w:spacing w:line="220" w:lineRule="auto"/>
        <w:rPr>
          <w:rFonts w:hint="eastAsia" w:ascii="宋体" w:hAnsi="宋体" w:cs="宋体"/>
          <w:color w:val="auto"/>
          <w:sz w:val="28"/>
          <w:szCs w:val="28"/>
          <w:highlight w:val="none"/>
        </w:rPr>
        <w:sectPr>
          <w:footerReference r:id="rId9" w:type="default"/>
          <w:pgSz w:w="11910" w:h="16840"/>
          <w:pgMar w:top="400" w:right="1210" w:bottom="1091" w:left="1217" w:header="0" w:footer="929" w:gutter="0"/>
          <w:pgNumType w:fmt="decimal"/>
          <w:cols w:space="720" w:num="1"/>
        </w:sectPr>
      </w:pPr>
    </w:p>
    <w:p>
      <w:pPr>
        <w:spacing w:line="300" w:lineRule="auto"/>
        <w:jc w:val="center"/>
        <w:rPr>
          <w:rFonts w:hint="eastAsia" w:ascii="宋体" w:hAnsi="宋体"/>
          <w:b/>
          <w:color w:val="auto"/>
          <w:sz w:val="44"/>
          <w:szCs w:val="44"/>
          <w:highlight w:val="none"/>
        </w:rPr>
      </w:pPr>
    </w:p>
    <w:p>
      <w:pPr>
        <w:spacing w:line="300" w:lineRule="auto"/>
        <w:jc w:val="center"/>
        <w:outlineLvl w:val="0"/>
        <w:rPr>
          <w:rFonts w:hint="eastAsia" w:ascii="宋体" w:hAnsi="宋体" w:eastAsia="宋体" w:cs="宋体"/>
          <w:b/>
          <w:bCs/>
          <w:color w:val="auto"/>
          <w:sz w:val="44"/>
          <w:szCs w:val="44"/>
          <w:highlight w:val="none"/>
        </w:rPr>
      </w:pPr>
      <w:bookmarkStart w:id="289" w:name="_Toc31262"/>
      <w:r>
        <w:rPr>
          <w:rFonts w:hint="eastAsia" w:ascii="宋体" w:hAnsi="宋体" w:eastAsia="宋体" w:cs="宋体"/>
          <w:b/>
          <w:color w:val="auto"/>
          <w:sz w:val="44"/>
          <w:szCs w:val="44"/>
          <w:highlight w:val="none"/>
        </w:rPr>
        <w:t>采购</w:t>
      </w:r>
      <w:r>
        <w:rPr>
          <w:rFonts w:hint="eastAsia" w:ascii="宋体" w:hAnsi="宋体" w:eastAsia="宋体" w:cs="宋体"/>
          <w:b/>
          <w:bCs/>
          <w:color w:val="auto"/>
          <w:sz w:val="44"/>
          <w:szCs w:val="44"/>
          <w:highlight w:val="none"/>
        </w:rPr>
        <w:t>合同</w:t>
      </w:r>
      <w:bookmarkEnd w:id="289"/>
    </w:p>
    <w:p>
      <w:pPr>
        <w:snapToGrid w:val="0"/>
        <w:spacing w:line="360" w:lineRule="exact"/>
        <w:jc w:val="righ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rPr>
        <w:t>合同编号：</w:t>
      </w:r>
    </w:p>
    <w:p>
      <w:pPr>
        <w:snapToGrid w:val="0"/>
        <w:spacing w:line="360" w:lineRule="exact"/>
        <w:jc w:val="right"/>
        <w:rPr>
          <w:rFonts w:hint="eastAsia" w:ascii="宋体" w:hAnsi="宋体" w:eastAsia="宋体" w:cs="宋体"/>
          <w:color w:val="auto"/>
          <w:szCs w:val="21"/>
          <w:highlight w:val="none"/>
        </w:rPr>
      </w:pPr>
      <w:r>
        <w:rPr>
          <w:rFonts w:hint="eastAsia" w:ascii="宋体" w:hAnsi="宋体" w:eastAsia="宋体" w:cs="宋体"/>
          <w:b w:val="0"/>
          <w:bCs/>
          <w:color w:val="auto"/>
          <w:szCs w:val="21"/>
          <w:highlight w:val="none"/>
        </w:rPr>
        <w:t>采购计划号</w:t>
      </w:r>
      <w:r>
        <w:rPr>
          <w:rFonts w:hint="eastAsia" w:ascii="宋体" w:hAnsi="宋体" w:eastAsia="宋体" w:cs="宋体"/>
          <w:b w:val="0"/>
          <w:bCs/>
          <w:color w:val="auto"/>
          <w:szCs w:val="21"/>
          <w:highlight w:val="none"/>
          <w:lang w:eastAsia="zh-CN"/>
        </w:rPr>
        <w:t>：</w:t>
      </w:r>
    </w:p>
    <w:p>
      <w:pPr>
        <w:snapToGrid w:val="0"/>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采购单位（甲方）</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r>
        <w:rPr>
          <w:rFonts w:hint="eastAsia" w:ascii="宋体" w:hAnsi="宋体" w:eastAsia="宋体" w:cs="宋体"/>
          <w:color w:val="auto"/>
          <w:spacing w:val="-20"/>
          <w:szCs w:val="21"/>
          <w:highlight w:val="none"/>
        </w:rPr>
        <w:t xml:space="preserve">   </w:t>
      </w:r>
      <w:r>
        <w:rPr>
          <w:rFonts w:hint="eastAsia" w:ascii="宋体" w:hAnsi="宋体" w:eastAsia="宋体" w:cs="宋体"/>
          <w:color w:val="auto"/>
          <w:szCs w:val="21"/>
          <w:highlight w:val="none"/>
        </w:rPr>
        <w:t xml:space="preserve">                                                  </w:t>
      </w:r>
    </w:p>
    <w:p>
      <w:pPr>
        <w:snapToGrid w:val="0"/>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 应 商（乙方）</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p>
    <w:p>
      <w:pPr>
        <w:snapToGrid w:val="0"/>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项目名称和编号</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p>
    <w:p>
      <w:pPr>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标    项：</w:t>
      </w:r>
    </w:p>
    <w:p>
      <w:pPr>
        <w:spacing w:line="400" w:lineRule="exac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签  订  地  点</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广西南宁市</w:t>
      </w:r>
      <w:r>
        <w:rPr>
          <w:rFonts w:hint="eastAsia" w:ascii="宋体" w:hAnsi="宋体" w:eastAsia="宋体" w:cs="宋体"/>
          <w:color w:val="auto"/>
          <w:szCs w:val="21"/>
          <w:highlight w:val="none"/>
        </w:rPr>
        <w:t xml:space="preserve">                               </w:t>
      </w:r>
    </w:p>
    <w:p>
      <w:pPr>
        <w:keepNext w:val="0"/>
        <w:keepLines w:val="0"/>
        <w:pageBreakBefore w:val="0"/>
        <w:kinsoku/>
        <w:wordWrap/>
        <w:overflowPunct/>
        <w:topLinePunct w:val="0"/>
        <w:autoSpaceDE/>
        <w:autoSpaceDN/>
        <w:bidi w:val="0"/>
        <w:spacing w:after="0" w:line="440" w:lineRule="atLeast"/>
        <w:ind w:firstLine="420" w:firstLineChars="200"/>
        <w:textAlignment w:val="auto"/>
        <w:rPr>
          <w:rFonts w:hint="eastAsia" w:ascii="宋体" w:hAnsi="宋体" w:eastAsia="宋体" w:cs="宋体"/>
          <w:color w:val="auto"/>
          <w:szCs w:val="20"/>
          <w:highlight w:val="none"/>
        </w:rPr>
      </w:pPr>
    </w:p>
    <w:p>
      <w:pPr>
        <w:keepNext w:val="0"/>
        <w:keepLines w:val="0"/>
        <w:pageBreakBefore w:val="0"/>
        <w:kinsoku/>
        <w:wordWrap/>
        <w:overflowPunct/>
        <w:topLinePunct w:val="0"/>
        <w:autoSpaceDE/>
        <w:autoSpaceDN/>
        <w:bidi w:val="0"/>
        <w:spacing w:after="0" w:line="440" w:lineRule="atLeast"/>
        <w:ind w:firstLine="420" w:firstLineChars="200"/>
        <w:textAlignment w:val="auto"/>
        <w:rPr>
          <w:rFonts w:hint="eastAsia" w:ascii="宋体" w:hAnsi="宋体" w:eastAsia="宋体" w:cs="宋体"/>
          <w:color w:val="auto"/>
          <w:szCs w:val="20"/>
          <w:highlight w:val="none"/>
        </w:rPr>
      </w:pPr>
      <w:r>
        <w:rPr>
          <w:rFonts w:hint="eastAsia" w:ascii="宋体" w:hAnsi="宋体" w:eastAsia="宋体" w:cs="宋体"/>
          <w:color w:val="auto"/>
          <w:szCs w:val="20"/>
          <w:highlight w:val="none"/>
        </w:rPr>
        <w:t>根据《中华人民共和国政府采购法》、《中华人民共和国民法典》等法律、法规规定，按照招标文件规定条款和中标人投标文件及其承诺，甲乙双方签订本合同。</w:t>
      </w:r>
    </w:p>
    <w:p>
      <w:pPr>
        <w:keepNext w:val="0"/>
        <w:keepLines w:val="0"/>
        <w:pageBreakBefore w:val="0"/>
        <w:widowControl/>
        <w:kinsoku/>
        <w:wordWrap/>
        <w:overflowPunct/>
        <w:topLinePunct w:val="0"/>
        <w:autoSpaceDE/>
        <w:autoSpaceDN/>
        <w:bidi w:val="0"/>
        <w:adjustRightInd w:val="0"/>
        <w:snapToGrid w:val="0"/>
        <w:spacing w:after="0" w:line="440" w:lineRule="atLeast"/>
        <w:ind w:firstLine="422" w:firstLineChars="200"/>
        <w:jc w:val="left"/>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第一条  合同标的</w:t>
      </w:r>
    </w:p>
    <w:p>
      <w:pPr>
        <w:keepNext w:val="0"/>
        <w:keepLines w:val="0"/>
        <w:pageBreakBefore w:val="0"/>
        <w:kinsoku/>
        <w:wordWrap/>
        <w:overflowPunct/>
        <w:topLinePunct w:val="0"/>
        <w:autoSpaceDE/>
        <w:autoSpaceDN/>
        <w:bidi w:val="0"/>
        <w:snapToGrid w:val="0"/>
        <w:spacing w:after="0" w:line="44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1.供货一览表</w:t>
      </w:r>
    </w:p>
    <w:tbl>
      <w:tblPr>
        <w:tblStyle w:val="27"/>
        <w:tblW w:w="99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9"/>
        <w:gridCol w:w="2520"/>
        <w:gridCol w:w="1530"/>
        <w:gridCol w:w="1605"/>
        <w:gridCol w:w="690"/>
        <w:gridCol w:w="735"/>
        <w:gridCol w:w="1020"/>
        <w:gridCol w:w="1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1" w:hRule="atLeast"/>
        </w:trPr>
        <w:tc>
          <w:tcPr>
            <w:tcW w:w="639"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2520"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标的名称</w:t>
            </w:r>
          </w:p>
        </w:tc>
        <w:tc>
          <w:tcPr>
            <w:tcW w:w="1530"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品牌（如有）</w:t>
            </w:r>
          </w:p>
        </w:tc>
        <w:tc>
          <w:tcPr>
            <w:tcW w:w="1605"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规格型号</w:t>
            </w:r>
          </w:p>
        </w:tc>
        <w:tc>
          <w:tcPr>
            <w:tcW w:w="690"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735"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w:t>
            </w:r>
          </w:p>
        </w:tc>
        <w:tc>
          <w:tcPr>
            <w:tcW w:w="1020"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单价</w:t>
            </w:r>
          </w:p>
          <w:p>
            <w:pPr>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（元）</w:t>
            </w:r>
          </w:p>
        </w:tc>
        <w:tc>
          <w:tcPr>
            <w:tcW w:w="1182"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单价合计（元）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3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25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color w:val="auto"/>
                <w:sz w:val="21"/>
                <w:szCs w:val="21"/>
                <w:highlight w:val="none"/>
              </w:rPr>
            </w:pPr>
          </w:p>
        </w:tc>
        <w:tc>
          <w:tcPr>
            <w:tcW w:w="1530" w:type="dxa"/>
            <w:tcBorders>
              <w:top w:val="single" w:color="auto" w:sz="4" w:space="0"/>
              <w:left w:val="single" w:color="auto" w:sz="4" w:space="0"/>
              <w:bottom w:val="single" w:color="auto" w:sz="4" w:space="0"/>
              <w:right w:val="single" w:color="auto" w:sz="4" w:space="0"/>
            </w:tcBorders>
            <w:vAlign w:val="center"/>
          </w:tcPr>
          <w:p>
            <w:pPr>
              <w:pStyle w:val="48"/>
              <w:spacing w:before="78" w:line="257" w:lineRule="auto"/>
              <w:ind w:right="224" w:rightChars="0"/>
              <w:jc w:val="center"/>
              <w:rPr>
                <w:rFonts w:hint="eastAsia" w:ascii="宋体" w:hAnsi="宋体" w:eastAsia="宋体" w:cs="宋体"/>
                <w:color w:val="auto"/>
                <w:sz w:val="21"/>
                <w:szCs w:val="21"/>
                <w:highlight w:val="none"/>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69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p>
        </w:tc>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1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3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25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color w:val="auto"/>
                <w:sz w:val="21"/>
                <w:szCs w:val="21"/>
                <w:highlight w:val="none"/>
              </w:rPr>
            </w:pPr>
          </w:p>
        </w:tc>
        <w:tc>
          <w:tcPr>
            <w:tcW w:w="1530" w:type="dxa"/>
            <w:tcBorders>
              <w:top w:val="single" w:color="auto" w:sz="4" w:space="0"/>
              <w:left w:val="single" w:color="auto" w:sz="4" w:space="0"/>
              <w:bottom w:val="single" w:color="auto" w:sz="4" w:space="0"/>
              <w:right w:val="single" w:color="auto" w:sz="4" w:space="0"/>
            </w:tcBorders>
            <w:vAlign w:val="center"/>
          </w:tcPr>
          <w:p>
            <w:pPr>
              <w:pStyle w:val="48"/>
              <w:spacing w:before="290" w:line="258" w:lineRule="auto"/>
              <w:ind w:right="224" w:rightChars="0"/>
              <w:jc w:val="center"/>
              <w:rPr>
                <w:rFonts w:hint="eastAsia" w:ascii="宋体" w:hAnsi="宋体" w:eastAsia="宋体" w:cs="宋体"/>
                <w:color w:val="auto"/>
                <w:sz w:val="21"/>
                <w:szCs w:val="21"/>
                <w:highlight w:val="none"/>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69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p>
        </w:tc>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1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3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25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color w:val="auto"/>
                <w:sz w:val="21"/>
                <w:szCs w:val="21"/>
                <w:highlight w:val="none"/>
              </w:rPr>
            </w:pPr>
          </w:p>
        </w:tc>
        <w:tc>
          <w:tcPr>
            <w:tcW w:w="1530" w:type="dxa"/>
            <w:tcBorders>
              <w:top w:val="single" w:color="auto" w:sz="4" w:space="0"/>
              <w:left w:val="single" w:color="auto" w:sz="4" w:space="0"/>
              <w:bottom w:val="single" w:color="auto" w:sz="4" w:space="0"/>
              <w:right w:val="single" w:color="auto" w:sz="4" w:space="0"/>
            </w:tcBorders>
            <w:vAlign w:val="center"/>
          </w:tcPr>
          <w:p>
            <w:pPr>
              <w:pStyle w:val="48"/>
              <w:spacing w:before="78" w:line="221" w:lineRule="auto"/>
              <w:jc w:val="center"/>
              <w:rPr>
                <w:rFonts w:hint="eastAsia" w:ascii="宋体" w:hAnsi="宋体" w:eastAsia="宋体" w:cs="宋体"/>
                <w:color w:val="auto"/>
                <w:sz w:val="21"/>
                <w:szCs w:val="21"/>
                <w:highlight w:val="none"/>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69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p>
        </w:tc>
        <w:tc>
          <w:tcPr>
            <w:tcW w:w="10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color w:val="auto"/>
                <w:sz w:val="21"/>
                <w:szCs w:val="21"/>
                <w:highlight w:val="none"/>
              </w:rPr>
            </w:pPr>
          </w:p>
        </w:tc>
        <w:tc>
          <w:tcPr>
            <w:tcW w:w="118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4" w:hRule="atLeast"/>
        </w:trPr>
        <w:tc>
          <w:tcPr>
            <w:tcW w:w="9921" w:type="dxa"/>
            <w:gridSpan w:val="8"/>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人民币合计金额（大写）</w:t>
            </w:r>
            <w:r>
              <w:rPr>
                <w:rFonts w:hint="eastAsia" w:ascii="宋体" w:hAnsi="宋体" w:eastAsia="宋体" w:cs="宋体"/>
                <w:color w:val="auto"/>
                <w:sz w:val="21"/>
                <w:szCs w:val="21"/>
                <w:highlight w:val="none"/>
                <w:u w:val="single"/>
              </w:rPr>
              <w:t>人民币</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元整</w:t>
            </w:r>
            <w:r>
              <w:rPr>
                <w:rFonts w:hint="eastAsia" w:ascii="宋体" w:hAnsi="宋体" w:eastAsia="宋体" w:cs="宋体"/>
                <w:color w:val="auto"/>
                <w:sz w:val="21"/>
                <w:szCs w:val="21"/>
                <w:highlight w:val="none"/>
              </w:rPr>
              <w:t>（小写）</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 xml:space="preserve">             </w:t>
            </w:r>
          </w:p>
        </w:tc>
      </w:tr>
    </w:tbl>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2.合同总金额为</w:t>
      </w:r>
      <w:r>
        <w:rPr>
          <w:rFonts w:hint="eastAsia" w:ascii="宋体" w:hAnsi="宋体" w:eastAsia="宋体" w:cs="宋体"/>
          <w:color w:val="auto"/>
          <w:highlight w:val="none"/>
        </w:rPr>
        <w:t>甲方</w:t>
      </w:r>
      <w:r>
        <w:rPr>
          <w:rFonts w:hint="eastAsia" w:ascii="宋体" w:hAnsi="宋体" w:eastAsia="宋体" w:cs="宋体"/>
          <w:color w:val="auto"/>
          <w:szCs w:val="21"/>
          <w:highlight w:val="none"/>
        </w:rPr>
        <w:t>指定地点的现场交货价，包括：本项目报价为产品送达甲方指定地点进行安装，经甲方验收合格所发生的一切费用，其包括但不限于以下费用：产品（含主要设备、配件、辅材）供应、运输装卸费、保险费、安装费、调试费、税费、产品检验检测、本项目所有平台、系统对接费、操作人员培训费、管理费、验收费、售后服务、质保期技术支持及维护费用、必要的保险费用和各项税金、招标代理服务费等与本项目相关的一切费用。</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3.本合同签订后，若甲方需增加与合同标的相同的货物的，在不改变合同其他条款的前提下，可以与乙方协商签订补充合同，但所有补充协议的采购金额不得超过本合同总价的10%。</w:t>
      </w:r>
    </w:p>
    <w:p>
      <w:pPr>
        <w:keepNext w:val="0"/>
        <w:keepLines w:val="0"/>
        <w:pageBreakBefore w:val="0"/>
        <w:widowControl w:val="0"/>
        <w:kinsoku/>
        <w:wordWrap/>
        <w:overflowPunct/>
        <w:topLinePunct w:val="0"/>
        <w:autoSpaceDE/>
        <w:autoSpaceDN/>
        <w:bidi w:val="0"/>
        <w:adjustRightInd/>
        <w:snapToGrid w:val="0"/>
        <w:spacing w:after="0" w:line="420" w:lineRule="atLeast"/>
        <w:ind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第二条　质量保证</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1．乙方所提供的货物型号、技术规格、技术参数等质量必须与招标文件、投标文件的承诺一致。乙方提供的节能和环保产品必须是列入政府采购清单的产品。</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2．乙方所提供的货物必须是全新、未经使用的原装产品，且在正常安装、使用和保养条件下，其使用寿命期内各项指标均达到质量要求。</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软件类产品须为市场合法合规的成品正版软件，无任何版权及知识产权权属纠纷，其功能模块、操作流程、数据兼容性、终端适配性等须完全满足招标文件及投标文件承诺，能在约定硬件环境或兼容环境中稳定运行。</w:t>
      </w:r>
    </w:p>
    <w:p>
      <w:pPr>
        <w:keepNext w:val="0"/>
        <w:keepLines w:val="0"/>
        <w:pageBreakBefore w:val="0"/>
        <w:widowControl w:val="0"/>
        <w:kinsoku/>
        <w:wordWrap/>
        <w:overflowPunct/>
        <w:topLinePunct w:val="0"/>
        <w:autoSpaceDE/>
        <w:autoSpaceDN/>
        <w:bidi w:val="0"/>
        <w:adjustRightInd/>
        <w:snapToGrid w:val="0"/>
        <w:spacing w:after="0" w:line="420" w:lineRule="atLeast"/>
        <w:ind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第三条　权利保证</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乙方应保证所提供货物在使用时不会侵犯任何第三方的专利权、商标权、工业设计权或其他权利。乙方提供的货物如侵犯了第三方合法权益而引发的任何纠纷或诉讼，均由乙方负责交涉并承担全部责任。若因此导致甲方经济损失的，乙方应当予以赔偿，赔偿范围包括但不限于实际发生的经济损失以及甲方为解决纠纷、维护自身合法权益而产生的律师费、诉讼费、保全费、财产保全保函费、差旅费等。</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2.乙方应按招标文件规定的时间向甲方提供使用货物的有关完整的技术资料。</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没有甲方事先书面同意，乙方不得将由甲方提供的有关合同或任何合同条文、规格、计划、图纸、样品或资料提供给与履行本合同无关的任何其他人。即使向履行本合同有关的人员提供，也应注意保密并限于履行合同的必需范围。如乙方违反上述规定泄露甲方相关资料、保密信息的，乙方应当支付甲方因此造成的损失，甲方损失能够计算的按照实际损失赔偿，甲方的损失无法具体计算的，乙方应当按照合同价款2%进行赔偿。乙方还应当向甲方支付合同价款20%的违约金。</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4.乙方保证所交付的货物的所有权完全属于乙方且无任何抵押、质押、查封等产权瑕疵，如乙方提供的货物存在产权瑕疵则应当向甲方支付因此造成的损失。</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5.乙方对自身提供的报价文件、资质、承诺等均客观、真实，不得虚构或隐瞒事实影响本合同的履行，否则乙方应当对甲方承担缔约过失责任，赔偿甲方的损失。</w:t>
      </w:r>
    </w:p>
    <w:p>
      <w:pPr>
        <w:keepNext w:val="0"/>
        <w:keepLines w:val="0"/>
        <w:pageBreakBefore w:val="0"/>
        <w:widowControl w:val="0"/>
        <w:kinsoku/>
        <w:wordWrap/>
        <w:overflowPunct/>
        <w:topLinePunct w:val="0"/>
        <w:autoSpaceDE/>
        <w:autoSpaceDN/>
        <w:bidi w:val="0"/>
        <w:adjustRightInd/>
        <w:snapToGrid w:val="0"/>
        <w:spacing w:after="0" w:line="420" w:lineRule="atLeast"/>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第四条　包装和运输</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1.乙方提供的货物均应按招标文件、投标文件要求的包装材料、包装标准、包装方式进行包装，每一包装单元内应附详细的装箱单和质量合格证。</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2.货物的运输方式： 由乙方按招标文件要求自定 。</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3.乙方负责货物运输，货物运输合理损耗及计算方法： 由乙方负责。</w:t>
      </w:r>
    </w:p>
    <w:p>
      <w:pPr>
        <w:keepNext w:val="0"/>
        <w:keepLines w:val="0"/>
        <w:pageBreakBefore w:val="0"/>
        <w:widowControl w:val="0"/>
        <w:kinsoku/>
        <w:wordWrap/>
        <w:overflowPunct/>
        <w:topLinePunct w:val="0"/>
        <w:autoSpaceDE/>
        <w:autoSpaceDN/>
        <w:bidi w:val="0"/>
        <w:adjustRightInd/>
        <w:snapToGrid w:val="0"/>
        <w:spacing w:after="0" w:line="420" w:lineRule="atLeast"/>
        <w:ind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第五条　交付和验收</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1.交货时间：自合同签订之日起</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个工作日内将货物运至甲方指定地点，并完成安装调试。</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甲方在到货时有权依照招标文件与投标文件的规定对货物进行到货验收，对于不符合招标文件、投标文件规定和本合同约定的货物，甲方有权拒绝接收并要求乙方另行发货，乙方另行发出货物后未在本条第1款约定的时间内完成安装调试的，应按本合同约定承担逾期的违约责任。</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3.乙方应将所提供货物的装箱清单、用户手册、原厂保修卡、随机资料、工具和备品、备件等交付给甲方，如有缺失应在完成安装调试之前补齐，乙方不能补齐的，按验收不合格处理。</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甲方应当在全部有形产品完成调试、全部软件系统产品完成全功能运行后，根据本合同附件（验收方案）启动验收流程。验收流程应包括不少于15日的试运行期，试运行期内，乙方应保证货物运行稳定，功能、性能及技术参数持续满足本合同及招标文件的要求。如因甲方原因暂时不能调试、全功能试运行的货物，经双方签字确认后可延期组织验收。验收合格后由甲、乙双方签署货物验收合格单（加盖甲方公章方为有效），甲、乙双方各执一份。</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验收时，对于采购需求中以“≥”、“可触及”、“真实”等定性或范围描述的指标，验收依据应以国家标准、行业标准优先；若无上述标准，则以双方共同确认的样品、产品说明书、官方宣传彩页或第三方检测报告为准。甲方委托第三方组织的验收项目，其验收时间以该项目验收方案确定的验收时间为准，验收结果以该项目验收报告结论为准。在验收过程中发现乙方有违约情形的，甲方有权暂不支付已到达支付条件的货款，待乙方违约问题解决后再行办理货款结算。</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软件系统产品的交付验收需额外满足：试运行期间需确保软件无重大故障、数据传输安全稳定，且功能模块、操作流程、数据兼容性、终端适配性等完全符合招标文件及投标文件约定标准；乙方需同步交付软件合法有效的使用授权证明文件、完整的部署手册、操作指南、维护手册、案例库及相关技术资料，确保甲方可正常行使永久使用权；甲方组织验收时，将对软件的功能实现、性能表现、数据安全性等进行专项测试，测试合格后方可认定为验收合格，若软件存在功能缺失、性能不达标、技术资料不全或未满足使用权相关约定等问题，按验收不合格处理，乙方需在甲方指定期限内完成整改，逾期未整改合格的，按本合同约定承担逾期的违约责任。</w:t>
      </w:r>
    </w:p>
    <w:p>
      <w:pPr>
        <w:keepNext w:val="0"/>
        <w:keepLines w:val="0"/>
        <w:pageBreakBefore w:val="0"/>
        <w:widowControl w:val="0"/>
        <w:kinsoku/>
        <w:wordWrap/>
        <w:overflowPunct/>
        <w:topLinePunct w:val="0"/>
        <w:autoSpaceDE/>
        <w:autoSpaceDN/>
        <w:bidi w:val="0"/>
        <w:adjustRightInd/>
        <w:snapToGrid w:val="0"/>
        <w:spacing w:after="0" w:line="420" w:lineRule="atLeast"/>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第六条　安装和培训</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1.甲方应提供必要安装条件（如场地、电源、水源等）。</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2.乙方负责甲方有关人员的培训。培训时间、地点</w:t>
      </w:r>
      <w:r>
        <w:rPr>
          <w:rFonts w:hint="eastAsia" w:ascii="宋体" w:hAnsi="宋体" w:eastAsia="宋体" w:cs="宋体"/>
          <w:color w:val="auto"/>
          <w:szCs w:val="21"/>
          <w:highlight w:val="none"/>
          <w:u w:val="none"/>
        </w:rPr>
        <w:t>：由甲方决定。</w:t>
      </w:r>
    </w:p>
    <w:p>
      <w:pPr>
        <w:keepNext w:val="0"/>
        <w:keepLines w:val="0"/>
        <w:pageBreakBefore w:val="0"/>
        <w:widowControl w:val="0"/>
        <w:kinsoku/>
        <w:wordWrap/>
        <w:overflowPunct/>
        <w:topLinePunct w:val="0"/>
        <w:autoSpaceDE/>
        <w:autoSpaceDN/>
        <w:bidi w:val="0"/>
        <w:adjustRightInd/>
        <w:snapToGrid w:val="0"/>
        <w:spacing w:after="0" w:line="420" w:lineRule="atLeast"/>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第七条  售后服务、质量保证期</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1.乙方应按照国家有关法律法规和“三包”规定提供售后服务。</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2.货物质量保证期：</w:t>
      </w:r>
      <w:r>
        <w:rPr>
          <w:rFonts w:hint="eastAsia" w:ascii="宋体" w:hAnsi="宋体" w:eastAsia="宋体" w:cs="宋体"/>
          <w:color w:val="auto"/>
          <w:szCs w:val="21"/>
          <w:highlight w:val="none"/>
          <w:u w:val="single"/>
        </w:rPr>
        <w:t>除“技术需求及要求”中另有约定外，其余货物按国家有关产品“三包”规定执行“三包”。</w:t>
      </w:r>
      <w:r>
        <w:rPr>
          <w:rFonts w:hint="eastAsia" w:ascii="宋体" w:hAnsi="宋体" w:eastAsia="宋体" w:cs="宋体"/>
          <w:color w:val="auto"/>
          <w:highlight w:val="none"/>
          <w:u w:val="single"/>
        </w:rPr>
        <w:t>货物的质量保证期自验收合格之日起计</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年；若相关货物生产商、销售商所承诺的质量保证期超过</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年的，该等货物的质量保证期以生产商、销售商承诺的质量保证期为准</w:t>
      </w:r>
      <w:r>
        <w:rPr>
          <w:rFonts w:hint="eastAsia" w:ascii="宋体" w:hAnsi="宋体" w:eastAsia="宋体" w:cs="宋体"/>
          <w:color w:val="auto"/>
          <w:highlight w:val="none"/>
        </w:rPr>
        <w:t>。</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3.乙方提供的服务承诺和售后服务及质量保证期责任等其它具体约定事项。</w:t>
      </w:r>
    </w:p>
    <w:p>
      <w:pPr>
        <w:keepNext w:val="0"/>
        <w:keepLines w:val="0"/>
        <w:pageBreakBefore w:val="0"/>
        <w:widowControl w:val="0"/>
        <w:kinsoku/>
        <w:wordWrap/>
        <w:overflowPunct/>
        <w:topLinePunct w:val="0"/>
        <w:autoSpaceDE/>
        <w:autoSpaceDN/>
        <w:bidi w:val="0"/>
        <w:adjustRightInd/>
        <w:snapToGrid w:val="0"/>
        <w:spacing w:after="0" w:line="420" w:lineRule="atLeast"/>
        <w:ind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第八条　付款方式</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bCs/>
          <w:color w:val="auto"/>
          <w:kern w:val="0"/>
          <w:szCs w:val="21"/>
          <w:highlight w:val="none"/>
        </w:rPr>
        <w:t>1.</w:t>
      </w:r>
      <w:r>
        <w:rPr>
          <w:rFonts w:hint="eastAsia" w:ascii="宋体" w:hAnsi="宋体" w:eastAsia="宋体" w:cs="宋体"/>
          <w:color w:val="auto"/>
          <w:kern w:val="0"/>
          <w:szCs w:val="21"/>
          <w:highlight w:val="none"/>
        </w:rPr>
        <w:t>当采购数量与实际使用数量不一致时，乙方应根据实际使用量供货，合同的最终结算金额按实际使用量乘以成交单价进行计算，但是增加的金额不能超过原合同金额的10%。</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2.资金性质：</w:t>
      </w:r>
      <w:r>
        <w:rPr>
          <w:rFonts w:hint="eastAsia" w:ascii="宋体" w:hAnsi="宋体" w:eastAsia="宋体" w:cs="宋体"/>
          <w:color w:val="auto"/>
          <w:szCs w:val="21"/>
          <w:highlight w:val="none"/>
          <w:u w:val="single"/>
        </w:rPr>
        <w:t xml:space="preserve">  财政性资金  </w:t>
      </w:r>
      <w:r>
        <w:rPr>
          <w:rFonts w:hint="eastAsia" w:ascii="宋体" w:hAnsi="宋体" w:eastAsia="宋体" w:cs="宋体"/>
          <w:color w:val="auto"/>
          <w:szCs w:val="21"/>
          <w:highlight w:val="none"/>
        </w:rPr>
        <w:t>。</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3.付款方式：自签订合同之日起十个工作日内，甲方支付合同款总额30%作为预付款，货物交付并验收合格，乙方提供相应金额真实、合法、有效的正式发票后，甲方十个工作日内支付剩余款项。【乙方应提供货款全额的发票（货物采购须开具增值税专用发票）】。</w:t>
      </w:r>
    </w:p>
    <w:p>
      <w:pPr>
        <w:keepNext w:val="0"/>
        <w:keepLines w:val="0"/>
        <w:pageBreakBefore w:val="0"/>
        <w:widowControl w:val="0"/>
        <w:kinsoku/>
        <w:wordWrap/>
        <w:overflowPunct/>
        <w:topLinePunct w:val="0"/>
        <w:autoSpaceDE/>
        <w:autoSpaceDN/>
        <w:bidi w:val="0"/>
        <w:adjustRightInd/>
        <w:snapToGrid w:val="0"/>
        <w:spacing w:after="0" w:line="420" w:lineRule="atLeast"/>
        <w:ind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第九条　履约保证金：</w:t>
      </w:r>
      <w:r>
        <w:rPr>
          <w:rFonts w:hint="eastAsia" w:ascii="宋体" w:hAnsi="宋体" w:eastAsia="宋体" w:cs="宋体"/>
          <w:bCs/>
          <w:color w:val="auto"/>
          <w:szCs w:val="21"/>
          <w:highlight w:val="none"/>
          <w:u w:val="single"/>
        </w:rPr>
        <w:t xml:space="preserve">   /   。</w:t>
      </w:r>
    </w:p>
    <w:p>
      <w:pPr>
        <w:keepNext w:val="0"/>
        <w:keepLines w:val="0"/>
        <w:pageBreakBefore w:val="0"/>
        <w:widowControl w:val="0"/>
        <w:kinsoku/>
        <w:wordWrap/>
        <w:overflowPunct/>
        <w:topLinePunct w:val="0"/>
        <w:autoSpaceDE/>
        <w:autoSpaceDN/>
        <w:bidi w:val="0"/>
        <w:adjustRightInd/>
        <w:snapToGrid w:val="0"/>
        <w:spacing w:after="0" w:line="420" w:lineRule="atLeast"/>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第十条</w:t>
      </w:r>
      <w:r>
        <w:rPr>
          <w:rFonts w:hint="eastAsia" w:ascii="宋体" w:hAnsi="宋体" w:eastAsia="宋体" w:cs="宋体"/>
          <w:b/>
          <w:color w:val="auto"/>
          <w:szCs w:val="21"/>
          <w:highlight w:val="none"/>
        </w:rPr>
        <w:t>　</w:t>
      </w:r>
      <w:r>
        <w:rPr>
          <w:rFonts w:hint="eastAsia" w:ascii="宋体" w:hAnsi="宋体" w:eastAsia="宋体" w:cs="宋体"/>
          <w:b/>
          <w:bCs/>
          <w:color w:val="auto"/>
          <w:szCs w:val="21"/>
          <w:highlight w:val="none"/>
        </w:rPr>
        <w:t>税费本合同执行中相关的一切税费均由乙方负担。</w:t>
      </w:r>
    </w:p>
    <w:p>
      <w:pPr>
        <w:keepNext w:val="0"/>
        <w:keepLines w:val="0"/>
        <w:pageBreakBefore w:val="0"/>
        <w:widowControl w:val="0"/>
        <w:kinsoku/>
        <w:wordWrap/>
        <w:overflowPunct/>
        <w:topLinePunct w:val="0"/>
        <w:autoSpaceDE/>
        <w:autoSpaceDN/>
        <w:bidi w:val="0"/>
        <w:adjustRightInd/>
        <w:snapToGrid w:val="0"/>
        <w:spacing w:after="0" w:line="420" w:lineRule="atLeast"/>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第十一条</w:t>
      </w:r>
      <w:r>
        <w:rPr>
          <w:rFonts w:hint="eastAsia" w:ascii="宋体" w:hAnsi="宋体" w:eastAsia="宋体" w:cs="宋体"/>
          <w:b/>
          <w:color w:val="auto"/>
          <w:szCs w:val="21"/>
          <w:highlight w:val="none"/>
        </w:rPr>
        <w:t>　</w:t>
      </w:r>
      <w:r>
        <w:rPr>
          <w:rFonts w:hint="eastAsia" w:ascii="宋体" w:hAnsi="宋体" w:eastAsia="宋体" w:cs="宋体"/>
          <w:b/>
          <w:bCs/>
          <w:color w:val="auto"/>
          <w:szCs w:val="21"/>
          <w:highlight w:val="none"/>
        </w:rPr>
        <w:t>质量保证及售后服务</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1.乙方应按招标文件规定的货物性能、技术要求、质量标准向甲方提供未经使用的全新产品。乙方提供货物的质量保证期按交货最终验收合格之日起计</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none"/>
        </w:rPr>
        <w:t>年</w:t>
      </w:r>
      <w:r>
        <w:rPr>
          <w:rFonts w:hint="eastAsia" w:ascii="宋体" w:hAnsi="宋体" w:eastAsia="宋体" w:cs="宋体"/>
          <w:color w:val="auto"/>
          <w:szCs w:val="21"/>
          <w:highlight w:val="none"/>
          <w:u w:val="none"/>
        </w:rPr>
        <w:t>，部分货物有更长的质量保证期限的按照利于甲方的质量保证期限计算质保时间）</w:t>
      </w:r>
      <w:r>
        <w:rPr>
          <w:rFonts w:hint="eastAsia" w:ascii="宋体" w:hAnsi="宋体" w:eastAsia="宋体" w:cs="宋体"/>
          <w:color w:val="auto"/>
          <w:szCs w:val="21"/>
          <w:highlight w:val="none"/>
        </w:rPr>
        <w:t>。如因甲方原因暂时不能安装、调试视同验收合格的货物，质量保证期从安装、调试完成之日起计算，或者从项目整体最终验收之日起质量保证期满后再延长1年，以先到时间为准。在保证期内因货物本身的质量问题发生故障，乙方应负责免费修理和更换零部件。对达不到技术要求者，根据实际情况，经双方协商，可按以下办法处理：</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（1）更换：由乙方承担所发生的全部费用。</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（2）贬值处理：由甲乙双方合议定价，无法合议定价的以评估价进行认定，因评估而产生的费用由乙方承担，乙方不愿承担评估费的则甲方有权按照本条第三款规定的退货处理。</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（3）退货处理：乙方应退还甲方支付的合同款，同时应承担该货物的直接费用（人工、运输、保险、检验、货款利息及银行手续费等）。</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2.如在使用过程中发生质量问题，乙方在接到甲方通知后</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小时内</w:t>
      </w:r>
      <w:r>
        <w:rPr>
          <w:rFonts w:hint="eastAsia" w:ascii="宋体" w:hAnsi="宋体" w:eastAsia="宋体" w:cs="宋体"/>
          <w:color w:val="auto"/>
          <w:szCs w:val="21"/>
          <w:highlight w:val="none"/>
        </w:rPr>
        <w:t>作出响应，</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小时内</w:t>
      </w:r>
      <w:r>
        <w:rPr>
          <w:rFonts w:hint="eastAsia" w:ascii="宋体" w:hAnsi="宋体" w:eastAsia="宋体" w:cs="宋体"/>
          <w:color w:val="auto"/>
          <w:szCs w:val="21"/>
          <w:highlight w:val="none"/>
        </w:rPr>
        <w:t>到达现场进行处理。（按乙方投标响应时间执行）</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3.在质量保证期内，乙方应对货物出现的质量及安全问题负责处理解决并承担一切费用，否则甲方可以另行委托第三方维修，由此产生的费用由乙方承担。</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4.上述的货物因人为因素出现的故障不在免费保修范围内。超过质量保证期的机器设备的维修或人为因素引发的故障由乙方按投标文件承诺执行，乙方不得拒绝维修。</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5.针对软件系统产品，乙方额外承诺：软件系统产品质量保证期自验收合格之日起计算，不少于 1 年（若生产商、销售商承诺期限更长则从其承诺）；质保期内提供 7×24 小时技术支持，2 小时内响应、2 小时内现场（远程无法解决时）故障排除，免费提供运行故障修复、基础功能升级及安全漏洞修复（不含定制化开发、重大版本迭代），不得非法收集、存储甲方及使用者个人信息、教学数据等敏感信息，保障软件运行稳定性与数据安全性。软件使用权归甲方永久所有，乙方及原生产厂家不得设置使用年限限制或擅自收回、限制使用权限；软件须为合法合规正版成品，无盗版、侵权组件，涉及第三方授权组件的，乙方已获完整授权且相关费用包含在合同价款中。质保期后提供终身优惠维保，常规维保（含系统维护、基础升级、资源更新等）费用单次或按年收取，最高不超过对应产品成交金额的 8%，定制化开发、重大功能升级等超出常规维保范畴的需求由双方另行协商；乙方须履行现场培训义务，确保甲方使用人员熟练掌握软件全部功能，每季度至少开展 1 次强化培训，相关培训费用已包含在投标报价中。</w:t>
      </w:r>
    </w:p>
    <w:p>
      <w:pPr>
        <w:keepNext w:val="0"/>
        <w:keepLines w:val="0"/>
        <w:pageBreakBefore w:val="0"/>
        <w:widowControl w:val="0"/>
        <w:kinsoku/>
        <w:wordWrap/>
        <w:overflowPunct/>
        <w:topLinePunct w:val="0"/>
        <w:autoSpaceDE/>
        <w:autoSpaceDN/>
        <w:bidi w:val="0"/>
        <w:adjustRightInd/>
        <w:snapToGrid w:val="0"/>
        <w:spacing w:after="0" w:line="420" w:lineRule="atLeast"/>
        <w:ind w:firstLine="422" w:firstLineChars="200"/>
        <w:textAlignment w:val="auto"/>
        <w:rPr>
          <w:rFonts w:hint="eastAsia" w:ascii="宋体" w:hAnsi="宋体" w:eastAsia="宋体" w:cs="宋体"/>
          <w:b/>
          <w:bCs/>
          <w:color w:val="auto"/>
          <w:szCs w:val="20"/>
          <w:highlight w:val="none"/>
        </w:rPr>
      </w:pPr>
      <w:r>
        <w:rPr>
          <w:rFonts w:hint="eastAsia" w:ascii="宋体" w:hAnsi="宋体" w:eastAsia="宋体" w:cs="宋体"/>
          <w:b/>
          <w:bCs/>
          <w:color w:val="auto"/>
          <w:szCs w:val="20"/>
          <w:highlight w:val="none"/>
        </w:rPr>
        <w:t>第十二条</w:t>
      </w:r>
      <w:r>
        <w:rPr>
          <w:rFonts w:hint="eastAsia" w:ascii="宋体" w:hAnsi="宋体" w:eastAsia="宋体" w:cs="宋体"/>
          <w:b/>
          <w:color w:val="auto"/>
          <w:szCs w:val="20"/>
          <w:highlight w:val="none"/>
        </w:rPr>
        <w:t>　</w:t>
      </w:r>
      <w:r>
        <w:rPr>
          <w:rFonts w:hint="eastAsia" w:ascii="宋体" w:hAnsi="宋体" w:eastAsia="宋体" w:cs="宋体"/>
          <w:b/>
          <w:bCs/>
          <w:color w:val="auto"/>
          <w:szCs w:val="20"/>
          <w:highlight w:val="none"/>
        </w:rPr>
        <w:t>调试和验收</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jc w:val="left"/>
        <w:textAlignment w:val="auto"/>
        <w:rPr>
          <w:rFonts w:hint="eastAsia" w:ascii="宋体" w:hAnsi="宋体" w:eastAsia="宋体" w:cs="宋体"/>
          <w:color w:val="auto"/>
          <w:szCs w:val="20"/>
          <w:highlight w:val="none"/>
        </w:rPr>
      </w:pPr>
      <w:r>
        <w:rPr>
          <w:rFonts w:hint="eastAsia" w:ascii="宋体" w:hAnsi="宋体" w:eastAsia="宋体" w:cs="宋体"/>
          <w:color w:val="auto"/>
          <w:szCs w:val="20"/>
          <w:highlight w:val="none"/>
        </w:rPr>
        <w:t>1. 甲方对乙方提交的货物依据招标文件上的技术规格要求和国家有关质量标准进行现场初步验收，外观、说明书符合招标文件技术要求的，给予签收，初步验收不合格的不予签收。货到后，甲方应当在到货（安装、调试完）后七个工作日内进行验收。</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0"/>
          <w:highlight w:val="none"/>
        </w:rPr>
      </w:pPr>
      <w:r>
        <w:rPr>
          <w:rFonts w:hint="eastAsia" w:ascii="宋体" w:hAnsi="宋体" w:eastAsia="宋体" w:cs="宋体"/>
          <w:color w:val="auto"/>
          <w:szCs w:val="20"/>
          <w:highlight w:val="none"/>
        </w:rPr>
        <w:t>2. 乙方交货前应对产品作出全面检查和对验收文件进行整理，并列出清单，作为甲方收货验收和使用的技术条件依据，检验的结果应随货物交甲方。</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0"/>
          <w:highlight w:val="none"/>
          <w:u w:val="single"/>
        </w:rPr>
      </w:pPr>
      <w:r>
        <w:rPr>
          <w:rFonts w:hint="eastAsia" w:ascii="宋体" w:hAnsi="宋体" w:eastAsia="宋体" w:cs="宋体"/>
          <w:color w:val="auto"/>
          <w:szCs w:val="20"/>
          <w:highlight w:val="none"/>
        </w:rPr>
        <w:t>3. 甲方对乙方提供的货物在使用前进行调试时，乙方需负责安装并培训甲方的使用操作人员，并协助甲方一起调试，直到符合技术要求，甲方才做最终验收。</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0"/>
          <w:highlight w:val="none"/>
        </w:rPr>
      </w:pPr>
      <w:r>
        <w:rPr>
          <w:rFonts w:hint="eastAsia" w:ascii="宋体" w:hAnsi="宋体" w:eastAsia="宋体" w:cs="宋体"/>
          <w:color w:val="auto"/>
          <w:szCs w:val="20"/>
          <w:highlight w:val="none"/>
        </w:rPr>
        <w:t>4. 对技术复杂的货物，甲方应请国家认可的专业检测机构参与初步验收及最终验收，并由其出具质量检测报告。</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0"/>
          <w:highlight w:val="none"/>
        </w:rPr>
      </w:pPr>
      <w:r>
        <w:rPr>
          <w:rFonts w:hint="eastAsia" w:ascii="宋体" w:hAnsi="宋体" w:eastAsia="宋体" w:cs="宋体"/>
          <w:color w:val="auto"/>
          <w:szCs w:val="20"/>
          <w:highlight w:val="none"/>
        </w:rPr>
        <w:t>5. 验收时乙方必须在现场，验收完毕后作出验收结果报告；验收费用由乙方负责。</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0"/>
          <w:highlight w:val="none"/>
        </w:rPr>
      </w:pPr>
      <w:r>
        <w:rPr>
          <w:rFonts w:hint="eastAsia" w:ascii="宋体" w:hAnsi="宋体" w:eastAsia="宋体" w:cs="宋体"/>
          <w:color w:val="auto"/>
          <w:szCs w:val="20"/>
          <w:highlight w:val="none"/>
        </w:rPr>
        <w:t>6.针对软件系统产品的要求；软件系统产品全功能试运行期间需确保无重大故障、数据传输安全稳定，且所有承诺功能均能正常实现。验收时，乙方需配合甲方对软件的功能完整性、操作流畅性、数据兼容性、终端适配性等进行专项测试，同时提交合法有效的软件使用授权证明文件、完整的部署手册、操作指南、维护手册及相关技术资料；若测试过程中发现功能缺失、性能不达标或技术资料不全等问题，乙方需在甲方指定期限内完成整改，直至符合验收标准，整改期间产生的相关费用由乙方承担。验收时乙方技术人员必须到场，配合解决验收过程中出现的问题，验收相关费用（含专项测试费）均由乙方承担。</w:t>
      </w:r>
    </w:p>
    <w:p>
      <w:pPr>
        <w:keepNext w:val="0"/>
        <w:keepLines w:val="0"/>
        <w:pageBreakBefore w:val="0"/>
        <w:widowControl w:val="0"/>
        <w:kinsoku/>
        <w:wordWrap/>
        <w:overflowPunct/>
        <w:topLinePunct w:val="0"/>
        <w:autoSpaceDE/>
        <w:autoSpaceDN/>
        <w:bidi w:val="0"/>
        <w:adjustRightInd/>
        <w:snapToGrid w:val="0"/>
        <w:spacing w:after="0" w:line="420" w:lineRule="atLeast"/>
        <w:ind w:firstLine="422" w:firstLineChars="200"/>
        <w:textAlignment w:val="auto"/>
        <w:rPr>
          <w:rFonts w:hint="eastAsia" w:ascii="宋体" w:hAnsi="宋体" w:eastAsia="宋体" w:cs="宋体"/>
          <w:b/>
          <w:bCs/>
          <w:color w:val="auto"/>
          <w:szCs w:val="20"/>
          <w:highlight w:val="none"/>
        </w:rPr>
      </w:pPr>
      <w:r>
        <w:rPr>
          <w:rFonts w:hint="eastAsia" w:ascii="宋体" w:hAnsi="宋体" w:eastAsia="宋体" w:cs="宋体"/>
          <w:b/>
          <w:bCs/>
          <w:color w:val="auto"/>
          <w:szCs w:val="20"/>
          <w:highlight w:val="none"/>
        </w:rPr>
        <w:t>第十三条</w:t>
      </w:r>
      <w:r>
        <w:rPr>
          <w:rFonts w:hint="eastAsia" w:ascii="宋体" w:hAnsi="宋体" w:eastAsia="宋体" w:cs="宋体"/>
          <w:b/>
          <w:color w:val="auto"/>
          <w:szCs w:val="20"/>
          <w:highlight w:val="none"/>
        </w:rPr>
        <w:t>　</w:t>
      </w:r>
      <w:r>
        <w:rPr>
          <w:rFonts w:hint="eastAsia" w:ascii="宋体" w:hAnsi="宋体" w:eastAsia="宋体" w:cs="宋体"/>
          <w:b/>
          <w:bCs/>
          <w:color w:val="auto"/>
          <w:szCs w:val="20"/>
          <w:highlight w:val="none"/>
        </w:rPr>
        <w:t>货物包装、发运及运输</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0"/>
          <w:highlight w:val="none"/>
        </w:rPr>
      </w:pPr>
      <w:r>
        <w:rPr>
          <w:rFonts w:hint="eastAsia" w:ascii="宋体" w:hAnsi="宋体" w:eastAsia="宋体" w:cs="宋体"/>
          <w:color w:val="auto"/>
          <w:szCs w:val="20"/>
          <w:highlight w:val="none"/>
        </w:rPr>
        <w:t>1. 乙方应在货物发运前对其进行满足运输距离、防潮、防震、防锈和防破损装卸等要求包装，以</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0"/>
          <w:highlight w:val="none"/>
        </w:rPr>
      </w:pPr>
      <w:r>
        <w:rPr>
          <w:rFonts w:hint="eastAsia" w:ascii="宋体" w:hAnsi="宋体" w:eastAsia="宋体" w:cs="宋体"/>
          <w:color w:val="auto"/>
          <w:szCs w:val="20"/>
          <w:highlight w:val="none"/>
        </w:rPr>
        <w:t>保证货物安全运达甲方指定地点。</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0"/>
          <w:highlight w:val="none"/>
        </w:rPr>
      </w:pPr>
      <w:r>
        <w:rPr>
          <w:rFonts w:hint="eastAsia" w:ascii="宋体" w:hAnsi="宋体" w:eastAsia="宋体" w:cs="宋体"/>
          <w:color w:val="auto"/>
          <w:szCs w:val="20"/>
          <w:highlight w:val="none"/>
        </w:rPr>
        <w:t>2. 使用说明书、质量检验证明书、随配附件和工具以及清单一并附于货物内。</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0"/>
          <w:highlight w:val="none"/>
        </w:rPr>
      </w:pPr>
      <w:r>
        <w:rPr>
          <w:rFonts w:hint="eastAsia" w:ascii="宋体" w:hAnsi="宋体" w:eastAsia="宋体" w:cs="宋体"/>
          <w:color w:val="auto"/>
          <w:szCs w:val="20"/>
          <w:highlight w:val="none"/>
        </w:rPr>
        <w:t>3. 乙方在货物发运手续办理完毕后二十四小时内或货到甲方四十八小时前通知甲方，以准备接货。</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0"/>
          <w:highlight w:val="none"/>
        </w:rPr>
      </w:pPr>
      <w:r>
        <w:rPr>
          <w:rFonts w:hint="eastAsia" w:ascii="宋体" w:hAnsi="宋体" w:eastAsia="宋体" w:cs="宋体"/>
          <w:color w:val="auto"/>
          <w:szCs w:val="20"/>
          <w:highlight w:val="none"/>
        </w:rPr>
        <w:t>4. 货物在交付甲方前发生的风险均由乙方负责。</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pacing w:val="-8"/>
          <w:szCs w:val="20"/>
          <w:highlight w:val="none"/>
        </w:rPr>
      </w:pPr>
      <w:r>
        <w:rPr>
          <w:rFonts w:hint="eastAsia" w:ascii="宋体" w:hAnsi="宋体" w:eastAsia="宋体" w:cs="宋体"/>
          <w:color w:val="auto"/>
          <w:szCs w:val="20"/>
          <w:highlight w:val="none"/>
        </w:rPr>
        <w:t>5. 货</w:t>
      </w:r>
      <w:r>
        <w:rPr>
          <w:rFonts w:hint="eastAsia" w:ascii="宋体" w:hAnsi="宋体" w:eastAsia="宋体" w:cs="宋体"/>
          <w:color w:val="auto"/>
          <w:spacing w:val="-8"/>
          <w:szCs w:val="20"/>
          <w:highlight w:val="none"/>
        </w:rPr>
        <w:t>物在规定的交付期限内由乙方送达甲方指定的地点视为交付，乙方同时需通知甲方货物已送达。</w:t>
      </w:r>
    </w:p>
    <w:p>
      <w:pPr>
        <w:keepNext w:val="0"/>
        <w:keepLines w:val="0"/>
        <w:pageBreakBefore w:val="0"/>
        <w:widowControl w:val="0"/>
        <w:kinsoku/>
        <w:wordWrap/>
        <w:overflowPunct/>
        <w:topLinePunct w:val="0"/>
        <w:autoSpaceDE/>
        <w:autoSpaceDN/>
        <w:bidi w:val="0"/>
        <w:adjustRightInd/>
        <w:snapToGrid w:val="0"/>
        <w:spacing w:after="0" w:line="420" w:lineRule="atLeast"/>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第十四条　违约责任</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1.乙方所提供的货物规格、技术标准、材料等质量不合格的且更换不及时的按逾期交货处罚；因质量问题甲方不同意接收的或特殊情况甲方同意接收的，乙方应向甲方支付违约部分产品货款金额</w:t>
      </w:r>
      <w:r>
        <w:rPr>
          <w:rFonts w:hint="eastAsia" w:ascii="宋体" w:hAnsi="宋体" w:eastAsia="宋体" w:cs="宋体"/>
          <w:color w:val="auto"/>
          <w:szCs w:val="21"/>
          <w:highlight w:val="none"/>
          <w:u w:val="single"/>
        </w:rPr>
        <w:t>5%</w:t>
      </w:r>
      <w:r>
        <w:rPr>
          <w:rFonts w:hint="eastAsia" w:ascii="宋体" w:hAnsi="宋体" w:eastAsia="宋体" w:cs="宋体"/>
          <w:color w:val="auto"/>
          <w:szCs w:val="21"/>
          <w:highlight w:val="none"/>
        </w:rPr>
        <w:t>违约金并赔偿甲方经济损失</w:t>
      </w:r>
      <w:r>
        <w:rPr>
          <w:rFonts w:hint="eastAsia" w:ascii="宋体" w:hAnsi="宋体" w:eastAsia="宋体" w:cs="宋体"/>
          <w:color w:val="auto"/>
          <w:szCs w:val="21"/>
          <w:highlight w:val="none"/>
          <w:lang w:eastAsia="zh-CN"/>
        </w:rPr>
        <w:t>，逾期超过</w:t>
      </w:r>
      <w:r>
        <w:rPr>
          <w:rFonts w:hint="eastAsia" w:ascii="宋体" w:hAnsi="宋体" w:eastAsia="宋体" w:cs="宋体"/>
          <w:color w:val="auto"/>
          <w:szCs w:val="21"/>
          <w:highlight w:val="none"/>
          <w:lang w:val="en-US" w:eastAsia="zh-CN"/>
        </w:rPr>
        <w:t>15</w:t>
      </w:r>
      <w:r>
        <w:rPr>
          <w:rFonts w:hint="eastAsia" w:ascii="宋体" w:hAnsi="宋体" w:eastAsia="宋体" w:cs="宋体"/>
          <w:color w:val="auto"/>
          <w:szCs w:val="21"/>
          <w:highlight w:val="none"/>
          <w:lang w:eastAsia="zh-CN"/>
        </w:rPr>
        <w:t>天的，甲方有权单方解除合同</w:t>
      </w:r>
      <w:r>
        <w:rPr>
          <w:rFonts w:hint="eastAsia" w:ascii="宋体" w:hAnsi="宋体" w:eastAsia="宋体" w:cs="宋体"/>
          <w:color w:val="auto"/>
          <w:szCs w:val="21"/>
          <w:highlight w:val="none"/>
        </w:rPr>
        <w:t>。</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乙方提供的货物如侵犯了第三方合法权益而引发的任何纠纷或诉讼，均由乙方负责交涉并承担全部责任，如甲方因此向第三方承担了相关责任有权向乙方追偿全部损失。若因此导致甲方经济损失的，乙方应当予以赔偿，赔偿范围包括但不限于实际发生的经济损失以及甲方为解决纠纷、维护自身合法权益而产生的律师费、诉讼费、保全费、财产保全保函费、差旅费等。</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因包装、运输引起的货物损坏，按质量不合格处罚，甲方有权要求乙方重新交付合格的货物，乙方重新交付合格货物后完成安装、全功能试运行的期限不变。若乙方不能重新交付合格货物或重新交付的货物的质量仍不合格的，甲方有权部分解除合同即不再接受乙方供应所涉货物且不向乙方支付相应货款，并要求乙方向甲方支付违约部分产品货款金额 5%的违约金。</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甲方无故延期接收货物、乙方逾期完成有形产品调试或软件系统产品全功能试运行的，每天向对方支付逾期部分产品货款万分之三的的逾期违约金。甲方逾期支付货款的，每天向乙方支付应付未付金额万分之三的逾期违约金（若甲方因特殊情形无法按时支付货款的，经乙方同意可以延期付款，乙方同意延期付款的不视为甲方违约）。</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一方应向对方支付的逾期违约金累计不得超过违约部分产品货款金额的5%。乙方逾期完成有形产品调试或软件系统产品全功能试运行超过 17 天，或甲方逾期支付应付货款超过 17 天的，违约方承担因此给对方造成经济损失。</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若因为乙方违约造成甲方解除合同的，乙方应在合同解除之日起五日内全额无息退还甲方已付款项；若因为甲方违约造成乙方解除合同的，乙方有权收回已交付的货物，运费由甲方承担，应在合同解除之日起五日内全额无息退还甲方已付款项。</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 货物最终验收结果为不合格且乙方无法通过更换、重做等补救措施达到合格标准的，视为乙方根本性违约，</w:t>
      </w:r>
      <w:r>
        <w:rPr>
          <w:rFonts w:hint="eastAsia" w:ascii="宋体" w:hAnsi="宋体" w:eastAsia="宋体" w:cs="宋体"/>
          <w:color w:val="auto"/>
          <w:szCs w:val="21"/>
          <w:highlight w:val="none"/>
          <w:lang w:val="en-US" w:eastAsia="zh-CN"/>
        </w:rPr>
        <w:t>并承担因此产生的一切费用；</w:t>
      </w:r>
      <w:r>
        <w:rPr>
          <w:rFonts w:hint="eastAsia" w:ascii="宋体" w:hAnsi="宋体" w:eastAsia="宋体" w:cs="宋体"/>
          <w:color w:val="auto"/>
          <w:szCs w:val="21"/>
          <w:highlight w:val="none"/>
        </w:rPr>
        <w:t>甲方有权解除本合同，乙方应退还甲方已付全部费用并向甲方支付合同总价20%的违约金，乙方支付的违约金不足以弥补甲方损失的，甲方仍有权要求乙方赔偿实际损失。</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.乙方未按本合同和投标文件中规定的服务承诺提供售后服务的</w:t>
      </w:r>
      <w:r>
        <w:rPr>
          <w:rFonts w:hint="eastAsia" w:ascii="宋体" w:hAnsi="宋体" w:eastAsia="宋体" w:cs="宋体"/>
          <w:color w:val="auto"/>
          <w:szCs w:val="21"/>
          <w:highlight w:val="none"/>
          <w:lang w:val="en-US" w:eastAsia="zh-CN"/>
        </w:rPr>
        <w:t>或</w:t>
      </w:r>
      <w:r>
        <w:rPr>
          <w:rFonts w:hint="eastAsia" w:ascii="宋体" w:hAnsi="宋体" w:eastAsia="宋体" w:cs="宋体"/>
          <w:i w:val="0"/>
          <w:iCs w:val="0"/>
          <w:caps w:val="0"/>
          <w:color w:val="auto"/>
          <w:spacing w:val="0"/>
          <w:sz w:val="21"/>
          <w:szCs w:val="21"/>
          <w:highlight w:val="none"/>
          <w:shd w:val="clear" w:fill="auto"/>
        </w:rPr>
        <w:t>未经甲方书面同意，乙方不得擅自更换投标文件中承诺的项目经理及主要技术负责人</w:t>
      </w:r>
      <w:r>
        <w:rPr>
          <w:rFonts w:hint="eastAsia" w:ascii="宋体" w:hAnsi="宋体" w:eastAsia="宋体" w:cs="宋体"/>
          <w:color w:val="auto"/>
          <w:szCs w:val="21"/>
          <w:highlight w:val="none"/>
        </w:rPr>
        <w:t>，乙方应按本合同总金额5%向甲方支付违约金。</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乙方提供的货物在质量保证期内，因设计、工艺或材料的缺陷和其它质量原因造成的问题，由乙方负责修复，如无法修复的乙方负责更换全新货物，或者按合同价向甲方赔偿经济损失，乙方维修的费用及更换全新货物的费用由乙方自行承担，甲方不支付任何费用。</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.其它违约行为按违约货款额5%收取违约金并赔偿经济损失。</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rPr>
        <w:t>.乙方擅自将合同义务转给第三方履行的，一经发现，甲方有权解除合同并要求乙方支付合同金额的20%的违约金，并赔偿给甲方造成的损失。</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.乙方自甲方通知有形产品调试、软件系统产品全功能试运行之日起十日内未配合甲方开始相关工作的，乙方应按本合同总价的 5%向甲方支付违约金，情形严重的，甲方有权拒绝支付货款、委托第三方协助调试、全功能试运行，甲方有权要求乙方承担甲方因此向第三方支付的的费用。</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strike/>
          <w:color w:val="auto"/>
          <w:highlight w:val="none"/>
        </w:rPr>
      </w:pPr>
      <w:r>
        <w:rPr>
          <w:rFonts w:hint="eastAsia" w:ascii="宋体" w:hAnsi="宋体" w:eastAsia="宋体" w:cs="宋体"/>
          <w:color w:val="auto"/>
          <w:szCs w:val="21"/>
          <w:highlight w:val="none"/>
        </w:rPr>
        <w:t>本合同约定的违约责任或经济损失包括但不限于实际造成的经济损失、为实现债权而支出的全部合理费用，包括但不限于律师费、诉讼费、保全费、保全保函费、执行费、鉴定费、公证费、评估费、差旅费等。</w:t>
      </w:r>
    </w:p>
    <w:p>
      <w:pPr>
        <w:keepNext w:val="0"/>
        <w:keepLines w:val="0"/>
        <w:pageBreakBefore w:val="0"/>
        <w:widowControl w:val="0"/>
        <w:kinsoku/>
        <w:wordWrap/>
        <w:overflowPunct/>
        <w:topLinePunct w:val="0"/>
        <w:autoSpaceDE/>
        <w:autoSpaceDN/>
        <w:bidi w:val="0"/>
        <w:adjustRightInd/>
        <w:snapToGrid w:val="0"/>
        <w:spacing w:after="0" w:line="420" w:lineRule="atLeast"/>
        <w:ind w:firstLine="422" w:firstLineChars="200"/>
        <w:textAlignment w:val="auto"/>
        <w:rPr>
          <w:rFonts w:hint="eastAsia" w:ascii="宋体" w:hAnsi="宋体" w:eastAsia="宋体" w:cs="宋体"/>
          <w:b/>
          <w:bCs/>
          <w:color w:val="auto"/>
          <w:szCs w:val="20"/>
          <w:highlight w:val="none"/>
        </w:rPr>
      </w:pPr>
      <w:r>
        <w:rPr>
          <w:rFonts w:hint="eastAsia" w:ascii="宋体" w:hAnsi="宋体" w:eastAsia="宋体" w:cs="宋体"/>
          <w:b/>
          <w:bCs/>
          <w:color w:val="auto"/>
          <w:szCs w:val="20"/>
          <w:highlight w:val="none"/>
        </w:rPr>
        <w:t>第十五条</w:t>
      </w:r>
      <w:r>
        <w:rPr>
          <w:rFonts w:hint="eastAsia" w:ascii="宋体" w:hAnsi="宋体" w:eastAsia="宋体" w:cs="宋体"/>
          <w:b/>
          <w:color w:val="auto"/>
          <w:szCs w:val="20"/>
          <w:highlight w:val="none"/>
        </w:rPr>
        <w:t>　</w:t>
      </w:r>
      <w:r>
        <w:rPr>
          <w:rFonts w:hint="eastAsia" w:ascii="宋体" w:hAnsi="宋体" w:eastAsia="宋体" w:cs="宋体"/>
          <w:b/>
          <w:bCs/>
          <w:color w:val="auto"/>
          <w:szCs w:val="20"/>
          <w:highlight w:val="none"/>
        </w:rPr>
        <w:t>不可抗力事件处理</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0"/>
          <w:highlight w:val="none"/>
        </w:rPr>
      </w:pPr>
      <w:r>
        <w:rPr>
          <w:rFonts w:hint="eastAsia" w:ascii="宋体" w:hAnsi="宋体" w:eastAsia="宋体" w:cs="宋体"/>
          <w:color w:val="auto"/>
          <w:szCs w:val="20"/>
          <w:highlight w:val="none"/>
        </w:rPr>
        <w:t>1. 在合同有效期内，任何一方因不可抗力事件导致不能履行合同，则合同履行期可延长，其延长期与不可抗力影响期相同。</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0"/>
          <w:highlight w:val="none"/>
        </w:rPr>
      </w:pPr>
      <w:r>
        <w:rPr>
          <w:rFonts w:hint="eastAsia" w:ascii="宋体" w:hAnsi="宋体" w:eastAsia="宋体" w:cs="宋体"/>
          <w:color w:val="auto"/>
          <w:szCs w:val="20"/>
          <w:highlight w:val="none"/>
        </w:rPr>
        <w:t>2. 不可抗力事件发生后，应立即通知对方，并寄送有关权威机构出具的证明。</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0"/>
          <w:highlight w:val="none"/>
        </w:rPr>
      </w:pPr>
      <w:r>
        <w:rPr>
          <w:rFonts w:hint="eastAsia" w:ascii="宋体" w:hAnsi="宋体" w:eastAsia="宋体" w:cs="宋体"/>
          <w:color w:val="auto"/>
          <w:szCs w:val="20"/>
          <w:highlight w:val="none"/>
        </w:rPr>
        <w:t>3. 不可抗力事件延续一百二十天以上，双方应通过友好协商，确定是否继续履行合同。</w:t>
      </w:r>
    </w:p>
    <w:p>
      <w:pPr>
        <w:keepNext w:val="0"/>
        <w:keepLines w:val="0"/>
        <w:pageBreakBefore w:val="0"/>
        <w:widowControl w:val="0"/>
        <w:kinsoku/>
        <w:wordWrap/>
        <w:overflowPunct/>
        <w:topLinePunct w:val="0"/>
        <w:autoSpaceDE/>
        <w:autoSpaceDN/>
        <w:bidi w:val="0"/>
        <w:adjustRightInd/>
        <w:snapToGrid w:val="0"/>
        <w:spacing w:after="0" w:line="420" w:lineRule="atLeast"/>
        <w:ind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第十六条</w:t>
      </w:r>
      <w:r>
        <w:rPr>
          <w:rFonts w:hint="eastAsia" w:ascii="宋体" w:hAnsi="宋体" w:eastAsia="宋体" w:cs="宋体"/>
          <w:b/>
          <w:color w:val="auto"/>
          <w:szCs w:val="21"/>
          <w:highlight w:val="none"/>
        </w:rPr>
        <w:t>　</w:t>
      </w:r>
      <w:r>
        <w:rPr>
          <w:rFonts w:hint="eastAsia" w:ascii="宋体" w:hAnsi="宋体" w:eastAsia="宋体" w:cs="宋体"/>
          <w:b/>
          <w:bCs/>
          <w:color w:val="auto"/>
          <w:szCs w:val="21"/>
          <w:highlight w:val="none"/>
        </w:rPr>
        <w:t>合同争议解决</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1.因货物质量问题发生争议的，应邀请国家认可的质量检测机构对货物质量进行鉴定。货物符合标准的，鉴定费由甲方承担；货物不符合标准的，鉴定费由乙方承担。</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2.因履行本合同引起的或与本合同有关的争议，甲乙双方应首先通过友好协商解决，如果协商不能解决，可向甲方所在地有管辖权的人民法院提起诉讼。</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3.仲裁或诉讼期间，本合同继续履行。</w:t>
      </w:r>
    </w:p>
    <w:p>
      <w:pPr>
        <w:keepNext w:val="0"/>
        <w:keepLines w:val="0"/>
        <w:pageBreakBefore w:val="0"/>
        <w:widowControl w:val="0"/>
        <w:kinsoku/>
        <w:wordWrap/>
        <w:overflowPunct/>
        <w:topLinePunct w:val="0"/>
        <w:autoSpaceDE/>
        <w:autoSpaceDN/>
        <w:bidi w:val="0"/>
        <w:adjustRightInd/>
        <w:snapToGrid w:val="0"/>
        <w:spacing w:after="0" w:line="420" w:lineRule="atLeast"/>
        <w:ind w:firstLine="422" w:firstLineChars="200"/>
        <w:textAlignment w:val="auto"/>
        <w:rPr>
          <w:rFonts w:hint="eastAsia" w:ascii="宋体" w:hAnsi="宋体" w:eastAsia="宋体" w:cs="宋体"/>
          <w:b/>
          <w:bCs/>
          <w:color w:val="auto"/>
          <w:szCs w:val="20"/>
          <w:highlight w:val="none"/>
        </w:rPr>
      </w:pPr>
      <w:r>
        <w:rPr>
          <w:rFonts w:hint="eastAsia" w:ascii="宋体" w:hAnsi="宋体" w:eastAsia="宋体" w:cs="宋体"/>
          <w:b/>
          <w:bCs/>
          <w:color w:val="auto"/>
          <w:szCs w:val="20"/>
          <w:highlight w:val="none"/>
        </w:rPr>
        <w:t>第十七条</w:t>
      </w:r>
      <w:r>
        <w:rPr>
          <w:rFonts w:hint="eastAsia" w:ascii="宋体" w:hAnsi="宋体" w:eastAsia="宋体" w:cs="宋体"/>
          <w:b/>
          <w:color w:val="auto"/>
          <w:szCs w:val="20"/>
          <w:highlight w:val="none"/>
        </w:rPr>
        <w:t>　</w:t>
      </w:r>
      <w:r>
        <w:rPr>
          <w:rFonts w:hint="eastAsia" w:ascii="宋体" w:hAnsi="宋体" w:eastAsia="宋体" w:cs="宋体"/>
          <w:b/>
          <w:bCs/>
          <w:color w:val="auto"/>
          <w:szCs w:val="20"/>
          <w:highlight w:val="none"/>
        </w:rPr>
        <w:t>合同生效及其它</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bCs/>
          <w:color w:val="auto"/>
          <w:szCs w:val="20"/>
          <w:highlight w:val="none"/>
        </w:rPr>
      </w:pPr>
      <w:r>
        <w:rPr>
          <w:rFonts w:hint="eastAsia" w:ascii="宋体" w:hAnsi="宋体" w:eastAsia="宋体" w:cs="宋体"/>
          <w:bCs/>
          <w:color w:val="auto"/>
          <w:szCs w:val="20"/>
          <w:highlight w:val="none"/>
        </w:rPr>
        <w:t>1．合同经双方法定代表人(负责人)或授权代表（委托代理人）签字并加盖单位公章后生效。</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bCs/>
          <w:color w:val="auto"/>
          <w:szCs w:val="20"/>
          <w:highlight w:val="none"/>
        </w:rPr>
      </w:pPr>
      <w:r>
        <w:rPr>
          <w:rFonts w:hint="eastAsia" w:ascii="宋体" w:hAnsi="宋体" w:eastAsia="宋体" w:cs="宋体"/>
          <w:bCs/>
          <w:color w:val="auto"/>
          <w:szCs w:val="20"/>
          <w:highlight w:val="none"/>
        </w:rPr>
        <w:t>2．合同执行中涉及采购资金和采购内容修改或补充的，须经广西区财政厅政府采购监督管理处审批，并签书面补充协议报广西区财政厅政府采购监督管理处备案，方可作为主合同不可分割的一部分。</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bCs/>
          <w:color w:val="auto"/>
          <w:szCs w:val="20"/>
          <w:highlight w:val="none"/>
        </w:rPr>
      </w:pPr>
      <w:r>
        <w:rPr>
          <w:rFonts w:hint="eastAsia" w:ascii="宋体" w:hAnsi="宋体" w:eastAsia="宋体" w:cs="宋体"/>
          <w:bCs/>
          <w:color w:val="auto"/>
          <w:szCs w:val="20"/>
          <w:highlight w:val="none"/>
        </w:rPr>
        <w:t>3．本合同未尽事宜，遵照</w:t>
      </w:r>
      <w:r>
        <w:rPr>
          <w:rFonts w:hint="eastAsia" w:ascii="宋体" w:hAnsi="宋体" w:eastAsia="宋体" w:cs="宋体"/>
          <w:color w:val="auto"/>
          <w:szCs w:val="20"/>
          <w:highlight w:val="none"/>
        </w:rPr>
        <w:t>《中华人民共和国民法典》</w:t>
      </w:r>
      <w:r>
        <w:rPr>
          <w:rFonts w:hint="eastAsia" w:ascii="宋体" w:hAnsi="宋体" w:eastAsia="宋体" w:cs="宋体"/>
          <w:bCs/>
          <w:color w:val="auto"/>
          <w:szCs w:val="20"/>
          <w:highlight w:val="none"/>
        </w:rPr>
        <w:t>有关条文执行。</w:t>
      </w:r>
    </w:p>
    <w:p>
      <w:pPr>
        <w:keepNext w:val="0"/>
        <w:keepLines w:val="0"/>
        <w:pageBreakBefore w:val="0"/>
        <w:widowControl w:val="0"/>
        <w:kinsoku/>
        <w:wordWrap/>
        <w:overflowPunct/>
        <w:topLinePunct w:val="0"/>
        <w:autoSpaceDE/>
        <w:autoSpaceDN/>
        <w:bidi w:val="0"/>
        <w:adjustRightInd/>
        <w:snapToGrid w:val="0"/>
        <w:spacing w:after="0" w:line="420" w:lineRule="atLeast"/>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第十八条　合同的变更、终止与转让</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1．除《中华人民共和国政府采购法》第五十条规定的情形外，本合同一经签订，甲乙双方不得擅自变更、中止或终止。</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b/>
          <w:bCs/>
          <w:color w:val="auto"/>
          <w:szCs w:val="20"/>
          <w:highlight w:val="none"/>
        </w:rPr>
      </w:pPr>
      <w:r>
        <w:rPr>
          <w:rFonts w:hint="eastAsia" w:ascii="宋体" w:hAnsi="宋体" w:eastAsia="宋体" w:cs="宋体"/>
          <w:color w:val="auto"/>
          <w:szCs w:val="20"/>
          <w:highlight w:val="none"/>
        </w:rPr>
        <w:t>2．乙方不得擅自转让（无进口资格的投标人委托进口货物除外）其应履行的合同义务。</w:t>
      </w:r>
    </w:p>
    <w:p>
      <w:pPr>
        <w:keepNext w:val="0"/>
        <w:keepLines w:val="0"/>
        <w:pageBreakBefore w:val="0"/>
        <w:widowControl w:val="0"/>
        <w:kinsoku/>
        <w:wordWrap/>
        <w:overflowPunct/>
        <w:topLinePunct w:val="0"/>
        <w:autoSpaceDE/>
        <w:autoSpaceDN/>
        <w:bidi w:val="0"/>
        <w:adjustRightInd/>
        <w:snapToGrid w:val="0"/>
        <w:spacing w:after="0" w:line="420" w:lineRule="atLeast"/>
        <w:ind w:firstLine="438" w:firstLineChars="200"/>
        <w:textAlignment w:val="auto"/>
        <w:rPr>
          <w:rFonts w:hint="eastAsia" w:ascii="宋体" w:hAnsi="宋体" w:eastAsia="宋体" w:cs="宋体"/>
          <w:b/>
          <w:color w:val="auto"/>
          <w:spacing w:val="4"/>
          <w:szCs w:val="21"/>
          <w:highlight w:val="none"/>
        </w:rPr>
      </w:pPr>
      <w:r>
        <w:rPr>
          <w:rFonts w:hint="eastAsia" w:ascii="宋体" w:hAnsi="宋体" w:eastAsia="宋体" w:cs="宋体"/>
          <w:b/>
          <w:color w:val="auto"/>
          <w:spacing w:val="4"/>
          <w:szCs w:val="21"/>
          <w:highlight w:val="none"/>
        </w:rPr>
        <w:t>第十九条  签订本合同依据</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招标文件</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乙方投标文件</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中标通知书</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其他约定附件</w:t>
      </w:r>
    </w:p>
    <w:p>
      <w:pPr>
        <w:keepNext w:val="0"/>
        <w:keepLines w:val="0"/>
        <w:pageBreakBefore w:val="0"/>
        <w:widowControl w:val="0"/>
        <w:kinsoku/>
        <w:wordWrap/>
        <w:overflowPunct/>
        <w:topLinePunct w:val="0"/>
        <w:autoSpaceDE/>
        <w:autoSpaceDN/>
        <w:bidi w:val="0"/>
        <w:adjustRightInd/>
        <w:snapToGrid w:val="0"/>
        <w:spacing w:after="0" w:line="420" w:lineRule="atLeast"/>
        <w:ind w:firstLine="422" w:firstLineChars="200"/>
        <w:textAlignment w:val="auto"/>
        <w:rPr>
          <w:rFonts w:hint="eastAsia" w:ascii="宋体" w:hAnsi="宋体" w:eastAsia="宋体" w:cs="宋体"/>
          <w:color w:val="auto"/>
          <w:szCs w:val="21"/>
          <w:highlight w:val="none"/>
          <w:u w:val="none"/>
        </w:rPr>
      </w:pPr>
      <w:r>
        <w:rPr>
          <w:rFonts w:hint="eastAsia" w:ascii="宋体" w:hAnsi="宋体" w:eastAsia="宋体" w:cs="宋体"/>
          <w:b/>
          <w:bCs/>
          <w:color w:val="auto"/>
          <w:szCs w:val="21"/>
          <w:highlight w:val="none"/>
        </w:rPr>
        <w:t>第二十条　</w:t>
      </w:r>
      <w:r>
        <w:rPr>
          <w:rFonts w:hint="eastAsia" w:ascii="宋体" w:hAnsi="宋体" w:eastAsia="宋体" w:cs="宋体"/>
          <w:color w:val="auto"/>
          <w:szCs w:val="21"/>
          <w:highlight w:val="none"/>
        </w:rPr>
        <w:t>本合同一式伍份，具有同等法律效力，采购代理机构存档壹份，甲方执叁份，乙</w:t>
      </w:r>
      <w:r>
        <w:rPr>
          <w:rFonts w:hint="eastAsia" w:ascii="宋体" w:hAnsi="宋体" w:eastAsia="宋体" w:cs="宋体"/>
          <w:color w:val="auto"/>
          <w:szCs w:val="21"/>
          <w:highlight w:val="none"/>
          <w:u w:val="none"/>
        </w:rPr>
        <w:t>方执壹份。</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本合同甲乙双方签字盖章后生效。本合同自签订之日起2个工作日内，甲方应当将采购合同在广西壮族自治区财政厅指定的媒体上公告。</w:t>
      </w:r>
    </w:p>
    <w:p>
      <w:pPr>
        <w:keepNext w:val="0"/>
        <w:keepLines w:val="0"/>
        <w:pageBreakBefore w:val="0"/>
        <w:widowControl w:val="0"/>
        <w:kinsoku/>
        <w:wordWrap/>
        <w:overflowPunct/>
        <w:topLinePunct w:val="0"/>
        <w:autoSpaceDE/>
        <w:autoSpaceDN/>
        <w:bidi w:val="0"/>
        <w:adjustRightInd/>
        <w:snapToGrid w:val="0"/>
        <w:spacing w:after="0" w:line="420" w:lineRule="atLeast"/>
        <w:ind w:firstLine="420" w:firstLineChars="200"/>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lang w:eastAsia="zh-CN"/>
        </w:rPr>
        <w:t>附件：</w:t>
      </w:r>
      <w:r>
        <w:rPr>
          <w:rFonts w:hint="eastAsia" w:ascii="宋体" w:hAnsi="宋体" w:eastAsia="宋体" w:cs="宋体"/>
          <w:color w:val="auto"/>
          <w:szCs w:val="21"/>
          <w:highlight w:val="none"/>
          <w:u w:val="none"/>
        </w:rPr>
        <w:t xml:space="preserve"> 清廉共建协议书 </w:t>
      </w:r>
    </w:p>
    <w:p>
      <w:pPr>
        <w:rPr>
          <w:rFonts w:hint="eastAsia" w:ascii="宋体" w:hAnsi="宋体" w:eastAsia="宋体" w:cs="宋体"/>
          <w:color w:val="auto"/>
          <w:highlight w:val="none"/>
        </w:rPr>
      </w:pPr>
    </w:p>
    <w:tbl>
      <w:tblPr>
        <w:tblStyle w:val="27"/>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0"/>
        <w:gridCol w:w="4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2500" w:type="pct"/>
            <w:tcBorders>
              <w:top w:val="single" w:color="auto" w:sz="4" w:space="0"/>
              <w:left w:val="single" w:color="auto" w:sz="4" w:space="0"/>
              <w:bottom w:val="single" w:color="auto" w:sz="4" w:space="0"/>
              <w:right w:val="single" w:color="auto" w:sz="4" w:space="0"/>
            </w:tcBorders>
            <w:vAlign w:val="center"/>
          </w:tcPr>
          <w:p>
            <w:pPr>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甲方（章）   </w:t>
            </w:r>
          </w:p>
          <w:p>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广西医科大学</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年   月   日</w:t>
            </w:r>
          </w:p>
        </w:tc>
        <w:tc>
          <w:tcPr>
            <w:tcW w:w="2500" w:type="pct"/>
            <w:tcBorders>
              <w:top w:val="single" w:color="auto" w:sz="4" w:space="0"/>
              <w:left w:val="single" w:color="auto" w:sz="4" w:space="0"/>
              <w:bottom w:val="single" w:color="auto" w:sz="4" w:space="0"/>
              <w:right w:val="single" w:color="auto" w:sz="4" w:space="0"/>
            </w:tcBorders>
            <w:vAlign w:val="center"/>
          </w:tcPr>
          <w:p>
            <w:pPr>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乙方（章） </w:t>
            </w:r>
          </w:p>
          <w:p>
            <w:pPr>
              <w:pStyle w:val="2"/>
              <w:rPr>
                <w:rFonts w:hint="eastAsia"/>
                <w:color w:val="auto"/>
                <w:highlight w:val="none"/>
              </w:rPr>
            </w:pPr>
          </w:p>
          <w:p>
            <w:pPr>
              <w:snapToGrid w:val="0"/>
              <w:spacing w:line="400" w:lineRule="exact"/>
              <w:jc w:val="right"/>
              <w:rPr>
                <w:rFonts w:hint="eastAsia" w:ascii="宋体" w:hAnsi="宋体"/>
                <w:color w:val="auto"/>
                <w:szCs w:val="21"/>
                <w:highlight w:val="none"/>
              </w:rPr>
            </w:pPr>
            <w:r>
              <w:rPr>
                <w:rFonts w:hint="eastAsia" w:ascii="宋体" w:hAnsi="宋体"/>
                <w:color w:val="auto"/>
                <w:szCs w:val="21"/>
                <w:highlight w:val="non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500" w:type="pct"/>
            <w:tcBorders>
              <w:top w:val="single" w:color="auto" w:sz="4" w:space="0"/>
              <w:left w:val="single" w:color="auto" w:sz="4" w:space="0"/>
              <w:bottom w:val="single" w:color="auto" w:sz="4" w:space="0"/>
              <w:right w:val="single" w:color="auto" w:sz="4" w:space="0"/>
            </w:tcBorders>
            <w:vAlign w:val="center"/>
          </w:tcPr>
          <w:p>
            <w:pPr>
              <w:snapToGrid w:val="0"/>
              <w:spacing w:line="400" w:lineRule="exact"/>
              <w:rPr>
                <w:rFonts w:hint="eastAsia" w:ascii="宋体" w:hAnsi="宋体"/>
                <w:color w:val="auto"/>
                <w:szCs w:val="21"/>
                <w:highlight w:val="none"/>
              </w:rPr>
            </w:pPr>
            <w:r>
              <w:rPr>
                <w:rFonts w:hint="eastAsia" w:ascii="宋体" w:hAnsi="宋体"/>
                <w:color w:val="auto"/>
                <w:szCs w:val="21"/>
                <w:highlight w:val="none"/>
              </w:rPr>
              <w:t>单位地址：</w:t>
            </w:r>
            <w:r>
              <w:rPr>
                <w:rFonts w:hint="eastAsia" w:ascii="宋体" w:hAnsi="宋体" w:cs="宋体"/>
                <w:color w:val="auto"/>
                <w:szCs w:val="21"/>
                <w:highlight w:val="none"/>
              </w:rPr>
              <w:t>广西南宁市双拥路22号</w:t>
            </w:r>
          </w:p>
        </w:tc>
        <w:tc>
          <w:tcPr>
            <w:tcW w:w="2500" w:type="pct"/>
            <w:tcBorders>
              <w:top w:val="single" w:color="auto" w:sz="4" w:space="0"/>
              <w:left w:val="single" w:color="auto" w:sz="4" w:space="0"/>
              <w:bottom w:val="single" w:color="auto" w:sz="4" w:space="0"/>
              <w:right w:val="single" w:color="auto" w:sz="4" w:space="0"/>
            </w:tcBorders>
            <w:vAlign w:val="center"/>
          </w:tcPr>
          <w:p>
            <w:pPr>
              <w:snapToGrid w:val="0"/>
              <w:spacing w:line="400" w:lineRule="exact"/>
              <w:rPr>
                <w:rFonts w:hint="eastAsia" w:ascii="宋体" w:hAnsi="宋体"/>
                <w:color w:val="auto"/>
                <w:szCs w:val="21"/>
                <w:highlight w:val="none"/>
              </w:rPr>
            </w:pPr>
            <w:r>
              <w:rPr>
                <w:rFonts w:hint="eastAsia" w:ascii="宋体" w:hAnsi="宋体"/>
                <w:color w:val="auto"/>
                <w:szCs w:val="21"/>
                <w:highlight w:val="none"/>
              </w:rPr>
              <w:t>单位地址：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500" w:type="pct"/>
            <w:tcBorders>
              <w:top w:val="single" w:color="auto" w:sz="4" w:space="0"/>
              <w:left w:val="single" w:color="auto" w:sz="4" w:space="0"/>
              <w:bottom w:val="single" w:color="auto" w:sz="4" w:space="0"/>
              <w:right w:val="single" w:color="auto" w:sz="4" w:space="0"/>
            </w:tcBorders>
            <w:vAlign w:val="center"/>
          </w:tcPr>
          <w:p>
            <w:pPr>
              <w:snapToGrid w:val="0"/>
              <w:spacing w:line="400" w:lineRule="exact"/>
              <w:rPr>
                <w:rFonts w:hint="eastAsia" w:ascii="宋体" w:hAnsi="宋体"/>
                <w:color w:val="auto"/>
                <w:szCs w:val="21"/>
                <w:highlight w:val="none"/>
              </w:rPr>
            </w:pPr>
            <w:r>
              <w:rPr>
                <w:rFonts w:hint="eastAsia" w:ascii="宋体" w:hAnsi="宋体"/>
                <w:color w:val="auto"/>
                <w:szCs w:val="21"/>
                <w:highlight w:val="none"/>
              </w:rPr>
              <w:t>法定代表人：</w:t>
            </w:r>
          </w:p>
        </w:tc>
        <w:tc>
          <w:tcPr>
            <w:tcW w:w="2500" w:type="pct"/>
            <w:tcBorders>
              <w:top w:val="single" w:color="auto" w:sz="4" w:space="0"/>
              <w:left w:val="single" w:color="auto" w:sz="4" w:space="0"/>
              <w:bottom w:val="single" w:color="auto" w:sz="4" w:space="0"/>
              <w:right w:val="single" w:color="auto" w:sz="4" w:space="0"/>
            </w:tcBorders>
            <w:vAlign w:val="center"/>
          </w:tcPr>
          <w:p>
            <w:pPr>
              <w:snapToGrid w:val="0"/>
              <w:spacing w:line="400" w:lineRule="exact"/>
              <w:rPr>
                <w:rFonts w:hint="eastAsia" w:ascii="宋体" w:hAnsi="宋体"/>
                <w:color w:val="auto"/>
                <w:szCs w:val="21"/>
                <w:highlight w:val="none"/>
              </w:rPr>
            </w:pPr>
            <w:r>
              <w:rPr>
                <w:rFonts w:hint="eastAsia" w:ascii="宋体" w:hAnsi="宋体"/>
                <w:color w:val="auto"/>
                <w:szCs w:val="21"/>
                <w:highlight w:val="none"/>
              </w:rPr>
              <w:t>法定代表人：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500" w:type="pct"/>
            <w:tcBorders>
              <w:top w:val="single" w:color="auto" w:sz="4" w:space="0"/>
              <w:left w:val="single" w:color="auto" w:sz="4" w:space="0"/>
              <w:bottom w:val="single" w:color="auto" w:sz="4" w:space="0"/>
              <w:right w:val="single" w:color="auto" w:sz="4" w:space="0"/>
            </w:tcBorders>
            <w:vAlign w:val="center"/>
          </w:tcPr>
          <w:p>
            <w:pPr>
              <w:snapToGrid w:val="0"/>
              <w:spacing w:line="400" w:lineRule="exact"/>
              <w:rPr>
                <w:rFonts w:hint="eastAsia" w:ascii="宋体" w:hAnsi="宋体"/>
                <w:color w:val="auto"/>
                <w:szCs w:val="21"/>
                <w:highlight w:val="none"/>
              </w:rPr>
            </w:pPr>
            <w:r>
              <w:rPr>
                <w:rFonts w:hint="eastAsia" w:ascii="宋体" w:hAnsi="宋体"/>
                <w:color w:val="auto"/>
                <w:szCs w:val="21"/>
                <w:highlight w:val="none"/>
              </w:rPr>
              <w:t>委托代理人：</w:t>
            </w:r>
          </w:p>
        </w:tc>
        <w:tc>
          <w:tcPr>
            <w:tcW w:w="2500" w:type="pct"/>
            <w:tcBorders>
              <w:top w:val="single" w:color="auto" w:sz="4" w:space="0"/>
              <w:left w:val="single" w:color="auto" w:sz="4" w:space="0"/>
              <w:bottom w:val="single" w:color="auto" w:sz="4" w:space="0"/>
              <w:right w:val="single" w:color="auto" w:sz="4" w:space="0"/>
            </w:tcBorders>
            <w:vAlign w:val="center"/>
          </w:tcPr>
          <w:p>
            <w:pPr>
              <w:snapToGrid w:val="0"/>
              <w:spacing w:line="400" w:lineRule="exact"/>
              <w:rPr>
                <w:rFonts w:hint="eastAsia" w:ascii="宋体" w:hAnsi="宋体"/>
                <w:color w:val="auto"/>
                <w:szCs w:val="21"/>
                <w:highlight w:val="none"/>
              </w:rPr>
            </w:pPr>
            <w:r>
              <w:rPr>
                <w:rFonts w:hint="eastAsia" w:ascii="宋体" w:hAnsi="宋体"/>
                <w:color w:val="auto"/>
                <w:szCs w:val="21"/>
                <w:highlight w:val="none"/>
              </w:rPr>
              <w:t>委托代理人：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500" w:type="pct"/>
            <w:tcBorders>
              <w:top w:val="single" w:color="auto" w:sz="4" w:space="0"/>
              <w:left w:val="single" w:color="auto" w:sz="4" w:space="0"/>
              <w:bottom w:val="single" w:color="auto" w:sz="4" w:space="0"/>
              <w:right w:val="single" w:color="auto" w:sz="4" w:space="0"/>
            </w:tcBorders>
            <w:vAlign w:val="center"/>
          </w:tcPr>
          <w:p>
            <w:pPr>
              <w:snapToGrid w:val="0"/>
              <w:spacing w:line="400" w:lineRule="exact"/>
              <w:rPr>
                <w:rFonts w:hint="eastAsia" w:ascii="宋体" w:hAnsi="宋体"/>
                <w:color w:val="auto"/>
                <w:szCs w:val="21"/>
                <w:highlight w:val="none"/>
              </w:rPr>
            </w:pPr>
            <w:r>
              <w:rPr>
                <w:rFonts w:hint="eastAsia" w:ascii="宋体" w:hAnsi="宋体"/>
                <w:color w:val="auto"/>
                <w:szCs w:val="21"/>
                <w:highlight w:val="none"/>
              </w:rPr>
              <w:t>电话：</w:t>
            </w:r>
            <w:r>
              <w:rPr>
                <w:rFonts w:hint="eastAsia" w:ascii="宋体" w:hAnsi="宋体" w:cs="宋体"/>
                <w:color w:val="auto"/>
                <w:szCs w:val="21"/>
                <w:highlight w:val="none"/>
              </w:rPr>
              <w:t>0771-</w:t>
            </w:r>
          </w:p>
        </w:tc>
        <w:tc>
          <w:tcPr>
            <w:tcW w:w="2500" w:type="pct"/>
            <w:tcBorders>
              <w:top w:val="single" w:color="auto" w:sz="4" w:space="0"/>
              <w:left w:val="single" w:color="auto" w:sz="4" w:space="0"/>
              <w:bottom w:val="single" w:color="auto" w:sz="4" w:space="0"/>
              <w:right w:val="single" w:color="auto" w:sz="4" w:space="0"/>
            </w:tcBorders>
            <w:vAlign w:val="center"/>
          </w:tcPr>
          <w:p>
            <w:pPr>
              <w:snapToGrid w:val="0"/>
              <w:spacing w:line="400" w:lineRule="exact"/>
              <w:rPr>
                <w:rFonts w:hint="eastAsia" w:ascii="宋体" w:hAnsi="宋体"/>
                <w:color w:val="auto"/>
                <w:szCs w:val="21"/>
                <w:highlight w:val="none"/>
              </w:rPr>
            </w:pPr>
            <w:r>
              <w:rPr>
                <w:rFonts w:hint="eastAsia" w:ascii="宋体" w:hAnsi="宋体"/>
                <w:color w:val="auto"/>
                <w:szCs w:val="21"/>
                <w:highlight w:val="none"/>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500" w:type="pct"/>
            <w:tcBorders>
              <w:top w:val="single" w:color="auto" w:sz="4" w:space="0"/>
              <w:left w:val="single" w:color="auto" w:sz="4" w:space="0"/>
              <w:bottom w:val="single" w:color="auto" w:sz="4" w:space="0"/>
              <w:right w:val="single" w:color="auto" w:sz="4" w:space="0"/>
            </w:tcBorders>
            <w:vAlign w:val="center"/>
          </w:tcPr>
          <w:p>
            <w:pPr>
              <w:snapToGrid w:val="0"/>
              <w:spacing w:line="400" w:lineRule="exact"/>
              <w:rPr>
                <w:rFonts w:hint="eastAsia" w:ascii="宋体" w:hAnsi="宋体"/>
                <w:color w:val="auto"/>
                <w:szCs w:val="21"/>
                <w:highlight w:val="none"/>
              </w:rPr>
            </w:pPr>
            <w:r>
              <w:rPr>
                <w:rFonts w:hint="eastAsia" w:ascii="宋体" w:hAnsi="宋体"/>
                <w:color w:val="auto"/>
                <w:szCs w:val="21"/>
                <w:highlight w:val="none"/>
              </w:rPr>
              <w:t>电子邮箱：</w:t>
            </w:r>
          </w:p>
        </w:tc>
        <w:tc>
          <w:tcPr>
            <w:tcW w:w="2500" w:type="pct"/>
            <w:tcBorders>
              <w:top w:val="single" w:color="auto" w:sz="4" w:space="0"/>
              <w:left w:val="single" w:color="auto" w:sz="4" w:space="0"/>
              <w:bottom w:val="single" w:color="auto" w:sz="4" w:space="0"/>
              <w:right w:val="single" w:color="auto" w:sz="4" w:space="0"/>
            </w:tcBorders>
            <w:vAlign w:val="center"/>
          </w:tcPr>
          <w:p>
            <w:pPr>
              <w:snapToGrid w:val="0"/>
              <w:spacing w:line="400" w:lineRule="exact"/>
              <w:rPr>
                <w:rFonts w:hint="eastAsia" w:ascii="宋体" w:hAnsi="宋体"/>
                <w:color w:val="auto"/>
                <w:szCs w:val="21"/>
                <w:highlight w:val="none"/>
              </w:rPr>
            </w:pPr>
            <w:r>
              <w:rPr>
                <w:rFonts w:hint="eastAsia" w:ascii="宋体" w:hAnsi="宋体"/>
                <w:color w:val="auto"/>
                <w:szCs w:val="21"/>
                <w:highlight w:val="none"/>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500" w:type="pct"/>
            <w:tcBorders>
              <w:top w:val="single" w:color="auto" w:sz="4" w:space="0"/>
              <w:left w:val="single" w:color="auto" w:sz="4" w:space="0"/>
              <w:bottom w:val="single" w:color="auto" w:sz="4" w:space="0"/>
              <w:right w:val="single" w:color="auto" w:sz="4" w:space="0"/>
            </w:tcBorders>
            <w:vAlign w:val="center"/>
          </w:tcPr>
          <w:p>
            <w:pPr>
              <w:snapToGrid w:val="0"/>
              <w:spacing w:line="400" w:lineRule="exact"/>
              <w:rPr>
                <w:rFonts w:hint="eastAsia" w:ascii="宋体" w:hAnsi="宋体"/>
                <w:color w:val="auto"/>
                <w:szCs w:val="21"/>
                <w:highlight w:val="none"/>
              </w:rPr>
            </w:pPr>
            <w:r>
              <w:rPr>
                <w:rFonts w:hint="eastAsia" w:ascii="宋体" w:hAnsi="宋体"/>
                <w:color w:val="auto"/>
                <w:szCs w:val="21"/>
                <w:highlight w:val="none"/>
              </w:rPr>
              <w:t>开户银行：</w:t>
            </w:r>
          </w:p>
        </w:tc>
        <w:tc>
          <w:tcPr>
            <w:tcW w:w="2500" w:type="pct"/>
            <w:tcBorders>
              <w:top w:val="single" w:color="auto" w:sz="4" w:space="0"/>
              <w:left w:val="single" w:color="auto" w:sz="4" w:space="0"/>
              <w:bottom w:val="single" w:color="auto" w:sz="4" w:space="0"/>
              <w:right w:val="single" w:color="auto" w:sz="4" w:space="0"/>
            </w:tcBorders>
            <w:vAlign w:val="center"/>
          </w:tcPr>
          <w:p>
            <w:pPr>
              <w:snapToGrid w:val="0"/>
              <w:spacing w:line="400" w:lineRule="exact"/>
              <w:rPr>
                <w:rFonts w:hint="eastAsia" w:ascii="宋体" w:hAnsi="宋体"/>
                <w:color w:val="auto"/>
                <w:szCs w:val="21"/>
                <w:highlight w:val="none"/>
              </w:rPr>
            </w:pPr>
            <w:r>
              <w:rPr>
                <w:rFonts w:hint="eastAsia" w:ascii="宋体" w:hAnsi="宋体"/>
                <w:color w:val="auto"/>
                <w:szCs w:val="21"/>
                <w:highlight w:val="none"/>
              </w:rPr>
              <w:t>开户银行：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500" w:type="pct"/>
            <w:tcBorders>
              <w:top w:val="single" w:color="auto" w:sz="4" w:space="0"/>
              <w:left w:val="single" w:color="auto" w:sz="4" w:space="0"/>
              <w:bottom w:val="single" w:color="auto" w:sz="4" w:space="0"/>
              <w:right w:val="single" w:color="auto" w:sz="4" w:space="0"/>
            </w:tcBorders>
            <w:vAlign w:val="center"/>
          </w:tcPr>
          <w:p>
            <w:pPr>
              <w:snapToGrid w:val="0"/>
              <w:spacing w:line="400" w:lineRule="exact"/>
              <w:rPr>
                <w:rFonts w:hint="eastAsia" w:ascii="宋体" w:hAnsi="宋体"/>
                <w:color w:val="auto"/>
                <w:szCs w:val="21"/>
                <w:highlight w:val="none"/>
              </w:rPr>
            </w:pPr>
            <w:r>
              <w:rPr>
                <w:rFonts w:hint="eastAsia" w:ascii="宋体" w:hAnsi="宋体"/>
                <w:color w:val="auto"/>
                <w:szCs w:val="21"/>
                <w:highlight w:val="none"/>
              </w:rPr>
              <w:t>账号：</w:t>
            </w:r>
          </w:p>
        </w:tc>
        <w:tc>
          <w:tcPr>
            <w:tcW w:w="2500" w:type="pct"/>
            <w:tcBorders>
              <w:top w:val="single" w:color="auto" w:sz="4" w:space="0"/>
              <w:left w:val="single" w:color="auto" w:sz="4" w:space="0"/>
              <w:bottom w:val="single" w:color="auto" w:sz="4" w:space="0"/>
              <w:right w:val="single" w:color="auto" w:sz="4" w:space="0"/>
            </w:tcBorders>
            <w:vAlign w:val="center"/>
          </w:tcPr>
          <w:p>
            <w:pPr>
              <w:snapToGrid w:val="0"/>
              <w:spacing w:line="400" w:lineRule="exact"/>
              <w:rPr>
                <w:rFonts w:hint="eastAsia" w:ascii="宋体" w:hAnsi="宋体"/>
                <w:color w:val="auto"/>
                <w:szCs w:val="21"/>
                <w:highlight w:val="none"/>
              </w:rPr>
            </w:pPr>
            <w:r>
              <w:rPr>
                <w:rFonts w:hint="eastAsia" w:ascii="宋体" w:hAnsi="宋体"/>
                <w:color w:val="auto"/>
                <w:szCs w:val="21"/>
                <w:highlight w:val="none"/>
              </w:rPr>
              <w:t>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500" w:type="pct"/>
            <w:tcBorders>
              <w:top w:val="single" w:color="auto" w:sz="4" w:space="0"/>
              <w:left w:val="single" w:color="auto" w:sz="4" w:space="0"/>
              <w:bottom w:val="single" w:color="auto" w:sz="4" w:space="0"/>
              <w:right w:val="single" w:color="auto" w:sz="4" w:space="0"/>
            </w:tcBorders>
            <w:vAlign w:val="center"/>
          </w:tcPr>
          <w:p>
            <w:pPr>
              <w:snapToGrid w:val="0"/>
              <w:jc w:val="left"/>
              <w:rPr>
                <w:rFonts w:hint="eastAsia" w:ascii="宋体" w:hAnsi="宋体"/>
                <w:color w:val="auto"/>
                <w:szCs w:val="21"/>
                <w:highlight w:val="none"/>
              </w:rPr>
            </w:pPr>
            <w:r>
              <w:rPr>
                <w:rFonts w:hint="eastAsia" w:ascii="宋体" w:hAnsi="宋体"/>
                <w:color w:val="auto"/>
                <w:szCs w:val="21"/>
                <w:highlight w:val="none"/>
              </w:rPr>
              <w:t>纳税人识别号或统一社会信用代码：</w:t>
            </w:r>
          </w:p>
        </w:tc>
        <w:tc>
          <w:tcPr>
            <w:tcW w:w="2500" w:type="pct"/>
            <w:tcBorders>
              <w:top w:val="single" w:color="auto" w:sz="4" w:space="0"/>
              <w:left w:val="single" w:color="auto" w:sz="4" w:space="0"/>
              <w:bottom w:val="single" w:color="auto" w:sz="4" w:space="0"/>
              <w:right w:val="single" w:color="auto" w:sz="4" w:space="0"/>
            </w:tcBorders>
            <w:vAlign w:val="center"/>
          </w:tcPr>
          <w:p>
            <w:pPr>
              <w:snapToGrid w:val="0"/>
              <w:jc w:val="left"/>
              <w:rPr>
                <w:rFonts w:hint="eastAsia" w:ascii="宋体" w:hAnsi="宋体"/>
                <w:color w:val="auto"/>
                <w:szCs w:val="21"/>
                <w:highlight w:val="none"/>
              </w:rPr>
            </w:pPr>
            <w:r>
              <w:rPr>
                <w:rFonts w:hint="eastAsia" w:ascii="宋体" w:hAnsi="宋体"/>
                <w:color w:val="auto"/>
                <w:szCs w:val="21"/>
                <w:highlight w:val="none"/>
              </w:rPr>
              <w:t>纳税人识别号或统一社会信用代码：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500" w:type="pct"/>
            <w:tcBorders>
              <w:top w:val="single" w:color="auto" w:sz="4" w:space="0"/>
              <w:left w:val="single" w:color="auto" w:sz="4" w:space="0"/>
              <w:bottom w:val="single" w:color="auto" w:sz="4" w:space="0"/>
              <w:right w:val="single" w:color="auto" w:sz="4" w:space="0"/>
            </w:tcBorders>
            <w:vAlign w:val="center"/>
          </w:tcPr>
          <w:p>
            <w:pPr>
              <w:snapToGrid w:val="0"/>
              <w:spacing w:line="400" w:lineRule="exact"/>
              <w:rPr>
                <w:rFonts w:hint="eastAsia" w:ascii="宋体" w:hAnsi="宋体"/>
                <w:color w:val="auto"/>
                <w:szCs w:val="21"/>
                <w:highlight w:val="none"/>
              </w:rPr>
            </w:pPr>
            <w:r>
              <w:rPr>
                <w:rFonts w:hint="eastAsia" w:ascii="宋体" w:hAnsi="宋体"/>
                <w:color w:val="auto"/>
                <w:szCs w:val="21"/>
                <w:highlight w:val="none"/>
              </w:rPr>
              <w:t>邮政编码：</w:t>
            </w:r>
            <w:r>
              <w:rPr>
                <w:rFonts w:hint="eastAsia" w:ascii="宋体" w:hAnsi="宋体" w:cs="宋体"/>
                <w:color w:val="auto"/>
                <w:szCs w:val="21"/>
                <w:highlight w:val="none"/>
              </w:rPr>
              <w:t>530021</w:t>
            </w:r>
          </w:p>
        </w:tc>
        <w:tc>
          <w:tcPr>
            <w:tcW w:w="2500" w:type="pct"/>
            <w:tcBorders>
              <w:top w:val="single" w:color="auto" w:sz="4" w:space="0"/>
              <w:left w:val="single" w:color="auto" w:sz="4" w:space="0"/>
              <w:bottom w:val="single" w:color="auto" w:sz="4" w:space="0"/>
              <w:right w:val="single" w:color="auto" w:sz="4" w:space="0"/>
            </w:tcBorders>
            <w:vAlign w:val="center"/>
          </w:tcPr>
          <w:p>
            <w:pPr>
              <w:snapToGrid w:val="0"/>
              <w:spacing w:line="400" w:lineRule="exact"/>
              <w:rPr>
                <w:rFonts w:hint="eastAsia" w:ascii="宋体" w:hAnsi="宋体"/>
                <w:color w:val="auto"/>
                <w:szCs w:val="21"/>
                <w:highlight w:val="none"/>
              </w:rPr>
            </w:pPr>
            <w:r>
              <w:rPr>
                <w:rFonts w:hint="eastAsia" w:ascii="宋体" w:hAnsi="宋体"/>
                <w:color w:val="auto"/>
                <w:szCs w:val="21"/>
                <w:highlight w:val="none"/>
              </w:rPr>
              <w:t>邮政编码：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5000" w:type="pct"/>
            <w:gridSpan w:val="2"/>
            <w:tcBorders>
              <w:top w:val="single" w:color="auto" w:sz="4" w:space="0"/>
              <w:left w:val="single" w:color="auto" w:sz="4" w:space="0"/>
              <w:bottom w:val="single" w:color="auto" w:sz="4" w:space="0"/>
              <w:right w:val="single" w:color="auto" w:sz="4" w:space="0"/>
            </w:tcBorders>
            <w:vAlign w:val="center"/>
          </w:tcPr>
          <w:p>
            <w:pPr>
              <w:snapToGrid w:val="0"/>
              <w:spacing w:line="408" w:lineRule="auto"/>
              <w:rPr>
                <w:rFonts w:hint="eastAsia" w:ascii="宋体" w:hAnsi="宋体"/>
                <w:b w:val="0"/>
                <w:bCs w:val="0"/>
                <w:color w:val="auto"/>
                <w:szCs w:val="21"/>
                <w:highlight w:val="none"/>
              </w:rPr>
            </w:pPr>
            <w:r>
              <w:rPr>
                <w:rFonts w:hint="eastAsia" w:ascii="宋体" w:hAnsi="宋体"/>
                <w:b w:val="0"/>
                <w:bCs w:val="0"/>
                <w:color w:val="auto"/>
                <w:szCs w:val="21"/>
                <w:highlight w:val="none"/>
              </w:rPr>
              <w:t>经办人：</w:t>
            </w:r>
          </w:p>
          <w:p>
            <w:pPr>
              <w:pStyle w:val="77"/>
              <w:jc w:val="right"/>
              <w:rPr>
                <w:rFonts w:hint="eastAsia" w:ascii="宋体" w:hAnsi="宋体"/>
                <w:b w:val="0"/>
                <w:bCs w:val="0"/>
                <w:color w:val="auto"/>
                <w:szCs w:val="21"/>
                <w:highlight w:val="none"/>
              </w:rPr>
            </w:pPr>
            <w:r>
              <w:rPr>
                <w:rFonts w:hint="eastAsia" w:ascii="宋体" w:hAnsi="宋体"/>
                <w:b w:val="0"/>
                <w:bCs w:val="0"/>
                <w:color w:val="auto"/>
                <w:szCs w:val="21"/>
                <w:highlight w:val="none"/>
                <w:lang w:val="en-US" w:eastAsia="zh-CN"/>
              </w:rPr>
              <w:t xml:space="preserve"> </w:t>
            </w:r>
            <w:r>
              <w:rPr>
                <w:rFonts w:hint="eastAsia" w:ascii="宋体" w:hAnsi="宋体"/>
                <w:b w:val="0"/>
                <w:bCs w:val="0"/>
                <w:color w:val="auto"/>
                <w:szCs w:val="21"/>
                <w:highlight w:val="none"/>
              </w:rPr>
              <w:t>年    月    日</w:t>
            </w:r>
          </w:p>
        </w:tc>
      </w:tr>
    </w:tbl>
    <w:p>
      <w:pPr>
        <w:rPr>
          <w:color w:val="auto"/>
          <w:highlight w:val="none"/>
        </w:rPr>
      </w:pPr>
      <w:r>
        <w:rPr>
          <w:color w:val="auto"/>
          <w:highlight w:val="none"/>
        </w:rPr>
        <w:br w:type="page"/>
      </w:r>
    </w:p>
    <w:p>
      <w:pPr>
        <w:spacing w:line="760" w:lineRule="exact"/>
        <w:jc w:val="both"/>
        <w:rPr>
          <w:rFonts w:hint="eastAsia" w:ascii="宋体" w:hAnsi="宋体" w:eastAsia="宋体" w:cs="宋体"/>
          <w:color w:val="auto"/>
          <w:sz w:val="82"/>
          <w:szCs w:val="32"/>
          <w:highlight w:val="none"/>
        </w:rPr>
      </w:pPr>
      <w:r>
        <w:rPr>
          <w:rFonts w:hint="eastAsia" w:ascii="宋体" w:hAnsi="宋体" w:eastAsia="宋体" w:cs="宋体"/>
          <w:color w:val="auto"/>
          <w:sz w:val="32"/>
          <w:szCs w:val="32"/>
          <w:highlight w:val="none"/>
          <w:lang w:eastAsia="zh-CN"/>
        </w:rPr>
        <w:t>附件：</w:t>
      </w:r>
      <w:r>
        <w:rPr>
          <w:rFonts w:hint="eastAsia" w:ascii="宋体" w:hAnsi="宋体" w:eastAsia="宋体" w:cs="宋体"/>
          <w:color w:val="auto"/>
          <w:sz w:val="32"/>
          <w:szCs w:val="32"/>
          <w:highlight w:val="none"/>
        </w:rPr>
        <w:t xml:space="preserve"> 清廉共建协议书                   </w:t>
      </w:r>
    </w:p>
    <w:p>
      <w:pPr>
        <w:spacing w:line="840" w:lineRule="exact"/>
        <w:ind w:firstLine="4100" w:firstLineChars="500"/>
        <w:jc w:val="both"/>
        <w:rPr>
          <w:rFonts w:hint="eastAsia" w:ascii="宋体" w:hAnsi="宋体" w:eastAsia="宋体" w:cs="宋体"/>
          <w:color w:val="auto"/>
          <w:sz w:val="82"/>
          <w:szCs w:val="32"/>
          <w:highlight w:val="none"/>
          <w:lang w:eastAsia="zh-CN"/>
        </w:rPr>
      </w:pPr>
      <w:r>
        <w:rPr>
          <w:rFonts w:hint="eastAsia" w:ascii="宋体" w:hAnsi="宋体" w:eastAsia="宋体" w:cs="宋体"/>
          <w:color w:val="auto"/>
          <w:sz w:val="82"/>
          <w:szCs w:val="32"/>
          <w:highlight w:val="none"/>
          <w:lang w:eastAsia="zh-CN"/>
        </w:rPr>
        <w:drawing>
          <wp:anchor distT="0" distB="0" distL="114300" distR="114300" simplePos="0" relativeHeight="251660288" behindDoc="0" locked="0" layoutInCell="1" allowOverlap="1">
            <wp:simplePos x="0" y="0"/>
            <wp:positionH relativeFrom="column">
              <wp:posOffset>-17145</wp:posOffset>
            </wp:positionH>
            <wp:positionV relativeFrom="paragraph">
              <wp:posOffset>185420</wp:posOffset>
            </wp:positionV>
            <wp:extent cx="1861820" cy="496570"/>
            <wp:effectExtent l="0" t="0" r="5080" b="17780"/>
            <wp:wrapSquare wrapText="bothSides"/>
            <wp:docPr id="7" name="图片 13" descr="3be871ec90a800311bc02457a2914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3" descr="3be871ec90a800311bc02457a2914474"/>
                    <pic:cNvPicPr>
                      <a:picLocks noChangeAspect="1"/>
                    </pic:cNvPicPr>
                  </pic:nvPicPr>
                  <pic:blipFill>
                    <a:blip r:embed="rId17"/>
                    <a:stretch>
                      <a:fillRect/>
                    </a:stretch>
                  </pic:blipFill>
                  <pic:spPr>
                    <a:xfrm>
                      <a:off x="0" y="0"/>
                      <a:ext cx="1861820" cy="496570"/>
                    </a:xfrm>
                    <a:prstGeom prst="rect">
                      <a:avLst/>
                    </a:prstGeom>
                    <a:noFill/>
                    <a:ln>
                      <a:noFill/>
                    </a:ln>
                  </pic:spPr>
                </pic:pic>
              </a:graphicData>
            </a:graphic>
          </wp:anchor>
        </w:drawing>
      </w:r>
    </w:p>
    <w:p>
      <w:pPr>
        <w:spacing w:line="840" w:lineRule="exact"/>
        <w:ind w:firstLine="1800" w:firstLineChars="500"/>
        <w:jc w:val="both"/>
        <w:rPr>
          <w:rFonts w:hint="eastAsia" w:ascii="宋体" w:hAnsi="宋体" w:eastAsia="宋体" w:cs="宋体"/>
          <w:color w:val="auto"/>
          <w:sz w:val="36"/>
          <w:szCs w:val="36"/>
          <w:highlight w:val="none"/>
        </w:rPr>
      </w:pPr>
    </w:p>
    <w:p>
      <w:pPr>
        <w:spacing w:line="940" w:lineRule="exact"/>
        <w:ind w:firstLine="3600" w:firstLineChars="500"/>
        <w:jc w:val="both"/>
        <w:rPr>
          <w:rFonts w:hint="eastAsia" w:ascii="宋体" w:hAnsi="宋体" w:eastAsia="宋体" w:cs="宋体"/>
          <w:color w:val="auto"/>
          <w:sz w:val="72"/>
          <w:szCs w:val="72"/>
          <w:highlight w:val="none"/>
        </w:rPr>
      </w:pPr>
      <w:r>
        <w:rPr>
          <w:rFonts w:hint="eastAsia" w:ascii="宋体" w:hAnsi="宋体" w:eastAsia="宋体" w:cs="宋体"/>
          <w:color w:val="auto"/>
          <w:sz w:val="72"/>
          <w:szCs w:val="72"/>
          <w:highlight w:val="none"/>
        </w:rPr>
        <w:t>清</w:t>
      </w:r>
    </w:p>
    <w:p>
      <w:pPr>
        <w:spacing w:line="940" w:lineRule="exact"/>
        <w:ind w:firstLine="3600" w:firstLineChars="500"/>
        <w:jc w:val="both"/>
        <w:rPr>
          <w:rFonts w:hint="eastAsia" w:ascii="宋体" w:hAnsi="宋体" w:eastAsia="宋体" w:cs="宋体"/>
          <w:color w:val="auto"/>
          <w:sz w:val="72"/>
          <w:szCs w:val="72"/>
          <w:highlight w:val="none"/>
        </w:rPr>
      </w:pPr>
      <w:r>
        <w:rPr>
          <w:rFonts w:hint="eastAsia" w:ascii="宋体" w:hAnsi="宋体" w:eastAsia="宋体" w:cs="宋体"/>
          <w:color w:val="auto"/>
          <w:sz w:val="72"/>
          <w:szCs w:val="72"/>
          <w:highlight w:val="none"/>
        </w:rPr>
        <w:t>廉</w:t>
      </w:r>
    </w:p>
    <w:p>
      <w:pPr>
        <w:spacing w:line="940" w:lineRule="exact"/>
        <w:ind w:firstLine="3600" w:firstLineChars="500"/>
        <w:jc w:val="both"/>
        <w:rPr>
          <w:rFonts w:hint="eastAsia" w:ascii="宋体" w:hAnsi="宋体" w:eastAsia="宋体" w:cs="宋体"/>
          <w:color w:val="auto"/>
          <w:sz w:val="72"/>
          <w:szCs w:val="72"/>
          <w:highlight w:val="none"/>
        </w:rPr>
      </w:pPr>
      <w:r>
        <w:rPr>
          <w:rFonts w:hint="eastAsia" w:ascii="宋体" w:hAnsi="宋体" w:eastAsia="宋体" w:cs="宋体"/>
          <w:color w:val="auto"/>
          <w:sz w:val="72"/>
          <w:szCs w:val="72"/>
          <w:highlight w:val="none"/>
        </w:rPr>
        <w:t>共</w:t>
      </w:r>
    </w:p>
    <w:p>
      <w:pPr>
        <w:spacing w:line="940" w:lineRule="exact"/>
        <w:ind w:firstLine="3600" w:firstLineChars="500"/>
        <w:jc w:val="both"/>
        <w:rPr>
          <w:rFonts w:hint="eastAsia" w:ascii="宋体" w:hAnsi="宋体" w:eastAsia="宋体" w:cs="宋体"/>
          <w:color w:val="auto"/>
          <w:sz w:val="72"/>
          <w:szCs w:val="72"/>
          <w:highlight w:val="none"/>
        </w:rPr>
      </w:pPr>
      <w:r>
        <w:rPr>
          <w:rFonts w:hint="eastAsia" w:ascii="宋体" w:hAnsi="宋体" w:eastAsia="宋体" w:cs="宋体"/>
          <w:color w:val="auto"/>
          <w:sz w:val="72"/>
          <w:szCs w:val="72"/>
          <w:highlight w:val="none"/>
        </w:rPr>
        <w:t>建</w:t>
      </w:r>
    </w:p>
    <w:p>
      <w:pPr>
        <w:spacing w:line="940" w:lineRule="exact"/>
        <w:ind w:firstLine="3600" w:firstLineChars="500"/>
        <w:jc w:val="both"/>
        <w:rPr>
          <w:rFonts w:hint="eastAsia" w:ascii="宋体" w:hAnsi="宋体" w:eastAsia="宋体" w:cs="宋体"/>
          <w:color w:val="auto"/>
          <w:sz w:val="72"/>
          <w:szCs w:val="72"/>
          <w:highlight w:val="none"/>
        </w:rPr>
      </w:pPr>
      <w:r>
        <w:rPr>
          <w:rFonts w:hint="eastAsia" w:ascii="宋体" w:hAnsi="宋体" w:eastAsia="宋体" w:cs="宋体"/>
          <w:color w:val="auto"/>
          <w:sz w:val="72"/>
          <w:szCs w:val="72"/>
          <w:highlight w:val="none"/>
        </w:rPr>
        <w:t>协</w:t>
      </w:r>
    </w:p>
    <w:p>
      <w:pPr>
        <w:spacing w:line="940" w:lineRule="exact"/>
        <w:ind w:firstLine="3600" w:firstLineChars="500"/>
        <w:jc w:val="both"/>
        <w:rPr>
          <w:rFonts w:hint="eastAsia" w:ascii="宋体" w:hAnsi="宋体" w:eastAsia="宋体" w:cs="宋体"/>
          <w:color w:val="auto"/>
          <w:sz w:val="72"/>
          <w:szCs w:val="72"/>
          <w:highlight w:val="none"/>
        </w:rPr>
      </w:pPr>
      <w:r>
        <w:rPr>
          <w:rFonts w:hint="eastAsia" w:ascii="宋体" w:hAnsi="宋体" w:eastAsia="宋体" w:cs="宋体"/>
          <w:color w:val="auto"/>
          <w:sz w:val="72"/>
          <w:szCs w:val="72"/>
          <w:highlight w:val="none"/>
        </w:rPr>
        <w:t>议</w:t>
      </w:r>
    </w:p>
    <w:p>
      <w:pPr>
        <w:spacing w:line="940" w:lineRule="exact"/>
        <w:ind w:firstLine="3600" w:firstLineChars="500"/>
        <w:jc w:val="both"/>
        <w:rPr>
          <w:rFonts w:hint="eastAsia" w:ascii="宋体" w:hAnsi="宋体" w:eastAsia="宋体" w:cs="宋体"/>
          <w:color w:val="auto"/>
          <w:sz w:val="72"/>
          <w:szCs w:val="72"/>
          <w:highlight w:val="none"/>
        </w:rPr>
      </w:pPr>
      <w:r>
        <w:rPr>
          <w:rFonts w:hint="eastAsia" w:ascii="宋体" w:hAnsi="宋体" w:eastAsia="宋体" w:cs="宋体"/>
          <w:color w:val="auto"/>
          <w:sz w:val="72"/>
          <w:szCs w:val="72"/>
          <w:highlight w:val="none"/>
        </w:rPr>
        <w:t>书</w:t>
      </w:r>
    </w:p>
    <w:p>
      <w:pPr>
        <w:spacing w:line="560" w:lineRule="exact"/>
        <w:ind w:firstLine="680"/>
        <w:jc w:val="both"/>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lang w:eastAsia="zh-CN"/>
        </w:rPr>
        <w:drawing>
          <wp:anchor distT="0" distB="0" distL="114300" distR="114300" simplePos="0" relativeHeight="251661312" behindDoc="0" locked="0" layoutInCell="1" allowOverlap="1">
            <wp:simplePos x="0" y="0"/>
            <wp:positionH relativeFrom="column">
              <wp:posOffset>2280285</wp:posOffset>
            </wp:positionH>
            <wp:positionV relativeFrom="paragraph">
              <wp:posOffset>66040</wp:posOffset>
            </wp:positionV>
            <wp:extent cx="731520" cy="644525"/>
            <wp:effectExtent l="0" t="0" r="11430" b="3175"/>
            <wp:wrapSquare wrapText="bothSides"/>
            <wp:docPr id="8" name="图片 15" descr="24f55883-9a47-4e93-bceb-940a756e88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5" descr="24f55883-9a47-4e93-bceb-940a756e88a0"/>
                    <pic:cNvPicPr>
                      <a:picLocks noChangeAspect="1"/>
                    </pic:cNvPicPr>
                  </pic:nvPicPr>
                  <pic:blipFill>
                    <a:blip r:embed="rId18"/>
                    <a:stretch>
                      <a:fillRect/>
                    </a:stretch>
                  </pic:blipFill>
                  <pic:spPr>
                    <a:xfrm>
                      <a:off x="0" y="0"/>
                      <a:ext cx="731520" cy="644525"/>
                    </a:xfrm>
                    <a:prstGeom prst="rect">
                      <a:avLst/>
                    </a:prstGeom>
                    <a:noFill/>
                    <a:ln>
                      <a:noFill/>
                    </a:ln>
                  </pic:spPr>
                </pic:pic>
              </a:graphicData>
            </a:graphic>
          </wp:anchor>
        </w:drawing>
      </w:r>
    </w:p>
    <w:p>
      <w:pPr>
        <w:spacing w:line="560" w:lineRule="exact"/>
        <w:ind w:firstLine="680"/>
        <w:jc w:val="both"/>
        <w:rPr>
          <w:rFonts w:hint="eastAsia" w:ascii="宋体" w:hAnsi="宋体" w:eastAsia="宋体" w:cs="宋体"/>
          <w:color w:val="auto"/>
          <w:sz w:val="32"/>
          <w:szCs w:val="32"/>
          <w:highlight w:val="none"/>
        </w:rPr>
      </w:pPr>
    </w:p>
    <w:p>
      <w:pPr>
        <w:spacing w:line="560" w:lineRule="exact"/>
        <w:jc w:val="center"/>
        <w:rPr>
          <w:rFonts w:hint="eastAsia" w:ascii="宋体" w:hAnsi="宋体" w:eastAsia="宋体" w:cs="宋体"/>
          <w:color w:val="auto"/>
          <w:sz w:val="32"/>
          <w:szCs w:val="32"/>
          <w:highlight w:val="none"/>
        </w:rPr>
      </w:pPr>
      <w:r>
        <w:rPr>
          <w:rFonts w:hint="eastAsia" w:ascii="宋体" w:hAnsi="宋体" w:eastAsia="宋体" w:cs="宋体"/>
          <w:color w:val="auto"/>
          <w:highlight w:val="none"/>
        </w:rPr>
        <w:drawing>
          <wp:anchor distT="0" distB="0" distL="114300" distR="114300" simplePos="0" relativeHeight="251659264" behindDoc="0" locked="0" layoutInCell="1" allowOverlap="1">
            <wp:simplePos x="0" y="0"/>
            <wp:positionH relativeFrom="column">
              <wp:posOffset>3129915</wp:posOffset>
            </wp:positionH>
            <wp:positionV relativeFrom="paragraph">
              <wp:posOffset>9094470</wp:posOffset>
            </wp:positionV>
            <wp:extent cx="3819525" cy="361950"/>
            <wp:effectExtent l="0" t="0" r="9525" b="0"/>
            <wp:wrapNone/>
            <wp:docPr id="9" name="图片 5" descr="校训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校训11"/>
                    <pic:cNvPicPr>
                      <a:picLocks noChangeAspect="1"/>
                    </pic:cNvPicPr>
                  </pic:nvPicPr>
                  <pic:blipFill>
                    <a:blip r:embed="rId19"/>
                    <a:stretch>
                      <a:fillRect/>
                    </a:stretch>
                  </pic:blipFill>
                  <pic:spPr>
                    <a:xfrm>
                      <a:off x="0" y="0"/>
                      <a:ext cx="3819525" cy="361950"/>
                    </a:xfrm>
                    <a:prstGeom prst="rect">
                      <a:avLst/>
                    </a:prstGeom>
                    <a:noFill/>
                    <a:ln>
                      <a:noFill/>
                    </a:ln>
                  </pic:spPr>
                </pic:pic>
              </a:graphicData>
            </a:graphic>
          </wp:anchor>
        </w:drawing>
      </w:r>
      <w:r>
        <w:rPr>
          <w:rFonts w:hint="eastAsia" w:ascii="宋体" w:hAnsi="宋体" w:eastAsia="宋体" w:cs="宋体"/>
          <w:color w:val="auto"/>
          <w:sz w:val="56"/>
          <w:szCs w:val="56"/>
          <w:highlight w:val="none"/>
          <w:lang w:val="en-US" w:eastAsia="zh-CN"/>
        </w:rPr>
        <w:t>厚德励志 博学弘医</w:t>
      </w:r>
    </w:p>
    <w:p>
      <w:pPr>
        <w:spacing w:line="560" w:lineRule="exact"/>
        <w:ind w:firstLine="680"/>
        <w:jc w:val="both"/>
        <w:rPr>
          <w:rFonts w:hint="eastAsia" w:ascii="宋体" w:hAnsi="宋体" w:eastAsia="宋体" w:cs="宋体"/>
          <w:color w:val="auto"/>
          <w:sz w:val="32"/>
          <w:szCs w:val="32"/>
          <w:highlight w:val="none"/>
        </w:rPr>
        <w:sectPr>
          <w:footerReference r:id="rId11" w:type="first"/>
          <w:footerReference r:id="rId10" w:type="default"/>
          <w:pgSz w:w="11906" w:h="16838"/>
          <w:pgMar w:top="2098" w:right="1474" w:bottom="1985" w:left="1588" w:header="851" w:footer="992" w:gutter="0"/>
          <w:pgNumType w:fmt="decimal"/>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项目名称：</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甲    方：</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乙    方：</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为</w:t>
      </w:r>
      <w:r>
        <w:rPr>
          <w:rFonts w:hint="eastAsia" w:ascii="宋体" w:hAnsi="宋体" w:eastAsia="宋体" w:cs="宋体"/>
          <w:color w:val="auto"/>
          <w:sz w:val="21"/>
          <w:szCs w:val="21"/>
          <w:highlight w:val="none"/>
          <w:lang w:val="en-US" w:eastAsia="zh-CN"/>
        </w:rPr>
        <w:t>深入贯彻中央八项规定及其实施细则精神，</w:t>
      </w:r>
      <w:r>
        <w:rPr>
          <w:rFonts w:hint="eastAsia" w:ascii="宋体" w:hAnsi="宋体" w:eastAsia="宋体" w:cs="宋体"/>
          <w:color w:val="auto"/>
          <w:sz w:val="21"/>
          <w:szCs w:val="21"/>
          <w:highlight w:val="none"/>
        </w:rPr>
        <w:t>深</w:t>
      </w:r>
      <w:r>
        <w:rPr>
          <w:rFonts w:hint="eastAsia" w:ascii="宋体" w:hAnsi="宋体" w:eastAsia="宋体" w:cs="宋体"/>
          <w:color w:val="auto"/>
          <w:sz w:val="21"/>
          <w:szCs w:val="21"/>
          <w:highlight w:val="none"/>
          <w:lang w:val="en-US" w:eastAsia="zh-CN"/>
        </w:rPr>
        <w:t>化学校清廉建设</w:t>
      </w:r>
      <w:r>
        <w:rPr>
          <w:rFonts w:hint="eastAsia" w:ascii="宋体" w:hAnsi="宋体" w:eastAsia="宋体" w:cs="宋体"/>
          <w:color w:val="auto"/>
          <w:sz w:val="21"/>
          <w:szCs w:val="21"/>
          <w:highlight w:val="none"/>
        </w:rPr>
        <w:t>，规范</w:t>
      </w:r>
      <w:r>
        <w:rPr>
          <w:rFonts w:hint="eastAsia" w:ascii="宋体" w:hAnsi="宋体" w:eastAsia="宋体" w:cs="宋体"/>
          <w:color w:val="auto"/>
          <w:sz w:val="21"/>
          <w:szCs w:val="21"/>
          <w:highlight w:val="none"/>
          <w:lang w:val="en-US" w:eastAsia="zh-CN"/>
        </w:rPr>
        <w:t>学校对外</w:t>
      </w:r>
      <w:r>
        <w:rPr>
          <w:rFonts w:hint="eastAsia" w:ascii="宋体" w:hAnsi="宋体" w:eastAsia="宋体" w:cs="宋体"/>
          <w:color w:val="auto"/>
          <w:sz w:val="21"/>
          <w:szCs w:val="21"/>
          <w:highlight w:val="none"/>
        </w:rPr>
        <w:t>合作行为，</w:t>
      </w:r>
      <w:r>
        <w:rPr>
          <w:rFonts w:hint="eastAsia" w:ascii="宋体" w:hAnsi="宋体" w:eastAsia="宋体" w:cs="宋体"/>
          <w:color w:val="auto"/>
          <w:sz w:val="21"/>
          <w:szCs w:val="21"/>
          <w:highlight w:val="none"/>
          <w:lang w:val="en-US" w:eastAsia="zh-CN"/>
        </w:rPr>
        <w:t>坚持求真务实、</w:t>
      </w:r>
      <w:r>
        <w:rPr>
          <w:rFonts w:hint="eastAsia" w:ascii="宋体" w:hAnsi="宋体" w:eastAsia="宋体" w:cs="宋体"/>
          <w:color w:val="auto"/>
          <w:sz w:val="21"/>
          <w:szCs w:val="21"/>
          <w:highlight w:val="none"/>
        </w:rPr>
        <w:t>防范廉洁风险，</w:t>
      </w:r>
      <w:r>
        <w:rPr>
          <w:rFonts w:hint="eastAsia" w:ascii="宋体" w:hAnsi="宋体" w:eastAsia="宋体" w:cs="宋体"/>
          <w:color w:val="auto"/>
          <w:sz w:val="21"/>
          <w:szCs w:val="21"/>
          <w:highlight w:val="none"/>
          <w:lang w:val="en-US" w:eastAsia="zh-CN"/>
        </w:rPr>
        <w:t>共同构建诚信、透明、廉洁的合作关系，</w:t>
      </w:r>
      <w:r>
        <w:rPr>
          <w:rFonts w:hint="eastAsia" w:ascii="宋体" w:hAnsi="宋体" w:eastAsia="宋体" w:cs="宋体"/>
          <w:color w:val="auto"/>
          <w:sz w:val="21"/>
          <w:szCs w:val="21"/>
          <w:highlight w:val="none"/>
        </w:rPr>
        <w:t>根据国家法律法规和有关政策规定，经甲乙双方友好协商，就开展清廉共建工作</w:t>
      </w:r>
      <w:r>
        <w:rPr>
          <w:rFonts w:hint="eastAsia" w:ascii="宋体" w:hAnsi="宋体" w:eastAsia="宋体" w:cs="宋体"/>
          <w:color w:val="auto"/>
          <w:sz w:val="21"/>
          <w:szCs w:val="21"/>
          <w:highlight w:val="none"/>
          <w:lang w:val="en-US" w:eastAsia="zh-CN"/>
        </w:rPr>
        <w:t>自愿</w:t>
      </w:r>
      <w:r>
        <w:rPr>
          <w:rFonts w:hint="eastAsia" w:ascii="宋体" w:hAnsi="宋体" w:eastAsia="宋体" w:cs="宋体"/>
          <w:color w:val="auto"/>
          <w:sz w:val="21"/>
          <w:szCs w:val="21"/>
          <w:highlight w:val="none"/>
        </w:rPr>
        <w:t>达成如下协议：</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一、共建目标</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通过开展清廉共建活动，建立健全</w:t>
      </w:r>
      <w:r>
        <w:rPr>
          <w:rFonts w:hint="eastAsia" w:ascii="宋体" w:hAnsi="宋体" w:eastAsia="宋体" w:cs="宋体"/>
          <w:color w:val="auto"/>
          <w:sz w:val="21"/>
          <w:szCs w:val="21"/>
          <w:highlight w:val="none"/>
          <w:lang w:val="en-US" w:eastAsia="zh-CN"/>
        </w:rPr>
        <w:t>各方合作的</w:t>
      </w:r>
      <w:r>
        <w:rPr>
          <w:rFonts w:hint="eastAsia" w:ascii="宋体" w:hAnsi="宋体" w:eastAsia="宋体" w:cs="宋体"/>
          <w:color w:val="auto"/>
          <w:sz w:val="21"/>
          <w:szCs w:val="21"/>
          <w:highlight w:val="none"/>
        </w:rPr>
        <w:t>廉洁风险防控机制，增强</w:t>
      </w:r>
      <w:r>
        <w:rPr>
          <w:rFonts w:hint="eastAsia" w:ascii="宋体" w:hAnsi="宋体" w:eastAsia="宋体" w:cs="宋体"/>
          <w:color w:val="auto"/>
          <w:sz w:val="21"/>
          <w:szCs w:val="21"/>
          <w:highlight w:val="none"/>
          <w:lang w:val="en-US" w:eastAsia="zh-CN"/>
        </w:rPr>
        <w:t>合作各方及工作</w:t>
      </w:r>
      <w:r>
        <w:rPr>
          <w:rFonts w:hint="eastAsia" w:ascii="宋体" w:hAnsi="宋体" w:eastAsia="宋体" w:cs="宋体"/>
          <w:color w:val="auto"/>
          <w:sz w:val="21"/>
          <w:szCs w:val="21"/>
          <w:highlight w:val="none"/>
        </w:rPr>
        <w:t>人员的廉洁意识，营造风清气正的合作环境，确保校企合作</w:t>
      </w:r>
      <w:r>
        <w:rPr>
          <w:rFonts w:hint="eastAsia" w:ascii="宋体" w:hAnsi="宋体" w:eastAsia="宋体" w:cs="宋体"/>
          <w:color w:val="auto"/>
          <w:sz w:val="21"/>
          <w:szCs w:val="21"/>
          <w:highlight w:val="none"/>
          <w:lang w:val="en-US" w:eastAsia="zh-CN"/>
        </w:rPr>
        <w:t>依纪</w:t>
      </w:r>
      <w:r>
        <w:rPr>
          <w:rFonts w:hint="eastAsia" w:ascii="宋体" w:hAnsi="宋体" w:eastAsia="宋体" w:cs="宋体"/>
          <w:color w:val="auto"/>
          <w:sz w:val="21"/>
          <w:szCs w:val="21"/>
          <w:highlight w:val="none"/>
        </w:rPr>
        <w:t>依法依规</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项目推进</w:t>
      </w:r>
      <w:r>
        <w:rPr>
          <w:rFonts w:hint="eastAsia" w:ascii="宋体" w:hAnsi="宋体" w:eastAsia="宋体" w:cs="宋体"/>
          <w:color w:val="auto"/>
          <w:sz w:val="21"/>
          <w:szCs w:val="21"/>
          <w:highlight w:val="none"/>
          <w:lang w:val="en-US" w:eastAsia="zh-CN"/>
        </w:rPr>
        <w:t>有序</w:t>
      </w:r>
      <w:r>
        <w:rPr>
          <w:rFonts w:hint="eastAsia" w:ascii="宋体" w:hAnsi="宋体" w:eastAsia="宋体" w:cs="宋体"/>
          <w:color w:val="auto"/>
          <w:sz w:val="21"/>
          <w:szCs w:val="21"/>
          <w:highlight w:val="none"/>
        </w:rPr>
        <w:t>廉洁高效，实现双方互利共赢、共同发展。</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二、共建内容</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（一）加强廉洁教育</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none"/>
          <w:lang w:val="en-US" w:eastAsia="zh-CN"/>
        </w:rPr>
        <w:t>合作各方签定合同（含货物、服务、工程类采购，商铺租赁、场地租赁等）的同时签署《清廉共建协议书》</w:t>
      </w:r>
      <w:r>
        <w:rPr>
          <w:rFonts w:hint="eastAsia" w:ascii="宋体" w:hAnsi="宋体" w:eastAsia="宋体" w:cs="宋体"/>
          <w:color w:val="auto"/>
          <w:sz w:val="21"/>
          <w:szCs w:val="21"/>
          <w:highlight w:val="none"/>
          <w:lang w:val="en-US" w:eastAsia="zh-CN"/>
        </w:rPr>
        <w:t>，开展廉洁谈话。适时</w:t>
      </w:r>
      <w:r>
        <w:rPr>
          <w:rFonts w:hint="eastAsia" w:ascii="宋体" w:hAnsi="宋体" w:eastAsia="宋体" w:cs="宋体"/>
          <w:color w:val="auto"/>
          <w:sz w:val="21"/>
          <w:szCs w:val="21"/>
          <w:highlight w:val="none"/>
        </w:rPr>
        <w:t>联合</w:t>
      </w:r>
      <w:r>
        <w:rPr>
          <w:rFonts w:hint="eastAsia" w:ascii="宋体" w:hAnsi="宋体" w:eastAsia="宋体" w:cs="宋体"/>
          <w:color w:val="auto"/>
          <w:sz w:val="21"/>
          <w:szCs w:val="21"/>
          <w:highlight w:val="none"/>
          <w:lang w:val="en-US" w:eastAsia="zh-CN"/>
        </w:rPr>
        <w:t>举办</w:t>
      </w:r>
      <w:r>
        <w:rPr>
          <w:rFonts w:hint="eastAsia" w:ascii="宋体" w:hAnsi="宋体" w:eastAsia="宋体" w:cs="宋体"/>
          <w:color w:val="auto"/>
          <w:sz w:val="21"/>
          <w:szCs w:val="21"/>
          <w:highlight w:val="none"/>
        </w:rPr>
        <w:t>廉洁专题培训、警示教育活动等，提高</w:t>
      </w:r>
      <w:r>
        <w:rPr>
          <w:rFonts w:hint="eastAsia" w:ascii="宋体" w:hAnsi="宋体" w:eastAsia="宋体" w:cs="宋体"/>
          <w:color w:val="auto"/>
          <w:sz w:val="21"/>
          <w:szCs w:val="21"/>
          <w:highlight w:val="none"/>
          <w:lang w:val="en-US" w:eastAsia="zh-CN"/>
        </w:rPr>
        <w:t>各</w:t>
      </w:r>
      <w:r>
        <w:rPr>
          <w:rFonts w:hint="eastAsia" w:ascii="宋体" w:hAnsi="宋体" w:eastAsia="宋体" w:cs="宋体"/>
          <w:color w:val="auto"/>
          <w:sz w:val="21"/>
          <w:szCs w:val="21"/>
          <w:highlight w:val="none"/>
        </w:rPr>
        <w:t>方人员的廉洁意识和</w:t>
      </w:r>
      <w:r>
        <w:rPr>
          <w:rFonts w:hint="eastAsia" w:ascii="宋体" w:hAnsi="宋体" w:eastAsia="宋体" w:cs="宋体"/>
          <w:color w:val="auto"/>
          <w:sz w:val="21"/>
          <w:szCs w:val="21"/>
          <w:highlight w:val="none"/>
          <w:lang w:val="en-US" w:eastAsia="zh-CN"/>
        </w:rPr>
        <w:t>纪律法规</w:t>
      </w:r>
      <w:r>
        <w:rPr>
          <w:rFonts w:hint="eastAsia" w:ascii="宋体" w:hAnsi="宋体" w:eastAsia="宋体" w:cs="宋体"/>
          <w:color w:val="auto"/>
          <w:sz w:val="21"/>
          <w:szCs w:val="21"/>
          <w:highlight w:val="none"/>
        </w:rPr>
        <w:t>意识。</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其中，甲方包含甲方校内职能部门，甲方授权甲方校内职能部门代表甲方签订《清廉共建协议书》，相应法律责任和义务由甲方承担。</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（二）完善制度建设</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项目合作单位</w:t>
      </w:r>
      <w:r>
        <w:rPr>
          <w:rFonts w:hint="eastAsia" w:ascii="宋体" w:hAnsi="宋体" w:eastAsia="宋体" w:cs="宋体"/>
          <w:color w:val="auto"/>
          <w:sz w:val="21"/>
          <w:szCs w:val="21"/>
          <w:highlight w:val="none"/>
        </w:rPr>
        <w:t>各自完善内部管理制度，特别是涉及校企合作项目的决策、执行、监督</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验收、结算</w:t>
      </w:r>
      <w:r>
        <w:rPr>
          <w:rFonts w:hint="eastAsia" w:ascii="宋体" w:hAnsi="宋体" w:eastAsia="宋体" w:cs="宋体"/>
          <w:color w:val="auto"/>
          <w:sz w:val="21"/>
          <w:szCs w:val="21"/>
          <w:highlight w:val="none"/>
        </w:rPr>
        <w:t>等</w:t>
      </w:r>
      <w:r>
        <w:rPr>
          <w:rFonts w:hint="eastAsia" w:ascii="宋体" w:hAnsi="宋体" w:eastAsia="宋体" w:cs="宋体"/>
          <w:color w:val="auto"/>
          <w:sz w:val="21"/>
          <w:szCs w:val="21"/>
          <w:highlight w:val="none"/>
          <w:lang w:val="en-US" w:eastAsia="zh-CN"/>
        </w:rPr>
        <w:t>全流程</w:t>
      </w:r>
      <w:r>
        <w:rPr>
          <w:rFonts w:hint="eastAsia" w:ascii="宋体" w:hAnsi="宋体" w:eastAsia="宋体" w:cs="宋体"/>
          <w:color w:val="auto"/>
          <w:sz w:val="21"/>
          <w:szCs w:val="21"/>
          <w:highlight w:val="none"/>
        </w:rPr>
        <w:t>制度，确保制度健全、执行有力</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有效促进双方合作目标的达成</w:t>
      </w:r>
      <w:r>
        <w:rPr>
          <w:rFonts w:hint="eastAsia" w:ascii="宋体" w:hAnsi="宋体" w:eastAsia="宋体" w:cs="宋体"/>
          <w:color w:val="auto"/>
          <w:sz w:val="21"/>
          <w:szCs w:val="21"/>
          <w:highlight w:val="none"/>
        </w:rPr>
        <w:t>。</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（三）规范合作行为</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1.在合作项目的洽谈、签约、实施、验收和结算等过程中，</w:t>
      </w:r>
      <w:r>
        <w:rPr>
          <w:rFonts w:hint="eastAsia" w:ascii="宋体" w:hAnsi="宋体" w:eastAsia="宋体" w:cs="宋体"/>
          <w:color w:val="auto"/>
          <w:sz w:val="21"/>
          <w:szCs w:val="21"/>
          <w:highlight w:val="none"/>
          <w:lang w:val="en-US" w:eastAsia="zh-CN"/>
        </w:rPr>
        <w:t>各方</w:t>
      </w:r>
      <w:r>
        <w:rPr>
          <w:rFonts w:hint="eastAsia" w:ascii="宋体" w:hAnsi="宋体" w:eastAsia="宋体" w:cs="宋体"/>
          <w:color w:val="auto"/>
          <w:sz w:val="21"/>
          <w:szCs w:val="21"/>
          <w:highlight w:val="none"/>
        </w:rPr>
        <w:t>应遵循平等、自愿、</w:t>
      </w:r>
      <w:r>
        <w:rPr>
          <w:rFonts w:hint="eastAsia" w:ascii="宋体" w:hAnsi="宋体" w:eastAsia="宋体" w:cs="宋体"/>
          <w:color w:val="auto"/>
          <w:sz w:val="21"/>
          <w:szCs w:val="21"/>
          <w:highlight w:val="none"/>
          <w:lang w:val="en-US" w:eastAsia="zh-CN"/>
        </w:rPr>
        <w:t>合法、</w:t>
      </w:r>
      <w:r>
        <w:rPr>
          <w:rFonts w:hint="eastAsia" w:ascii="宋体" w:hAnsi="宋体" w:eastAsia="宋体" w:cs="宋体"/>
          <w:color w:val="auto"/>
          <w:sz w:val="21"/>
          <w:szCs w:val="21"/>
          <w:highlight w:val="none"/>
        </w:rPr>
        <w:t>公平、诚信的原则，</w:t>
      </w:r>
      <w:bookmarkStart w:id="290" w:name="OLE_LINK3"/>
      <w:r>
        <w:rPr>
          <w:rFonts w:hint="eastAsia" w:ascii="宋体" w:hAnsi="宋体" w:eastAsia="宋体" w:cs="宋体"/>
          <w:color w:val="auto"/>
          <w:sz w:val="21"/>
          <w:szCs w:val="21"/>
          <w:highlight w:val="none"/>
        </w:rPr>
        <w:t>不得向对方单位及</w:t>
      </w:r>
      <w:r>
        <w:rPr>
          <w:rFonts w:hint="eastAsia" w:ascii="宋体" w:hAnsi="宋体" w:eastAsia="宋体" w:cs="宋体"/>
          <w:color w:val="auto"/>
          <w:sz w:val="21"/>
          <w:szCs w:val="21"/>
          <w:highlight w:val="none"/>
          <w:lang w:val="en-US" w:eastAsia="zh-CN"/>
        </w:rPr>
        <w:t>工作</w:t>
      </w:r>
      <w:r>
        <w:rPr>
          <w:rFonts w:hint="eastAsia" w:ascii="宋体" w:hAnsi="宋体" w:eastAsia="宋体" w:cs="宋体"/>
          <w:color w:val="auto"/>
          <w:sz w:val="21"/>
          <w:szCs w:val="21"/>
          <w:highlight w:val="none"/>
        </w:rPr>
        <w:t>人员实施任何违反中央八项规定精神的行为和其他违纪违法行为。</w:t>
      </w:r>
    </w:p>
    <w:bookmarkEnd w:id="290"/>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2.严格按照合作协议和相关制度规定使用合作项目经费，确保经费使用合法合理、透明、安全。</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3.合作项目严禁转包、擅自分包</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挂靠等非法行为</w:t>
      </w:r>
      <w:r>
        <w:rPr>
          <w:rFonts w:hint="eastAsia" w:ascii="宋体" w:hAnsi="宋体" w:eastAsia="宋体" w:cs="宋体"/>
          <w:color w:val="auto"/>
          <w:sz w:val="21"/>
          <w:szCs w:val="21"/>
          <w:highlight w:val="none"/>
        </w:rPr>
        <w:t>，参与项目实施</w:t>
      </w:r>
      <w:r>
        <w:rPr>
          <w:rFonts w:hint="eastAsia" w:ascii="宋体" w:hAnsi="宋体" w:eastAsia="宋体" w:cs="宋体"/>
          <w:color w:val="auto"/>
          <w:sz w:val="21"/>
          <w:szCs w:val="21"/>
          <w:highlight w:val="none"/>
          <w:lang w:val="en-US" w:eastAsia="zh-CN"/>
        </w:rPr>
        <w:t>的人员需为合同相对方的工作人员或经甲方同意的合作伙伴</w:t>
      </w:r>
      <w:r>
        <w:rPr>
          <w:rFonts w:hint="eastAsia" w:ascii="宋体" w:hAnsi="宋体" w:eastAsia="宋体" w:cs="宋体"/>
          <w:color w:val="auto"/>
          <w:sz w:val="21"/>
          <w:szCs w:val="21"/>
          <w:highlight w:val="none"/>
        </w:rPr>
        <w:t>，确保项目主体</w:t>
      </w:r>
      <w:r>
        <w:rPr>
          <w:rFonts w:hint="eastAsia" w:ascii="宋体" w:hAnsi="宋体" w:eastAsia="宋体" w:cs="宋体"/>
          <w:color w:val="auto"/>
          <w:sz w:val="21"/>
          <w:szCs w:val="21"/>
          <w:highlight w:val="none"/>
          <w:lang w:val="en-US" w:eastAsia="zh-CN"/>
        </w:rPr>
        <w:t>一致</w:t>
      </w:r>
      <w:r>
        <w:rPr>
          <w:rFonts w:hint="eastAsia" w:ascii="宋体" w:hAnsi="宋体" w:eastAsia="宋体" w:cs="宋体"/>
          <w:color w:val="auto"/>
          <w:sz w:val="21"/>
          <w:szCs w:val="21"/>
          <w:highlight w:val="none"/>
        </w:rPr>
        <w:t>、内容</w:t>
      </w:r>
      <w:r>
        <w:rPr>
          <w:rFonts w:hint="eastAsia" w:ascii="宋体" w:hAnsi="宋体" w:eastAsia="宋体" w:cs="宋体"/>
          <w:color w:val="auto"/>
          <w:sz w:val="21"/>
          <w:szCs w:val="21"/>
          <w:highlight w:val="none"/>
          <w:lang w:val="en-US" w:eastAsia="zh-CN"/>
        </w:rPr>
        <w:t>真实</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效果符合合作目标</w:t>
      </w:r>
      <w:r>
        <w:rPr>
          <w:rFonts w:hint="eastAsia" w:ascii="宋体" w:hAnsi="宋体" w:eastAsia="宋体" w:cs="宋体"/>
          <w:color w:val="auto"/>
          <w:sz w:val="21"/>
          <w:szCs w:val="21"/>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sz w:val="21"/>
          <w:szCs w:val="21"/>
          <w:highlight w:val="none"/>
        </w:rPr>
        <w:t>加强对合作项目的管理，建立项目进度跟踪和质量监控机制，确保项目按时按质完成。双方应及时沟通协调，</w:t>
      </w:r>
      <w:r>
        <w:rPr>
          <w:rFonts w:hint="eastAsia" w:ascii="宋体" w:hAnsi="宋体" w:eastAsia="宋体" w:cs="宋体"/>
          <w:color w:val="auto"/>
          <w:sz w:val="21"/>
          <w:szCs w:val="21"/>
          <w:highlight w:val="none"/>
          <w:lang w:val="en-US" w:eastAsia="zh-CN"/>
        </w:rPr>
        <w:t>妥善</w:t>
      </w:r>
      <w:r>
        <w:rPr>
          <w:rFonts w:hint="eastAsia" w:ascii="宋体" w:hAnsi="宋体" w:eastAsia="宋体" w:cs="宋体"/>
          <w:color w:val="auto"/>
          <w:sz w:val="21"/>
          <w:szCs w:val="21"/>
          <w:highlight w:val="none"/>
        </w:rPr>
        <w:t>解决项目实施过程中出现的问题。</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（四）强化监督检查</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项目各方当事人应</w:t>
      </w:r>
      <w:r>
        <w:rPr>
          <w:rFonts w:hint="eastAsia" w:ascii="宋体" w:hAnsi="宋体" w:eastAsia="宋体" w:cs="宋体"/>
          <w:color w:val="auto"/>
          <w:sz w:val="21"/>
          <w:szCs w:val="21"/>
          <w:highlight w:val="none"/>
        </w:rPr>
        <w:t>建立监督检查机制，定期对合作项目进行自查和互查，及时发现和纠正存在的问题。</w:t>
      </w:r>
      <w:r>
        <w:rPr>
          <w:rFonts w:hint="eastAsia" w:ascii="宋体" w:hAnsi="宋体" w:eastAsia="宋体" w:cs="宋体"/>
          <w:color w:val="auto"/>
          <w:sz w:val="21"/>
          <w:szCs w:val="21"/>
          <w:highlight w:val="none"/>
          <w:lang w:val="en-US" w:eastAsia="zh-CN"/>
        </w:rPr>
        <w:t>合作过程中，</w:t>
      </w:r>
      <w:r>
        <w:rPr>
          <w:rFonts w:hint="eastAsia" w:ascii="宋体" w:hAnsi="宋体" w:eastAsia="宋体" w:cs="宋体"/>
          <w:color w:val="auto"/>
          <w:sz w:val="21"/>
          <w:szCs w:val="21"/>
          <w:highlight w:val="none"/>
        </w:rPr>
        <w:t>如</w:t>
      </w:r>
      <w:r>
        <w:rPr>
          <w:rFonts w:hint="eastAsia" w:ascii="宋体" w:hAnsi="宋体" w:eastAsia="宋体" w:cs="宋体"/>
          <w:color w:val="auto"/>
          <w:sz w:val="21"/>
          <w:szCs w:val="21"/>
          <w:highlight w:val="none"/>
          <w:lang w:val="en-US" w:eastAsia="zh-CN"/>
        </w:rPr>
        <w:t>发现问题，一方可解决应及时解决；如不能及时解决并对项目合作有影响</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应</w:t>
      </w:r>
      <w:r>
        <w:rPr>
          <w:rFonts w:hint="eastAsia" w:ascii="宋体" w:hAnsi="宋体" w:eastAsia="宋体" w:cs="宋体"/>
          <w:color w:val="auto"/>
          <w:sz w:val="21"/>
          <w:szCs w:val="21"/>
          <w:highlight w:val="none"/>
        </w:rPr>
        <w:t>将发现问题</w:t>
      </w:r>
      <w:r>
        <w:rPr>
          <w:rFonts w:hint="eastAsia" w:ascii="宋体" w:hAnsi="宋体" w:eastAsia="宋体" w:cs="宋体"/>
          <w:color w:val="auto"/>
          <w:sz w:val="21"/>
          <w:szCs w:val="21"/>
          <w:highlight w:val="none"/>
          <w:lang w:val="en-US" w:eastAsia="zh-CN"/>
        </w:rPr>
        <w:t>立即</w:t>
      </w:r>
      <w:r>
        <w:rPr>
          <w:rFonts w:hint="eastAsia" w:ascii="宋体" w:hAnsi="宋体" w:eastAsia="宋体" w:cs="宋体"/>
          <w:color w:val="auto"/>
          <w:sz w:val="21"/>
          <w:szCs w:val="21"/>
          <w:highlight w:val="none"/>
        </w:rPr>
        <w:t>通报对方，共同研究解决。</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项目各方当事人应</w:t>
      </w:r>
      <w:r>
        <w:rPr>
          <w:rFonts w:hint="eastAsia" w:ascii="宋体" w:hAnsi="宋体" w:eastAsia="宋体" w:cs="宋体"/>
          <w:color w:val="auto"/>
          <w:sz w:val="21"/>
          <w:szCs w:val="21"/>
          <w:highlight w:val="none"/>
        </w:rPr>
        <w:t>设立投诉举报渠道，接受师生、企业员工和社会各界的监督举报。对收到的投诉举报，双方应及时进行调查核实，并</w:t>
      </w:r>
      <w:r>
        <w:rPr>
          <w:rFonts w:hint="eastAsia" w:ascii="宋体" w:hAnsi="宋体" w:eastAsia="宋体" w:cs="宋体"/>
          <w:color w:val="auto"/>
          <w:sz w:val="21"/>
          <w:szCs w:val="21"/>
          <w:highlight w:val="none"/>
          <w:lang w:val="en-US" w:eastAsia="zh-CN"/>
        </w:rPr>
        <w:t>依纪</w:t>
      </w:r>
      <w:r>
        <w:rPr>
          <w:rFonts w:hint="eastAsia" w:ascii="宋体" w:hAnsi="宋体" w:eastAsia="宋体" w:cs="宋体"/>
          <w:color w:val="auto"/>
          <w:sz w:val="21"/>
          <w:szCs w:val="21"/>
          <w:highlight w:val="none"/>
        </w:rPr>
        <w:t>依法依规严肃处理。</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w:t>
      </w:r>
      <w:r>
        <w:rPr>
          <w:rFonts w:hint="eastAsia" w:ascii="宋体" w:hAnsi="宋体" w:eastAsia="宋体" w:cs="宋体"/>
          <w:color w:val="auto"/>
          <w:sz w:val="21"/>
          <w:szCs w:val="21"/>
          <w:highlight w:val="none"/>
          <w:lang w:val="en-US" w:eastAsia="zh-CN"/>
        </w:rPr>
        <w:t>各方的</w:t>
      </w:r>
      <w:r>
        <w:rPr>
          <w:rFonts w:hint="eastAsia" w:ascii="宋体" w:hAnsi="宋体" w:eastAsia="宋体" w:cs="宋体"/>
          <w:color w:val="auto"/>
          <w:sz w:val="21"/>
          <w:szCs w:val="21"/>
          <w:highlight w:val="none"/>
        </w:rPr>
        <w:t>权利与义务</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（一）甲方权利与义务</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1.权利：有权对乙方在</w:t>
      </w:r>
      <w:r>
        <w:rPr>
          <w:rFonts w:hint="eastAsia" w:ascii="宋体" w:hAnsi="宋体" w:eastAsia="宋体" w:cs="宋体"/>
          <w:color w:val="auto"/>
          <w:sz w:val="21"/>
          <w:szCs w:val="21"/>
          <w:highlight w:val="none"/>
          <w:lang w:val="en-US" w:eastAsia="zh-CN"/>
        </w:rPr>
        <w:t>资质进行尽职调查，乙方应予以配合；有权对</w:t>
      </w:r>
      <w:r>
        <w:rPr>
          <w:rFonts w:hint="eastAsia" w:ascii="宋体" w:hAnsi="宋体" w:eastAsia="宋体" w:cs="宋体"/>
          <w:color w:val="auto"/>
          <w:sz w:val="21"/>
          <w:szCs w:val="21"/>
          <w:highlight w:val="none"/>
        </w:rPr>
        <w:t>合作项目资料和资质的真实性、经费使用的规范性、</w:t>
      </w:r>
      <w:r>
        <w:rPr>
          <w:rFonts w:hint="eastAsia" w:ascii="宋体" w:hAnsi="宋体" w:eastAsia="宋体" w:cs="宋体"/>
          <w:color w:val="auto"/>
          <w:sz w:val="21"/>
          <w:szCs w:val="21"/>
          <w:highlight w:val="none"/>
          <w:lang w:val="en-US" w:eastAsia="zh-CN"/>
        </w:rPr>
        <w:t>实施过程</w:t>
      </w:r>
      <w:r>
        <w:rPr>
          <w:rFonts w:hint="eastAsia" w:ascii="宋体" w:hAnsi="宋体" w:eastAsia="宋体" w:cs="宋体"/>
          <w:color w:val="auto"/>
          <w:sz w:val="21"/>
          <w:szCs w:val="21"/>
          <w:highlight w:val="none"/>
        </w:rPr>
        <w:t>的合法合规性、合作项目工作人员对本项目廉洁从业情况等方面进行监督；对乙方违反相关合作协议的行为，</w:t>
      </w:r>
      <w:r>
        <w:rPr>
          <w:rFonts w:hint="eastAsia" w:ascii="宋体" w:hAnsi="宋体" w:eastAsia="宋体" w:cs="宋体"/>
          <w:color w:val="auto"/>
          <w:sz w:val="21"/>
          <w:szCs w:val="21"/>
          <w:highlight w:val="none"/>
          <w:lang w:val="en-US" w:eastAsia="zh-CN"/>
        </w:rPr>
        <w:t>并根据违反行为的情节严重程度</w:t>
      </w:r>
      <w:r>
        <w:rPr>
          <w:rFonts w:hint="eastAsia" w:ascii="宋体" w:hAnsi="宋体" w:eastAsia="宋体" w:cs="宋体"/>
          <w:color w:val="auto"/>
          <w:sz w:val="21"/>
          <w:szCs w:val="21"/>
          <w:highlight w:val="none"/>
        </w:rPr>
        <w:t>有权要求乙方限期整改</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追究违约责任或暂停、解除合作协议，情节特别严重或造成影响特别恶劣的，纳入甲方合作黑名单</w:t>
      </w:r>
      <w:r>
        <w:rPr>
          <w:rFonts w:hint="eastAsia" w:ascii="宋体" w:hAnsi="宋体" w:eastAsia="宋体" w:cs="宋体"/>
          <w:color w:val="auto"/>
          <w:sz w:val="21"/>
          <w:szCs w:val="21"/>
          <w:highlight w:val="none"/>
        </w:rPr>
        <w:t>。</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2.履行但不仅限于以下义务：按照本协议的约定，组织开展廉洁教育、制度建设等工作；为乙方在合作项目方面提供必要的工作支持和协助；保守乙方的商业秘密和技术秘密等。</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（二）乙方权利与义务</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1.权利：对甲方校企合作项目管理的合法合规性进行监督。发现甲方人员有违反廉洁纪律的行为，有权向学校</w:t>
      </w:r>
      <w:r>
        <w:rPr>
          <w:rFonts w:hint="eastAsia" w:ascii="宋体" w:hAnsi="宋体" w:eastAsia="宋体" w:cs="宋体"/>
          <w:color w:val="auto"/>
          <w:sz w:val="21"/>
          <w:szCs w:val="21"/>
          <w:highlight w:val="none"/>
          <w:lang w:val="en-US" w:eastAsia="zh-CN"/>
        </w:rPr>
        <w:t>党风廉政建设办公室</w:t>
      </w:r>
      <w:r>
        <w:rPr>
          <w:rFonts w:hint="eastAsia" w:ascii="宋体" w:hAnsi="宋体" w:eastAsia="宋体" w:cs="宋体"/>
          <w:color w:val="auto"/>
          <w:sz w:val="21"/>
          <w:szCs w:val="21"/>
          <w:highlight w:val="none"/>
        </w:rPr>
        <w:t>或</w:t>
      </w:r>
      <w:r>
        <w:rPr>
          <w:rFonts w:hint="eastAsia" w:ascii="宋体" w:hAnsi="宋体" w:eastAsia="宋体" w:cs="宋体"/>
          <w:color w:val="auto"/>
          <w:sz w:val="21"/>
          <w:szCs w:val="21"/>
          <w:highlight w:val="none"/>
          <w:lang w:val="en-US" w:eastAsia="zh-CN"/>
        </w:rPr>
        <w:t>驻校纪检监察组</w:t>
      </w:r>
      <w:r>
        <w:rPr>
          <w:rFonts w:hint="eastAsia" w:ascii="宋体" w:hAnsi="宋体" w:eastAsia="宋体" w:cs="宋体"/>
          <w:color w:val="auto"/>
          <w:sz w:val="21"/>
          <w:szCs w:val="21"/>
          <w:highlight w:val="none"/>
        </w:rPr>
        <w:t>投诉或反映</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投诉电话：</w:t>
      </w:r>
      <w:r>
        <w:rPr>
          <w:rFonts w:hint="eastAsia" w:ascii="宋体" w:hAnsi="宋体" w:eastAsia="宋体" w:cs="宋体"/>
          <w:color w:val="auto"/>
          <w:sz w:val="21"/>
          <w:szCs w:val="21"/>
          <w:highlight w:val="none"/>
          <w:u w:val="none"/>
          <w:lang w:val="en-US" w:eastAsia="zh-CN"/>
        </w:rPr>
        <w:t>5358241</w:t>
      </w:r>
      <w:r>
        <w:rPr>
          <w:rFonts w:hint="eastAsia" w:ascii="宋体" w:hAnsi="宋体" w:eastAsia="宋体" w:cs="宋体"/>
          <w:color w:val="auto"/>
          <w:sz w:val="21"/>
          <w:szCs w:val="21"/>
          <w:highlight w:val="none"/>
        </w:rPr>
        <w:t>。</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履行但不仅限于以下义务：按照本协议的约定，配合甲方开展清廉共建工作，加强对企业员工的廉洁教育和管理；遵守合作协议和相关制度规定，规范企业在合作项目中的行为；</w:t>
      </w:r>
      <w:r>
        <w:rPr>
          <w:rFonts w:hint="eastAsia" w:ascii="宋体" w:hAnsi="宋体" w:eastAsia="宋体" w:cs="宋体"/>
          <w:color w:val="auto"/>
          <w:sz w:val="21"/>
          <w:szCs w:val="21"/>
          <w:highlight w:val="none"/>
          <w:lang w:val="en-US" w:eastAsia="zh-CN"/>
        </w:rPr>
        <w:t>如乙方为款项支付方，应当</w:t>
      </w:r>
      <w:r>
        <w:rPr>
          <w:rFonts w:hint="eastAsia" w:ascii="宋体" w:hAnsi="宋体" w:eastAsia="宋体" w:cs="宋体"/>
          <w:color w:val="auto"/>
          <w:sz w:val="21"/>
          <w:szCs w:val="21"/>
          <w:highlight w:val="none"/>
        </w:rPr>
        <w:t>按时足额拨付合作项目经费，确保项目</w:t>
      </w:r>
      <w:r>
        <w:rPr>
          <w:rFonts w:hint="eastAsia" w:ascii="宋体" w:hAnsi="宋体" w:eastAsia="宋体" w:cs="宋体"/>
          <w:color w:val="auto"/>
          <w:sz w:val="21"/>
          <w:szCs w:val="21"/>
          <w:highlight w:val="none"/>
          <w:lang w:eastAsia="zh-CN"/>
        </w:rPr>
        <w:t>按</w:t>
      </w:r>
      <w:r>
        <w:rPr>
          <w:rFonts w:hint="eastAsia" w:ascii="宋体" w:hAnsi="宋体" w:eastAsia="宋体" w:cs="宋体"/>
          <w:color w:val="auto"/>
          <w:sz w:val="21"/>
          <w:szCs w:val="21"/>
          <w:highlight w:val="none"/>
          <w:lang w:val="en-US" w:eastAsia="zh-CN"/>
        </w:rPr>
        <w:t>双方合作协议进度完成</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严格</w:t>
      </w:r>
      <w:r>
        <w:rPr>
          <w:rFonts w:hint="eastAsia" w:ascii="宋体" w:hAnsi="宋体" w:eastAsia="宋体" w:cs="宋体"/>
          <w:color w:val="auto"/>
          <w:sz w:val="21"/>
          <w:szCs w:val="21"/>
          <w:highlight w:val="none"/>
        </w:rPr>
        <w:t>保守甲方的教学科研秘密和学生信息等。</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其他。校企项目合作并不限制仅有双方合作，甲方鼓励并欢迎多方共同参与校企项目合作，共同推进合作目标的达成。如有三方以上（含三方）参与合作，第三方遵循的权利义务原则与乙方一致，如有特别要求，应写进清廉共建协议中，以资遵守。</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四、</w:t>
      </w:r>
      <w:r>
        <w:rPr>
          <w:rFonts w:hint="eastAsia" w:ascii="宋体" w:hAnsi="宋体" w:eastAsia="宋体" w:cs="宋体"/>
          <w:color w:val="auto"/>
          <w:sz w:val="21"/>
          <w:szCs w:val="21"/>
          <w:highlight w:val="none"/>
          <w:lang w:val="en-US"/>
        </w:rPr>
        <w:t>协议生效与期限</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1.本协议自</w:t>
      </w:r>
      <w:r>
        <w:rPr>
          <w:rFonts w:hint="eastAsia" w:ascii="宋体" w:hAnsi="宋体" w:eastAsia="宋体" w:cs="宋体"/>
          <w:color w:val="auto"/>
          <w:sz w:val="21"/>
          <w:szCs w:val="21"/>
          <w:highlight w:val="none"/>
          <w:lang w:val="en-US" w:eastAsia="zh-CN"/>
        </w:rPr>
        <w:t>各</w:t>
      </w:r>
      <w:r>
        <w:rPr>
          <w:rFonts w:hint="eastAsia" w:ascii="宋体" w:hAnsi="宋体" w:eastAsia="宋体" w:cs="宋体"/>
          <w:color w:val="auto"/>
          <w:sz w:val="21"/>
          <w:szCs w:val="21"/>
          <w:highlight w:val="none"/>
        </w:rPr>
        <w:t>方</w:t>
      </w:r>
      <w:r>
        <w:rPr>
          <w:rFonts w:hint="eastAsia" w:ascii="宋体" w:hAnsi="宋体" w:eastAsia="宋体" w:cs="宋体"/>
          <w:color w:val="auto"/>
          <w:sz w:val="21"/>
          <w:szCs w:val="21"/>
          <w:highlight w:val="none"/>
          <w:lang w:val="en-US" w:eastAsia="zh-CN"/>
        </w:rPr>
        <w:t>/授权代表</w:t>
      </w:r>
      <w:r>
        <w:rPr>
          <w:rFonts w:hint="eastAsia" w:ascii="宋体" w:hAnsi="宋体" w:eastAsia="宋体" w:cs="宋体"/>
          <w:color w:val="auto"/>
          <w:sz w:val="21"/>
          <w:szCs w:val="21"/>
          <w:highlight w:val="none"/>
        </w:rPr>
        <w:t>签字（盖章）之日起生效，</w:t>
      </w:r>
      <w:r>
        <w:rPr>
          <w:rFonts w:hint="eastAsia" w:ascii="宋体" w:hAnsi="宋体" w:eastAsia="宋体" w:cs="宋体"/>
          <w:color w:val="auto"/>
          <w:sz w:val="21"/>
          <w:szCs w:val="21"/>
          <w:highlight w:val="none"/>
          <w:lang w:val="en-US" w:eastAsia="zh-CN"/>
        </w:rPr>
        <w:t>是各方业务协议的有效组成部分，对各方均有法律约束力；合作内容完成或</w:t>
      </w:r>
      <w:r>
        <w:rPr>
          <w:rFonts w:hint="eastAsia" w:ascii="宋体" w:hAnsi="宋体" w:eastAsia="宋体" w:cs="宋体"/>
          <w:color w:val="auto"/>
          <w:sz w:val="21"/>
          <w:szCs w:val="21"/>
          <w:highlight w:val="none"/>
        </w:rPr>
        <w:t>合作关系解除后</w:t>
      </w:r>
      <w:r>
        <w:rPr>
          <w:rFonts w:hint="eastAsia" w:ascii="宋体" w:hAnsi="宋体" w:eastAsia="宋体" w:cs="宋体"/>
          <w:color w:val="auto"/>
          <w:sz w:val="21"/>
          <w:szCs w:val="21"/>
          <w:highlight w:val="none"/>
          <w:lang w:val="en-US" w:eastAsia="zh-CN"/>
        </w:rPr>
        <w:t>共建协议</w:t>
      </w:r>
      <w:r>
        <w:rPr>
          <w:rFonts w:hint="eastAsia" w:ascii="宋体" w:hAnsi="宋体" w:eastAsia="宋体" w:cs="宋体"/>
          <w:color w:val="auto"/>
          <w:sz w:val="21"/>
          <w:szCs w:val="21"/>
          <w:highlight w:val="none"/>
        </w:rPr>
        <w:t>自动解除。</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2.本协议一式</w:t>
      </w:r>
      <w:r>
        <w:rPr>
          <w:rFonts w:hint="eastAsia" w:ascii="宋体" w:hAnsi="宋体" w:eastAsia="宋体" w:cs="宋体"/>
          <w:color w:val="auto"/>
          <w:sz w:val="21"/>
          <w:szCs w:val="21"/>
          <w:highlight w:val="none"/>
          <w:lang w:val="en-US" w:eastAsia="zh-CN"/>
        </w:rPr>
        <w:t>叁</w:t>
      </w:r>
      <w:r>
        <w:rPr>
          <w:rFonts w:hint="eastAsia" w:ascii="宋体" w:hAnsi="宋体" w:eastAsia="宋体" w:cs="宋体"/>
          <w:color w:val="auto"/>
          <w:sz w:val="21"/>
          <w:szCs w:val="21"/>
          <w:highlight w:val="none"/>
        </w:rPr>
        <w:t>份，甲</w:t>
      </w:r>
      <w:r>
        <w:rPr>
          <w:rFonts w:hint="eastAsia" w:ascii="宋体" w:hAnsi="宋体" w:eastAsia="宋体" w:cs="宋体"/>
          <w:color w:val="auto"/>
          <w:sz w:val="21"/>
          <w:szCs w:val="21"/>
          <w:highlight w:val="none"/>
          <w:lang w:val="en-US" w:eastAsia="zh-CN"/>
        </w:rPr>
        <w:t>方</w:t>
      </w:r>
      <w:r>
        <w:rPr>
          <w:rFonts w:hint="eastAsia" w:ascii="宋体" w:hAnsi="宋体" w:eastAsia="宋体" w:cs="宋体"/>
          <w:color w:val="auto"/>
          <w:sz w:val="21"/>
          <w:szCs w:val="21"/>
          <w:highlight w:val="none"/>
        </w:rPr>
        <w:t>执</w:t>
      </w:r>
      <w:r>
        <w:rPr>
          <w:rFonts w:hint="eastAsia" w:ascii="宋体" w:hAnsi="宋体" w:eastAsia="宋体" w:cs="宋体"/>
          <w:color w:val="auto"/>
          <w:sz w:val="21"/>
          <w:szCs w:val="21"/>
          <w:highlight w:val="none"/>
          <w:lang w:val="en-US" w:eastAsia="zh-CN"/>
        </w:rPr>
        <w:t>两份，其中</w:t>
      </w:r>
      <w:r>
        <w:rPr>
          <w:rFonts w:hint="eastAsia" w:ascii="宋体" w:hAnsi="宋体" w:eastAsia="宋体" w:cs="宋体"/>
          <w:color w:val="auto"/>
          <w:sz w:val="21"/>
          <w:szCs w:val="21"/>
          <w:highlight w:val="none"/>
        </w:rPr>
        <w:t>学校</w:t>
      </w:r>
      <w:r>
        <w:rPr>
          <w:rFonts w:hint="eastAsia" w:ascii="宋体" w:hAnsi="宋体" w:eastAsia="宋体" w:cs="宋体"/>
          <w:color w:val="auto"/>
          <w:sz w:val="21"/>
          <w:szCs w:val="21"/>
          <w:highlight w:val="none"/>
          <w:lang w:val="en-US" w:eastAsia="zh-CN"/>
        </w:rPr>
        <w:t>党风廉政建设办公</w:t>
      </w:r>
      <w:r>
        <w:rPr>
          <w:rFonts w:hint="eastAsia" w:ascii="宋体" w:hAnsi="宋体" w:eastAsia="宋体" w:cs="宋体"/>
          <w:color w:val="auto"/>
          <w:sz w:val="21"/>
          <w:szCs w:val="21"/>
          <w:highlight w:val="none"/>
        </w:rPr>
        <w:t>室执</w:t>
      </w:r>
      <w:r>
        <w:rPr>
          <w:rFonts w:hint="eastAsia" w:ascii="宋体" w:hAnsi="宋体" w:eastAsia="宋体" w:cs="宋体"/>
          <w:color w:val="auto"/>
          <w:sz w:val="21"/>
          <w:szCs w:val="21"/>
          <w:highlight w:val="none"/>
          <w:lang w:val="en-US" w:eastAsia="zh-CN"/>
        </w:rPr>
        <w:t>壹</w:t>
      </w:r>
      <w:r>
        <w:rPr>
          <w:rFonts w:hint="eastAsia" w:ascii="宋体" w:hAnsi="宋体" w:eastAsia="宋体" w:cs="宋体"/>
          <w:color w:val="auto"/>
          <w:sz w:val="21"/>
          <w:szCs w:val="21"/>
          <w:highlight w:val="none"/>
        </w:rPr>
        <w:t>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乙</w:t>
      </w:r>
      <w:r>
        <w:rPr>
          <w:rFonts w:hint="eastAsia" w:ascii="宋体" w:hAnsi="宋体" w:eastAsia="宋体" w:cs="宋体"/>
          <w:color w:val="auto"/>
          <w:sz w:val="21"/>
          <w:szCs w:val="21"/>
          <w:highlight w:val="none"/>
          <w:lang w:val="en-US" w:eastAsia="zh-CN"/>
        </w:rPr>
        <w:t>方</w:t>
      </w:r>
      <w:r>
        <w:rPr>
          <w:rFonts w:hint="eastAsia" w:ascii="宋体" w:hAnsi="宋体" w:eastAsia="宋体" w:cs="宋体"/>
          <w:color w:val="auto"/>
          <w:sz w:val="21"/>
          <w:szCs w:val="21"/>
          <w:highlight w:val="none"/>
        </w:rPr>
        <w:t>执</w:t>
      </w:r>
      <w:r>
        <w:rPr>
          <w:rFonts w:hint="eastAsia" w:ascii="宋体" w:hAnsi="宋体" w:eastAsia="宋体" w:cs="宋体"/>
          <w:color w:val="auto"/>
          <w:sz w:val="21"/>
          <w:szCs w:val="21"/>
          <w:highlight w:val="none"/>
          <w:lang w:val="en-US" w:eastAsia="zh-CN"/>
        </w:rPr>
        <w:t>壹</w:t>
      </w:r>
      <w:r>
        <w:rPr>
          <w:rFonts w:hint="eastAsia" w:ascii="宋体" w:hAnsi="宋体" w:eastAsia="宋体" w:cs="宋体"/>
          <w:color w:val="auto"/>
          <w:sz w:val="21"/>
          <w:szCs w:val="21"/>
          <w:highlight w:val="none"/>
        </w:rPr>
        <w:t>份，具有同等法律效力。</w:t>
      </w:r>
    </w:p>
    <w:p>
      <w:pPr>
        <w:keepNext w:val="0"/>
        <w:keepLines w:val="0"/>
        <w:pageBreakBefore w:val="0"/>
        <w:widowControl w:val="0"/>
        <w:kinsoku/>
        <w:wordWrap/>
        <w:overflowPunct/>
        <w:topLinePunct w:val="0"/>
        <w:autoSpaceDE/>
        <w:autoSpaceDN/>
        <w:bidi w:val="0"/>
        <w:adjustRightInd/>
        <w:snapToGrid/>
        <w:spacing w:after="0" w:line="400" w:lineRule="atLeast"/>
        <w:ind w:firstLine="68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附件：中标（成交）通知书</w:t>
      </w:r>
    </w:p>
    <w:p>
      <w:pPr>
        <w:keepNext w:val="0"/>
        <w:keepLines w:val="0"/>
        <w:pageBreakBefore w:val="0"/>
        <w:widowControl w:val="0"/>
        <w:kinsoku/>
        <w:wordWrap/>
        <w:overflowPunct/>
        <w:topLinePunct w:val="0"/>
        <w:autoSpaceDE/>
        <w:autoSpaceDN/>
        <w:bidi w:val="0"/>
        <w:adjustRightInd/>
        <w:snapToGrid/>
        <w:spacing w:after="0" w:line="400" w:lineRule="atLeast"/>
        <w:jc w:val="both"/>
        <w:textAlignment w:val="auto"/>
        <w:rPr>
          <w:rFonts w:hint="eastAsia" w:ascii="宋体" w:hAnsi="宋体" w:eastAsia="宋体" w:cs="宋体"/>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after="0" w:line="400" w:lineRule="atLeast"/>
        <w:jc w:val="both"/>
        <w:textAlignment w:val="auto"/>
        <w:rPr>
          <w:rFonts w:hint="eastAsia" w:ascii="宋体" w:hAnsi="宋体" w:eastAsia="宋体" w:cs="宋体"/>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after="0" w:line="400" w:lineRule="atLeast"/>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甲方（盖章）：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乙方（盖章）：</w:t>
      </w:r>
    </w:p>
    <w:p>
      <w:pPr>
        <w:keepNext w:val="0"/>
        <w:keepLines w:val="0"/>
        <w:pageBreakBefore w:val="0"/>
        <w:widowControl w:val="0"/>
        <w:kinsoku/>
        <w:wordWrap/>
        <w:overflowPunct/>
        <w:topLinePunct w:val="0"/>
        <w:autoSpaceDE/>
        <w:autoSpaceDN/>
        <w:bidi w:val="0"/>
        <w:adjustRightInd/>
        <w:snapToGrid/>
        <w:spacing w:after="0" w:line="400" w:lineRule="atLeast"/>
        <w:jc w:val="both"/>
        <w:textAlignment w:val="auto"/>
        <w:rPr>
          <w:rFonts w:hint="eastAsia" w:ascii="宋体" w:hAnsi="宋体" w:eastAsia="宋体" w:cs="宋体"/>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after="0" w:line="400" w:lineRule="atLeast"/>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代表（签字）：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代表（签字）： </w:t>
      </w:r>
    </w:p>
    <w:p>
      <w:pPr>
        <w:keepNext w:val="0"/>
        <w:keepLines w:val="0"/>
        <w:pageBreakBefore w:val="0"/>
        <w:widowControl w:val="0"/>
        <w:kinsoku/>
        <w:wordWrap/>
        <w:overflowPunct/>
        <w:topLinePunct w:val="0"/>
        <w:autoSpaceDE/>
        <w:autoSpaceDN/>
        <w:bidi w:val="0"/>
        <w:adjustRightInd/>
        <w:snapToGrid/>
        <w:spacing w:after="0" w:line="400" w:lineRule="atLeast"/>
        <w:jc w:val="both"/>
        <w:textAlignment w:val="auto"/>
        <w:rPr>
          <w:rFonts w:hint="eastAsia" w:ascii="宋体" w:hAnsi="宋体" w:eastAsia="宋体" w:cs="宋体"/>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after="0" w:line="400" w:lineRule="atLeast"/>
        <w:jc w:val="both"/>
        <w:textAlignment w:val="auto"/>
        <w:rPr>
          <w:rFonts w:hint="eastAsia" w:ascii="宋体" w:hAnsi="宋体" w:eastAsia="宋体" w:cs="宋体"/>
          <w:color w:val="auto"/>
          <w:sz w:val="32"/>
          <w:szCs w:val="32"/>
          <w:highlight w:val="none"/>
        </w:rPr>
      </w:pPr>
      <w:r>
        <w:rPr>
          <w:rFonts w:hint="eastAsia" w:ascii="宋体" w:hAnsi="宋体" w:eastAsia="宋体" w:cs="宋体"/>
          <w:color w:val="auto"/>
          <w:sz w:val="21"/>
          <w:szCs w:val="21"/>
          <w:highlight w:val="none"/>
        </w:rPr>
        <w:t>签订日期：  年  月  日</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签订日期：  年  月  日 </w:t>
      </w:r>
      <w:r>
        <w:rPr>
          <w:rFonts w:hint="eastAsia" w:ascii="宋体" w:hAnsi="宋体" w:eastAsia="宋体" w:cs="宋体"/>
          <w:color w:val="auto"/>
          <w:sz w:val="32"/>
          <w:szCs w:val="32"/>
          <w:highlight w:val="none"/>
        </w:rPr>
        <w:t xml:space="preserve">       </w:t>
      </w:r>
    </w:p>
    <w:p>
      <w:pPr>
        <w:keepNext w:val="0"/>
        <w:keepLines w:val="0"/>
        <w:pageBreakBefore w:val="0"/>
        <w:widowControl w:val="0"/>
        <w:kinsoku/>
        <w:wordWrap/>
        <w:overflowPunct/>
        <w:topLinePunct w:val="0"/>
        <w:autoSpaceDE/>
        <w:autoSpaceDN/>
        <w:bidi w:val="0"/>
        <w:adjustRightInd/>
        <w:snapToGrid/>
        <w:spacing w:after="0" w:line="400" w:lineRule="atLeast"/>
        <w:ind w:firstLine="420" w:firstLineChars="200"/>
        <w:textAlignment w:val="auto"/>
        <w:rPr>
          <w:rFonts w:hint="eastAsia" w:ascii="宋体" w:hAnsi="宋体" w:eastAsia="宋体" w:cs="宋体"/>
          <w:color w:val="auto"/>
          <w:highlight w:val="none"/>
        </w:rPr>
        <w:sectPr>
          <w:footerReference r:id="rId12" w:type="default"/>
          <w:pgSz w:w="11910" w:h="16840"/>
          <w:pgMar w:top="400" w:right="1065" w:bottom="1091" w:left="1140" w:header="0" w:footer="929" w:gutter="0"/>
          <w:pgNumType w:fmt="decimal"/>
          <w:cols w:space="720" w:num="1"/>
        </w:sectPr>
      </w:pPr>
    </w:p>
    <w:p>
      <w:pPr>
        <w:pStyle w:val="14"/>
        <w:tabs>
          <w:tab w:val="left" w:pos="2472"/>
        </w:tabs>
        <w:spacing w:line="460" w:lineRule="exact"/>
        <w:jc w:val="center"/>
        <w:outlineLvl w:val="0"/>
        <w:rPr>
          <w:rFonts w:hint="eastAsia" w:hAnsi="宋体" w:cs="宋体"/>
          <w:b/>
          <w:color w:val="auto"/>
          <w:sz w:val="36"/>
          <w:highlight w:val="none"/>
        </w:rPr>
      </w:pPr>
      <w:bookmarkStart w:id="291" w:name="_Toc14291"/>
      <w:bookmarkStart w:id="292" w:name="_Toc8784"/>
      <w:bookmarkStart w:id="293" w:name="_Toc19166"/>
      <w:bookmarkStart w:id="294" w:name="_Toc8074"/>
      <w:bookmarkStart w:id="295" w:name="_Toc27021"/>
      <w:bookmarkStart w:id="296" w:name="_Toc23759"/>
      <w:bookmarkStart w:id="297" w:name="_Toc7880"/>
      <w:bookmarkStart w:id="298" w:name="_Toc21691"/>
      <w:bookmarkStart w:id="299" w:name="_Toc20288"/>
      <w:bookmarkStart w:id="300" w:name="_Toc10298"/>
      <w:bookmarkStart w:id="301" w:name="_Toc6639"/>
    </w:p>
    <w:p>
      <w:pPr>
        <w:pStyle w:val="14"/>
        <w:tabs>
          <w:tab w:val="left" w:pos="2472"/>
        </w:tabs>
        <w:spacing w:line="460" w:lineRule="exact"/>
        <w:jc w:val="center"/>
        <w:outlineLvl w:val="0"/>
        <w:rPr>
          <w:rFonts w:hint="eastAsia" w:hAnsi="宋体" w:cs="宋体"/>
          <w:b/>
          <w:color w:val="auto"/>
          <w:sz w:val="36"/>
          <w:highlight w:val="none"/>
        </w:rPr>
      </w:pPr>
    </w:p>
    <w:p>
      <w:pPr>
        <w:pStyle w:val="14"/>
        <w:tabs>
          <w:tab w:val="left" w:pos="2472"/>
        </w:tabs>
        <w:spacing w:line="460" w:lineRule="exact"/>
        <w:jc w:val="center"/>
        <w:outlineLvl w:val="0"/>
        <w:rPr>
          <w:rFonts w:hint="eastAsia" w:hAnsi="宋体" w:cs="宋体"/>
          <w:b/>
          <w:color w:val="auto"/>
          <w:sz w:val="36"/>
          <w:highlight w:val="none"/>
        </w:rPr>
      </w:pPr>
    </w:p>
    <w:p>
      <w:pPr>
        <w:pStyle w:val="14"/>
        <w:tabs>
          <w:tab w:val="left" w:pos="2472"/>
        </w:tabs>
        <w:spacing w:line="460" w:lineRule="exact"/>
        <w:jc w:val="center"/>
        <w:outlineLvl w:val="0"/>
        <w:rPr>
          <w:rFonts w:hint="eastAsia" w:hAnsi="宋体" w:cs="宋体"/>
          <w:b/>
          <w:color w:val="auto"/>
          <w:sz w:val="36"/>
          <w:highlight w:val="none"/>
        </w:rPr>
      </w:pPr>
    </w:p>
    <w:p>
      <w:pPr>
        <w:pStyle w:val="14"/>
        <w:tabs>
          <w:tab w:val="left" w:pos="2472"/>
        </w:tabs>
        <w:spacing w:line="460" w:lineRule="exact"/>
        <w:jc w:val="center"/>
        <w:outlineLvl w:val="0"/>
        <w:rPr>
          <w:rFonts w:hint="eastAsia" w:hAnsi="宋体" w:cs="宋体"/>
          <w:b/>
          <w:color w:val="auto"/>
          <w:sz w:val="36"/>
          <w:highlight w:val="none"/>
        </w:rPr>
      </w:pPr>
    </w:p>
    <w:p>
      <w:pPr>
        <w:pStyle w:val="14"/>
        <w:tabs>
          <w:tab w:val="left" w:pos="2472"/>
        </w:tabs>
        <w:spacing w:line="460" w:lineRule="exact"/>
        <w:jc w:val="center"/>
        <w:outlineLvl w:val="0"/>
        <w:rPr>
          <w:rFonts w:hint="eastAsia" w:hAnsi="宋体" w:cs="宋体"/>
          <w:b/>
          <w:color w:val="auto"/>
          <w:sz w:val="36"/>
          <w:highlight w:val="none"/>
        </w:rPr>
      </w:pPr>
      <w:r>
        <w:rPr>
          <w:rFonts w:hint="eastAsia" w:hAnsi="宋体" w:cs="宋体"/>
          <w:b/>
          <w:color w:val="auto"/>
          <w:sz w:val="36"/>
          <w:highlight w:val="none"/>
        </w:rPr>
        <w:t>第六章 投标文件格式</w:t>
      </w:r>
      <w:bookmarkEnd w:id="291"/>
      <w:bookmarkEnd w:id="292"/>
      <w:bookmarkEnd w:id="293"/>
      <w:bookmarkEnd w:id="294"/>
      <w:bookmarkEnd w:id="295"/>
      <w:bookmarkEnd w:id="296"/>
      <w:bookmarkEnd w:id="297"/>
      <w:bookmarkEnd w:id="298"/>
      <w:bookmarkEnd w:id="299"/>
      <w:bookmarkEnd w:id="300"/>
      <w:bookmarkEnd w:id="301"/>
    </w:p>
    <w:p>
      <w:pPr>
        <w:widowControl/>
        <w:spacing w:beforeAutospacing="1" w:line="360" w:lineRule="auto"/>
        <w:jc w:val="left"/>
        <w:rPr>
          <w:rFonts w:hint="eastAsia" w:ascii="宋体" w:hAnsi="宋体" w:cs="宋体"/>
          <w:color w:val="auto"/>
          <w:szCs w:val="20"/>
          <w:highlight w:val="none"/>
        </w:rPr>
        <w:sectPr>
          <w:pgSz w:w="11906" w:h="16838"/>
          <w:pgMar w:top="1134" w:right="1020" w:bottom="1020" w:left="1134" w:header="720" w:footer="720" w:gutter="0"/>
          <w:pgNumType w:fmt="decimal"/>
          <w:cols w:space="720" w:num="1"/>
          <w:docGrid w:type="lines" w:linePitch="331" w:charSpace="0"/>
        </w:sectPr>
      </w:pPr>
    </w:p>
    <w:p>
      <w:pPr>
        <w:pStyle w:val="14"/>
        <w:jc w:val="center"/>
        <w:outlineLvl w:val="1"/>
        <w:rPr>
          <w:rFonts w:hint="eastAsia" w:hAnsi="宋体" w:cs="宋体"/>
          <w:b/>
          <w:bCs/>
          <w:color w:val="auto"/>
          <w:sz w:val="28"/>
          <w:szCs w:val="28"/>
          <w:highlight w:val="none"/>
        </w:rPr>
      </w:pPr>
      <w:bookmarkStart w:id="302" w:name="_Toc247"/>
      <w:bookmarkStart w:id="303" w:name="_Toc26915"/>
      <w:bookmarkStart w:id="304" w:name="_Toc16447"/>
      <w:bookmarkStart w:id="305" w:name="_Toc29743"/>
      <w:bookmarkStart w:id="306" w:name="_Toc30455"/>
      <w:r>
        <w:rPr>
          <w:rFonts w:hint="eastAsia" w:hAnsi="宋体" w:cs="宋体"/>
          <w:b/>
          <w:bCs/>
          <w:color w:val="auto"/>
          <w:sz w:val="28"/>
          <w:szCs w:val="28"/>
          <w:highlight w:val="none"/>
        </w:rPr>
        <w:t>第一节 资格文件格式</w:t>
      </w:r>
      <w:bookmarkEnd w:id="302"/>
      <w:bookmarkEnd w:id="303"/>
      <w:bookmarkEnd w:id="304"/>
      <w:bookmarkEnd w:id="305"/>
      <w:bookmarkEnd w:id="306"/>
    </w:p>
    <w:p>
      <w:pPr>
        <w:pStyle w:val="14"/>
        <w:spacing w:line="360" w:lineRule="auto"/>
        <w:ind w:firstLine="420"/>
        <w:rPr>
          <w:rFonts w:hint="eastAsia" w:hAnsi="宋体" w:cs="宋体"/>
          <w:color w:val="auto"/>
          <w:sz w:val="24"/>
          <w:szCs w:val="24"/>
          <w:highlight w:val="none"/>
        </w:rPr>
      </w:pPr>
    </w:p>
    <w:p>
      <w:pPr>
        <w:pStyle w:val="14"/>
        <w:spacing w:line="360" w:lineRule="auto"/>
        <w:ind w:firstLine="420"/>
        <w:rPr>
          <w:rFonts w:hint="eastAsia" w:hAnsi="宋体" w:cs="宋体"/>
          <w:b/>
          <w:bCs/>
          <w:color w:val="auto"/>
          <w:sz w:val="24"/>
          <w:szCs w:val="24"/>
          <w:highlight w:val="none"/>
        </w:rPr>
      </w:pPr>
      <w:r>
        <w:rPr>
          <w:rFonts w:hint="eastAsia" w:hAnsi="宋体" w:cs="宋体"/>
          <w:b/>
          <w:bCs/>
          <w:color w:val="auto"/>
          <w:sz w:val="28"/>
          <w:szCs w:val="28"/>
          <w:highlight w:val="none"/>
        </w:rPr>
        <w:t>1.资格文件封面的格式</w:t>
      </w:r>
      <w:r>
        <w:rPr>
          <w:rFonts w:hint="eastAsia" w:hAnsi="宋体" w:cs="宋体"/>
          <w:b/>
          <w:color w:val="auto"/>
          <w:sz w:val="28"/>
          <w:szCs w:val="28"/>
          <w:highlight w:val="none"/>
        </w:rPr>
        <w:t>（参照此格式自拟）</w:t>
      </w:r>
      <w:r>
        <w:rPr>
          <w:rFonts w:hint="eastAsia" w:hAnsi="宋体" w:cs="宋体"/>
          <w:b/>
          <w:bCs/>
          <w:color w:val="auto"/>
          <w:sz w:val="28"/>
          <w:szCs w:val="28"/>
          <w:highlight w:val="none"/>
        </w:rPr>
        <w:t>：</w:t>
      </w:r>
      <w:r>
        <w:rPr>
          <w:rFonts w:hint="eastAsia" w:hAnsi="宋体" w:cs="宋体"/>
          <w:b/>
          <w:bCs/>
          <w:color w:val="auto"/>
          <w:sz w:val="24"/>
          <w:szCs w:val="24"/>
          <w:highlight w:val="none"/>
        </w:rPr>
        <w:t xml:space="preserve"> </w:t>
      </w:r>
    </w:p>
    <w:p>
      <w:pPr>
        <w:pStyle w:val="10"/>
        <w:rPr>
          <w:color w:val="auto"/>
          <w:highlight w:val="none"/>
        </w:rPr>
      </w:pPr>
    </w:p>
    <w:p>
      <w:pPr>
        <w:snapToGrid w:val="0"/>
        <w:spacing w:before="165" w:beforeLines="50" w:after="50"/>
        <w:rPr>
          <w:rFonts w:hint="eastAsia" w:ascii="宋体" w:hAnsi="宋体" w:cs="宋体"/>
          <w:bCs/>
          <w:color w:val="auto"/>
          <w:sz w:val="32"/>
          <w:szCs w:val="20"/>
          <w:highlight w:val="none"/>
        </w:rPr>
      </w:pPr>
      <w:r>
        <w:rPr>
          <w:rFonts w:hint="eastAsia" w:ascii="宋体" w:hAnsi="宋体" w:cs="宋体"/>
          <w:color w:val="auto"/>
          <w:sz w:val="24"/>
          <w:highlight w:val="none"/>
        </w:rPr>
        <w:t xml:space="preserve">                                                         </w:t>
      </w:r>
      <w:r>
        <w:rPr>
          <w:rFonts w:hint="eastAsia" w:ascii="宋体" w:hAnsi="宋体" w:cs="宋体"/>
          <w:bCs/>
          <w:color w:val="auto"/>
          <w:highlight w:val="none"/>
        </w:rPr>
        <w:t>电子版投标文件</w:t>
      </w:r>
    </w:p>
    <w:p>
      <w:pPr>
        <w:snapToGrid w:val="0"/>
        <w:spacing w:before="165" w:beforeLines="50" w:after="50"/>
        <w:rPr>
          <w:rFonts w:hint="eastAsia" w:ascii="宋体" w:hAnsi="宋体" w:cs="宋体"/>
          <w:color w:val="auto"/>
          <w:sz w:val="24"/>
          <w:szCs w:val="20"/>
          <w:highlight w:val="none"/>
        </w:rPr>
      </w:pPr>
    </w:p>
    <w:p>
      <w:pPr>
        <w:snapToGrid w:val="0"/>
        <w:spacing w:before="165" w:beforeLines="50" w:after="50"/>
        <w:jc w:val="center"/>
        <w:rPr>
          <w:rFonts w:hint="eastAsia" w:ascii="宋体" w:hAnsi="宋体" w:cs="宋体"/>
          <w:b/>
          <w:color w:val="auto"/>
          <w:sz w:val="32"/>
          <w:szCs w:val="32"/>
          <w:highlight w:val="none"/>
        </w:rPr>
      </w:pPr>
    </w:p>
    <w:p>
      <w:pPr>
        <w:snapToGrid w:val="0"/>
        <w:spacing w:before="165" w:beforeLines="50" w:after="50"/>
        <w:jc w:val="center"/>
        <w:rPr>
          <w:rFonts w:hint="eastAsia" w:ascii="宋体" w:hAnsi="宋体" w:cs="宋体"/>
          <w:b/>
          <w:color w:val="auto"/>
          <w:sz w:val="24"/>
          <w:szCs w:val="20"/>
          <w:highlight w:val="none"/>
        </w:rPr>
      </w:pPr>
      <w:r>
        <w:rPr>
          <w:rFonts w:hint="eastAsia" w:ascii="宋体" w:hAnsi="宋体" w:cs="宋体"/>
          <w:b/>
          <w:color w:val="auto"/>
          <w:sz w:val="32"/>
          <w:szCs w:val="32"/>
          <w:highlight w:val="none"/>
        </w:rPr>
        <w:t>资格文件</w:t>
      </w:r>
    </w:p>
    <w:p>
      <w:pPr>
        <w:snapToGrid w:val="0"/>
        <w:spacing w:before="165" w:beforeLines="50" w:after="50"/>
        <w:rPr>
          <w:rFonts w:hint="eastAsia" w:ascii="宋体" w:hAnsi="宋体" w:cs="宋体"/>
          <w:bCs/>
          <w:color w:val="auto"/>
          <w:sz w:val="24"/>
          <w:szCs w:val="20"/>
          <w:highlight w:val="none"/>
        </w:rPr>
      </w:pPr>
    </w:p>
    <w:p>
      <w:pPr>
        <w:snapToGrid w:val="0"/>
        <w:spacing w:before="165" w:beforeLines="50" w:after="50"/>
        <w:rPr>
          <w:rFonts w:hint="eastAsia" w:ascii="宋体" w:hAnsi="宋体" w:cs="宋体"/>
          <w:bCs/>
          <w:color w:val="auto"/>
          <w:sz w:val="24"/>
          <w:szCs w:val="20"/>
          <w:highlight w:val="none"/>
        </w:rPr>
      </w:pPr>
    </w:p>
    <w:p>
      <w:pPr>
        <w:snapToGrid w:val="0"/>
        <w:spacing w:before="165" w:beforeLines="50" w:after="50"/>
        <w:rPr>
          <w:rFonts w:hint="eastAsia" w:ascii="宋体" w:hAnsi="宋体" w:cs="宋体"/>
          <w:bCs/>
          <w:color w:val="auto"/>
          <w:sz w:val="24"/>
          <w:szCs w:val="20"/>
          <w:highlight w:val="none"/>
        </w:rPr>
      </w:pPr>
    </w:p>
    <w:p>
      <w:pPr>
        <w:snapToGrid w:val="0"/>
        <w:spacing w:before="165" w:beforeLines="50" w:after="50"/>
        <w:rPr>
          <w:rFonts w:hint="eastAsia" w:ascii="宋体" w:hAnsi="宋体" w:cs="宋体"/>
          <w:bCs/>
          <w:color w:val="auto"/>
          <w:sz w:val="24"/>
          <w:szCs w:val="20"/>
          <w:highlight w:val="none"/>
        </w:rPr>
      </w:pPr>
    </w:p>
    <w:p>
      <w:pPr>
        <w:snapToGrid w:val="0"/>
        <w:spacing w:before="165" w:beforeLines="50" w:after="50"/>
        <w:rPr>
          <w:rFonts w:hint="eastAsia" w:ascii="宋体" w:hAnsi="宋体" w:cs="宋体"/>
          <w:bCs/>
          <w:color w:val="auto"/>
          <w:sz w:val="24"/>
          <w:szCs w:val="20"/>
          <w:highlight w:val="none"/>
        </w:rPr>
      </w:pPr>
    </w:p>
    <w:p>
      <w:pPr>
        <w:snapToGrid w:val="0"/>
        <w:spacing w:before="165" w:beforeLines="50" w:after="50"/>
        <w:rPr>
          <w:rFonts w:hint="eastAsia" w:ascii="宋体" w:hAnsi="宋体" w:cs="宋体"/>
          <w:bCs/>
          <w:color w:val="auto"/>
          <w:sz w:val="24"/>
          <w:szCs w:val="20"/>
          <w:highlight w:val="none"/>
        </w:rPr>
      </w:pPr>
    </w:p>
    <w:p>
      <w:pPr>
        <w:snapToGrid w:val="0"/>
        <w:spacing w:before="165" w:beforeLines="50" w:after="50"/>
        <w:rPr>
          <w:rFonts w:hint="eastAsia" w:ascii="宋体" w:hAnsi="宋体" w:cs="宋体"/>
          <w:bCs/>
          <w:color w:val="auto"/>
          <w:sz w:val="24"/>
          <w:szCs w:val="20"/>
          <w:highlight w:val="none"/>
        </w:rPr>
      </w:pPr>
    </w:p>
    <w:p>
      <w:pPr>
        <w:snapToGrid w:val="0"/>
        <w:spacing w:before="165" w:beforeLines="50" w:after="50"/>
        <w:ind w:firstLine="540" w:firstLineChars="225"/>
        <w:rPr>
          <w:rFonts w:hint="eastAsia" w:ascii="宋体" w:hAnsi="宋体" w:cs="宋体"/>
          <w:bCs/>
          <w:color w:val="auto"/>
          <w:sz w:val="24"/>
          <w:szCs w:val="20"/>
          <w:highlight w:val="none"/>
        </w:rPr>
      </w:pPr>
      <w:r>
        <w:rPr>
          <w:rFonts w:hint="eastAsia" w:ascii="宋体" w:hAnsi="宋体" w:cs="宋体"/>
          <w:bCs/>
          <w:color w:val="auto"/>
          <w:sz w:val="24"/>
          <w:highlight w:val="none"/>
        </w:rPr>
        <w:t>项目名称：</w:t>
      </w:r>
    </w:p>
    <w:p>
      <w:pPr>
        <w:snapToGrid w:val="0"/>
        <w:spacing w:before="165" w:beforeLines="50" w:after="50"/>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项目编号：</w:t>
      </w:r>
    </w:p>
    <w:p>
      <w:pPr>
        <w:snapToGrid w:val="0"/>
        <w:spacing w:before="165" w:beforeLines="50" w:after="50"/>
        <w:ind w:firstLine="540" w:firstLineChars="225"/>
        <w:rPr>
          <w:rFonts w:hint="eastAsia" w:ascii="宋体" w:hAnsi="宋体" w:cs="宋体"/>
          <w:bCs/>
          <w:color w:val="auto"/>
          <w:sz w:val="24"/>
          <w:szCs w:val="20"/>
          <w:highlight w:val="none"/>
        </w:rPr>
      </w:pPr>
      <w:r>
        <w:rPr>
          <w:rFonts w:hint="eastAsia" w:ascii="宋体" w:hAnsi="宋体" w:cs="宋体"/>
          <w:bCs/>
          <w:color w:val="auto"/>
          <w:sz w:val="24"/>
          <w:highlight w:val="none"/>
        </w:rPr>
        <w:t xml:space="preserve"> </w:t>
      </w:r>
    </w:p>
    <w:p>
      <w:pPr>
        <w:snapToGrid w:val="0"/>
        <w:spacing w:before="165" w:beforeLines="50" w:after="50"/>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所投分标（如有则填写，无分标时填写“无”或者留空）：</w:t>
      </w:r>
    </w:p>
    <w:p>
      <w:pPr>
        <w:pStyle w:val="8"/>
        <w:snapToGrid w:val="0"/>
        <w:spacing w:before="50" w:after="50"/>
        <w:ind w:firstLine="540" w:firstLineChars="225"/>
        <w:rPr>
          <w:rFonts w:hint="eastAsia" w:ascii="宋体" w:hAnsi="宋体" w:cs="宋体"/>
          <w:bCs/>
          <w:color w:val="auto"/>
          <w:sz w:val="24"/>
          <w:szCs w:val="24"/>
          <w:highlight w:val="none"/>
        </w:rPr>
      </w:pPr>
    </w:p>
    <w:p>
      <w:pPr>
        <w:pStyle w:val="8"/>
        <w:snapToGrid w:val="0"/>
        <w:spacing w:before="50" w:after="50"/>
        <w:ind w:firstLine="540" w:firstLineChars="225"/>
        <w:rPr>
          <w:rFonts w:hint="eastAsia" w:ascii="宋体" w:hAnsi="宋体" w:cs="宋体"/>
          <w:bCs/>
          <w:color w:val="auto"/>
          <w:sz w:val="24"/>
          <w:szCs w:val="24"/>
          <w:highlight w:val="none"/>
        </w:rPr>
      </w:pPr>
      <w:r>
        <w:rPr>
          <w:rFonts w:hint="eastAsia" w:ascii="宋体" w:hAnsi="宋体" w:cs="宋体"/>
          <w:bCs/>
          <w:color w:val="auto"/>
          <w:sz w:val="24"/>
          <w:szCs w:val="24"/>
          <w:highlight w:val="none"/>
        </w:rPr>
        <w:t>投标人名称：</w:t>
      </w:r>
    </w:p>
    <w:p>
      <w:pPr>
        <w:pStyle w:val="8"/>
        <w:snapToGrid w:val="0"/>
        <w:spacing w:before="50" w:after="50"/>
        <w:ind w:firstLine="540" w:firstLineChars="225"/>
        <w:rPr>
          <w:rFonts w:hint="eastAsia" w:ascii="宋体" w:hAnsi="宋体" w:cs="宋体"/>
          <w:bCs/>
          <w:color w:val="auto"/>
          <w:sz w:val="24"/>
          <w:szCs w:val="24"/>
          <w:highlight w:val="none"/>
        </w:rPr>
      </w:pPr>
    </w:p>
    <w:p>
      <w:pPr>
        <w:pStyle w:val="8"/>
        <w:snapToGrid w:val="0"/>
        <w:spacing w:before="50" w:after="50"/>
        <w:ind w:firstLine="960" w:firstLineChars="400"/>
        <w:rPr>
          <w:rFonts w:hint="eastAsia" w:ascii="宋体" w:hAnsi="宋体" w:cs="宋体"/>
          <w:bCs/>
          <w:color w:val="auto"/>
          <w:sz w:val="24"/>
          <w:szCs w:val="24"/>
          <w:highlight w:val="none"/>
        </w:rPr>
      </w:pPr>
    </w:p>
    <w:p>
      <w:pPr>
        <w:snapToGrid w:val="0"/>
        <w:spacing w:before="165" w:beforeLines="50" w:after="50"/>
        <w:ind w:firstLine="645"/>
        <w:jc w:val="center"/>
        <w:rPr>
          <w:rFonts w:hint="eastAsia" w:ascii="宋体" w:hAnsi="宋体" w:cs="宋体"/>
          <w:color w:val="auto"/>
          <w:sz w:val="24"/>
          <w:highlight w:val="none"/>
        </w:rPr>
      </w:pPr>
      <w:r>
        <w:rPr>
          <w:rFonts w:hint="eastAsia" w:ascii="宋体" w:hAnsi="宋体" w:cs="宋体"/>
          <w:color w:val="auto"/>
          <w:sz w:val="24"/>
          <w:highlight w:val="none"/>
        </w:rPr>
        <w:t>年  月  日</w:t>
      </w:r>
    </w:p>
    <w:p>
      <w:pPr>
        <w:widowControl/>
        <w:spacing w:line="360" w:lineRule="auto"/>
        <w:jc w:val="left"/>
        <w:rPr>
          <w:rFonts w:hint="eastAsia" w:ascii="宋体" w:hAnsi="宋体" w:cs="宋体"/>
          <w:color w:val="auto"/>
          <w:sz w:val="30"/>
          <w:szCs w:val="20"/>
          <w:highlight w:val="none"/>
        </w:rPr>
        <w:sectPr>
          <w:pgSz w:w="11906" w:h="16838"/>
          <w:pgMar w:top="1134" w:right="1020" w:bottom="1020" w:left="1134" w:header="720" w:footer="720" w:gutter="0"/>
          <w:pgNumType w:fmt="decimal"/>
          <w:cols w:space="720" w:num="1"/>
          <w:docGrid w:type="lines" w:linePitch="331" w:charSpace="0"/>
        </w:sectPr>
      </w:pPr>
    </w:p>
    <w:p>
      <w:pPr>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2.资格文件目录</w:t>
      </w:r>
    </w:p>
    <w:p>
      <w:pPr>
        <w:snapToGrid w:val="0"/>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根据招标文件规定及投标人提供的材料自行编写目录（部分格式后附）。</w:t>
      </w:r>
    </w:p>
    <w:p>
      <w:pPr>
        <w:snapToGrid w:val="0"/>
        <w:spacing w:line="360" w:lineRule="auto"/>
        <w:rPr>
          <w:rFonts w:hint="eastAsia" w:ascii="宋体" w:hAnsi="宋体" w:cs="宋体"/>
          <w:b/>
          <w:color w:val="auto"/>
          <w:kern w:val="0"/>
          <w:sz w:val="32"/>
          <w:szCs w:val="32"/>
          <w:highlight w:val="none"/>
          <w:lang w:val="zh-CN"/>
        </w:rPr>
      </w:pPr>
    </w:p>
    <w:p>
      <w:pPr>
        <w:snapToGrid w:val="0"/>
        <w:spacing w:line="360" w:lineRule="auto"/>
        <w:ind w:firstLine="5160" w:firstLineChars="2150"/>
        <w:rPr>
          <w:rFonts w:hint="eastAsia" w:ascii="宋体" w:hAnsi="宋体" w:cs="宋体"/>
          <w:color w:val="auto"/>
          <w:kern w:val="0"/>
          <w:sz w:val="24"/>
          <w:highlight w:val="none"/>
          <w:lang w:val="zh-CN"/>
        </w:rPr>
      </w:pPr>
    </w:p>
    <w:p>
      <w:pPr>
        <w:snapToGrid w:val="0"/>
        <w:spacing w:line="360" w:lineRule="auto"/>
        <w:ind w:right="480"/>
        <w:jc w:val="center"/>
        <w:rPr>
          <w:rFonts w:hint="eastAsia" w:ascii="宋体" w:hAnsi="宋体" w:cs="宋体"/>
          <w:b/>
          <w:color w:val="auto"/>
          <w:kern w:val="0"/>
          <w:sz w:val="32"/>
          <w:szCs w:val="32"/>
          <w:highlight w:val="none"/>
          <w:lang w:val="zh-CN"/>
        </w:rPr>
      </w:pPr>
    </w:p>
    <w:p>
      <w:pPr>
        <w:snapToGrid w:val="0"/>
        <w:spacing w:line="360" w:lineRule="auto"/>
        <w:ind w:right="480"/>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br w:type="page"/>
      </w:r>
      <w:r>
        <w:rPr>
          <w:rFonts w:hint="eastAsia" w:ascii="宋体" w:hAnsi="宋体" w:cs="宋体"/>
          <w:b/>
          <w:color w:val="auto"/>
          <w:kern w:val="0"/>
          <w:sz w:val="28"/>
          <w:szCs w:val="28"/>
          <w:highlight w:val="none"/>
        </w:rPr>
        <w:t>3.投标人直接控股股东信息表格式</w:t>
      </w:r>
    </w:p>
    <w:p>
      <w:pPr>
        <w:snapToGrid w:val="0"/>
        <w:spacing w:before="50" w:after="165" w:afterLines="50" w:line="360" w:lineRule="auto"/>
        <w:jc w:val="center"/>
        <w:rPr>
          <w:rFonts w:hint="eastAsia" w:ascii="仿宋_GB2312" w:hAnsi="仿宋" w:eastAsia="仿宋_GB2312" w:cs="仿宋_GB2312"/>
          <w:b/>
          <w:color w:val="auto"/>
          <w:kern w:val="0"/>
          <w:sz w:val="32"/>
          <w:szCs w:val="32"/>
          <w:highlight w:val="none"/>
        </w:rPr>
      </w:pPr>
      <w:r>
        <w:rPr>
          <w:rFonts w:hint="eastAsia" w:ascii="仿宋_GB2312" w:hAnsi="仿宋" w:eastAsia="仿宋_GB2312" w:cs="仿宋_GB2312"/>
          <w:b/>
          <w:color w:val="auto"/>
          <w:kern w:val="0"/>
          <w:sz w:val="32"/>
          <w:szCs w:val="32"/>
          <w:highlight w:val="none"/>
        </w:rPr>
        <w:t>投标人直接控股股东信息表</w:t>
      </w:r>
    </w:p>
    <w:tbl>
      <w:tblPr>
        <w:tblStyle w:val="27"/>
        <w:tblW w:w="9476" w:type="dxa"/>
        <w:tblInd w:w="125" w:type="dxa"/>
        <w:shd w:val="clear" w:color="auto" w:fill="FBFBFB"/>
        <w:tblLayout w:type="fixed"/>
        <w:tblCellMar>
          <w:top w:w="0" w:type="dxa"/>
          <w:left w:w="0" w:type="dxa"/>
          <w:bottom w:w="0" w:type="dxa"/>
          <w:right w:w="0" w:type="dxa"/>
        </w:tblCellMar>
      </w:tblPr>
      <w:tblGrid>
        <w:gridCol w:w="828"/>
        <w:gridCol w:w="2269"/>
        <w:gridCol w:w="1239"/>
        <w:gridCol w:w="3879"/>
        <w:gridCol w:w="1261"/>
      </w:tblGrid>
      <w:tr>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387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1261"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p>
        </w:tc>
        <w:tc>
          <w:tcPr>
            <w:tcW w:w="38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p>
        </w:tc>
        <w:tc>
          <w:tcPr>
            <w:tcW w:w="126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p>
        </w:tc>
      </w:tr>
      <w:tr>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p>
        </w:tc>
        <w:tc>
          <w:tcPr>
            <w:tcW w:w="38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p>
        </w:tc>
        <w:tc>
          <w:tcPr>
            <w:tcW w:w="126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p>
        </w:tc>
      </w:tr>
      <w:tr>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p>
        </w:tc>
        <w:tc>
          <w:tcPr>
            <w:tcW w:w="38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p>
        </w:tc>
        <w:tc>
          <w:tcPr>
            <w:tcW w:w="126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p>
        </w:tc>
      </w:tr>
      <w:tr>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p>
        </w:tc>
        <w:tc>
          <w:tcPr>
            <w:tcW w:w="38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p>
        </w:tc>
        <w:tc>
          <w:tcPr>
            <w:tcW w:w="126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p>
        </w:tc>
      </w:tr>
    </w:tbl>
    <w:p>
      <w:pPr>
        <w:snapToGrid w:val="0"/>
        <w:spacing w:line="360" w:lineRule="auto"/>
        <w:jc w:val="left"/>
        <w:rPr>
          <w:rFonts w:hint="eastAsia" w:ascii="宋体" w:hAnsi="宋体"/>
          <w:color w:val="auto"/>
          <w:sz w:val="24"/>
          <w:highlight w:val="none"/>
        </w:rPr>
      </w:pPr>
      <w:r>
        <w:rPr>
          <w:rFonts w:hint="eastAsia" w:ascii="宋体" w:hAnsi="宋体"/>
          <w:color w:val="auto"/>
          <w:sz w:val="24"/>
          <w:highlight w:val="none"/>
        </w:rPr>
        <w:t>注：</w:t>
      </w:r>
    </w:p>
    <w:p>
      <w:pPr>
        <w:snapToGrid w:val="0"/>
        <w:spacing w:line="360" w:lineRule="auto"/>
        <w:jc w:val="left"/>
        <w:rPr>
          <w:rFonts w:hint="eastAsia" w:ascii="宋体" w:hAnsi="宋体"/>
          <w:color w:val="auto"/>
          <w:sz w:val="24"/>
          <w:highlight w:val="none"/>
        </w:rPr>
      </w:pPr>
      <w:r>
        <w:rPr>
          <w:rFonts w:hint="eastAsia" w:ascii="宋体" w:hAnsi="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napToGrid w:val="0"/>
        <w:spacing w:line="360" w:lineRule="auto"/>
        <w:jc w:val="left"/>
        <w:rPr>
          <w:rFonts w:hint="eastAsia" w:ascii="宋体" w:hAnsi="宋体"/>
          <w:color w:val="auto"/>
          <w:sz w:val="24"/>
          <w:highlight w:val="none"/>
        </w:rPr>
      </w:pPr>
      <w:r>
        <w:rPr>
          <w:rFonts w:hint="eastAsia" w:ascii="宋体" w:hAnsi="宋体"/>
          <w:color w:val="auto"/>
          <w:sz w:val="24"/>
          <w:highlight w:val="none"/>
        </w:rPr>
        <w:t>2.本表所指的控股关系仅限于直接控股关系，不包括间接的控股关系。公司实际控制人与公司之间的关系不属于本表所指的直接控股关系。</w:t>
      </w:r>
    </w:p>
    <w:p>
      <w:pPr>
        <w:snapToGrid w:val="0"/>
        <w:spacing w:line="360" w:lineRule="auto"/>
        <w:jc w:val="left"/>
        <w:rPr>
          <w:rFonts w:hint="eastAsia" w:ascii="宋体" w:hAnsi="宋体"/>
          <w:color w:val="auto"/>
          <w:sz w:val="24"/>
          <w:highlight w:val="none"/>
        </w:rPr>
      </w:pPr>
      <w:r>
        <w:rPr>
          <w:rFonts w:hint="eastAsia" w:ascii="宋体" w:hAnsi="宋体"/>
          <w:color w:val="auto"/>
          <w:sz w:val="24"/>
          <w:highlight w:val="none"/>
        </w:rPr>
        <w:t>3.投标人不存在直接控股股东的，则填“无”。</w:t>
      </w:r>
    </w:p>
    <w:p>
      <w:pPr>
        <w:snapToGrid w:val="0"/>
        <w:spacing w:line="360" w:lineRule="auto"/>
        <w:jc w:val="left"/>
        <w:rPr>
          <w:rFonts w:hint="eastAsia" w:ascii="宋体" w:hAnsi="宋体"/>
          <w:color w:val="auto"/>
          <w:sz w:val="24"/>
          <w:highlight w:val="none"/>
        </w:rPr>
      </w:pPr>
    </w:p>
    <w:p>
      <w:pPr>
        <w:snapToGrid w:val="0"/>
        <w:spacing w:line="360" w:lineRule="auto"/>
        <w:jc w:val="left"/>
        <w:rPr>
          <w:rFonts w:hint="eastAsia" w:ascii="宋体" w:hAnsi="宋体"/>
          <w:color w:val="auto"/>
          <w:sz w:val="24"/>
          <w:highlight w:val="none"/>
        </w:rPr>
      </w:pPr>
    </w:p>
    <w:p>
      <w:pPr>
        <w:snapToGrid w:val="0"/>
        <w:spacing w:line="360" w:lineRule="auto"/>
        <w:ind w:firstLine="5040" w:firstLineChars="21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lang w:val="zh-CN"/>
        </w:rPr>
        <w:t>投标人名称(盖公章)：</w:t>
      </w:r>
    </w:p>
    <w:p>
      <w:pPr>
        <w:snapToGrid w:val="0"/>
        <w:spacing w:line="360" w:lineRule="auto"/>
        <w:ind w:firstLine="5160" w:firstLineChars="215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pPr>
        <w:snapToGrid w:val="0"/>
        <w:spacing w:line="360" w:lineRule="auto"/>
        <w:ind w:right="480"/>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br w:type="page"/>
      </w:r>
      <w:r>
        <w:rPr>
          <w:rFonts w:hint="eastAsia" w:ascii="宋体" w:hAnsi="宋体" w:cs="宋体"/>
          <w:b/>
          <w:color w:val="auto"/>
          <w:kern w:val="0"/>
          <w:sz w:val="28"/>
          <w:szCs w:val="28"/>
          <w:highlight w:val="none"/>
        </w:rPr>
        <w:t>4.投标人直接管理关系信息表格式</w:t>
      </w:r>
    </w:p>
    <w:p>
      <w:pPr>
        <w:snapToGrid w:val="0"/>
        <w:spacing w:line="360" w:lineRule="auto"/>
        <w:jc w:val="center"/>
        <w:rPr>
          <w:rFonts w:hint="eastAsia" w:ascii="宋体" w:hAnsi="宋体"/>
          <w:color w:val="auto"/>
          <w:sz w:val="32"/>
          <w:szCs w:val="32"/>
          <w:highlight w:val="none"/>
        </w:rPr>
      </w:pPr>
      <w:r>
        <w:rPr>
          <w:rFonts w:hint="eastAsia" w:ascii="宋体" w:hAnsi="宋体"/>
          <w:b/>
          <w:color w:val="auto"/>
          <w:sz w:val="32"/>
          <w:szCs w:val="32"/>
          <w:highlight w:val="none"/>
        </w:rPr>
        <w:t>投标人直接管理关系信息表</w:t>
      </w:r>
    </w:p>
    <w:tbl>
      <w:tblPr>
        <w:tblStyle w:val="27"/>
        <w:tblW w:w="9652" w:type="dxa"/>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p>
        </w:tc>
      </w:tr>
      <w:tr>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p>
        </w:tc>
      </w:tr>
      <w:tr>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p>
        </w:tc>
      </w:tr>
      <w:tr>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pPr>
              <w:spacing w:line="360" w:lineRule="auto"/>
              <w:jc w:val="center"/>
              <w:rPr>
                <w:rFonts w:hint="eastAsia" w:ascii="宋体" w:hAnsi="宋体" w:cs="宋体"/>
                <w:color w:val="auto"/>
                <w:kern w:val="0"/>
                <w:sz w:val="24"/>
                <w:highlight w:val="none"/>
              </w:rPr>
            </w:pPr>
          </w:p>
        </w:tc>
      </w:tr>
    </w:tbl>
    <w:p>
      <w:pPr>
        <w:snapToGrid w:val="0"/>
        <w:spacing w:line="360" w:lineRule="auto"/>
        <w:jc w:val="left"/>
        <w:rPr>
          <w:rFonts w:hint="eastAsia" w:ascii="宋体" w:hAnsi="宋体"/>
          <w:color w:val="auto"/>
          <w:sz w:val="24"/>
          <w:highlight w:val="none"/>
        </w:rPr>
      </w:pPr>
      <w:r>
        <w:rPr>
          <w:rFonts w:hint="eastAsia" w:ascii="宋体" w:hAnsi="宋体"/>
          <w:color w:val="auto"/>
          <w:sz w:val="24"/>
          <w:highlight w:val="none"/>
        </w:rPr>
        <w:t>注：</w:t>
      </w:r>
    </w:p>
    <w:p>
      <w:pPr>
        <w:snapToGrid w:val="0"/>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1.管理关系：是指不具有出资持股关系的其他单位之间存在的管理与被管理关系，如一些上下级关系的事业单位和团体组织。</w:t>
      </w:r>
    </w:p>
    <w:p>
      <w:pPr>
        <w:snapToGrid w:val="0"/>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2.</w:t>
      </w:r>
      <w:r>
        <w:rPr>
          <w:rFonts w:hint="eastAsia" w:ascii="宋体" w:hAnsi="宋体"/>
          <w:color w:val="auto"/>
          <w:spacing w:val="-6"/>
          <w:sz w:val="24"/>
          <w:highlight w:val="none"/>
        </w:rPr>
        <w:t>本表所指的管理关系仅限于直接管理关系，不包括间接的管理关系。</w:t>
      </w:r>
    </w:p>
    <w:p>
      <w:pPr>
        <w:snapToGrid w:val="0"/>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3.投标人不存在直接管理关系的，则填“无”。</w:t>
      </w:r>
    </w:p>
    <w:p>
      <w:pPr>
        <w:snapToGrid w:val="0"/>
        <w:spacing w:line="360" w:lineRule="auto"/>
        <w:jc w:val="left"/>
        <w:rPr>
          <w:color w:val="auto"/>
          <w:sz w:val="24"/>
          <w:highlight w:val="none"/>
        </w:rPr>
      </w:pPr>
    </w:p>
    <w:p>
      <w:pPr>
        <w:snapToGrid w:val="0"/>
        <w:spacing w:line="360" w:lineRule="auto"/>
        <w:jc w:val="left"/>
        <w:rPr>
          <w:rFonts w:hint="eastAsia" w:ascii="宋体" w:hAnsi="宋体"/>
          <w:color w:val="auto"/>
          <w:sz w:val="24"/>
          <w:highlight w:val="none"/>
        </w:rPr>
      </w:pPr>
    </w:p>
    <w:p>
      <w:pPr>
        <w:snapToGrid w:val="0"/>
        <w:spacing w:line="360" w:lineRule="auto"/>
        <w:jc w:val="left"/>
        <w:rPr>
          <w:rFonts w:hint="eastAsia" w:ascii="宋体" w:hAnsi="宋体"/>
          <w:color w:val="auto"/>
          <w:sz w:val="24"/>
          <w:highlight w:val="none"/>
        </w:rPr>
      </w:pPr>
    </w:p>
    <w:p>
      <w:pPr>
        <w:snapToGrid w:val="0"/>
        <w:spacing w:line="360" w:lineRule="auto"/>
        <w:ind w:firstLine="5040" w:firstLineChars="21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lang w:val="zh-CN"/>
        </w:rPr>
        <w:t>投标人名称(盖公章)：</w:t>
      </w:r>
    </w:p>
    <w:p>
      <w:pPr>
        <w:snapToGrid w:val="0"/>
        <w:spacing w:line="360" w:lineRule="auto"/>
        <w:ind w:firstLine="5160" w:firstLineChars="215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pPr>
        <w:snapToGrid w:val="0"/>
        <w:spacing w:line="360" w:lineRule="auto"/>
        <w:ind w:right="480"/>
        <w:rPr>
          <w:rFonts w:hint="eastAsia" w:ascii="宋体" w:hAnsi="宋体" w:cs="宋体"/>
          <w:b/>
          <w:color w:val="auto"/>
          <w:kern w:val="0"/>
          <w:sz w:val="32"/>
          <w:szCs w:val="32"/>
          <w:highlight w:val="none"/>
        </w:rPr>
      </w:pPr>
    </w:p>
    <w:p>
      <w:pPr>
        <w:snapToGrid w:val="0"/>
        <w:spacing w:line="360" w:lineRule="auto"/>
        <w:ind w:right="480"/>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br w:type="page"/>
      </w:r>
      <w:r>
        <w:rPr>
          <w:rFonts w:hint="eastAsia" w:ascii="宋体" w:hAnsi="宋体" w:cs="宋体"/>
          <w:b/>
          <w:color w:val="auto"/>
          <w:kern w:val="0"/>
          <w:sz w:val="32"/>
          <w:szCs w:val="32"/>
          <w:highlight w:val="none"/>
        </w:rPr>
        <w:t>5.</w:t>
      </w:r>
      <w:r>
        <w:rPr>
          <w:rFonts w:hint="eastAsia" w:ascii="宋体" w:hAnsi="宋体" w:cs="宋体"/>
          <w:b/>
          <w:color w:val="auto"/>
          <w:sz w:val="28"/>
          <w:szCs w:val="28"/>
          <w:highlight w:val="none"/>
        </w:rPr>
        <w:t>声明函的格式</w:t>
      </w:r>
      <w:r>
        <w:rPr>
          <w:rFonts w:hint="eastAsia"/>
          <w:color w:val="auto"/>
          <w:sz w:val="28"/>
          <w:szCs w:val="28"/>
          <w:highlight w:val="none"/>
        </w:rPr>
        <w:t>：</w:t>
      </w:r>
    </w:p>
    <w:p>
      <w:pPr>
        <w:pStyle w:val="17"/>
        <w:rPr>
          <w:color w:val="auto"/>
          <w:highlight w:val="none"/>
        </w:rPr>
      </w:pPr>
    </w:p>
    <w:p>
      <w:pPr>
        <w:snapToGrid w:val="0"/>
        <w:spacing w:before="50" w:after="165" w:afterLines="50"/>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声明函</w:t>
      </w:r>
    </w:p>
    <w:p>
      <w:pPr>
        <w:tabs>
          <w:tab w:val="left" w:pos="7200"/>
        </w:tabs>
        <w:spacing w:line="360" w:lineRule="auto"/>
        <w:rPr>
          <w:rFonts w:hint="eastAsia" w:ascii="宋体" w:hAnsi="宋体" w:cs="宋体"/>
          <w:color w:val="auto"/>
          <w:szCs w:val="21"/>
          <w:highlight w:val="none"/>
        </w:rPr>
      </w:pPr>
      <w:r>
        <w:rPr>
          <w:rFonts w:hint="eastAsia" w:ascii="宋体" w:hAnsi="宋体" w:cs="宋体"/>
          <w:color w:val="auto"/>
          <w:szCs w:val="21"/>
          <w:highlight w:val="none"/>
        </w:rPr>
        <w:t>致：</w:t>
      </w:r>
      <w:r>
        <w:rPr>
          <w:rFonts w:hint="eastAsia" w:ascii="宋体" w:hAnsi="宋体" w:cs="宋体"/>
          <w:color w:val="auto"/>
          <w:szCs w:val="21"/>
          <w:highlight w:val="none"/>
          <w:u w:val="single"/>
        </w:rPr>
        <w:t xml:space="preserve"> </w:t>
      </w:r>
      <w:bookmarkStart w:id="307" w:name="PO_3000001919_PM031"/>
      <w:r>
        <w:rPr>
          <w:rFonts w:hint="eastAsia" w:ascii="宋体" w:hAnsi="宋体" w:cs="宋体"/>
          <w:color w:val="auto"/>
          <w:szCs w:val="21"/>
          <w:highlight w:val="none"/>
          <w:u w:val="single"/>
        </w:rPr>
        <w:t>广西科联招标中心有限公司</w:t>
      </w:r>
      <w:bookmarkEnd w:id="307"/>
    </w:p>
    <w:p>
      <w:pPr>
        <w:pStyle w:val="17"/>
        <w:spacing w:line="360" w:lineRule="auto"/>
        <w:ind w:firstLine="420" w:firstLineChars="200"/>
        <w:rPr>
          <w:color w:val="auto"/>
          <w:sz w:val="21"/>
          <w:szCs w:val="21"/>
          <w:highlight w:val="none"/>
        </w:rPr>
      </w:pPr>
      <w:r>
        <w:rPr>
          <w:rFonts w:hint="eastAsia" w:ascii="宋体" w:hAnsi="宋体" w:cs="宋体"/>
          <w:i/>
          <w:iCs/>
          <w:color w:val="auto"/>
          <w:sz w:val="21"/>
          <w:szCs w:val="21"/>
          <w:highlight w:val="none"/>
          <w:u w:val="single"/>
        </w:rPr>
        <w:t>（投标人名称）</w:t>
      </w:r>
      <w:r>
        <w:rPr>
          <w:rFonts w:hint="eastAsia" w:ascii="宋体" w:hAnsi="宋体" w:cs="宋体"/>
          <w:color w:val="auto"/>
          <w:sz w:val="21"/>
          <w:szCs w:val="21"/>
          <w:highlight w:val="none"/>
        </w:rPr>
        <w:t>系中华人民共和国合法供应商，经营地址</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w:t>
      </w:r>
    </w:p>
    <w:p>
      <w:pPr>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我方愿意参加贵方组织的</w:t>
      </w:r>
      <w:r>
        <w:rPr>
          <w:rFonts w:hint="eastAsia" w:ascii="宋体" w:hAnsi="宋体"/>
          <w:i/>
          <w:iCs/>
          <w:color w:val="auto"/>
          <w:szCs w:val="21"/>
          <w:highlight w:val="none"/>
          <w:u w:val="single"/>
        </w:rPr>
        <w:t xml:space="preserve">（项目名称） </w:t>
      </w:r>
      <w:r>
        <w:rPr>
          <w:rFonts w:hint="eastAsia" w:ascii="宋体" w:hAnsi="宋体"/>
          <w:color w:val="auto"/>
          <w:szCs w:val="21"/>
          <w:highlight w:val="none"/>
        </w:rPr>
        <w:t>（项目编号：            ）项目的投标，为便于贵方公正、择优地确定中标人，我方就本次投标有关事项郑重声明如下：</w:t>
      </w:r>
    </w:p>
    <w:p>
      <w:pPr>
        <w:pStyle w:val="17"/>
        <w:spacing w:line="360" w:lineRule="auto"/>
        <w:ind w:firstLine="420" w:firstLineChars="200"/>
        <w:rPr>
          <w:color w:val="auto"/>
          <w:sz w:val="21"/>
          <w:szCs w:val="21"/>
          <w:highlight w:val="none"/>
        </w:rPr>
      </w:pPr>
      <w:r>
        <w:rPr>
          <w:rFonts w:hint="eastAsia" w:ascii="宋体" w:hAnsi="宋体" w:cs="宋体"/>
          <w:color w:val="auto"/>
          <w:sz w:val="21"/>
          <w:szCs w:val="21"/>
          <w:highlight w:val="none"/>
        </w:rPr>
        <w:t>1.我方向贵方提交的所有投标文件、资料都是准确的和真实的。</w:t>
      </w:r>
    </w:p>
    <w:p>
      <w:pPr>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3.在此，我方宣布同意如下：</w:t>
      </w:r>
    </w:p>
    <w:p>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（1）将按招标文件的约定履行合同责任和义务；</w:t>
      </w:r>
    </w:p>
    <w:p>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（2）已详细审查招标文件的全部</w:t>
      </w:r>
      <w:r>
        <w:rPr>
          <w:rFonts w:hint="eastAsia" w:ascii="宋体" w:hAnsi="宋体" w:cs="宋体"/>
          <w:color w:val="auto"/>
          <w:kern w:val="0"/>
          <w:szCs w:val="21"/>
          <w:highlight w:val="none"/>
        </w:rPr>
        <w:t>内容</w:t>
      </w:r>
      <w:r>
        <w:rPr>
          <w:rFonts w:hint="eastAsia" w:ascii="宋体" w:hAnsi="宋体" w:cs="宋体"/>
          <w:color w:val="auto"/>
          <w:szCs w:val="21"/>
          <w:highlight w:val="none"/>
        </w:rPr>
        <w:t>，包括澄清或者更正公告（如有）；</w:t>
      </w:r>
    </w:p>
    <w:p>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（3）同意提供按照贵方可能要求的与投标有关的一切数据或者资料。</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w:t>
      </w:r>
    </w:p>
    <w:p>
      <w:pPr>
        <w:spacing w:line="360" w:lineRule="auto"/>
        <w:ind w:firstLine="420" w:firstLineChars="200"/>
        <w:contextualSpacing/>
        <w:rPr>
          <w:rFonts w:hint="eastAsia" w:ascii="宋体" w:hAnsi="宋体" w:cs="宋体"/>
          <w:i/>
          <w:iCs/>
          <w:color w:val="auto"/>
          <w:szCs w:val="21"/>
          <w:highlight w:val="none"/>
        </w:rPr>
      </w:pPr>
      <w:r>
        <w:rPr>
          <w:rFonts w:hint="eastAsia" w:ascii="宋体" w:hAnsi="宋体"/>
          <w:color w:val="auto"/>
          <w:szCs w:val="21"/>
          <w:highlight w:val="none"/>
        </w:rPr>
        <w:t>5.</w:t>
      </w:r>
      <w:r>
        <w:rPr>
          <w:rFonts w:hint="eastAsia" w:ascii="宋体" w:hAnsi="宋体" w:cs="宋体"/>
          <w:color w:val="auto"/>
          <w:szCs w:val="21"/>
          <w:highlight w:val="none"/>
        </w:rPr>
        <w:t>根据《中华人民共和国政府采购法实施条例》第五十条要求对政府采购合同进行公告，但政府采购合同中涉及国家秘密、商业秘密的内容除外。我方就对本次投标文件进行注明如下：</w:t>
      </w:r>
      <w:r>
        <w:rPr>
          <w:rFonts w:hint="eastAsia" w:ascii="宋体" w:hAnsi="宋体" w:cs="宋体"/>
          <w:i/>
          <w:iCs/>
          <w:color w:val="auto"/>
          <w:szCs w:val="21"/>
          <w:highlight w:val="none"/>
        </w:rPr>
        <w:t>（两项内容中必须选择一项）</w:t>
      </w:r>
    </w:p>
    <w:p>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□我方本次投标文件</w:t>
      </w:r>
      <w:r>
        <w:rPr>
          <w:rFonts w:hint="eastAsia" w:ascii="宋体" w:hAnsi="宋体" w:cs="宋体"/>
          <w:color w:val="auto"/>
          <w:kern w:val="0"/>
          <w:szCs w:val="21"/>
          <w:highlight w:val="none"/>
        </w:rPr>
        <w:t>内容中</w:t>
      </w:r>
      <w:r>
        <w:rPr>
          <w:rFonts w:hint="eastAsia" w:ascii="宋体" w:hAnsi="宋体" w:cs="宋体"/>
          <w:color w:val="auto"/>
          <w:szCs w:val="21"/>
          <w:highlight w:val="none"/>
        </w:rPr>
        <w:t>未</w:t>
      </w:r>
      <w:r>
        <w:rPr>
          <w:rFonts w:hint="eastAsia" w:ascii="宋体" w:hAnsi="宋体" w:cs="宋体"/>
          <w:color w:val="auto"/>
          <w:kern w:val="0"/>
          <w:szCs w:val="21"/>
          <w:highlight w:val="none"/>
        </w:rPr>
        <w:t>涉及商业秘密。</w:t>
      </w:r>
    </w:p>
    <w:p>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□我方本次投标文件</w:t>
      </w:r>
      <w:r>
        <w:rPr>
          <w:rFonts w:hint="eastAsia" w:ascii="宋体" w:hAnsi="宋体" w:cs="宋体"/>
          <w:color w:val="auto"/>
          <w:kern w:val="0"/>
          <w:szCs w:val="21"/>
          <w:highlight w:val="none"/>
        </w:rPr>
        <w:t>涉及商业秘密的内容有：</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pPr>
        <w:pStyle w:val="17"/>
        <w:spacing w:line="360" w:lineRule="auto"/>
        <w:rPr>
          <w:color w:val="auto"/>
          <w:highlight w:val="none"/>
        </w:rPr>
      </w:pPr>
    </w:p>
    <w:p>
      <w:pPr>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6.以上事项如有虚假或者隐瞒，我方愿意承担一切后果，并不再寻求任何旨在减轻或者免除法律责任的辩解。 </w:t>
      </w:r>
    </w:p>
    <w:p>
      <w:pPr>
        <w:tabs>
          <w:tab w:val="left" w:pos="939"/>
        </w:tabs>
        <w:spacing w:line="360" w:lineRule="auto"/>
        <w:ind w:left="141" w:leftChars="67" w:firstLine="315" w:firstLineChars="150"/>
        <w:contextualSpacing/>
        <w:rPr>
          <w:rFonts w:hint="eastAsia" w:ascii="宋体" w:hAnsi="宋体" w:cs="宋体"/>
          <w:color w:val="auto"/>
          <w:szCs w:val="21"/>
          <w:highlight w:val="none"/>
        </w:rPr>
      </w:pPr>
      <w:r>
        <w:rPr>
          <w:rFonts w:hint="eastAsia" w:ascii="宋体" w:hAnsi="宋体" w:cs="宋体"/>
          <w:color w:val="auto"/>
          <w:szCs w:val="21"/>
          <w:highlight w:val="none"/>
        </w:rPr>
        <w:t>特此承诺。</w:t>
      </w:r>
    </w:p>
    <w:p>
      <w:pPr>
        <w:snapToGrid w:val="0"/>
        <w:spacing w:line="360" w:lineRule="auto"/>
        <w:ind w:firstLine="181" w:firstLineChars="100"/>
        <w:jc w:val="left"/>
        <w:rPr>
          <w:rFonts w:hint="eastAsia" w:ascii="宋体" w:hAnsi="宋体"/>
          <w:color w:val="auto"/>
          <w:sz w:val="18"/>
          <w:szCs w:val="18"/>
          <w:highlight w:val="none"/>
        </w:rPr>
      </w:pPr>
      <w:r>
        <w:rPr>
          <w:rFonts w:hint="eastAsia" w:ascii="宋体" w:hAnsi="宋体"/>
          <w:b/>
          <w:color w:val="auto"/>
          <w:sz w:val="18"/>
          <w:szCs w:val="18"/>
          <w:highlight w:val="none"/>
        </w:rPr>
        <w:t xml:space="preserve">   注： 如为联合体投标，盖章处须加盖联合体各方公章，否则</w:t>
      </w:r>
      <w:r>
        <w:rPr>
          <w:rFonts w:hint="eastAsia" w:ascii="宋体" w:hAnsi="宋体" w:cs="宋体"/>
          <w:b/>
          <w:bCs/>
          <w:color w:val="auto"/>
          <w:sz w:val="18"/>
          <w:szCs w:val="18"/>
          <w:highlight w:val="none"/>
        </w:rPr>
        <w:t>其投标文件作无效响应处理</w:t>
      </w:r>
      <w:r>
        <w:rPr>
          <w:rFonts w:hint="eastAsia" w:ascii="宋体" w:hAnsi="宋体"/>
          <w:b/>
          <w:color w:val="auto"/>
          <w:sz w:val="18"/>
          <w:szCs w:val="18"/>
          <w:highlight w:val="none"/>
        </w:rPr>
        <w:t>。</w:t>
      </w:r>
    </w:p>
    <w:p>
      <w:pPr>
        <w:snapToGrid w:val="0"/>
        <w:spacing w:before="50" w:after="331" w:afterLines="100" w:line="360" w:lineRule="auto"/>
        <w:ind w:left="7428" w:leftChars="2223" w:hanging="2760" w:hangingChars="1150"/>
        <w:jc w:val="left"/>
        <w:rPr>
          <w:rFonts w:hint="eastAsia" w:ascii="宋体" w:hAnsi="宋体" w:cs="宋体"/>
          <w:color w:val="auto"/>
          <w:kern w:val="0"/>
          <w:sz w:val="24"/>
          <w:highlight w:val="none"/>
          <w:lang w:val="zh-CN"/>
        </w:rPr>
      </w:pPr>
      <w:r>
        <w:rPr>
          <w:rFonts w:hint="eastAsia" w:ascii="宋体" w:hAnsi="宋体" w:cs="宋体"/>
          <w:color w:val="auto"/>
          <w:sz w:val="24"/>
          <w:highlight w:val="none"/>
        </w:rPr>
        <w:t xml:space="preserve">  </w:t>
      </w:r>
      <w:r>
        <w:rPr>
          <w:rFonts w:hint="eastAsia" w:ascii="宋体" w:hAnsi="宋体" w:cs="宋体"/>
          <w:color w:val="auto"/>
          <w:kern w:val="0"/>
          <w:sz w:val="24"/>
          <w:highlight w:val="none"/>
          <w:lang w:val="zh-CN"/>
        </w:rPr>
        <w:t>投标人名称(盖公章)：</w:t>
      </w:r>
      <w:r>
        <w:rPr>
          <w:rFonts w:hint="eastAsia" w:ascii="宋体" w:hAnsi="宋体" w:cs="宋体"/>
          <w:color w:val="auto"/>
          <w:szCs w:val="21"/>
          <w:highlight w:val="none"/>
        </w:rPr>
        <w:t xml:space="preserve">                                     </w:t>
      </w:r>
      <w:r>
        <w:rPr>
          <w:rFonts w:hint="eastAsia" w:ascii="宋体" w:hAnsi="宋体" w:cs="宋体"/>
          <w:color w:val="auto"/>
          <w:sz w:val="24"/>
          <w:highlight w:val="none"/>
        </w:rPr>
        <w:t>年    月    日</w:t>
      </w:r>
    </w:p>
    <w:p>
      <w:pPr>
        <w:pStyle w:val="14"/>
        <w:rPr>
          <w:rFonts w:hint="eastAsia" w:hAnsi="宋体" w:cs="宋体"/>
          <w:b/>
          <w:bCs/>
          <w:color w:val="auto"/>
          <w:sz w:val="28"/>
          <w:szCs w:val="28"/>
          <w:highlight w:val="none"/>
        </w:rPr>
      </w:pPr>
      <w:r>
        <w:rPr>
          <w:rFonts w:hint="eastAsia" w:hAnsi="宋体" w:cs="宋体"/>
          <w:b/>
          <w:bCs/>
          <w:color w:val="auto"/>
          <w:sz w:val="28"/>
          <w:szCs w:val="28"/>
          <w:highlight w:val="none"/>
        </w:rPr>
        <w:br w:type="page"/>
      </w:r>
      <w:r>
        <w:rPr>
          <w:rFonts w:hint="eastAsia" w:hAnsi="宋体" w:cs="宋体"/>
          <w:b/>
          <w:bCs/>
          <w:color w:val="auto"/>
          <w:sz w:val="28"/>
          <w:szCs w:val="28"/>
          <w:highlight w:val="none"/>
        </w:rPr>
        <w:t>6.联合体投标协议书的格式：</w:t>
      </w:r>
    </w:p>
    <w:p>
      <w:pPr>
        <w:pStyle w:val="14"/>
        <w:jc w:val="center"/>
        <w:rPr>
          <w:rFonts w:hint="eastAsia" w:hAnsi="宋体" w:cs="宋体"/>
          <w:color w:val="auto"/>
          <w:sz w:val="28"/>
          <w:szCs w:val="28"/>
          <w:highlight w:val="none"/>
        </w:rPr>
      </w:pPr>
      <w:r>
        <w:rPr>
          <w:rFonts w:hint="eastAsia" w:hAnsi="宋体" w:cs="宋体"/>
          <w:b/>
          <w:bCs/>
          <w:color w:val="auto"/>
          <w:sz w:val="28"/>
          <w:szCs w:val="28"/>
          <w:highlight w:val="none"/>
        </w:rPr>
        <w:t>联合体投标协议书</w:t>
      </w:r>
    </w:p>
    <w:p>
      <w:pPr>
        <w:autoSpaceDE w:val="0"/>
        <w:autoSpaceDN w:val="0"/>
        <w:adjustRightInd w:val="0"/>
        <w:jc w:val="left"/>
        <w:rPr>
          <w:rFonts w:hint="eastAsia" w:ascii="宋体" w:hAnsi="宋体" w:cs="宋体"/>
          <w:color w:val="auto"/>
          <w:kern w:val="0"/>
          <w:szCs w:val="21"/>
          <w:highlight w:val="none"/>
          <w:u w:val="single"/>
        </w:rPr>
      </w:pPr>
    </w:p>
    <w:p>
      <w:pPr>
        <w:autoSpaceDE w:val="0"/>
        <w:autoSpaceDN w:val="0"/>
        <w:adjustRightInd w:val="0"/>
        <w:spacing w:line="44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（所有成员单位名称）自愿组成联合体，共同参加</w:t>
      </w:r>
      <w:r>
        <w:rPr>
          <w:rFonts w:hint="eastAsia" w:ascii="宋体" w:hAnsi="宋体" w:cs="宋体"/>
          <w:color w:val="auto"/>
          <w:kern w:val="0"/>
          <w:szCs w:val="21"/>
          <w:highlight w:val="none"/>
          <w:u w:val="single"/>
        </w:rPr>
        <w:t xml:space="preserve">    </w:t>
      </w:r>
      <w:bookmarkStart w:id="308" w:name="PO_3000001919_PM031_1"/>
      <w:r>
        <w:rPr>
          <w:rFonts w:hint="eastAsia" w:ascii="宋体" w:hAnsi="宋体" w:cs="宋体"/>
          <w:color w:val="auto"/>
          <w:kern w:val="0"/>
          <w:szCs w:val="21"/>
          <w:highlight w:val="none"/>
          <w:u w:val="single"/>
        </w:rPr>
        <w:t>广西科联招标中心有限公司</w:t>
      </w:r>
      <w:bookmarkEnd w:id="308"/>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组织的</w:t>
      </w:r>
      <w:r>
        <w:rPr>
          <w:rFonts w:hint="eastAsia" w:ascii="宋体" w:hAnsi="宋体" w:cs="宋体"/>
          <w:color w:val="auto"/>
          <w:kern w:val="0"/>
          <w:szCs w:val="21"/>
          <w:highlight w:val="none"/>
          <w:u w:val="single"/>
        </w:rPr>
        <w:t xml:space="preserve">   </w:t>
      </w:r>
      <w:r>
        <w:rPr>
          <w:rFonts w:hint="eastAsia" w:ascii="宋体" w:hAnsi="宋体" w:cs="宋体"/>
          <w:i/>
          <w:iCs/>
          <w:color w:val="auto"/>
          <w:kern w:val="0"/>
          <w:szCs w:val="21"/>
          <w:highlight w:val="none"/>
          <w:u w:val="single"/>
        </w:rPr>
        <w:t>（项目名称）</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（项目编号：</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）投标。现就联合体投标事宜订立如下协议：</w:t>
      </w:r>
    </w:p>
    <w:p>
      <w:pPr>
        <w:autoSpaceDE w:val="0"/>
        <w:autoSpaceDN w:val="0"/>
        <w:adjustRightInd w:val="0"/>
        <w:spacing w:line="440" w:lineRule="exact"/>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（某成员单位名称）为联合体名称牵头人。</w:t>
      </w:r>
    </w:p>
    <w:p>
      <w:pPr>
        <w:autoSpaceDE w:val="0"/>
        <w:autoSpaceDN w:val="0"/>
        <w:adjustRightInd w:val="0"/>
        <w:spacing w:line="440" w:lineRule="exact"/>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联合体牵头人合法代表联合体各成员负责本招标项目投标文件编制和合同谈判活动，并代表联合体提交和接收相关的资料、信息及指示，并处理与之有关的一切事务，负责合同实施阶段的主办、组织和协调工作。</w:t>
      </w:r>
    </w:p>
    <w:p>
      <w:pPr>
        <w:autoSpaceDE w:val="0"/>
        <w:autoSpaceDN w:val="0"/>
        <w:adjustRightInd w:val="0"/>
        <w:spacing w:line="440" w:lineRule="exact"/>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3.联合体牵头人在本项目中签署和盖章的一切文件和处理的一切事宜，联合体各成员均予以承认。 联合体各成员将严格按照招标文件、投标文件和合同的要求全面履行义务，并向采购人承担连带责任。</w:t>
      </w:r>
    </w:p>
    <w:p>
      <w:pPr>
        <w:autoSpaceDE w:val="0"/>
        <w:autoSpaceDN w:val="0"/>
        <w:adjustRightInd w:val="0"/>
        <w:spacing w:line="440" w:lineRule="exact"/>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4.联合体各成员单位内部的职责分工如下：</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pPr>
        <w:pStyle w:val="14"/>
        <w:spacing w:line="440" w:lineRule="exact"/>
        <w:ind w:firstLine="420" w:firstLineChars="200"/>
        <w:rPr>
          <w:rFonts w:hint="eastAsia" w:hAnsi="宋体" w:cs="宋体"/>
          <w:color w:val="auto"/>
          <w:szCs w:val="21"/>
          <w:highlight w:val="none"/>
        </w:rPr>
      </w:pPr>
      <w:r>
        <w:rPr>
          <w:rFonts w:hint="eastAsia" w:hAnsi="宋体" w:cs="宋体"/>
          <w:color w:val="auto"/>
          <w:kern w:val="0"/>
          <w:highlight w:val="none"/>
        </w:rPr>
        <w:t>5.本联合体中，</w:t>
      </w:r>
      <w:r>
        <w:rPr>
          <w:rFonts w:hint="eastAsia" w:hAnsi="宋体" w:cs="宋体"/>
          <w:color w:val="auto"/>
          <w:kern w:val="0"/>
          <w:szCs w:val="21"/>
          <w:highlight w:val="none"/>
          <w:u w:val="single"/>
        </w:rPr>
        <w:t xml:space="preserve">                                   </w:t>
      </w:r>
      <w:r>
        <w:rPr>
          <w:rFonts w:hint="eastAsia" w:hAnsi="宋体" w:cs="宋体"/>
          <w:color w:val="auto"/>
          <w:kern w:val="0"/>
          <w:highlight w:val="none"/>
          <w:u w:val="single"/>
        </w:rPr>
        <w:t>（某成员单位名称）为</w:t>
      </w:r>
      <w:r>
        <w:rPr>
          <w:rFonts w:hint="eastAsia" w:hAnsi="宋体" w:cs="宋体"/>
          <w:color w:val="auto"/>
          <w:kern w:val="0"/>
          <w:szCs w:val="21"/>
          <w:highlight w:val="none"/>
          <w:u w:val="single"/>
        </w:rPr>
        <w:t xml:space="preserve">        </w:t>
      </w:r>
      <w:r>
        <w:rPr>
          <w:rFonts w:hint="eastAsia" w:hAnsi="宋体" w:cs="宋体"/>
          <w:color w:val="auto"/>
          <w:highlight w:val="none"/>
        </w:rPr>
        <w:t>（请填写：中型、小型、微型）企业，其协议合同金额占联合体协议合同总金额的</w:t>
      </w:r>
      <w:r>
        <w:rPr>
          <w:rFonts w:hint="eastAsia" w:hAnsi="宋体" w:cs="宋体"/>
          <w:color w:val="auto"/>
          <w:kern w:val="0"/>
          <w:szCs w:val="21"/>
          <w:highlight w:val="none"/>
          <w:u w:val="single"/>
        </w:rPr>
        <w:t xml:space="preserve">        </w:t>
      </w:r>
      <w:r>
        <w:rPr>
          <w:rFonts w:hint="eastAsia" w:hAnsi="宋体" w:cs="宋体"/>
          <w:color w:val="auto"/>
          <w:highlight w:val="none"/>
        </w:rPr>
        <w:t>%。【如联合体成员中有小型、微型企业的，请填写此条，否则无需填写；如联合体成员中有多个小型、微型企业的，请逐一列出】</w:t>
      </w:r>
    </w:p>
    <w:p>
      <w:pPr>
        <w:autoSpaceDE w:val="0"/>
        <w:autoSpaceDN w:val="0"/>
        <w:adjustRightInd w:val="0"/>
        <w:spacing w:line="440" w:lineRule="exact"/>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6.本协议书自签署之日起生效，合同履行完毕后自动失效。</w:t>
      </w:r>
    </w:p>
    <w:p>
      <w:pPr>
        <w:autoSpaceDE w:val="0"/>
        <w:autoSpaceDN w:val="0"/>
        <w:adjustRightInd w:val="0"/>
        <w:spacing w:line="440" w:lineRule="exact"/>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7.本协议书一式</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份，联合体成员和采购代理机构各执一份。</w:t>
      </w:r>
    </w:p>
    <w:p>
      <w:pPr>
        <w:autoSpaceDE w:val="0"/>
        <w:autoSpaceDN w:val="0"/>
        <w:adjustRightInd w:val="0"/>
        <w:spacing w:line="440" w:lineRule="exact"/>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注：本协议书由法定代表人签字的，应附法定代表人身份证明；本协议书由委托代理人签字的，应附法定代表人授权委托书。</w:t>
      </w:r>
    </w:p>
    <w:p>
      <w:pPr>
        <w:autoSpaceDE w:val="0"/>
        <w:autoSpaceDN w:val="0"/>
        <w:adjustRightInd w:val="0"/>
        <w:spacing w:line="44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牵头人名称：</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（盖公章）</w:t>
      </w:r>
    </w:p>
    <w:p>
      <w:pPr>
        <w:autoSpaceDE w:val="0"/>
        <w:autoSpaceDN w:val="0"/>
        <w:adjustRightInd w:val="0"/>
        <w:spacing w:line="44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法定代表人或其委托代理人：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（签字）</w:t>
      </w:r>
    </w:p>
    <w:p>
      <w:pPr>
        <w:autoSpaceDE w:val="0"/>
        <w:autoSpaceDN w:val="0"/>
        <w:adjustRightInd w:val="0"/>
        <w:spacing w:line="440" w:lineRule="exact"/>
        <w:jc w:val="left"/>
        <w:rPr>
          <w:rFonts w:hint="eastAsia" w:ascii="宋体" w:hAnsi="宋体" w:cs="宋体"/>
          <w:color w:val="auto"/>
          <w:kern w:val="0"/>
          <w:szCs w:val="21"/>
          <w:highlight w:val="none"/>
        </w:rPr>
      </w:pPr>
    </w:p>
    <w:p>
      <w:pPr>
        <w:autoSpaceDE w:val="0"/>
        <w:autoSpaceDN w:val="0"/>
        <w:adjustRightInd w:val="0"/>
        <w:spacing w:line="44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成员一名称：</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（盖公章）</w:t>
      </w:r>
    </w:p>
    <w:p>
      <w:pPr>
        <w:autoSpaceDE w:val="0"/>
        <w:autoSpaceDN w:val="0"/>
        <w:adjustRightInd w:val="0"/>
        <w:spacing w:line="44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法定代表人或其委托代理人：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（签字）</w:t>
      </w:r>
    </w:p>
    <w:p>
      <w:pPr>
        <w:autoSpaceDE w:val="0"/>
        <w:autoSpaceDN w:val="0"/>
        <w:adjustRightInd w:val="0"/>
        <w:spacing w:line="440" w:lineRule="exact"/>
        <w:jc w:val="left"/>
        <w:rPr>
          <w:rFonts w:hint="eastAsia" w:ascii="宋体" w:hAnsi="宋体" w:cs="宋体"/>
          <w:color w:val="auto"/>
          <w:kern w:val="0"/>
          <w:szCs w:val="21"/>
          <w:highlight w:val="none"/>
        </w:rPr>
      </w:pPr>
    </w:p>
    <w:p>
      <w:pPr>
        <w:autoSpaceDE w:val="0"/>
        <w:autoSpaceDN w:val="0"/>
        <w:adjustRightInd w:val="0"/>
        <w:spacing w:line="44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成员二名称：</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（盖公章）</w:t>
      </w:r>
    </w:p>
    <w:p>
      <w:pPr>
        <w:pStyle w:val="14"/>
        <w:spacing w:line="440" w:lineRule="exact"/>
        <w:rPr>
          <w:rFonts w:hint="eastAsia" w:hAnsi="宋体" w:cs="宋体"/>
          <w:color w:val="auto"/>
          <w:kern w:val="0"/>
          <w:szCs w:val="21"/>
          <w:highlight w:val="none"/>
        </w:rPr>
      </w:pPr>
      <w:r>
        <w:rPr>
          <w:rFonts w:hint="eastAsia" w:hAnsi="宋体" w:cs="宋体"/>
          <w:color w:val="auto"/>
          <w:kern w:val="0"/>
          <w:szCs w:val="21"/>
          <w:highlight w:val="none"/>
        </w:rPr>
        <w:t>法定代表人或其委托代理人：</w:t>
      </w:r>
      <w:r>
        <w:rPr>
          <w:rFonts w:hint="eastAsia" w:hAnsi="宋体" w:cs="宋体"/>
          <w:color w:val="auto"/>
          <w:kern w:val="0"/>
          <w:szCs w:val="21"/>
          <w:highlight w:val="none"/>
          <w:u w:val="single"/>
        </w:rPr>
        <w:t xml:space="preserve">                         </w:t>
      </w:r>
      <w:r>
        <w:rPr>
          <w:rFonts w:hint="eastAsia" w:hAnsi="宋体" w:cs="宋体"/>
          <w:color w:val="auto"/>
          <w:kern w:val="0"/>
          <w:szCs w:val="21"/>
          <w:highlight w:val="none"/>
        </w:rPr>
        <w:t>（签字）</w:t>
      </w:r>
    </w:p>
    <w:p>
      <w:pPr>
        <w:pStyle w:val="8"/>
        <w:overflowPunct w:val="0"/>
        <w:spacing w:line="440" w:lineRule="exact"/>
        <w:ind w:firstLineChars="175"/>
        <w:rPr>
          <w:rFonts w:hint="eastAsia" w:ascii="宋体" w:hAnsi="宋体" w:cs="宋体"/>
          <w:color w:val="auto"/>
          <w:sz w:val="24"/>
          <w:highlight w:val="none"/>
        </w:rPr>
      </w:pPr>
      <w:r>
        <w:rPr>
          <w:rFonts w:hint="eastAsia" w:ascii="宋体" w:hAnsi="宋体" w:cs="宋体"/>
          <w:color w:val="auto"/>
          <w:sz w:val="24"/>
          <w:highlight w:val="none"/>
        </w:rPr>
        <w:t>……</w:t>
      </w:r>
    </w:p>
    <w:p>
      <w:pPr>
        <w:pStyle w:val="8"/>
        <w:overflowPunct w:val="0"/>
        <w:spacing w:line="480" w:lineRule="exact"/>
        <w:ind w:firstLineChars="175"/>
        <w:rPr>
          <w:rFonts w:hint="eastAsia" w:ascii="宋体" w:hAnsi="宋体" w:cs="宋体"/>
          <w:color w:val="auto"/>
          <w:sz w:val="24"/>
          <w:highlight w:val="none"/>
        </w:rPr>
      </w:pPr>
    </w:p>
    <w:p>
      <w:pPr>
        <w:pStyle w:val="8"/>
        <w:overflowPunct w:val="0"/>
        <w:ind w:firstLine="7140" w:firstLineChars="2975"/>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rPr>
        <w:tab/>
      </w:r>
      <w:r>
        <w:rPr>
          <w:rFonts w:hint="eastAsia" w:ascii="宋体" w:hAnsi="宋体" w:cs="宋体"/>
          <w:color w:val="auto"/>
          <w:sz w:val="24"/>
          <w:highlight w:val="none"/>
        </w:rPr>
        <w:t xml:space="preserve">年  </w:t>
      </w:r>
      <w:r>
        <w:rPr>
          <w:rFonts w:hint="eastAsia" w:ascii="宋体" w:hAnsi="宋体" w:cs="宋体"/>
          <w:color w:val="auto"/>
          <w:sz w:val="24"/>
          <w:highlight w:val="none"/>
        </w:rPr>
        <w:tab/>
      </w:r>
      <w:r>
        <w:rPr>
          <w:rFonts w:hint="eastAsia" w:ascii="宋体" w:hAnsi="宋体" w:cs="宋体"/>
          <w:color w:val="auto"/>
          <w:sz w:val="24"/>
          <w:highlight w:val="none"/>
        </w:rPr>
        <w:t xml:space="preserve">月  </w:t>
      </w:r>
      <w:r>
        <w:rPr>
          <w:rFonts w:hint="eastAsia" w:ascii="宋体" w:hAnsi="宋体" w:cs="宋体"/>
          <w:color w:val="auto"/>
          <w:sz w:val="24"/>
          <w:highlight w:val="none"/>
        </w:rPr>
        <w:tab/>
      </w:r>
      <w:r>
        <w:rPr>
          <w:rFonts w:hint="eastAsia" w:ascii="宋体" w:hAnsi="宋体" w:cs="宋体"/>
          <w:color w:val="auto"/>
          <w:sz w:val="24"/>
          <w:highlight w:val="none"/>
        </w:rPr>
        <w:t>日</w:t>
      </w:r>
    </w:p>
    <w:p>
      <w:pPr>
        <w:pStyle w:val="14"/>
        <w:spacing w:line="600" w:lineRule="exact"/>
        <w:jc w:val="center"/>
        <w:rPr>
          <w:rFonts w:hint="eastAsia" w:hAnsi="宋体" w:cs="宋体"/>
          <w:color w:val="auto"/>
          <w:highlight w:val="none"/>
        </w:rPr>
      </w:pPr>
    </w:p>
    <w:p>
      <w:pPr>
        <w:widowControl/>
        <w:spacing w:line="360" w:lineRule="auto"/>
        <w:jc w:val="left"/>
        <w:rPr>
          <w:rFonts w:hint="eastAsia" w:ascii="宋体" w:hAnsi="宋体" w:cs="宋体"/>
          <w:color w:val="auto"/>
          <w:szCs w:val="21"/>
          <w:highlight w:val="none"/>
        </w:rPr>
        <w:sectPr>
          <w:pgSz w:w="11906" w:h="16838"/>
          <w:pgMar w:top="1134" w:right="1020" w:bottom="1020" w:left="1134" w:header="720" w:footer="720" w:gutter="0"/>
          <w:pgNumType w:fmt="decimal"/>
          <w:cols w:space="720" w:num="1"/>
          <w:docGrid w:type="lines" w:linePitch="331" w:charSpace="0"/>
        </w:sectPr>
      </w:pPr>
    </w:p>
    <w:p>
      <w:pPr>
        <w:pStyle w:val="14"/>
        <w:jc w:val="center"/>
        <w:outlineLvl w:val="1"/>
        <w:rPr>
          <w:rFonts w:hint="eastAsia" w:hAnsi="宋体" w:cs="宋体"/>
          <w:color w:val="auto"/>
          <w:szCs w:val="21"/>
          <w:highlight w:val="none"/>
        </w:rPr>
      </w:pPr>
    </w:p>
    <w:p>
      <w:pPr>
        <w:pStyle w:val="14"/>
        <w:jc w:val="center"/>
        <w:outlineLvl w:val="1"/>
        <w:rPr>
          <w:rFonts w:hint="eastAsia" w:hAnsi="宋体" w:cs="宋体"/>
          <w:b/>
          <w:bCs/>
          <w:color w:val="auto"/>
          <w:sz w:val="28"/>
          <w:szCs w:val="28"/>
          <w:highlight w:val="none"/>
        </w:rPr>
      </w:pPr>
      <w:bookmarkStart w:id="309" w:name="_Toc13859"/>
      <w:bookmarkStart w:id="310" w:name="_Toc13558"/>
      <w:bookmarkStart w:id="311" w:name="_Toc15031"/>
      <w:bookmarkStart w:id="312" w:name="_Toc19686838"/>
      <w:bookmarkStart w:id="313" w:name="_Toc32555"/>
      <w:bookmarkStart w:id="314" w:name="_Toc22991"/>
      <w:r>
        <w:rPr>
          <w:rFonts w:hint="eastAsia" w:hAnsi="宋体" w:cs="宋体"/>
          <w:b/>
          <w:bCs/>
          <w:color w:val="auto"/>
          <w:sz w:val="28"/>
          <w:szCs w:val="28"/>
          <w:highlight w:val="none"/>
        </w:rPr>
        <w:t>第二节 商务技术文件格式</w:t>
      </w:r>
      <w:bookmarkEnd w:id="309"/>
      <w:bookmarkEnd w:id="310"/>
      <w:bookmarkEnd w:id="311"/>
      <w:bookmarkEnd w:id="312"/>
      <w:bookmarkEnd w:id="313"/>
      <w:bookmarkEnd w:id="314"/>
    </w:p>
    <w:p>
      <w:pPr>
        <w:snapToGrid w:val="0"/>
        <w:spacing w:before="165" w:beforeLines="50" w:after="50"/>
        <w:rPr>
          <w:rFonts w:hint="eastAsia" w:ascii="宋体" w:hAnsi="宋体" w:cs="宋体"/>
          <w:color w:val="auto"/>
          <w:sz w:val="30"/>
          <w:szCs w:val="20"/>
          <w:highlight w:val="none"/>
        </w:rPr>
      </w:pPr>
    </w:p>
    <w:p>
      <w:pPr>
        <w:snapToGrid w:val="0"/>
        <w:spacing w:before="165" w:beforeLines="50" w:after="50"/>
        <w:rPr>
          <w:rFonts w:hint="eastAsia" w:ascii="宋体" w:hAnsi="宋体" w:cs="宋体"/>
          <w:b/>
          <w:color w:val="auto"/>
          <w:sz w:val="28"/>
          <w:szCs w:val="28"/>
          <w:highlight w:val="none"/>
        </w:rPr>
      </w:pPr>
      <w:r>
        <w:rPr>
          <w:rFonts w:hint="eastAsia" w:ascii="宋体" w:hAnsi="宋体" w:cs="宋体"/>
          <w:b/>
          <w:color w:val="auto"/>
          <w:sz w:val="28"/>
          <w:szCs w:val="28"/>
          <w:highlight w:val="none"/>
        </w:rPr>
        <w:t>1.商务技术文件封面的格式（参照此格式自拟）：</w:t>
      </w:r>
    </w:p>
    <w:p>
      <w:pPr>
        <w:pStyle w:val="17"/>
        <w:rPr>
          <w:color w:val="auto"/>
          <w:highlight w:val="none"/>
        </w:rPr>
      </w:pPr>
    </w:p>
    <w:p>
      <w:pPr>
        <w:snapToGrid w:val="0"/>
        <w:spacing w:before="165" w:beforeLines="50" w:after="50"/>
        <w:rPr>
          <w:rFonts w:hint="eastAsia" w:ascii="宋体" w:hAnsi="宋体" w:cs="宋体"/>
          <w:bCs/>
          <w:color w:val="auto"/>
          <w:sz w:val="32"/>
          <w:szCs w:val="20"/>
          <w:highlight w:val="none"/>
        </w:rPr>
      </w:pPr>
      <w:r>
        <w:rPr>
          <w:rFonts w:hint="eastAsia" w:ascii="宋体" w:hAnsi="宋体" w:cs="宋体"/>
          <w:color w:val="auto"/>
          <w:sz w:val="24"/>
          <w:highlight w:val="none"/>
        </w:rPr>
        <w:t xml:space="preserve">                                                  </w:t>
      </w:r>
      <w:r>
        <w:rPr>
          <w:rFonts w:hint="eastAsia" w:ascii="宋体" w:hAnsi="宋体" w:cs="宋体"/>
          <w:bCs/>
          <w:color w:val="auto"/>
          <w:highlight w:val="none"/>
        </w:rPr>
        <w:t xml:space="preserve">             电子版投标文件</w:t>
      </w:r>
    </w:p>
    <w:p>
      <w:pPr>
        <w:snapToGrid w:val="0"/>
        <w:spacing w:before="165" w:beforeLines="50" w:after="50"/>
        <w:rPr>
          <w:rFonts w:hint="eastAsia" w:ascii="宋体" w:hAnsi="宋体" w:cs="宋体"/>
          <w:color w:val="auto"/>
          <w:sz w:val="24"/>
          <w:szCs w:val="20"/>
          <w:highlight w:val="none"/>
        </w:rPr>
      </w:pPr>
    </w:p>
    <w:p>
      <w:pPr>
        <w:snapToGrid w:val="0"/>
        <w:spacing w:before="165" w:beforeLines="50" w:after="50"/>
        <w:jc w:val="center"/>
        <w:rPr>
          <w:rFonts w:hint="eastAsia" w:ascii="宋体" w:hAnsi="宋体" w:cs="宋体"/>
          <w:b/>
          <w:color w:val="auto"/>
          <w:sz w:val="32"/>
          <w:szCs w:val="32"/>
          <w:highlight w:val="none"/>
        </w:rPr>
      </w:pPr>
    </w:p>
    <w:p>
      <w:pPr>
        <w:snapToGrid w:val="0"/>
        <w:spacing w:before="165" w:beforeLines="50" w:after="50"/>
        <w:jc w:val="center"/>
        <w:rPr>
          <w:rFonts w:hint="eastAsia" w:ascii="宋体" w:hAnsi="宋体" w:cs="宋体"/>
          <w:bCs/>
          <w:color w:val="auto"/>
          <w:sz w:val="24"/>
          <w:szCs w:val="20"/>
          <w:highlight w:val="none"/>
        </w:rPr>
      </w:pPr>
      <w:r>
        <w:rPr>
          <w:rFonts w:hint="eastAsia" w:ascii="宋体" w:hAnsi="宋体" w:cs="宋体"/>
          <w:b/>
          <w:color w:val="auto"/>
          <w:sz w:val="32"/>
          <w:szCs w:val="32"/>
          <w:highlight w:val="none"/>
        </w:rPr>
        <w:t>商务技术文件</w:t>
      </w:r>
    </w:p>
    <w:p>
      <w:pPr>
        <w:snapToGrid w:val="0"/>
        <w:spacing w:before="165" w:beforeLines="50" w:after="50"/>
        <w:ind w:firstLine="540" w:firstLineChars="225"/>
        <w:rPr>
          <w:rFonts w:hint="eastAsia" w:ascii="宋体" w:hAnsi="宋体" w:cs="宋体"/>
          <w:bCs/>
          <w:color w:val="auto"/>
          <w:sz w:val="24"/>
          <w:highlight w:val="none"/>
        </w:rPr>
      </w:pPr>
    </w:p>
    <w:p>
      <w:pPr>
        <w:snapToGrid w:val="0"/>
        <w:spacing w:before="165" w:beforeLines="50" w:after="50"/>
        <w:ind w:firstLine="540" w:firstLineChars="225"/>
        <w:rPr>
          <w:rFonts w:hint="eastAsia" w:ascii="宋体" w:hAnsi="宋体" w:cs="宋体"/>
          <w:bCs/>
          <w:color w:val="auto"/>
          <w:sz w:val="24"/>
          <w:highlight w:val="none"/>
        </w:rPr>
      </w:pPr>
    </w:p>
    <w:p>
      <w:pPr>
        <w:snapToGrid w:val="0"/>
        <w:spacing w:before="165" w:beforeLines="50" w:after="50"/>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项目名称：</w:t>
      </w:r>
    </w:p>
    <w:p>
      <w:pPr>
        <w:snapToGrid w:val="0"/>
        <w:spacing w:before="165" w:beforeLines="50" w:after="50"/>
        <w:ind w:firstLine="540" w:firstLineChars="225"/>
        <w:rPr>
          <w:rFonts w:hint="eastAsia" w:ascii="宋体" w:hAnsi="宋体" w:cs="宋体"/>
          <w:bCs/>
          <w:color w:val="auto"/>
          <w:sz w:val="24"/>
          <w:szCs w:val="20"/>
          <w:highlight w:val="none"/>
        </w:rPr>
      </w:pPr>
    </w:p>
    <w:p>
      <w:pPr>
        <w:snapToGrid w:val="0"/>
        <w:spacing w:before="165" w:beforeLines="50" w:after="50"/>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项目编号：</w:t>
      </w:r>
    </w:p>
    <w:p>
      <w:pPr>
        <w:snapToGrid w:val="0"/>
        <w:spacing w:before="165" w:beforeLines="50" w:after="50"/>
        <w:ind w:firstLine="540" w:firstLineChars="225"/>
        <w:rPr>
          <w:rFonts w:hint="eastAsia" w:ascii="宋体" w:hAnsi="宋体" w:cs="宋体"/>
          <w:bCs/>
          <w:color w:val="auto"/>
          <w:sz w:val="24"/>
          <w:szCs w:val="20"/>
          <w:highlight w:val="none"/>
        </w:rPr>
      </w:pPr>
      <w:r>
        <w:rPr>
          <w:rFonts w:hint="eastAsia" w:ascii="宋体" w:hAnsi="宋体" w:cs="宋体"/>
          <w:bCs/>
          <w:color w:val="auto"/>
          <w:sz w:val="24"/>
          <w:highlight w:val="none"/>
        </w:rPr>
        <w:t xml:space="preserve"> </w:t>
      </w:r>
    </w:p>
    <w:p>
      <w:pPr>
        <w:snapToGrid w:val="0"/>
        <w:spacing w:before="165" w:beforeLines="50" w:after="50"/>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所投分标（如有则填写，无分标时填写“无”或者留空）：</w:t>
      </w:r>
    </w:p>
    <w:p>
      <w:pPr>
        <w:snapToGrid w:val="0"/>
        <w:spacing w:before="165" w:beforeLines="50" w:after="50"/>
        <w:ind w:firstLine="540" w:firstLineChars="225"/>
        <w:rPr>
          <w:rFonts w:hint="eastAsia" w:ascii="宋体" w:hAnsi="宋体" w:cs="宋体"/>
          <w:bCs/>
          <w:color w:val="auto"/>
          <w:sz w:val="24"/>
          <w:szCs w:val="20"/>
          <w:highlight w:val="none"/>
        </w:rPr>
      </w:pPr>
    </w:p>
    <w:p>
      <w:pPr>
        <w:pStyle w:val="8"/>
        <w:snapToGrid w:val="0"/>
        <w:spacing w:before="50" w:after="50"/>
        <w:ind w:firstLine="540" w:firstLineChars="225"/>
        <w:rPr>
          <w:rFonts w:hint="eastAsia" w:ascii="宋体" w:hAnsi="宋体" w:cs="宋体"/>
          <w:bCs/>
          <w:color w:val="auto"/>
          <w:sz w:val="24"/>
          <w:szCs w:val="24"/>
          <w:highlight w:val="none"/>
        </w:rPr>
      </w:pPr>
      <w:r>
        <w:rPr>
          <w:rFonts w:hint="eastAsia" w:ascii="宋体" w:hAnsi="宋体" w:cs="宋体"/>
          <w:bCs/>
          <w:color w:val="auto"/>
          <w:sz w:val="24"/>
          <w:szCs w:val="24"/>
          <w:highlight w:val="none"/>
        </w:rPr>
        <w:t>投标人名称：</w:t>
      </w:r>
    </w:p>
    <w:p>
      <w:pPr>
        <w:pStyle w:val="8"/>
        <w:snapToGrid w:val="0"/>
        <w:spacing w:before="50" w:after="50"/>
        <w:ind w:firstLine="540" w:firstLineChars="225"/>
        <w:rPr>
          <w:rFonts w:hint="eastAsia" w:ascii="宋体" w:hAnsi="宋体" w:cs="宋体"/>
          <w:bCs/>
          <w:color w:val="auto"/>
          <w:sz w:val="24"/>
          <w:szCs w:val="24"/>
          <w:highlight w:val="none"/>
        </w:rPr>
      </w:pPr>
    </w:p>
    <w:p>
      <w:pPr>
        <w:pStyle w:val="8"/>
        <w:snapToGrid w:val="0"/>
        <w:spacing w:before="50" w:after="50"/>
        <w:ind w:firstLine="960" w:firstLineChars="400"/>
        <w:rPr>
          <w:rFonts w:hint="eastAsia" w:ascii="宋体" w:hAnsi="宋体" w:cs="宋体"/>
          <w:bCs/>
          <w:color w:val="auto"/>
          <w:sz w:val="24"/>
          <w:szCs w:val="24"/>
          <w:highlight w:val="none"/>
        </w:rPr>
      </w:pPr>
    </w:p>
    <w:p>
      <w:pPr>
        <w:snapToGrid w:val="0"/>
        <w:spacing w:before="165" w:beforeLines="50" w:after="50"/>
        <w:ind w:firstLine="645"/>
        <w:rPr>
          <w:rFonts w:hint="eastAsia" w:ascii="宋体" w:hAnsi="宋体" w:cs="宋体"/>
          <w:color w:val="auto"/>
          <w:sz w:val="24"/>
          <w:highlight w:val="none"/>
        </w:rPr>
      </w:pPr>
      <w:r>
        <w:rPr>
          <w:rFonts w:hint="eastAsia" w:ascii="宋体" w:hAnsi="宋体" w:cs="宋体"/>
          <w:color w:val="auto"/>
          <w:sz w:val="24"/>
          <w:highlight w:val="none"/>
        </w:rPr>
        <w:t xml:space="preserve">                        </w:t>
      </w:r>
    </w:p>
    <w:p>
      <w:pPr>
        <w:snapToGrid w:val="0"/>
        <w:spacing w:before="165" w:beforeLines="50" w:after="50"/>
        <w:ind w:firstLine="645"/>
        <w:rPr>
          <w:rFonts w:hint="eastAsia" w:ascii="宋体" w:hAnsi="宋体" w:cs="宋体"/>
          <w:color w:val="auto"/>
          <w:sz w:val="24"/>
          <w:highlight w:val="none"/>
        </w:rPr>
      </w:pPr>
    </w:p>
    <w:p>
      <w:pPr>
        <w:snapToGrid w:val="0"/>
        <w:spacing w:before="165" w:beforeLines="50" w:after="50"/>
        <w:ind w:firstLine="4329" w:firstLineChars="1804"/>
        <w:rPr>
          <w:rFonts w:hint="eastAsia" w:ascii="宋体" w:hAnsi="宋体" w:cs="宋体"/>
          <w:color w:val="auto"/>
          <w:sz w:val="24"/>
          <w:highlight w:val="none"/>
        </w:rPr>
      </w:pPr>
      <w:r>
        <w:rPr>
          <w:rFonts w:hint="eastAsia" w:ascii="宋体" w:hAnsi="宋体" w:cs="宋体"/>
          <w:color w:val="auto"/>
          <w:sz w:val="24"/>
          <w:highlight w:val="none"/>
        </w:rPr>
        <w:t>年   月   日</w:t>
      </w:r>
    </w:p>
    <w:p>
      <w:pPr>
        <w:snapToGrid w:val="0"/>
        <w:spacing w:before="165" w:beforeLines="50" w:after="50"/>
        <w:rPr>
          <w:rFonts w:hint="eastAsia" w:ascii="宋体" w:hAnsi="宋体" w:cs="宋体"/>
          <w:color w:val="auto"/>
          <w:sz w:val="24"/>
          <w:szCs w:val="20"/>
          <w:highlight w:val="none"/>
        </w:rPr>
      </w:pPr>
      <w:r>
        <w:rPr>
          <w:rFonts w:hint="eastAsia" w:ascii="宋体" w:hAnsi="宋体" w:cs="宋体"/>
          <w:color w:val="auto"/>
          <w:sz w:val="24"/>
          <w:szCs w:val="20"/>
          <w:highlight w:val="none"/>
        </w:rPr>
        <w:t xml:space="preserve"> </w:t>
      </w:r>
    </w:p>
    <w:p>
      <w:pPr>
        <w:spacing w:line="360" w:lineRule="auto"/>
        <w:ind w:right="420"/>
        <w:rPr>
          <w:rFonts w:hint="eastAsia" w:ascii="宋体" w:hAnsi="宋体" w:cs="宋体"/>
          <w:color w:val="auto"/>
          <w:sz w:val="24"/>
          <w:szCs w:val="20"/>
          <w:highlight w:val="none"/>
        </w:rPr>
      </w:pPr>
    </w:p>
    <w:p>
      <w:pPr>
        <w:spacing w:line="360" w:lineRule="auto"/>
        <w:ind w:right="420"/>
        <w:rPr>
          <w:rFonts w:hint="eastAsia" w:ascii="宋体" w:hAnsi="宋体" w:cs="宋体"/>
          <w:color w:val="auto"/>
          <w:sz w:val="24"/>
          <w:szCs w:val="20"/>
          <w:highlight w:val="none"/>
        </w:rPr>
      </w:pPr>
    </w:p>
    <w:p>
      <w:pPr>
        <w:spacing w:line="360" w:lineRule="auto"/>
        <w:ind w:right="420"/>
        <w:rPr>
          <w:rFonts w:hint="eastAsia" w:ascii="宋体" w:hAnsi="宋体" w:cs="宋体"/>
          <w:color w:val="auto"/>
          <w:sz w:val="24"/>
          <w:szCs w:val="20"/>
          <w:highlight w:val="none"/>
        </w:rPr>
      </w:pPr>
    </w:p>
    <w:p>
      <w:pPr>
        <w:spacing w:line="360" w:lineRule="auto"/>
        <w:ind w:right="420"/>
        <w:rPr>
          <w:rFonts w:hint="eastAsia" w:ascii="宋体" w:hAnsi="宋体" w:cs="宋体"/>
          <w:color w:val="auto"/>
          <w:sz w:val="24"/>
          <w:szCs w:val="20"/>
          <w:highlight w:val="none"/>
        </w:rPr>
      </w:pPr>
    </w:p>
    <w:p>
      <w:pPr>
        <w:spacing w:line="360" w:lineRule="auto"/>
        <w:ind w:right="420"/>
        <w:rPr>
          <w:rFonts w:hint="eastAsia" w:ascii="宋体" w:hAnsi="宋体" w:cs="宋体"/>
          <w:color w:val="auto"/>
          <w:sz w:val="24"/>
          <w:szCs w:val="20"/>
          <w:highlight w:val="none"/>
        </w:rPr>
      </w:pPr>
    </w:p>
    <w:p>
      <w:pPr>
        <w:spacing w:line="360" w:lineRule="auto"/>
        <w:ind w:right="420"/>
        <w:rPr>
          <w:rFonts w:hint="eastAsia" w:ascii="宋体" w:hAnsi="宋体" w:cs="宋体"/>
          <w:b/>
          <w:bCs/>
          <w:color w:val="auto"/>
          <w:sz w:val="28"/>
          <w:szCs w:val="28"/>
          <w:highlight w:val="none"/>
        </w:rPr>
      </w:pPr>
    </w:p>
    <w:p>
      <w:pPr>
        <w:spacing w:line="360" w:lineRule="auto"/>
        <w:ind w:right="420"/>
        <w:rPr>
          <w:rFonts w:hint="eastAsia" w:ascii="宋体" w:hAnsi="宋体" w:cs="宋体"/>
          <w:color w:val="auto"/>
          <w:sz w:val="24"/>
          <w:szCs w:val="20"/>
          <w:highlight w:val="none"/>
        </w:rPr>
      </w:pPr>
      <w:r>
        <w:rPr>
          <w:rFonts w:hint="eastAsia" w:ascii="宋体" w:hAnsi="宋体" w:cs="宋体"/>
          <w:b/>
          <w:bCs/>
          <w:color w:val="auto"/>
          <w:sz w:val="28"/>
          <w:szCs w:val="28"/>
          <w:highlight w:val="none"/>
        </w:rPr>
        <w:t>2.商务技术文件目录</w:t>
      </w:r>
    </w:p>
    <w:p>
      <w:pPr>
        <w:spacing w:line="360" w:lineRule="auto"/>
        <w:ind w:right="420"/>
        <w:rPr>
          <w:rFonts w:hint="eastAsia" w:ascii="宋体" w:hAnsi="宋体" w:cs="宋体"/>
          <w:b/>
          <w:color w:val="auto"/>
          <w:kern w:val="0"/>
          <w:sz w:val="36"/>
          <w:szCs w:val="36"/>
          <w:highlight w:val="none"/>
        </w:rPr>
      </w:pPr>
      <w:r>
        <w:rPr>
          <w:rFonts w:hint="eastAsia" w:ascii="宋体" w:hAnsi="宋体" w:cs="宋体"/>
          <w:color w:val="auto"/>
          <w:kern w:val="0"/>
          <w:sz w:val="24"/>
          <w:highlight w:val="none"/>
        </w:rPr>
        <w:t>根据招标文件规定及投标人提供的材料自行编写目录（部分格式后附）。</w:t>
      </w:r>
    </w:p>
    <w:p>
      <w:pPr>
        <w:rPr>
          <w:rFonts w:hint="eastAsia" w:ascii="宋体" w:hAnsi="宋体" w:cs="宋体"/>
          <w:b/>
          <w:color w:val="auto"/>
          <w:kern w:val="0"/>
          <w:sz w:val="24"/>
          <w:highlight w:val="none"/>
        </w:rPr>
      </w:pPr>
    </w:p>
    <w:p>
      <w:pPr>
        <w:spacing w:line="360" w:lineRule="auto"/>
        <w:rPr>
          <w:rFonts w:hint="eastAsia" w:ascii="宋体" w:hAnsi="宋体" w:cs="宋体"/>
          <w:b/>
          <w:bCs/>
          <w:color w:val="auto"/>
          <w:sz w:val="24"/>
          <w:highlight w:val="none"/>
        </w:rPr>
      </w:pPr>
    </w:p>
    <w:p>
      <w:pPr>
        <w:widowControl/>
        <w:spacing w:line="360" w:lineRule="auto"/>
        <w:jc w:val="left"/>
        <w:rPr>
          <w:rFonts w:hint="eastAsia" w:ascii="宋体" w:hAnsi="宋体" w:cs="宋体"/>
          <w:color w:val="auto"/>
          <w:highlight w:val="none"/>
        </w:rPr>
        <w:sectPr>
          <w:pgSz w:w="11906" w:h="16838"/>
          <w:pgMar w:top="1134" w:right="1020" w:bottom="1020" w:left="1134" w:header="720" w:footer="720" w:gutter="0"/>
          <w:pgNumType w:fmt="decimal"/>
          <w:cols w:space="720" w:num="1"/>
          <w:docGrid w:type="lines" w:linePitch="331" w:charSpace="0"/>
        </w:sectPr>
      </w:pPr>
    </w:p>
    <w:p>
      <w:pPr>
        <w:snapToGrid w:val="0"/>
        <w:spacing w:before="165" w:beforeLines="50" w:after="50"/>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3.无串通投标行为的承诺函的格式：</w:t>
      </w:r>
    </w:p>
    <w:p>
      <w:pPr>
        <w:snapToGrid w:val="0"/>
        <w:spacing w:before="165" w:beforeLines="50" w:after="50"/>
        <w:ind w:left="420"/>
        <w:jc w:val="center"/>
        <w:rPr>
          <w:rFonts w:hint="eastAsia" w:ascii="宋体" w:hAnsi="宋体" w:cs="宋体"/>
          <w:b/>
          <w:color w:val="auto"/>
          <w:sz w:val="28"/>
          <w:szCs w:val="28"/>
          <w:highlight w:val="none"/>
        </w:rPr>
      </w:pPr>
    </w:p>
    <w:p>
      <w:pPr>
        <w:snapToGrid w:val="0"/>
        <w:spacing w:before="165" w:beforeLines="50" w:after="50"/>
        <w:ind w:left="420"/>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参加本项目无</w:t>
      </w:r>
      <w:r>
        <w:rPr>
          <w:rFonts w:hint="eastAsia" w:ascii="宋体" w:hAnsi="宋体" w:cs="宋体"/>
          <w:b/>
          <w:bCs/>
          <w:color w:val="auto"/>
          <w:sz w:val="28"/>
          <w:szCs w:val="28"/>
          <w:highlight w:val="none"/>
        </w:rPr>
        <w:t>串通投标</w:t>
      </w:r>
      <w:r>
        <w:rPr>
          <w:rFonts w:hint="eastAsia" w:ascii="宋体" w:hAnsi="宋体" w:cs="宋体"/>
          <w:b/>
          <w:color w:val="auto"/>
          <w:sz w:val="28"/>
          <w:szCs w:val="28"/>
          <w:highlight w:val="none"/>
        </w:rPr>
        <w:t>行为的承诺函</w:t>
      </w:r>
    </w:p>
    <w:p>
      <w:pPr>
        <w:snapToGrid w:val="0"/>
        <w:spacing w:before="165" w:beforeLines="50" w:after="50"/>
        <w:rPr>
          <w:rFonts w:hint="eastAsia" w:ascii="宋体" w:hAnsi="宋体" w:cs="宋体"/>
          <w:b/>
          <w:color w:val="auto"/>
          <w:szCs w:val="21"/>
          <w:highlight w:val="none"/>
        </w:rPr>
      </w:pPr>
    </w:p>
    <w:p>
      <w:pPr>
        <w:snapToGrid w:val="0"/>
        <w:spacing w:before="165" w:beforeLines="50" w:after="50" w:line="360" w:lineRule="auto"/>
        <w:jc w:val="left"/>
        <w:rPr>
          <w:rFonts w:hint="eastAsia" w:ascii="宋体" w:hAnsi="宋体" w:cs="宋体"/>
          <w:b/>
          <w:color w:val="auto"/>
          <w:szCs w:val="21"/>
          <w:highlight w:val="none"/>
        </w:rPr>
      </w:pPr>
      <w:r>
        <w:rPr>
          <w:rFonts w:hint="eastAsia" w:ascii="宋体" w:hAnsi="宋体" w:cs="宋体"/>
          <w:b/>
          <w:color w:val="auto"/>
          <w:szCs w:val="21"/>
          <w:highlight w:val="none"/>
        </w:rPr>
        <w:t>一、我方承诺无下列相互串通投标的情形：</w:t>
      </w:r>
    </w:p>
    <w:p>
      <w:pPr>
        <w:pStyle w:val="11"/>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1.不同投标人的投标文件由同一单位或者个人编制；或者不同投标人报名的IP地址一致的；</w:t>
      </w:r>
    </w:p>
    <w:p>
      <w:pPr>
        <w:snapToGrid w:val="0"/>
        <w:spacing w:before="165" w:beforeLines="50" w:after="50"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2.不同投标人委托同一单位或者个人办理投标事宜；</w:t>
      </w:r>
    </w:p>
    <w:p>
      <w:pPr>
        <w:snapToGrid w:val="0"/>
        <w:spacing w:before="165" w:beforeLines="50" w:after="50"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3.不同的投标人的投标文件载明的项目管理员为同一个人；</w:t>
      </w:r>
    </w:p>
    <w:p>
      <w:pPr>
        <w:snapToGrid w:val="0"/>
        <w:spacing w:before="165" w:beforeLines="50" w:after="50"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4.不同投标人的投标文件异常一致或者投标报价呈规律性差异；</w:t>
      </w:r>
    </w:p>
    <w:p>
      <w:pPr>
        <w:snapToGrid w:val="0"/>
        <w:spacing w:before="165" w:beforeLines="50" w:after="50"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5.不同投标人的投标文件相互混装；</w:t>
      </w:r>
    </w:p>
    <w:p>
      <w:pPr>
        <w:snapToGrid w:val="0"/>
        <w:spacing w:before="165" w:beforeLines="50" w:after="50" w:line="360" w:lineRule="auto"/>
        <w:ind w:firstLine="411" w:firstLineChars="196"/>
        <w:jc w:val="left"/>
        <w:rPr>
          <w:rFonts w:hint="eastAsia" w:ascii="宋体" w:hAnsi="宋体" w:cs="宋体"/>
          <w:color w:val="auto"/>
          <w:szCs w:val="21"/>
          <w:highlight w:val="none"/>
        </w:rPr>
      </w:pPr>
      <w:r>
        <w:rPr>
          <w:rFonts w:ascii="宋体" w:hAnsi="宋体" w:cs="宋体"/>
          <w:color w:val="auto"/>
          <w:szCs w:val="21"/>
          <w:highlight w:val="none"/>
        </w:rPr>
        <w:t>6</w:t>
      </w:r>
      <w:r>
        <w:rPr>
          <w:rFonts w:hint="eastAsia" w:ascii="宋体" w:hAnsi="宋体" w:cs="宋体"/>
          <w:color w:val="auto"/>
          <w:szCs w:val="21"/>
          <w:highlight w:val="none"/>
        </w:rPr>
        <w:t>.不同投标人的投标保证金从同一单位或者个人账户转出。</w:t>
      </w:r>
    </w:p>
    <w:p>
      <w:pPr>
        <w:snapToGrid w:val="0"/>
        <w:spacing w:before="165" w:beforeLines="50" w:after="50" w:line="360" w:lineRule="auto"/>
        <w:jc w:val="left"/>
        <w:rPr>
          <w:rFonts w:hint="eastAsia" w:ascii="宋体" w:hAnsi="宋体" w:cs="宋体"/>
          <w:color w:val="auto"/>
          <w:szCs w:val="21"/>
          <w:highlight w:val="none"/>
        </w:rPr>
      </w:pPr>
      <w:r>
        <w:rPr>
          <w:rFonts w:hint="eastAsia" w:ascii="宋体" w:hAnsi="宋体" w:cs="宋体"/>
          <w:b/>
          <w:color w:val="auto"/>
          <w:szCs w:val="21"/>
          <w:highlight w:val="none"/>
        </w:rPr>
        <w:t>二、我方承诺无下列恶意串通的情形：</w:t>
      </w:r>
    </w:p>
    <w:p>
      <w:pPr>
        <w:snapToGrid w:val="0"/>
        <w:spacing w:before="165" w:beforeLines="50" w:after="50"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1.投标人直接或者间接从采购人或者采购代理机构处获得其他投标人的相关信息并修改其投标文件；</w:t>
      </w:r>
    </w:p>
    <w:p>
      <w:pPr>
        <w:snapToGrid w:val="0"/>
        <w:spacing w:before="165" w:beforeLines="50" w:after="50"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2.投标人按照采购人或者采购代理机构的授意撤换、修改投标文件；</w:t>
      </w:r>
    </w:p>
    <w:p>
      <w:pPr>
        <w:snapToGrid w:val="0"/>
        <w:spacing w:before="165" w:beforeLines="50" w:after="50"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3.投标人之间协商报价、技术方案等投标文件的实质性内容；</w:t>
      </w:r>
    </w:p>
    <w:p>
      <w:pPr>
        <w:snapToGrid w:val="0"/>
        <w:spacing w:before="165" w:beforeLines="50" w:after="50"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4.属于同一集团、协会、商会等组织成员的投标人按照该组织要求协同参加政府采购活动；</w:t>
      </w:r>
    </w:p>
    <w:p>
      <w:pPr>
        <w:snapToGrid w:val="0"/>
        <w:spacing w:before="165" w:beforeLines="50" w:after="50"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5.投标人之间事先约定一致抬高或者压低投标报价，或者在招标项目中事先约定轮流以高价位或者低价位中标，或者事先约定由某一特定投标人中标，然后再参加投标；</w:t>
      </w:r>
    </w:p>
    <w:p>
      <w:pPr>
        <w:snapToGrid w:val="0"/>
        <w:spacing w:before="165" w:beforeLines="50" w:after="50"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6.投标人之间商定部分投标人放弃参加政府采购活动或者放弃中标；</w:t>
      </w:r>
    </w:p>
    <w:p>
      <w:pPr>
        <w:snapToGrid w:val="0"/>
        <w:spacing w:before="165" w:beforeLines="50" w:after="50"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7.投标人与采购人或者采购代理机构之间、投标人相互之间，为谋求特定投标人中标或者排斥其他投标人的其他串通行为。</w:t>
      </w:r>
    </w:p>
    <w:p>
      <w:pPr>
        <w:snapToGrid w:val="0"/>
        <w:spacing w:before="165" w:beforeLines="50" w:after="50" w:line="360" w:lineRule="auto"/>
        <w:ind w:firstLine="413" w:firstLineChars="196"/>
        <w:jc w:val="left"/>
        <w:rPr>
          <w:rFonts w:hint="eastAsia" w:ascii="宋体" w:hAnsi="宋体" w:cs="宋体"/>
          <w:b/>
          <w:color w:val="auto"/>
          <w:szCs w:val="21"/>
          <w:highlight w:val="none"/>
        </w:rPr>
      </w:pPr>
      <w:r>
        <w:rPr>
          <w:rFonts w:hint="eastAsia" w:ascii="宋体" w:hAnsi="宋体" w:cs="宋体"/>
          <w:b/>
          <w:bCs/>
          <w:color w:val="auto"/>
          <w:szCs w:val="21"/>
          <w:highlight w:val="none"/>
        </w:rPr>
        <w:t>以上情形一经核查属实，接受政府采购监管部门对我方认定存在围标串标行为，我方愿意承担一切后果，并不再寻求任何旨在减轻或者免除法律责任的辩解</w:t>
      </w:r>
      <w:r>
        <w:rPr>
          <w:rFonts w:hint="eastAsia" w:ascii="宋体" w:hAnsi="宋体" w:cs="宋体"/>
          <w:b/>
          <w:color w:val="auto"/>
          <w:szCs w:val="21"/>
          <w:highlight w:val="none"/>
        </w:rPr>
        <w:t>。</w:t>
      </w:r>
    </w:p>
    <w:p>
      <w:pPr>
        <w:pStyle w:val="17"/>
        <w:rPr>
          <w:rFonts w:hint="eastAsia" w:ascii="宋体" w:hAnsi="宋体" w:cs="宋体"/>
          <w:b/>
          <w:color w:val="auto"/>
          <w:szCs w:val="21"/>
          <w:highlight w:val="none"/>
        </w:rPr>
      </w:pPr>
    </w:p>
    <w:p>
      <w:pPr>
        <w:pStyle w:val="17"/>
        <w:rPr>
          <w:rFonts w:hint="eastAsia" w:ascii="宋体" w:hAnsi="宋体" w:cs="宋体"/>
          <w:b/>
          <w:color w:val="auto"/>
          <w:szCs w:val="21"/>
          <w:highlight w:val="none"/>
        </w:rPr>
      </w:pPr>
    </w:p>
    <w:p>
      <w:pPr>
        <w:snapToGrid w:val="0"/>
        <w:spacing w:line="360" w:lineRule="auto"/>
        <w:ind w:firstLine="4935" w:firstLineChars="2350"/>
        <w:rPr>
          <w:rFonts w:hint="eastAsia" w:ascii="宋体" w:hAnsi="宋体" w:cs="宋体"/>
          <w:color w:val="auto"/>
          <w:kern w:val="0"/>
          <w:sz w:val="24"/>
          <w:highlight w:val="none"/>
        </w:rPr>
      </w:pPr>
      <w:r>
        <w:rPr>
          <w:rFonts w:hint="eastAsia" w:ascii="宋体" w:hAnsi="宋体" w:cs="宋体"/>
          <w:color w:val="auto"/>
          <w:szCs w:val="21"/>
          <w:highlight w:val="none"/>
        </w:rPr>
        <w:t xml:space="preserve"> </w:t>
      </w:r>
      <w:r>
        <w:rPr>
          <w:rFonts w:hint="eastAsia" w:ascii="宋体" w:hAnsi="宋体" w:cs="宋体"/>
          <w:color w:val="auto"/>
          <w:kern w:val="0"/>
          <w:sz w:val="24"/>
          <w:highlight w:val="none"/>
          <w:lang w:val="zh-CN"/>
        </w:rPr>
        <w:t>投标人名称(盖公章)：</w:t>
      </w:r>
    </w:p>
    <w:p>
      <w:pPr>
        <w:snapToGrid w:val="0"/>
        <w:spacing w:line="360" w:lineRule="auto"/>
        <w:ind w:firstLine="5160" w:firstLineChars="215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pPr>
        <w:pStyle w:val="14"/>
        <w:snapToGrid w:val="0"/>
        <w:spacing w:before="295" w:after="295" w:line="360" w:lineRule="auto"/>
        <w:rPr>
          <w:rFonts w:hint="eastAsia" w:hAnsi="宋体" w:cs="宋体"/>
          <w:b/>
          <w:color w:val="auto"/>
          <w:sz w:val="24"/>
          <w:highlight w:val="none"/>
        </w:rPr>
      </w:pPr>
      <w:r>
        <w:rPr>
          <w:rFonts w:hint="eastAsia" w:hAnsi="宋体" w:cs="宋体"/>
          <w:b/>
          <w:color w:val="auto"/>
          <w:sz w:val="24"/>
          <w:highlight w:val="none"/>
        </w:rPr>
        <w:br w:type="page"/>
      </w:r>
      <w:r>
        <w:rPr>
          <w:rFonts w:hint="eastAsia" w:hAnsi="宋体" w:cs="宋体"/>
          <w:b/>
          <w:bCs/>
          <w:color w:val="auto"/>
          <w:sz w:val="28"/>
          <w:szCs w:val="28"/>
          <w:highlight w:val="none"/>
        </w:rPr>
        <w:t>4.法定代表人身份证明的格式：</w:t>
      </w:r>
    </w:p>
    <w:p>
      <w:pPr>
        <w:spacing w:before="331" w:beforeLines="100" w:after="165" w:afterLines="50"/>
        <w:ind w:left="540"/>
        <w:jc w:val="center"/>
        <w:rPr>
          <w:rFonts w:hint="eastAsia" w:ascii="宋体" w:hAnsi="宋体" w:cs="宋体"/>
          <w:b/>
          <w:color w:val="auto"/>
          <w:sz w:val="32"/>
          <w:szCs w:val="32"/>
          <w:highlight w:val="none"/>
        </w:rPr>
      </w:pPr>
    </w:p>
    <w:p>
      <w:pPr>
        <w:spacing w:before="331" w:beforeLines="100" w:after="165" w:afterLines="50"/>
        <w:ind w:left="540"/>
        <w:jc w:val="center"/>
        <w:rPr>
          <w:rFonts w:hint="eastAsia" w:ascii="宋体" w:hAnsi="宋体" w:cs="宋体"/>
          <w:color w:val="auto"/>
          <w:sz w:val="32"/>
          <w:szCs w:val="32"/>
          <w:highlight w:val="none"/>
        </w:rPr>
      </w:pPr>
      <w:r>
        <w:rPr>
          <w:rFonts w:hint="eastAsia" w:ascii="宋体" w:hAnsi="宋体" w:cs="宋体"/>
          <w:b/>
          <w:color w:val="auto"/>
          <w:sz w:val="32"/>
          <w:szCs w:val="32"/>
          <w:highlight w:val="none"/>
        </w:rPr>
        <w:t>法定代表人身份证明</w:t>
      </w:r>
    </w:p>
    <w:p>
      <w:pPr>
        <w:spacing w:line="500" w:lineRule="exact"/>
        <w:ind w:left="540"/>
        <w:rPr>
          <w:rFonts w:hint="eastAsia" w:ascii="宋体" w:hAnsi="宋体" w:cs="宋体"/>
          <w:color w:val="auto"/>
          <w:sz w:val="24"/>
          <w:highlight w:val="none"/>
        </w:rPr>
      </w:pPr>
      <w:r>
        <w:rPr>
          <w:rFonts w:hint="eastAsia" w:ascii="宋体" w:hAnsi="宋体" w:cs="宋体"/>
          <w:color w:val="auto"/>
          <w:sz w:val="24"/>
          <w:highlight w:val="none"/>
        </w:rPr>
        <w:t>投 标 人：</w:t>
      </w:r>
      <w:r>
        <w:rPr>
          <w:rFonts w:hint="eastAsia" w:ascii="宋体" w:hAnsi="宋体" w:cs="宋体"/>
          <w:color w:val="auto"/>
          <w:sz w:val="24"/>
          <w:highlight w:val="none"/>
          <w:u w:val="single"/>
        </w:rPr>
        <w:t xml:space="preserve">                                                        </w:t>
      </w:r>
    </w:p>
    <w:p>
      <w:pPr>
        <w:spacing w:line="500" w:lineRule="exact"/>
        <w:ind w:left="540"/>
        <w:rPr>
          <w:rFonts w:hint="eastAsia" w:ascii="宋体" w:hAnsi="宋体" w:cs="宋体"/>
          <w:color w:val="auto"/>
          <w:sz w:val="24"/>
          <w:highlight w:val="none"/>
        </w:rPr>
      </w:pPr>
      <w:r>
        <w:rPr>
          <w:rFonts w:hint="eastAsia" w:ascii="宋体" w:hAnsi="宋体" w:cs="宋体"/>
          <w:color w:val="auto"/>
          <w:sz w:val="24"/>
          <w:highlight w:val="none"/>
        </w:rPr>
        <w:t>地    址：</w:t>
      </w:r>
      <w:r>
        <w:rPr>
          <w:rFonts w:hint="eastAsia" w:ascii="宋体" w:hAnsi="宋体" w:cs="宋体"/>
          <w:color w:val="auto"/>
          <w:sz w:val="24"/>
          <w:highlight w:val="none"/>
          <w:u w:val="single"/>
        </w:rPr>
        <w:t xml:space="preserve">                                                        </w:t>
      </w:r>
    </w:p>
    <w:p>
      <w:pPr>
        <w:spacing w:line="500" w:lineRule="exact"/>
        <w:ind w:left="540"/>
        <w:rPr>
          <w:rFonts w:hint="eastAsia" w:ascii="宋体" w:hAnsi="宋体" w:cs="宋体"/>
          <w:color w:val="auto"/>
          <w:sz w:val="24"/>
          <w:highlight w:val="none"/>
        </w:rPr>
      </w:pPr>
      <w:r>
        <w:rPr>
          <w:rFonts w:hint="eastAsia" w:ascii="宋体" w:hAnsi="宋体" w:cs="宋体"/>
          <w:color w:val="auto"/>
          <w:sz w:val="24"/>
          <w:highlight w:val="none"/>
        </w:rPr>
        <w:t>姓    名：</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性      别：</w:t>
      </w:r>
      <w:r>
        <w:rPr>
          <w:rFonts w:hint="eastAsia" w:ascii="宋体" w:hAnsi="宋体" w:cs="宋体"/>
          <w:color w:val="auto"/>
          <w:sz w:val="24"/>
          <w:highlight w:val="none"/>
          <w:u w:val="single"/>
        </w:rPr>
        <w:t xml:space="preserve">                </w:t>
      </w:r>
    </w:p>
    <w:p>
      <w:pPr>
        <w:spacing w:line="500" w:lineRule="exact"/>
        <w:ind w:left="540"/>
        <w:rPr>
          <w:rFonts w:hint="eastAsia" w:ascii="宋体" w:hAnsi="宋体" w:cs="宋体"/>
          <w:color w:val="auto"/>
          <w:sz w:val="24"/>
          <w:highlight w:val="none"/>
          <w:u w:val="single"/>
        </w:rPr>
      </w:pPr>
      <w:r>
        <w:rPr>
          <w:rFonts w:hint="eastAsia" w:ascii="宋体" w:hAnsi="宋体" w:cs="宋体"/>
          <w:color w:val="auto"/>
          <w:sz w:val="24"/>
          <w:highlight w:val="none"/>
        </w:rPr>
        <w:t>年    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职      务：</w:t>
      </w:r>
      <w:r>
        <w:rPr>
          <w:rFonts w:hint="eastAsia" w:ascii="宋体" w:hAnsi="宋体" w:cs="宋体"/>
          <w:color w:val="auto"/>
          <w:sz w:val="24"/>
          <w:highlight w:val="none"/>
          <w:u w:val="single"/>
        </w:rPr>
        <w:t xml:space="preserve">                </w:t>
      </w:r>
    </w:p>
    <w:p>
      <w:pPr>
        <w:spacing w:line="500" w:lineRule="exact"/>
        <w:ind w:left="540"/>
        <w:rPr>
          <w:rFonts w:hint="eastAsia" w:ascii="宋体" w:hAnsi="宋体" w:cs="宋体"/>
          <w:color w:val="auto"/>
          <w:sz w:val="24"/>
          <w:highlight w:val="none"/>
        </w:rPr>
      </w:pPr>
      <w:r>
        <w:rPr>
          <w:rFonts w:hint="eastAsia" w:ascii="宋体" w:hAnsi="宋体" w:cs="宋体"/>
          <w:color w:val="auto"/>
          <w:sz w:val="24"/>
          <w:highlight w:val="none"/>
        </w:rPr>
        <w:t>身份证号码：</w:t>
      </w:r>
      <w:r>
        <w:rPr>
          <w:rFonts w:hint="eastAsia" w:ascii="宋体" w:hAnsi="宋体" w:cs="宋体"/>
          <w:color w:val="auto"/>
          <w:sz w:val="24"/>
          <w:highlight w:val="none"/>
          <w:u w:val="single"/>
        </w:rPr>
        <w:t xml:space="preserve">                                 </w:t>
      </w:r>
    </w:p>
    <w:p>
      <w:pPr>
        <w:spacing w:line="500" w:lineRule="exact"/>
        <w:ind w:left="540"/>
        <w:rPr>
          <w:rFonts w:hint="eastAsia" w:ascii="宋体" w:hAnsi="宋体" w:cs="宋体"/>
          <w:color w:val="auto"/>
          <w:sz w:val="24"/>
          <w:highlight w:val="none"/>
        </w:rPr>
      </w:pPr>
      <w:r>
        <w:rPr>
          <w:rFonts w:hint="eastAsia" w:ascii="宋体" w:hAnsi="宋体" w:cs="宋体"/>
          <w:color w:val="auto"/>
          <w:sz w:val="24"/>
          <w:highlight w:val="none"/>
        </w:rPr>
        <w:t>系</w:t>
      </w:r>
      <w:r>
        <w:rPr>
          <w:rFonts w:hint="eastAsia" w:ascii="宋体" w:hAnsi="宋体" w:cs="宋体"/>
          <w:color w:val="auto"/>
          <w:sz w:val="24"/>
          <w:highlight w:val="none"/>
          <w:u w:val="single"/>
        </w:rPr>
        <w:t xml:space="preserve">            （投标人名称）              </w:t>
      </w:r>
      <w:r>
        <w:rPr>
          <w:rFonts w:hint="eastAsia" w:ascii="宋体" w:hAnsi="宋体" w:cs="宋体"/>
          <w:color w:val="auto"/>
          <w:sz w:val="24"/>
          <w:highlight w:val="none"/>
        </w:rPr>
        <w:t>的法定代表人。</w:t>
      </w:r>
    </w:p>
    <w:p>
      <w:pPr>
        <w:spacing w:line="500" w:lineRule="exact"/>
        <w:ind w:left="540"/>
        <w:rPr>
          <w:rFonts w:hint="eastAsia" w:ascii="宋体" w:hAnsi="宋体" w:cs="宋体"/>
          <w:color w:val="auto"/>
          <w:sz w:val="24"/>
          <w:highlight w:val="none"/>
        </w:rPr>
      </w:pPr>
      <w:r>
        <w:rPr>
          <w:rFonts w:hint="eastAsia" w:ascii="宋体" w:hAnsi="宋体" w:cs="宋体"/>
          <w:color w:val="auto"/>
          <w:sz w:val="24"/>
          <w:highlight w:val="none"/>
        </w:rPr>
        <w:t>特此证明。</w:t>
      </w:r>
    </w:p>
    <w:p>
      <w:pPr>
        <w:spacing w:line="500" w:lineRule="exact"/>
        <w:ind w:left="540"/>
        <w:rPr>
          <w:rFonts w:hint="eastAsia" w:ascii="宋体" w:hAnsi="宋体" w:cs="宋体"/>
          <w:color w:val="auto"/>
          <w:sz w:val="24"/>
          <w:highlight w:val="none"/>
        </w:rPr>
      </w:pPr>
    </w:p>
    <w:p>
      <w:pPr>
        <w:spacing w:line="500" w:lineRule="exact"/>
        <w:ind w:left="540"/>
        <w:rPr>
          <w:rFonts w:hint="eastAsia" w:ascii="宋体" w:hAnsi="宋体" w:cs="宋体"/>
          <w:color w:val="auto"/>
          <w:sz w:val="24"/>
          <w:highlight w:val="none"/>
        </w:rPr>
      </w:pPr>
    </w:p>
    <w:p>
      <w:pPr>
        <w:spacing w:line="500" w:lineRule="exact"/>
        <w:ind w:left="540"/>
        <w:rPr>
          <w:rFonts w:hint="eastAsia" w:ascii="宋体" w:hAnsi="宋体" w:cs="宋体"/>
          <w:color w:val="auto"/>
          <w:sz w:val="24"/>
          <w:highlight w:val="none"/>
        </w:rPr>
      </w:pPr>
      <w:r>
        <w:rPr>
          <w:rFonts w:hint="eastAsia" w:ascii="宋体" w:hAnsi="宋体" w:cs="宋体"/>
          <w:color w:val="auto"/>
          <w:sz w:val="24"/>
          <w:highlight w:val="none"/>
        </w:rPr>
        <w:t>附件：法定代表人有效身份证（正反面）复印件</w:t>
      </w:r>
    </w:p>
    <w:p>
      <w:pPr>
        <w:spacing w:line="500" w:lineRule="exact"/>
        <w:ind w:left="540"/>
        <w:rPr>
          <w:rFonts w:hint="eastAsia" w:ascii="宋体" w:hAnsi="宋体" w:cs="宋体"/>
          <w:color w:val="auto"/>
          <w:sz w:val="24"/>
          <w:highlight w:val="none"/>
        </w:rPr>
      </w:pPr>
    </w:p>
    <w:p>
      <w:pPr>
        <w:snapToGrid w:val="0"/>
        <w:spacing w:line="360" w:lineRule="auto"/>
        <w:ind w:firstLine="4935" w:firstLineChars="2350"/>
        <w:rPr>
          <w:rFonts w:hint="eastAsia" w:ascii="宋体" w:hAnsi="宋体" w:cs="宋体"/>
          <w:color w:val="auto"/>
          <w:kern w:val="0"/>
          <w:sz w:val="24"/>
          <w:highlight w:val="none"/>
        </w:rPr>
      </w:pPr>
      <w:r>
        <w:rPr>
          <w:rFonts w:hint="eastAsia" w:ascii="宋体" w:hAnsi="宋体" w:cs="宋体"/>
          <w:color w:val="auto"/>
          <w:szCs w:val="21"/>
          <w:highlight w:val="none"/>
        </w:rPr>
        <w:t xml:space="preserve">  </w:t>
      </w:r>
      <w:r>
        <w:rPr>
          <w:rFonts w:hint="eastAsia" w:ascii="宋体" w:hAnsi="宋体" w:cs="宋体"/>
          <w:color w:val="auto"/>
          <w:kern w:val="0"/>
          <w:sz w:val="24"/>
          <w:highlight w:val="none"/>
          <w:lang w:val="zh-CN"/>
        </w:rPr>
        <w:t>投标人名称(盖公章)：</w:t>
      </w:r>
    </w:p>
    <w:p>
      <w:pPr>
        <w:snapToGrid w:val="0"/>
        <w:spacing w:line="360" w:lineRule="auto"/>
        <w:ind w:firstLine="5160" w:firstLineChars="215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pPr>
        <w:snapToGrid w:val="0"/>
        <w:spacing w:before="165" w:beforeLines="50" w:after="50"/>
        <w:jc w:val="center"/>
        <w:rPr>
          <w:rFonts w:hint="eastAsia" w:ascii="宋体" w:hAnsi="宋体" w:cs="宋体"/>
          <w:b/>
          <w:color w:val="auto"/>
          <w:sz w:val="24"/>
          <w:highlight w:val="none"/>
        </w:rPr>
      </w:pPr>
    </w:p>
    <w:p>
      <w:pPr>
        <w:snapToGrid w:val="0"/>
        <w:spacing w:before="165" w:beforeLines="50" w:after="50"/>
        <w:ind w:firstLine="600" w:firstLineChars="250"/>
        <w:jc w:val="left"/>
        <w:rPr>
          <w:rFonts w:hint="eastAsia" w:ascii="宋体" w:hAnsi="宋体" w:cs="宋体"/>
          <w:color w:val="auto"/>
          <w:sz w:val="24"/>
          <w:highlight w:val="none"/>
        </w:rPr>
      </w:pPr>
      <w:r>
        <w:rPr>
          <w:rFonts w:hint="eastAsia" w:ascii="宋体" w:hAnsi="宋体" w:cs="宋体"/>
          <w:color w:val="auto"/>
          <w:sz w:val="24"/>
          <w:highlight w:val="none"/>
        </w:rPr>
        <w:t>注：自然人投标的无需提供</w:t>
      </w:r>
    </w:p>
    <w:p>
      <w:pPr>
        <w:snapToGrid w:val="0"/>
        <w:spacing w:before="165" w:beforeLines="50" w:after="50"/>
        <w:ind w:firstLine="600" w:firstLineChars="250"/>
        <w:jc w:val="left"/>
        <w:rPr>
          <w:rFonts w:hint="eastAsia" w:ascii="宋体" w:hAnsi="宋体" w:cs="宋体"/>
          <w:color w:val="auto"/>
          <w:sz w:val="24"/>
          <w:highlight w:val="none"/>
        </w:rPr>
      </w:pPr>
    </w:p>
    <w:p>
      <w:pPr>
        <w:snapToGrid w:val="0"/>
        <w:spacing w:before="165" w:beforeLines="50" w:after="50"/>
        <w:ind w:firstLine="602" w:firstLineChars="250"/>
        <w:jc w:val="left"/>
        <w:rPr>
          <w:rFonts w:hint="eastAsia" w:ascii="宋体" w:hAnsi="宋体" w:cs="宋体"/>
          <w:b/>
          <w:color w:val="auto"/>
          <w:sz w:val="24"/>
          <w:szCs w:val="20"/>
          <w:highlight w:val="none"/>
        </w:rPr>
      </w:pPr>
    </w:p>
    <w:tbl>
      <w:tblPr>
        <w:tblStyle w:val="27"/>
        <w:tblpPr w:leftFromText="180" w:rightFromText="180" w:vertAnchor="text" w:horzAnchor="margin" w:tblpXSpec="center" w:tblpY="1169"/>
        <w:tblW w:w="84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jc w:val="center"/>
        </w:trPr>
        <w:tc>
          <w:tcPr>
            <w:tcW w:w="8461" w:type="dxa"/>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cs="宋体"/>
                <w:b/>
                <w:color w:val="auto"/>
                <w:sz w:val="24"/>
                <w:highlight w:val="none"/>
              </w:rPr>
            </w:pPr>
          </w:p>
          <w:p>
            <w:pPr>
              <w:spacing w:line="360" w:lineRule="auto"/>
              <w:rPr>
                <w:rFonts w:hint="eastAsia" w:ascii="宋体" w:hAnsi="宋体" w:cs="宋体"/>
                <w:b/>
                <w:color w:val="auto"/>
                <w:sz w:val="24"/>
                <w:highlight w:val="none"/>
              </w:rPr>
            </w:pPr>
            <w:r>
              <w:rPr>
                <w:rFonts w:hint="eastAsia" w:ascii="宋体" w:hAnsi="宋体" w:cs="宋体"/>
                <w:color w:val="auto"/>
                <w:sz w:val="24"/>
                <w:highlight w:val="none"/>
              </w:rPr>
              <w:t>法定代表人有效身份证（正反面）复印件</w:t>
            </w:r>
          </w:p>
        </w:tc>
      </w:tr>
    </w:tbl>
    <w:p>
      <w:pPr>
        <w:pStyle w:val="14"/>
        <w:snapToGrid w:val="0"/>
        <w:spacing w:before="295" w:after="295" w:line="360" w:lineRule="auto"/>
        <w:ind w:left="3" w:leftChars="-295" w:hanging="622" w:hangingChars="258"/>
        <w:jc w:val="left"/>
        <w:rPr>
          <w:rFonts w:hint="eastAsia" w:hAnsi="宋体" w:cs="宋体"/>
          <w:b/>
          <w:color w:val="auto"/>
          <w:sz w:val="24"/>
          <w:highlight w:val="none"/>
        </w:rPr>
      </w:pPr>
      <w:r>
        <w:rPr>
          <w:rFonts w:hint="eastAsia" w:hAnsi="宋体" w:cs="宋体"/>
          <w:b/>
          <w:color w:val="auto"/>
          <w:sz w:val="24"/>
          <w:highlight w:val="none"/>
        </w:rPr>
        <w:t>附件：</w:t>
      </w:r>
      <w:r>
        <w:rPr>
          <w:rFonts w:hint="eastAsia" w:hAnsi="宋体" w:cs="宋体"/>
          <w:b/>
          <w:color w:val="auto"/>
          <w:sz w:val="24"/>
          <w:highlight w:val="none"/>
        </w:rPr>
        <w:br w:type="page"/>
      </w:r>
      <w:r>
        <w:rPr>
          <w:rFonts w:hint="eastAsia" w:hAnsi="宋体" w:cs="宋体"/>
          <w:b/>
          <w:bCs/>
          <w:color w:val="auto"/>
          <w:sz w:val="30"/>
          <w:szCs w:val="30"/>
          <w:highlight w:val="none"/>
        </w:rPr>
        <w:t>5.法定代表人授权委托书的格式：</w:t>
      </w:r>
    </w:p>
    <w:p>
      <w:pPr>
        <w:snapToGrid w:val="0"/>
        <w:spacing w:before="165" w:beforeLines="50" w:after="50"/>
        <w:jc w:val="center"/>
        <w:rPr>
          <w:rFonts w:hint="eastAsia" w:ascii="宋体" w:hAnsi="宋体"/>
          <w:b/>
          <w:color w:val="auto"/>
          <w:sz w:val="32"/>
          <w:szCs w:val="32"/>
          <w:highlight w:val="none"/>
        </w:rPr>
      </w:pPr>
      <w:r>
        <w:rPr>
          <w:rFonts w:hint="eastAsia" w:ascii="宋体" w:hAnsi="宋体"/>
          <w:b/>
          <w:color w:val="auto"/>
          <w:sz w:val="32"/>
          <w:szCs w:val="32"/>
          <w:highlight w:val="none"/>
        </w:rPr>
        <w:t>授权委托书（非联合体投标格式）</w:t>
      </w:r>
    </w:p>
    <w:p>
      <w:pPr>
        <w:snapToGrid w:val="0"/>
        <w:spacing w:before="165" w:beforeLines="50" w:after="50"/>
        <w:jc w:val="center"/>
        <w:rPr>
          <w:rFonts w:hint="eastAsia" w:ascii="宋体" w:hAnsi="宋体"/>
          <w:bCs/>
          <w:color w:val="auto"/>
          <w:sz w:val="24"/>
          <w:highlight w:val="none"/>
        </w:rPr>
      </w:pPr>
      <w:r>
        <w:rPr>
          <w:rFonts w:hint="eastAsia" w:ascii="宋体" w:hAnsi="宋体"/>
          <w:b/>
          <w:color w:val="auto"/>
          <w:sz w:val="32"/>
          <w:szCs w:val="32"/>
          <w:highlight w:val="none"/>
        </w:rPr>
        <w:t>（如有委托时）</w:t>
      </w:r>
    </w:p>
    <w:p>
      <w:pPr>
        <w:snapToGrid w:val="0"/>
        <w:spacing w:before="165" w:beforeLines="50" w:after="50" w:line="360" w:lineRule="auto"/>
        <w:jc w:val="left"/>
        <w:rPr>
          <w:rFonts w:hint="eastAsia" w:ascii="宋体" w:hAnsi="宋体"/>
          <w:bCs/>
          <w:color w:val="auto"/>
          <w:sz w:val="24"/>
          <w:highlight w:val="none"/>
        </w:rPr>
      </w:pPr>
    </w:p>
    <w:p>
      <w:pPr>
        <w:snapToGrid w:val="0"/>
        <w:spacing w:before="165" w:beforeLines="50" w:after="50" w:line="360" w:lineRule="auto"/>
        <w:jc w:val="left"/>
        <w:rPr>
          <w:rFonts w:hint="eastAsia" w:ascii="宋体" w:hAnsi="宋体"/>
          <w:bCs/>
          <w:color w:val="auto"/>
          <w:sz w:val="24"/>
          <w:highlight w:val="none"/>
        </w:rPr>
      </w:pPr>
      <w:r>
        <w:rPr>
          <w:rFonts w:hint="eastAsia" w:ascii="宋体" w:hAnsi="宋体"/>
          <w:bCs/>
          <w:color w:val="auto"/>
          <w:sz w:val="24"/>
          <w:highlight w:val="none"/>
        </w:rPr>
        <w:t>致：</w:t>
      </w:r>
      <w:r>
        <w:rPr>
          <w:rFonts w:hint="eastAsia" w:ascii="宋体" w:hAnsi="宋体"/>
          <w:bCs/>
          <w:color w:val="auto"/>
          <w:sz w:val="24"/>
          <w:highlight w:val="none"/>
          <w:u w:val="single"/>
        </w:rPr>
        <w:t>广西科联招标中心有限公司</w:t>
      </w:r>
      <w:r>
        <w:rPr>
          <w:rFonts w:hint="eastAsia" w:ascii="宋体" w:hAnsi="宋体"/>
          <w:bCs/>
          <w:color w:val="auto"/>
          <w:sz w:val="24"/>
          <w:highlight w:val="none"/>
        </w:rPr>
        <w:t>：</w:t>
      </w:r>
    </w:p>
    <w:p>
      <w:pPr>
        <w:snapToGrid w:val="0"/>
        <w:spacing w:before="165" w:beforeLines="50" w:after="50" w:line="360" w:lineRule="auto"/>
        <w:ind w:firstLine="480" w:firstLineChars="200"/>
        <w:jc w:val="left"/>
        <w:rPr>
          <w:rFonts w:hint="eastAsia" w:ascii="宋体" w:hAnsi="宋体"/>
          <w:bCs/>
          <w:color w:val="auto"/>
          <w:sz w:val="24"/>
          <w:highlight w:val="none"/>
        </w:rPr>
      </w:pPr>
      <w:r>
        <w:rPr>
          <w:rFonts w:hint="eastAsia" w:ascii="宋体" w:hAnsi="宋体"/>
          <w:bCs/>
          <w:color w:val="auto"/>
          <w:sz w:val="24"/>
          <w:highlight w:val="none"/>
        </w:rPr>
        <w:t>我</w:t>
      </w:r>
      <w:r>
        <w:rPr>
          <w:rFonts w:hint="eastAsia" w:ascii="宋体" w:hAnsi="宋体"/>
          <w:bCs/>
          <w:color w:val="auto"/>
          <w:sz w:val="24"/>
          <w:highlight w:val="none"/>
          <w:u w:val="single"/>
        </w:rPr>
        <w:t xml:space="preserve">  </w:t>
      </w:r>
      <w:r>
        <w:rPr>
          <w:rFonts w:hint="eastAsia" w:ascii="宋体" w:hAnsi="宋体"/>
          <w:bCs/>
          <w:i/>
          <w:iCs/>
          <w:color w:val="auto"/>
          <w:sz w:val="24"/>
          <w:highlight w:val="none"/>
          <w:u w:val="single"/>
        </w:rPr>
        <w:t>（姓名）</w:t>
      </w:r>
      <w:r>
        <w:rPr>
          <w:rFonts w:hint="eastAsia" w:ascii="宋体" w:hAnsi="宋体"/>
          <w:bCs/>
          <w:color w:val="auto"/>
          <w:sz w:val="24"/>
          <w:highlight w:val="none"/>
          <w:u w:val="single"/>
        </w:rPr>
        <w:t xml:space="preserve">  </w:t>
      </w:r>
      <w:r>
        <w:rPr>
          <w:rFonts w:hint="eastAsia" w:ascii="宋体" w:hAnsi="宋体"/>
          <w:bCs/>
          <w:color w:val="auto"/>
          <w:sz w:val="24"/>
          <w:highlight w:val="none"/>
        </w:rPr>
        <w:t>系</w:t>
      </w:r>
      <w:r>
        <w:rPr>
          <w:rFonts w:hint="eastAsia" w:ascii="宋体" w:hAnsi="宋体"/>
          <w:bCs/>
          <w:color w:val="auto"/>
          <w:sz w:val="24"/>
          <w:highlight w:val="none"/>
          <w:u w:val="single"/>
        </w:rPr>
        <w:t xml:space="preserve">  </w:t>
      </w:r>
      <w:r>
        <w:rPr>
          <w:rFonts w:hint="eastAsia" w:ascii="宋体" w:hAnsi="宋体"/>
          <w:bCs/>
          <w:i/>
          <w:iCs/>
          <w:color w:val="auto"/>
          <w:sz w:val="24"/>
          <w:highlight w:val="none"/>
          <w:u w:val="single"/>
        </w:rPr>
        <w:t>（投标人名称）</w:t>
      </w:r>
      <w:r>
        <w:rPr>
          <w:rFonts w:hint="eastAsia" w:ascii="宋体" w:hAnsi="宋体"/>
          <w:bCs/>
          <w:color w:val="auto"/>
          <w:sz w:val="24"/>
          <w:highlight w:val="none"/>
          <w:u w:val="single"/>
        </w:rPr>
        <w:t xml:space="preserve">  </w:t>
      </w:r>
      <w:r>
        <w:rPr>
          <w:rFonts w:hint="eastAsia" w:ascii="宋体" w:hAnsi="宋体"/>
          <w:bCs/>
          <w:color w:val="auto"/>
          <w:sz w:val="24"/>
          <w:highlight w:val="none"/>
        </w:rPr>
        <w:t xml:space="preserve">的（□法定代表人/□负责人/□自然人本人），现授权 </w:t>
      </w:r>
      <w:r>
        <w:rPr>
          <w:rFonts w:hint="eastAsia" w:ascii="宋体" w:hAnsi="宋体"/>
          <w:bCs/>
          <w:i/>
          <w:iCs/>
          <w:color w:val="auto"/>
          <w:sz w:val="24"/>
          <w:highlight w:val="none"/>
          <w:u w:val="single"/>
        </w:rPr>
        <w:t>（姓名）</w:t>
      </w:r>
      <w:r>
        <w:rPr>
          <w:rFonts w:hint="eastAsia" w:ascii="宋体" w:hAnsi="宋体"/>
          <w:bCs/>
          <w:color w:val="auto"/>
          <w:sz w:val="24"/>
          <w:highlight w:val="none"/>
        </w:rPr>
        <w:t xml:space="preserve"> 以我方的名义参加</w:t>
      </w:r>
      <w:r>
        <w:rPr>
          <w:rFonts w:hint="eastAsia" w:ascii="宋体" w:hAnsi="宋体"/>
          <w:bCs/>
          <w:color w:val="auto"/>
          <w:sz w:val="24"/>
          <w:highlight w:val="none"/>
          <w:u w:val="single"/>
        </w:rPr>
        <w:t xml:space="preserve">  （</w:t>
      </w:r>
      <w:r>
        <w:rPr>
          <w:rFonts w:hint="eastAsia" w:ascii="宋体" w:hAnsi="宋体"/>
          <w:bCs/>
          <w:i/>
          <w:iCs/>
          <w:color w:val="auto"/>
          <w:sz w:val="24"/>
          <w:highlight w:val="none"/>
          <w:u w:val="single"/>
        </w:rPr>
        <w:t>项目名称</w:t>
      </w:r>
      <w:r>
        <w:rPr>
          <w:rFonts w:hint="eastAsia" w:ascii="宋体" w:hAnsi="宋体"/>
          <w:bCs/>
          <w:color w:val="auto"/>
          <w:sz w:val="24"/>
          <w:highlight w:val="none"/>
          <w:u w:val="single"/>
        </w:rPr>
        <w:t>）</w:t>
      </w:r>
      <w:r>
        <w:rPr>
          <w:rFonts w:hint="eastAsia" w:ascii="宋体" w:hAnsi="宋体"/>
          <w:bCs/>
          <w:color w:val="auto"/>
          <w:sz w:val="24"/>
          <w:highlight w:val="none"/>
        </w:rPr>
        <w:t>项目的投标活动，并代表我方全权办理针对上述项目的所有采购程序和环节的具体事务和签署相关文件。</w:t>
      </w:r>
    </w:p>
    <w:p>
      <w:pPr>
        <w:snapToGrid w:val="0"/>
        <w:spacing w:before="165" w:beforeLines="50" w:after="50" w:line="360" w:lineRule="auto"/>
        <w:jc w:val="left"/>
        <w:rPr>
          <w:rFonts w:hint="eastAsia" w:ascii="宋体" w:hAnsi="宋体"/>
          <w:bCs/>
          <w:color w:val="auto"/>
          <w:sz w:val="24"/>
          <w:highlight w:val="none"/>
        </w:rPr>
      </w:pPr>
      <w:r>
        <w:rPr>
          <w:rFonts w:hint="eastAsia" w:ascii="宋体" w:hAnsi="宋体"/>
          <w:bCs/>
          <w:color w:val="auto"/>
          <w:sz w:val="24"/>
          <w:highlight w:val="none"/>
        </w:rPr>
        <w:t xml:space="preserve">    我方对委托代理人的签字事项负全部责任。</w:t>
      </w:r>
    </w:p>
    <w:p>
      <w:pPr>
        <w:snapToGrid w:val="0"/>
        <w:spacing w:before="165" w:beforeLines="50" w:after="50" w:line="360" w:lineRule="auto"/>
        <w:ind w:firstLine="480" w:firstLineChars="200"/>
        <w:jc w:val="left"/>
        <w:rPr>
          <w:rFonts w:hint="eastAsia" w:ascii="宋体" w:hAnsi="宋体"/>
          <w:bCs/>
          <w:color w:val="auto"/>
          <w:sz w:val="24"/>
          <w:highlight w:val="none"/>
        </w:rPr>
      </w:pPr>
      <w:r>
        <w:rPr>
          <w:rFonts w:hint="eastAsia" w:ascii="宋体" w:hAnsi="宋体"/>
          <w:bCs/>
          <w:color w:val="auto"/>
          <w:sz w:val="24"/>
          <w:highlight w:val="none"/>
        </w:rPr>
        <w:t>本授权书自签署之日起生效，在撤销授权的书面通知以前，本授权书一直有效。委托代理人在授权书有效期内签署的所有文件不因授权的撤销而失效。</w:t>
      </w:r>
    </w:p>
    <w:p>
      <w:pPr>
        <w:snapToGrid w:val="0"/>
        <w:spacing w:before="165" w:beforeLines="50" w:after="50" w:line="360" w:lineRule="auto"/>
        <w:ind w:firstLine="480" w:firstLineChars="200"/>
        <w:jc w:val="left"/>
        <w:rPr>
          <w:rFonts w:hint="eastAsia" w:ascii="宋体" w:hAnsi="宋体"/>
          <w:bCs/>
          <w:color w:val="auto"/>
          <w:sz w:val="24"/>
          <w:highlight w:val="none"/>
        </w:rPr>
      </w:pPr>
      <w:r>
        <w:rPr>
          <w:rFonts w:hint="eastAsia" w:ascii="宋体" w:hAnsi="宋体"/>
          <w:bCs/>
          <w:color w:val="auto"/>
          <w:sz w:val="24"/>
          <w:highlight w:val="none"/>
        </w:rPr>
        <w:t>委托代理人无转委托权，特此委托。</w:t>
      </w:r>
    </w:p>
    <w:p>
      <w:pPr>
        <w:snapToGrid w:val="0"/>
        <w:spacing w:before="165" w:beforeLines="50" w:after="50" w:line="360" w:lineRule="auto"/>
        <w:ind w:firstLine="480" w:firstLineChars="200"/>
        <w:jc w:val="left"/>
        <w:rPr>
          <w:rFonts w:hint="eastAsia" w:ascii="宋体" w:hAnsi="宋体"/>
          <w:bCs/>
          <w:color w:val="auto"/>
          <w:sz w:val="24"/>
          <w:highlight w:val="none"/>
        </w:rPr>
      </w:pPr>
      <w:r>
        <w:rPr>
          <w:rFonts w:hint="eastAsia" w:ascii="宋体" w:hAnsi="宋体"/>
          <w:bCs/>
          <w:color w:val="auto"/>
          <w:sz w:val="24"/>
          <w:highlight w:val="none"/>
        </w:rPr>
        <w:t>附：委托代理人有效身份证正反面复印件</w:t>
      </w:r>
    </w:p>
    <w:p>
      <w:pPr>
        <w:snapToGrid w:val="0"/>
        <w:spacing w:before="165" w:beforeLines="50" w:after="50" w:line="360" w:lineRule="auto"/>
        <w:jc w:val="left"/>
        <w:rPr>
          <w:rFonts w:hint="eastAsia" w:ascii="宋体" w:hAnsi="宋体"/>
          <w:bCs/>
          <w:color w:val="auto"/>
          <w:sz w:val="24"/>
          <w:highlight w:val="none"/>
        </w:rPr>
      </w:pPr>
    </w:p>
    <w:p>
      <w:pPr>
        <w:snapToGrid w:val="0"/>
        <w:spacing w:before="165" w:beforeLines="50" w:after="50" w:line="360" w:lineRule="auto"/>
        <w:jc w:val="left"/>
        <w:rPr>
          <w:rFonts w:hint="eastAsia" w:ascii="宋体" w:hAnsi="宋体"/>
          <w:bCs/>
          <w:color w:val="auto"/>
          <w:sz w:val="24"/>
          <w:highlight w:val="none"/>
        </w:rPr>
      </w:pPr>
      <w:r>
        <w:rPr>
          <w:rFonts w:hint="eastAsia" w:ascii="宋体" w:hAnsi="宋体"/>
          <w:bCs/>
          <w:color w:val="auto"/>
          <w:sz w:val="24"/>
          <w:highlight w:val="none"/>
        </w:rPr>
        <w:t xml:space="preserve">委托代理人（签字）：                    法定代表人（签字）：                    </w:t>
      </w:r>
    </w:p>
    <w:p>
      <w:pPr>
        <w:snapToGrid w:val="0"/>
        <w:spacing w:before="165" w:beforeLines="50" w:after="50" w:line="360" w:lineRule="auto"/>
        <w:jc w:val="left"/>
        <w:rPr>
          <w:rFonts w:hint="eastAsia" w:ascii="宋体" w:hAnsi="宋体"/>
          <w:bCs/>
          <w:color w:val="auto"/>
          <w:sz w:val="24"/>
          <w:highlight w:val="none"/>
        </w:rPr>
      </w:pPr>
      <w:r>
        <w:rPr>
          <w:rFonts w:hint="eastAsia" w:ascii="宋体" w:hAnsi="宋体"/>
          <w:bCs/>
          <w:color w:val="auto"/>
          <w:sz w:val="24"/>
          <w:highlight w:val="none"/>
        </w:rPr>
        <w:t xml:space="preserve">委托代理人身份证号码：                              </w:t>
      </w:r>
    </w:p>
    <w:p>
      <w:pPr>
        <w:snapToGrid w:val="0"/>
        <w:spacing w:before="165" w:beforeLines="50" w:after="50" w:line="360" w:lineRule="auto"/>
        <w:jc w:val="left"/>
        <w:rPr>
          <w:rFonts w:hint="eastAsia" w:ascii="宋体" w:hAnsi="宋体"/>
          <w:bCs/>
          <w:color w:val="auto"/>
          <w:sz w:val="24"/>
          <w:highlight w:val="none"/>
        </w:rPr>
      </w:pPr>
      <w:r>
        <w:rPr>
          <w:rFonts w:hint="eastAsia" w:ascii="宋体" w:hAnsi="宋体"/>
          <w:bCs/>
          <w:color w:val="auto"/>
          <w:sz w:val="24"/>
          <w:highlight w:val="none"/>
        </w:rPr>
        <w:t xml:space="preserve">                                  投标人名称（盖公章）：</w:t>
      </w:r>
    </w:p>
    <w:p>
      <w:pPr>
        <w:snapToGrid w:val="0"/>
        <w:spacing w:before="165" w:beforeLines="50" w:after="50" w:line="360" w:lineRule="auto"/>
        <w:jc w:val="left"/>
        <w:rPr>
          <w:rFonts w:hint="eastAsia" w:ascii="宋体" w:hAnsi="宋体"/>
          <w:bCs/>
          <w:color w:val="auto"/>
          <w:sz w:val="24"/>
          <w:highlight w:val="none"/>
        </w:rPr>
      </w:pPr>
      <w:r>
        <w:rPr>
          <w:rFonts w:hint="eastAsia" w:ascii="宋体" w:hAnsi="宋体"/>
          <w:bCs/>
          <w:color w:val="auto"/>
          <w:sz w:val="24"/>
          <w:highlight w:val="none"/>
        </w:rPr>
        <w:t xml:space="preserve">                                                   日期：  年  月   日</w:t>
      </w:r>
    </w:p>
    <w:p>
      <w:pPr>
        <w:pStyle w:val="17"/>
        <w:spacing w:line="360" w:lineRule="exact"/>
        <w:rPr>
          <w:color w:val="auto"/>
          <w:highlight w:val="none"/>
        </w:rPr>
      </w:pP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注：</w:t>
      </w:r>
    </w:p>
    <w:p>
      <w:pPr>
        <w:snapToGrid w:val="0"/>
        <w:spacing w:line="38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1.法定代表人和委托代理人必须在授权委托书上签字，</w:t>
      </w:r>
      <w:r>
        <w:rPr>
          <w:rFonts w:hint="eastAsia" w:ascii="宋体" w:hAnsi="宋体"/>
          <w:b/>
          <w:color w:val="auto"/>
          <w:szCs w:val="21"/>
          <w:highlight w:val="none"/>
        </w:rPr>
        <w:t>否则其投标文件按无效响应处理</w:t>
      </w:r>
      <w:r>
        <w:rPr>
          <w:rFonts w:hint="eastAsia" w:ascii="宋体" w:hAnsi="宋体"/>
          <w:bCs/>
          <w:color w:val="auto"/>
          <w:szCs w:val="21"/>
          <w:highlight w:val="none"/>
        </w:rPr>
        <w:t>。</w:t>
      </w:r>
    </w:p>
    <w:p>
      <w:pPr>
        <w:snapToGrid w:val="0"/>
        <w:spacing w:before="165" w:beforeLines="50" w:after="50" w:line="38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2.投标人为其他组织或者自然人时，本招标文件规定的法定代表人指负责人或者自然人。本招标文件所称负责人是指参加投标的其他组织营业执照上的负责人，本招标文件所称自然人指参与投标的自然人本人。</w:t>
      </w:r>
    </w:p>
    <w:p>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3.法人、其他组织投标时“我方”是指“我单位”，自然人投标时“我方”是指“本人”。</w:t>
      </w:r>
    </w:p>
    <w:p>
      <w:pPr>
        <w:rPr>
          <w:rFonts w:hint="eastAsia" w:ascii="宋体" w:hAnsi="宋体"/>
          <w:bCs/>
          <w:color w:val="auto"/>
          <w:szCs w:val="21"/>
          <w:highlight w:val="none"/>
        </w:rPr>
      </w:pPr>
      <w:r>
        <w:rPr>
          <w:rFonts w:hint="eastAsia" w:ascii="宋体" w:hAnsi="宋体"/>
          <w:bCs/>
          <w:color w:val="auto"/>
          <w:szCs w:val="21"/>
          <w:highlight w:val="none"/>
        </w:rPr>
        <w:br w:type="page"/>
      </w:r>
    </w:p>
    <w:p>
      <w:pPr>
        <w:snapToGrid w:val="0"/>
        <w:spacing w:before="165" w:beforeLines="50" w:after="50" w:line="380" w:lineRule="exact"/>
        <w:jc w:val="left"/>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授权委托书（联合体投标格式）</w:t>
      </w:r>
    </w:p>
    <w:p>
      <w:pPr>
        <w:spacing w:line="500" w:lineRule="exact"/>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（如有委托时）</w:t>
      </w:r>
    </w:p>
    <w:p>
      <w:pPr>
        <w:spacing w:line="500" w:lineRule="exact"/>
        <w:jc w:val="center"/>
        <w:rPr>
          <w:rFonts w:hint="eastAsia" w:ascii="方正小标宋简体" w:hAnsi="方正小标宋简体" w:eastAsia="方正小标宋简体" w:cs="方正小标宋简体"/>
          <w:color w:val="auto"/>
          <w:sz w:val="44"/>
          <w:szCs w:val="44"/>
          <w:highlight w:val="none"/>
        </w:rPr>
      </w:pPr>
    </w:p>
    <w:p>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根据</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（牵头人名称）与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（联合体其他成员名称）签订的《联合体投标协议书》的内容，</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（牵头人名称）的法定代表人</w:t>
      </w:r>
      <w:r>
        <w:rPr>
          <w:rFonts w:hint="eastAsia" w:ascii="宋体" w:hAnsi="宋体" w:cs="宋体"/>
          <w:color w:val="auto"/>
          <w:sz w:val="24"/>
          <w:highlight w:val="none"/>
          <w:u w:val="single"/>
        </w:rPr>
        <w:t xml:space="preserve">      </w:t>
      </w:r>
      <w:r>
        <w:rPr>
          <w:rFonts w:hint="eastAsia" w:ascii="宋体" w:hAnsi="宋体" w:cs="宋体"/>
          <w:i/>
          <w:iCs/>
          <w:color w:val="auto"/>
          <w:sz w:val="24"/>
          <w:highlight w:val="none"/>
          <w:u w:val="single"/>
        </w:rPr>
        <w:t>（姓名）</w:t>
      </w:r>
      <w:r>
        <w:rPr>
          <w:rFonts w:hint="eastAsia" w:ascii="宋体" w:hAnsi="宋体" w:cs="宋体"/>
          <w:color w:val="auto"/>
          <w:sz w:val="24"/>
          <w:highlight w:val="none"/>
        </w:rPr>
        <w:t>现授权</w:t>
      </w:r>
      <w:r>
        <w:rPr>
          <w:rFonts w:hint="eastAsia" w:ascii="宋体" w:hAnsi="宋体" w:cs="宋体"/>
          <w:color w:val="auto"/>
          <w:sz w:val="24"/>
          <w:highlight w:val="none"/>
          <w:u w:val="single"/>
        </w:rPr>
        <w:t xml:space="preserve">     </w:t>
      </w:r>
      <w:r>
        <w:rPr>
          <w:rFonts w:hint="eastAsia" w:ascii="宋体" w:hAnsi="宋体" w:cs="宋体"/>
          <w:i/>
          <w:iCs/>
          <w:color w:val="auto"/>
          <w:sz w:val="24"/>
          <w:highlight w:val="none"/>
          <w:u w:val="single"/>
        </w:rPr>
        <w:t xml:space="preserve"> （姓名）</w:t>
      </w:r>
      <w:r>
        <w:rPr>
          <w:rFonts w:hint="eastAsia" w:ascii="宋体" w:hAnsi="宋体" w:cs="宋体"/>
          <w:color w:val="auto"/>
          <w:sz w:val="24"/>
          <w:highlight w:val="none"/>
        </w:rPr>
        <w:t>为联合委托代理人，并代表我方全权办理针对上述项目的所有采购程序和环节的具体事务和签署相关文件。</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我方对委托代理人的签字事项负全部责任。</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本授权书自签署之日起生效，在撤销授权的书面通知以前，本授权书一直有效。委托代理人在授权书有效期内签署的所有文件不因授权的撤销而失效。</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委托代理人无转委托权，特此委托。</w:t>
      </w:r>
    </w:p>
    <w:p>
      <w:pPr>
        <w:snapToGrid w:val="0"/>
        <w:spacing w:before="165" w:beforeLines="50" w:after="50" w:line="360" w:lineRule="auto"/>
        <w:ind w:firstLine="480" w:firstLineChars="200"/>
        <w:jc w:val="left"/>
        <w:rPr>
          <w:rFonts w:hint="eastAsia" w:ascii="宋体" w:hAnsi="宋体"/>
          <w:bCs/>
          <w:color w:val="auto"/>
          <w:sz w:val="24"/>
          <w:highlight w:val="none"/>
        </w:rPr>
      </w:pPr>
      <w:r>
        <w:rPr>
          <w:rFonts w:hint="eastAsia" w:ascii="宋体" w:hAnsi="宋体"/>
          <w:bCs/>
          <w:color w:val="auto"/>
          <w:sz w:val="24"/>
          <w:highlight w:val="none"/>
        </w:rPr>
        <w:t>附：委托代理人有效身份证正反面复印件</w:t>
      </w:r>
    </w:p>
    <w:p>
      <w:pPr>
        <w:spacing w:line="360" w:lineRule="auto"/>
        <w:rPr>
          <w:rFonts w:hint="eastAsia" w:ascii="宋体" w:hAnsi="宋体" w:cs="宋体"/>
          <w:color w:val="auto"/>
          <w:sz w:val="24"/>
          <w:highlight w:val="none"/>
        </w:rPr>
      </w:pPr>
    </w:p>
    <w:p>
      <w:pPr>
        <w:spacing w:line="360" w:lineRule="auto"/>
        <w:ind w:firstLine="1560" w:firstLineChars="650"/>
        <w:rPr>
          <w:rFonts w:hint="eastAsia" w:ascii="宋体" w:hAnsi="宋体" w:cs="宋体"/>
          <w:color w:val="auto"/>
          <w:sz w:val="24"/>
          <w:highlight w:val="none"/>
        </w:rPr>
      </w:pPr>
      <w:r>
        <w:rPr>
          <w:rFonts w:hint="eastAsia" w:ascii="宋体" w:hAnsi="宋体" w:cs="宋体"/>
          <w:color w:val="auto"/>
          <w:sz w:val="24"/>
          <w:highlight w:val="none"/>
        </w:rPr>
        <w:t>牵头人法定代表人（签字）：</w:t>
      </w:r>
    </w:p>
    <w:p>
      <w:pPr>
        <w:spacing w:line="360" w:lineRule="auto"/>
        <w:ind w:firstLine="1519" w:firstLineChars="633"/>
        <w:rPr>
          <w:rFonts w:hint="eastAsia" w:ascii="宋体" w:hAnsi="宋体" w:cs="宋体"/>
          <w:color w:val="auto"/>
          <w:sz w:val="24"/>
          <w:highlight w:val="none"/>
        </w:rPr>
      </w:pPr>
      <w:r>
        <w:rPr>
          <w:rFonts w:hint="eastAsia" w:ascii="宋体" w:hAnsi="宋体" w:cs="宋体"/>
          <w:color w:val="auto"/>
          <w:sz w:val="24"/>
          <w:highlight w:val="none"/>
        </w:rPr>
        <w:t>牵头人名称（盖公章）：</w:t>
      </w:r>
    </w:p>
    <w:p>
      <w:pPr>
        <w:spacing w:line="360" w:lineRule="auto"/>
        <w:ind w:firstLine="3840" w:firstLineChars="1600"/>
        <w:rPr>
          <w:rFonts w:hint="eastAsia" w:ascii="宋体" w:hAnsi="宋体" w:cs="宋体"/>
          <w:color w:val="auto"/>
          <w:sz w:val="24"/>
          <w:highlight w:val="none"/>
        </w:rPr>
      </w:pPr>
      <w:r>
        <w:rPr>
          <w:rFonts w:hint="eastAsia" w:ascii="宋体" w:hAnsi="宋体" w:cs="宋体"/>
          <w:color w:val="auto"/>
          <w:sz w:val="24"/>
          <w:highlight w:val="none"/>
        </w:rPr>
        <w:t>日期：    年   月   日</w:t>
      </w:r>
    </w:p>
    <w:p>
      <w:pPr>
        <w:spacing w:line="360" w:lineRule="auto"/>
        <w:rPr>
          <w:rFonts w:hint="eastAsia" w:ascii="宋体" w:hAnsi="宋体" w:cs="宋体"/>
          <w:color w:val="auto"/>
          <w:sz w:val="24"/>
          <w:highlight w:val="none"/>
        </w:rPr>
      </w:pPr>
    </w:p>
    <w:p>
      <w:pPr>
        <w:spacing w:line="360" w:lineRule="auto"/>
        <w:ind w:firstLine="1440" w:firstLineChars="600"/>
        <w:rPr>
          <w:rFonts w:hint="eastAsia" w:ascii="宋体" w:hAnsi="宋体" w:cs="宋体"/>
          <w:color w:val="auto"/>
          <w:sz w:val="24"/>
          <w:highlight w:val="none"/>
        </w:rPr>
      </w:pPr>
      <w:r>
        <w:rPr>
          <w:rFonts w:hint="eastAsia" w:ascii="宋体" w:hAnsi="宋体" w:cs="宋体"/>
          <w:color w:val="auto"/>
          <w:sz w:val="24"/>
          <w:highlight w:val="none"/>
        </w:rPr>
        <w:t>委托代理人（签字）：</w:t>
      </w:r>
    </w:p>
    <w:p>
      <w:pPr>
        <w:spacing w:line="360" w:lineRule="auto"/>
        <w:ind w:firstLine="3840" w:firstLineChars="1600"/>
        <w:rPr>
          <w:rFonts w:hint="eastAsia" w:ascii="宋体" w:hAnsi="宋体" w:cs="宋体"/>
          <w:color w:val="auto"/>
          <w:sz w:val="24"/>
          <w:highlight w:val="none"/>
        </w:rPr>
      </w:pPr>
      <w:r>
        <w:rPr>
          <w:rFonts w:hint="eastAsia" w:ascii="宋体" w:hAnsi="宋体" w:cs="宋体"/>
          <w:color w:val="auto"/>
          <w:sz w:val="24"/>
          <w:highlight w:val="none"/>
        </w:rPr>
        <w:t>日期：    年   月   日</w:t>
      </w:r>
    </w:p>
    <w:p>
      <w:pPr>
        <w:spacing w:line="360" w:lineRule="auto"/>
        <w:rPr>
          <w:rFonts w:hint="eastAsia" w:ascii="宋体" w:hAnsi="宋体" w:cs="宋体"/>
          <w:color w:val="auto"/>
          <w:szCs w:val="21"/>
          <w:highlight w:val="none"/>
        </w:rPr>
      </w:pP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注：</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 法定代表人和委托代理人必须在授权委托书上签字，</w:t>
      </w:r>
      <w:r>
        <w:rPr>
          <w:rFonts w:hint="eastAsia" w:ascii="宋体" w:hAnsi="宋体" w:cs="宋体"/>
          <w:b/>
          <w:color w:val="auto"/>
          <w:szCs w:val="21"/>
          <w:highlight w:val="none"/>
        </w:rPr>
        <w:t>否则其投标文件按无效响应处理。</w:t>
      </w:r>
    </w:p>
    <w:p>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2.本授权委托书应由联合体牵头人的法定代表人按上述规定签署。</w:t>
      </w:r>
    </w:p>
    <w:p>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3.投标人为其他组织或者自然人时，本招标文件规定的法定代表人指负责人或者自然人。本招标文件所称负责人是指参加投标的其他组织营业执照上的负责人，本招标文件所称自然人指参与投标的自然人本人。</w:t>
      </w:r>
    </w:p>
    <w:p>
      <w:pPr>
        <w:spacing w:line="360" w:lineRule="auto"/>
        <w:ind w:firstLine="420" w:firstLineChars="200"/>
        <w:rPr>
          <w:rFonts w:ascii="宋体"/>
          <w:b/>
          <w:color w:val="auto"/>
          <w:sz w:val="24"/>
          <w:highlight w:val="none"/>
        </w:rPr>
      </w:pPr>
      <w:r>
        <w:rPr>
          <w:rFonts w:hint="eastAsia" w:ascii="宋体" w:hAnsi="宋体" w:cs="宋体"/>
          <w:color w:val="auto"/>
          <w:szCs w:val="21"/>
          <w:highlight w:val="none"/>
        </w:rPr>
        <w:t>4.法人、其他组织投标时“我方”是指“我单位”，自然人投标时“我方”是指“本人”。</w:t>
      </w:r>
    </w:p>
    <w:p>
      <w:pPr>
        <w:spacing w:line="360" w:lineRule="auto"/>
        <w:ind w:firstLine="420" w:firstLineChars="200"/>
        <w:rPr>
          <w:rFonts w:hint="eastAsia" w:ascii="宋体" w:hAnsi="宋体"/>
          <w:bCs/>
          <w:color w:val="auto"/>
          <w:szCs w:val="21"/>
          <w:highlight w:val="none"/>
        </w:rPr>
      </w:pPr>
    </w:p>
    <w:p>
      <w:pPr>
        <w:spacing w:line="360" w:lineRule="auto"/>
        <w:rPr>
          <w:rFonts w:hint="eastAsia" w:ascii="宋体" w:hAnsi="宋体" w:cs="宋体"/>
          <w:b/>
          <w:color w:val="auto"/>
          <w:sz w:val="24"/>
          <w:highlight w:val="none"/>
        </w:rPr>
      </w:pPr>
    </w:p>
    <w:p>
      <w:pPr>
        <w:spacing w:line="360" w:lineRule="auto"/>
        <w:rPr>
          <w:rFonts w:hint="eastAsia" w:ascii="宋体" w:hAnsi="宋体" w:cs="宋体"/>
          <w:b/>
          <w:color w:val="auto"/>
          <w:sz w:val="24"/>
          <w:highlight w:val="none"/>
        </w:rPr>
      </w:pPr>
      <w:r>
        <w:rPr>
          <w:rFonts w:hint="eastAsia" w:ascii="宋体" w:hAnsi="宋体" w:cs="宋体"/>
          <w:b/>
          <w:color w:val="auto"/>
          <w:sz w:val="24"/>
          <w:highlight w:val="none"/>
        </w:rPr>
        <w:br w:type="page"/>
      </w:r>
      <w:r>
        <w:rPr>
          <w:rFonts w:hint="eastAsia" w:ascii="宋体" w:hAnsi="宋体" w:cs="宋体"/>
          <w:b/>
          <w:color w:val="auto"/>
          <w:sz w:val="24"/>
          <w:highlight w:val="none"/>
        </w:rPr>
        <w:t>附件：</w:t>
      </w:r>
    </w:p>
    <w:tbl>
      <w:tblPr>
        <w:tblStyle w:val="27"/>
        <w:tblpPr w:leftFromText="180" w:rightFromText="180" w:vertAnchor="text" w:horzAnchor="margin" w:tblpXSpec="center" w:tblpY="263"/>
        <w:tblW w:w="79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0" w:hRule="atLeast"/>
          <w:jc w:val="center"/>
        </w:trPr>
        <w:tc>
          <w:tcPr>
            <w:tcW w:w="7985" w:type="dxa"/>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cs="宋体"/>
                <w:b/>
                <w:color w:val="auto"/>
                <w:sz w:val="24"/>
                <w:highlight w:val="none"/>
              </w:rPr>
            </w:pPr>
          </w:p>
          <w:p>
            <w:pPr>
              <w:spacing w:line="360" w:lineRule="auto"/>
              <w:rPr>
                <w:rFonts w:hint="eastAsia" w:ascii="宋体" w:hAnsi="宋体" w:cs="宋体"/>
                <w:b/>
                <w:color w:val="auto"/>
                <w:sz w:val="24"/>
                <w:highlight w:val="none"/>
              </w:rPr>
            </w:pPr>
            <w:r>
              <w:rPr>
                <w:rFonts w:hint="eastAsia" w:ascii="宋体" w:hAnsi="宋体" w:cs="宋体"/>
                <w:b/>
                <w:bCs/>
                <w:color w:val="auto"/>
                <w:sz w:val="24"/>
                <w:highlight w:val="none"/>
              </w:rPr>
              <w:t>委托代理人有效</w:t>
            </w:r>
            <w:r>
              <w:rPr>
                <w:rFonts w:hint="eastAsia" w:ascii="宋体" w:hAnsi="宋体" w:cs="宋体"/>
                <w:b/>
                <w:color w:val="auto"/>
                <w:sz w:val="24"/>
                <w:highlight w:val="none"/>
              </w:rPr>
              <w:t>身份证（正反面）复印件</w:t>
            </w:r>
          </w:p>
        </w:tc>
      </w:tr>
    </w:tbl>
    <w:p>
      <w:pPr>
        <w:rPr>
          <w:rFonts w:hint="eastAsia" w:ascii="宋体" w:hAnsi="宋体" w:cs="宋体"/>
          <w:b/>
          <w:color w:val="auto"/>
          <w:sz w:val="24"/>
          <w:szCs w:val="20"/>
          <w:highlight w:val="none"/>
        </w:rPr>
      </w:pPr>
      <w:r>
        <w:rPr>
          <w:rFonts w:hint="eastAsia" w:ascii="宋体" w:hAnsi="宋体" w:cs="宋体"/>
          <w:color w:val="auto"/>
          <w:sz w:val="24"/>
          <w:highlight w:val="none"/>
        </w:rPr>
        <w:br w:type="page"/>
      </w:r>
      <w:r>
        <w:rPr>
          <w:rFonts w:hint="eastAsia" w:ascii="宋体" w:hAnsi="宋体" w:cs="宋体"/>
          <w:b/>
          <w:color w:val="auto"/>
          <w:sz w:val="28"/>
          <w:szCs w:val="28"/>
          <w:highlight w:val="none"/>
        </w:rPr>
        <w:t>6.商务条款偏离表的格式：</w:t>
      </w:r>
    </w:p>
    <w:p>
      <w:pPr>
        <w:snapToGrid w:val="0"/>
        <w:spacing w:before="165" w:beforeLines="50" w:after="50"/>
        <w:rPr>
          <w:rFonts w:hint="eastAsia" w:ascii="宋体" w:hAnsi="宋体" w:cs="宋体"/>
          <w:color w:val="auto"/>
          <w:highlight w:val="none"/>
        </w:rPr>
      </w:pPr>
    </w:p>
    <w:p>
      <w:pPr>
        <w:jc w:val="center"/>
        <w:rPr>
          <w:rFonts w:hint="eastAsia" w:ascii="宋体" w:hAnsi="宋体" w:cs="宋体"/>
          <w:b/>
          <w:bCs/>
          <w:color w:val="auto"/>
          <w:sz w:val="30"/>
          <w:szCs w:val="30"/>
          <w:highlight w:val="none"/>
        </w:rPr>
      </w:pPr>
      <w:r>
        <w:rPr>
          <w:rFonts w:hint="eastAsia" w:ascii="宋体" w:hAnsi="宋体" w:cs="宋体"/>
          <w:b/>
          <w:bCs/>
          <w:color w:val="auto"/>
          <w:sz w:val="30"/>
          <w:szCs w:val="30"/>
          <w:highlight w:val="none"/>
        </w:rPr>
        <w:t>商务条款偏离表</w:t>
      </w:r>
    </w:p>
    <w:p>
      <w:pPr>
        <w:jc w:val="center"/>
        <w:rPr>
          <w:rFonts w:hint="eastAsia" w:ascii="宋体" w:hAnsi="宋体" w:cs="宋体"/>
          <w:color w:val="auto"/>
          <w:sz w:val="30"/>
          <w:szCs w:val="20"/>
          <w:highlight w:val="none"/>
        </w:rPr>
      </w:pPr>
    </w:p>
    <w:p>
      <w:pPr>
        <w:spacing w:line="360" w:lineRule="auto"/>
        <w:contextualSpacing/>
        <w:rPr>
          <w:rFonts w:hint="eastAsia" w:ascii="宋体" w:hAnsi="宋体" w:cs="宋体"/>
          <w:color w:val="auto"/>
          <w:sz w:val="24"/>
          <w:highlight w:val="none"/>
        </w:rPr>
      </w:pPr>
    </w:p>
    <w:p>
      <w:pPr>
        <w:spacing w:line="480" w:lineRule="auto"/>
        <w:contextualSpacing/>
        <w:rPr>
          <w:rFonts w:hint="eastAsia" w:ascii="宋体" w:hAnsi="宋体" w:cs="宋体"/>
          <w:color w:val="auto"/>
          <w:sz w:val="24"/>
          <w:highlight w:val="none"/>
          <w:u w:val="single"/>
        </w:rPr>
      </w:pPr>
      <w:r>
        <w:rPr>
          <w:rFonts w:hint="eastAsia" w:ascii="宋体" w:hAnsi="宋体" w:cs="宋体"/>
          <w:color w:val="auto"/>
          <w:sz w:val="24"/>
          <w:highlight w:val="none"/>
        </w:rPr>
        <w:t>项目名称：</w:t>
      </w:r>
      <w:r>
        <w:rPr>
          <w:rFonts w:hint="eastAsia" w:ascii="宋体" w:hAnsi="宋体" w:cs="宋体"/>
          <w:color w:val="auto"/>
          <w:sz w:val="24"/>
          <w:highlight w:val="none"/>
          <w:u w:val="single"/>
        </w:rPr>
        <w:t xml:space="preserve">                 </w:t>
      </w:r>
    </w:p>
    <w:p>
      <w:pPr>
        <w:spacing w:line="480" w:lineRule="auto"/>
        <w:contextualSpacing/>
        <w:jc w:val="left"/>
        <w:rPr>
          <w:rFonts w:hint="eastAsia" w:ascii="宋体" w:hAnsi="宋体" w:cs="宋体"/>
          <w:color w:val="auto"/>
          <w:sz w:val="24"/>
          <w:highlight w:val="none"/>
        </w:rPr>
      </w:pPr>
      <w:r>
        <w:rPr>
          <w:rFonts w:hint="eastAsia" w:ascii="宋体" w:hAnsi="宋体" w:cs="宋体"/>
          <w:color w:val="auto"/>
          <w:sz w:val="24"/>
          <w:highlight w:val="none"/>
        </w:rPr>
        <w:t>项目编号：</w:t>
      </w:r>
      <w:r>
        <w:rPr>
          <w:rFonts w:hint="eastAsia" w:ascii="宋体" w:hAnsi="宋体" w:cs="宋体"/>
          <w:color w:val="auto"/>
          <w:sz w:val="24"/>
          <w:highlight w:val="none"/>
          <w:u w:val="single"/>
        </w:rPr>
        <w:t xml:space="preserve">                 </w:t>
      </w:r>
    </w:p>
    <w:p>
      <w:pPr>
        <w:pStyle w:val="14"/>
        <w:spacing w:line="480" w:lineRule="auto"/>
        <w:ind w:left="-422" w:leftChars="-201" w:firstLine="424"/>
        <w:rPr>
          <w:rFonts w:hint="eastAsia" w:hAnsi="宋体" w:cs="宋体"/>
          <w:color w:val="auto"/>
          <w:sz w:val="24"/>
          <w:szCs w:val="24"/>
          <w:highlight w:val="none"/>
        </w:rPr>
      </w:pPr>
      <w:r>
        <w:rPr>
          <w:rFonts w:hint="eastAsia" w:hAnsi="宋体" w:cs="宋体"/>
          <w:color w:val="auto"/>
          <w:sz w:val="24"/>
          <w:szCs w:val="24"/>
          <w:highlight w:val="none"/>
        </w:rPr>
        <w:t>所投分标</w:t>
      </w:r>
      <w:r>
        <w:rPr>
          <w:rFonts w:hint="eastAsia" w:hAnsi="宋体" w:cs="宋体"/>
          <w:color w:val="auto"/>
          <w:szCs w:val="21"/>
          <w:highlight w:val="none"/>
        </w:rPr>
        <w:t>（此处有分标时填写具体分标号，无分标时填写“无”）</w:t>
      </w:r>
      <w:r>
        <w:rPr>
          <w:rFonts w:hint="eastAsia" w:hAnsi="宋体" w:cs="宋体"/>
          <w:color w:val="auto"/>
          <w:sz w:val="24"/>
          <w:szCs w:val="24"/>
          <w:highlight w:val="none"/>
        </w:rPr>
        <w:t>：</w:t>
      </w:r>
      <w:r>
        <w:rPr>
          <w:rFonts w:hint="eastAsia" w:hAnsi="宋体" w:cs="宋体"/>
          <w:color w:val="auto"/>
          <w:sz w:val="24"/>
          <w:highlight w:val="none"/>
          <w:u w:val="single"/>
        </w:rPr>
        <w:t xml:space="preserve">           </w:t>
      </w:r>
    </w:p>
    <w:tbl>
      <w:tblPr>
        <w:tblStyle w:val="27"/>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3429"/>
        <w:gridCol w:w="3229"/>
        <w:gridCol w:w="11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72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cs="宋体"/>
                <w:color w:val="auto"/>
                <w:szCs w:val="21"/>
                <w:highlight w:val="none"/>
              </w:rPr>
            </w:pPr>
            <w:r>
              <w:rPr>
                <w:rFonts w:hint="eastAsia" w:ascii="宋体" w:hAnsi="宋体" w:cs="宋体"/>
                <w:color w:val="auto"/>
                <w:szCs w:val="21"/>
                <w:highlight w:val="none"/>
              </w:rPr>
              <w:t>项号</w:t>
            </w:r>
          </w:p>
        </w:tc>
        <w:tc>
          <w:tcPr>
            <w:tcW w:w="3429"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cs="宋体"/>
                <w:color w:val="auto"/>
                <w:szCs w:val="21"/>
                <w:highlight w:val="none"/>
              </w:rPr>
            </w:pPr>
            <w:r>
              <w:rPr>
                <w:rFonts w:hint="eastAsia" w:ascii="宋体" w:hAnsi="宋体" w:cs="宋体"/>
                <w:color w:val="auto"/>
                <w:szCs w:val="21"/>
                <w:highlight w:val="none"/>
              </w:rPr>
              <w:t>招标文件的商务条款</w:t>
            </w:r>
          </w:p>
        </w:tc>
        <w:tc>
          <w:tcPr>
            <w:tcW w:w="3229"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cs="宋体"/>
                <w:color w:val="auto"/>
                <w:szCs w:val="21"/>
                <w:highlight w:val="none"/>
              </w:rPr>
            </w:pPr>
            <w:r>
              <w:rPr>
                <w:rFonts w:hint="eastAsia" w:ascii="宋体" w:hAnsi="宋体" w:cs="宋体"/>
                <w:color w:val="auto"/>
                <w:szCs w:val="21"/>
                <w:highlight w:val="none"/>
              </w:rPr>
              <w:t>投标文件响应的商务条款</w:t>
            </w:r>
          </w:p>
        </w:tc>
        <w:tc>
          <w:tcPr>
            <w:tcW w:w="114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cs="宋体"/>
                <w:color w:val="auto"/>
                <w:szCs w:val="21"/>
                <w:highlight w:val="none"/>
              </w:rPr>
            </w:pPr>
            <w:r>
              <w:rPr>
                <w:rFonts w:hint="eastAsia" w:ascii="宋体" w:hAnsi="宋体" w:cs="宋体"/>
                <w:color w:val="auto"/>
                <w:szCs w:val="21"/>
                <w:highlight w:val="none"/>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72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cs="宋体"/>
                <w:color w:val="auto"/>
                <w:szCs w:val="21"/>
                <w:highlight w:val="none"/>
              </w:rPr>
            </w:pPr>
            <w:r>
              <w:rPr>
                <w:rFonts w:hint="eastAsia" w:ascii="宋体" w:hAnsi="宋体" w:cs="宋体"/>
                <w:color w:val="auto"/>
                <w:szCs w:val="21"/>
                <w:highlight w:val="none"/>
              </w:rPr>
              <w:t>一</w:t>
            </w:r>
          </w:p>
        </w:tc>
        <w:tc>
          <w:tcPr>
            <w:tcW w:w="3429" w:type="dxa"/>
            <w:tcBorders>
              <w:top w:val="single" w:color="auto" w:sz="4" w:space="0"/>
              <w:left w:val="single" w:color="auto" w:sz="4" w:space="0"/>
              <w:bottom w:val="single" w:color="auto" w:sz="4" w:space="0"/>
              <w:right w:val="single" w:color="auto" w:sz="4" w:space="0"/>
            </w:tcBorders>
          </w:tcPr>
          <w:p>
            <w:pPr>
              <w:spacing w:line="340" w:lineRule="exact"/>
              <w:rPr>
                <w:rFonts w:hint="eastAsia" w:ascii="宋体" w:hAnsi="宋体" w:cs="宋体"/>
                <w:color w:val="auto"/>
                <w:szCs w:val="21"/>
                <w:highlight w:val="none"/>
              </w:rPr>
            </w:pPr>
          </w:p>
        </w:tc>
        <w:tc>
          <w:tcPr>
            <w:tcW w:w="3229" w:type="dxa"/>
            <w:tcBorders>
              <w:top w:val="single" w:color="auto" w:sz="4" w:space="0"/>
              <w:left w:val="single" w:color="auto" w:sz="4" w:space="0"/>
              <w:bottom w:val="single" w:color="auto" w:sz="4" w:space="0"/>
              <w:right w:val="single" w:color="auto" w:sz="4" w:space="0"/>
            </w:tcBorders>
          </w:tcPr>
          <w:p>
            <w:pPr>
              <w:spacing w:line="340" w:lineRule="exact"/>
              <w:rPr>
                <w:rFonts w:hint="eastAsia" w:ascii="宋体" w:hAnsi="宋体" w:cs="宋体"/>
                <w:color w:val="auto"/>
                <w:szCs w:val="21"/>
                <w:highlight w:val="none"/>
              </w:rPr>
            </w:pPr>
          </w:p>
        </w:tc>
        <w:tc>
          <w:tcPr>
            <w:tcW w:w="1146" w:type="dxa"/>
            <w:tcBorders>
              <w:top w:val="single" w:color="auto" w:sz="4" w:space="0"/>
              <w:left w:val="single" w:color="auto" w:sz="4" w:space="0"/>
              <w:bottom w:val="single" w:color="auto" w:sz="4" w:space="0"/>
              <w:right w:val="single" w:color="auto" w:sz="4" w:space="0"/>
            </w:tcBorders>
          </w:tcPr>
          <w:p>
            <w:pPr>
              <w:spacing w:line="300" w:lineRule="exact"/>
              <w:rPr>
                <w:rFonts w:hint="eastAsia"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72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cs="宋体"/>
                <w:color w:val="auto"/>
                <w:szCs w:val="21"/>
                <w:highlight w:val="none"/>
              </w:rPr>
            </w:pPr>
            <w:r>
              <w:rPr>
                <w:rFonts w:hint="eastAsia" w:ascii="宋体" w:hAnsi="宋体" w:cs="宋体"/>
                <w:color w:val="auto"/>
                <w:szCs w:val="21"/>
                <w:highlight w:val="none"/>
              </w:rPr>
              <w:t>二</w:t>
            </w:r>
          </w:p>
        </w:tc>
        <w:tc>
          <w:tcPr>
            <w:tcW w:w="3429" w:type="dxa"/>
            <w:tcBorders>
              <w:top w:val="single" w:color="auto" w:sz="4" w:space="0"/>
              <w:left w:val="single" w:color="auto" w:sz="4" w:space="0"/>
              <w:bottom w:val="single" w:color="auto" w:sz="4" w:space="0"/>
              <w:right w:val="single" w:color="auto" w:sz="4" w:space="0"/>
            </w:tcBorders>
          </w:tcPr>
          <w:p>
            <w:pPr>
              <w:spacing w:line="340" w:lineRule="exact"/>
              <w:rPr>
                <w:rFonts w:hint="eastAsia" w:ascii="宋体" w:hAnsi="宋体" w:cs="宋体"/>
                <w:color w:val="auto"/>
                <w:szCs w:val="21"/>
                <w:highlight w:val="none"/>
              </w:rPr>
            </w:pPr>
          </w:p>
        </w:tc>
        <w:tc>
          <w:tcPr>
            <w:tcW w:w="3229" w:type="dxa"/>
            <w:tcBorders>
              <w:top w:val="single" w:color="auto" w:sz="4" w:space="0"/>
              <w:left w:val="single" w:color="auto" w:sz="4" w:space="0"/>
              <w:bottom w:val="single" w:color="auto" w:sz="4" w:space="0"/>
              <w:right w:val="single" w:color="auto" w:sz="4" w:space="0"/>
            </w:tcBorders>
          </w:tcPr>
          <w:p>
            <w:pPr>
              <w:spacing w:line="340" w:lineRule="exact"/>
              <w:rPr>
                <w:rFonts w:hint="eastAsia" w:ascii="宋体" w:hAnsi="宋体" w:cs="宋体"/>
                <w:color w:val="auto"/>
                <w:szCs w:val="21"/>
                <w:highlight w:val="none"/>
              </w:rPr>
            </w:pPr>
          </w:p>
        </w:tc>
        <w:tc>
          <w:tcPr>
            <w:tcW w:w="1146" w:type="dxa"/>
            <w:tcBorders>
              <w:top w:val="single" w:color="auto" w:sz="4" w:space="0"/>
              <w:left w:val="single" w:color="auto" w:sz="4" w:space="0"/>
              <w:bottom w:val="single" w:color="auto" w:sz="4" w:space="0"/>
              <w:right w:val="single" w:color="auto" w:sz="4" w:space="0"/>
            </w:tcBorders>
          </w:tcPr>
          <w:p>
            <w:pPr>
              <w:spacing w:line="300" w:lineRule="exact"/>
              <w:rPr>
                <w:rFonts w:hint="eastAsia"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72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3429" w:type="dxa"/>
            <w:tcBorders>
              <w:top w:val="single" w:color="auto" w:sz="4" w:space="0"/>
              <w:left w:val="single" w:color="auto" w:sz="4" w:space="0"/>
              <w:bottom w:val="single" w:color="auto" w:sz="4" w:space="0"/>
              <w:right w:val="single" w:color="auto" w:sz="4" w:space="0"/>
            </w:tcBorders>
          </w:tcPr>
          <w:p>
            <w:pPr>
              <w:spacing w:line="340" w:lineRule="exact"/>
              <w:rPr>
                <w:rFonts w:hint="eastAsia" w:ascii="宋体" w:hAnsi="宋体" w:cs="宋体"/>
                <w:color w:val="auto"/>
                <w:szCs w:val="21"/>
                <w:highlight w:val="none"/>
              </w:rPr>
            </w:pPr>
          </w:p>
        </w:tc>
        <w:tc>
          <w:tcPr>
            <w:tcW w:w="3229" w:type="dxa"/>
            <w:tcBorders>
              <w:top w:val="single" w:color="auto" w:sz="4" w:space="0"/>
              <w:left w:val="single" w:color="auto" w:sz="4" w:space="0"/>
              <w:bottom w:val="single" w:color="auto" w:sz="4" w:space="0"/>
              <w:right w:val="single" w:color="auto" w:sz="4" w:space="0"/>
            </w:tcBorders>
          </w:tcPr>
          <w:p>
            <w:pPr>
              <w:spacing w:line="340" w:lineRule="exact"/>
              <w:rPr>
                <w:rFonts w:hint="eastAsia" w:ascii="宋体" w:hAnsi="宋体" w:cs="宋体"/>
                <w:color w:val="auto"/>
                <w:szCs w:val="21"/>
                <w:highlight w:val="none"/>
              </w:rPr>
            </w:pPr>
          </w:p>
        </w:tc>
        <w:tc>
          <w:tcPr>
            <w:tcW w:w="1146" w:type="dxa"/>
            <w:tcBorders>
              <w:top w:val="single" w:color="auto" w:sz="4" w:space="0"/>
              <w:left w:val="single" w:color="auto" w:sz="4" w:space="0"/>
              <w:bottom w:val="single" w:color="auto" w:sz="4" w:space="0"/>
              <w:right w:val="single" w:color="auto" w:sz="4" w:space="0"/>
            </w:tcBorders>
          </w:tcPr>
          <w:p>
            <w:pPr>
              <w:spacing w:line="300" w:lineRule="exact"/>
              <w:rPr>
                <w:rFonts w:hint="eastAsia" w:ascii="宋体" w:hAnsi="宋体" w:cs="宋体"/>
                <w:color w:val="auto"/>
                <w:szCs w:val="21"/>
                <w:highlight w:val="none"/>
              </w:rPr>
            </w:pPr>
          </w:p>
        </w:tc>
      </w:tr>
    </w:tbl>
    <w:p>
      <w:pPr>
        <w:pStyle w:val="14"/>
        <w:spacing w:line="360" w:lineRule="auto"/>
        <w:ind w:left="-708" w:leftChars="-337"/>
        <w:rPr>
          <w:rFonts w:hint="eastAsia" w:hAnsi="宋体" w:cs="宋体"/>
          <w:color w:val="auto"/>
          <w:highlight w:val="none"/>
        </w:rPr>
      </w:pPr>
    </w:p>
    <w:p>
      <w:pPr>
        <w:pStyle w:val="14"/>
        <w:spacing w:line="360" w:lineRule="auto"/>
        <w:ind w:left="-708" w:leftChars="-337" w:firstLine="420" w:firstLineChars="200"/>
        <w:rPr>
          <w:rFonts w:hint="eastAsia" w:hAnsi="宋体" w:cs="宋体"/>
          <w:color w:val="auto"/>
          <w:highlight w:val="none"/>
        </w:rPr>
      </w:pPr>
      <w:r>
        <w:rPr>
          <w:rFonts w:hint="eastAsia" w:hAnsi="宋体" w:cs="宋体"/>
          <w:color w:val="auto"/>
          <w:highlight w:val="none"/>
        </w:rPr>
        <w:t>注：</w:t>
      </w:r>
    </w:p>
    <w:p>
      <w:pPr>
        <w:pStyle w:val="14"/>
        <w:spacing w:line="360" w:lineRule="auto"/>
        <w:ind w:left="-708" w:leftChars="-337" w:firstLine="420" w:firstLineChars="200"/>
        <w:rPr>
          <w:rFonts w:hint="eastAsia" w:hAnsi="宋体" w:cs="宋体"/>
          <w:color w:val="auto"/>
          <w:highlight w:val="none"/>
        </w:rPr>
      </w:pPr>
      <w:r>
        <w:rPr>
          <w:rFonts w:hint="eastAsia" w:hAnsi="宋体" w:cs="宋体"/>
          <w:color w:val="auto"/>
          <w:highlight w:val="none"/>
        </w:rPr>
        <w:t>1.表格内容均需按要求填写并加盖投标人公章。</w:t>
      </w:r>
    </w:p>
    <w:p>
      <w:pPr>
        <w:pStyle w:val="14"/>
        <w:spacing w:line="360" w:lineRule="auto"/>
        <w:ind w:left="-708" w:leftChars="-337" w:firstLine="420" w:firstLineChars="200"/>
        <w:rPr>
          <w:rFonts w:hint="eastAsia" w:hAnsi="宋体" w:cs="宋体"/>
          <w:color w:val="auto"/>
          <w:sz w:val="24"/>
          <w:szCs w:val="24"/>
          <w:highlight w:val="none"/>
        </w:rPr>
      </w:pPr>
      <w:r>
        <w:rPr>
          <w:rFonts w:hint="eastAsia" w:hAnsi="宋体" w:cs="宋体"/>
          <w:color w:val="auto"/>
          <w:highlight w:val="none"/>
        </w:rPr>
        <w:t>2.对本项目招标文件“第二章  采购需求”中“商务条款”的全部要求，详细填写响应的具体内容，并作出偏离说明。“偏离说明”一栏应当选择“正偏离”或“负偏离”或“无偏离”进行填写。</w:t>
      </w:r>
    </w:p>
    <w:p>
      <w:pPr>
        <w:pStyle w:val="14"/>
        <w:spacing w:line="360" w:lineRule="auto"/>
        <w:ind w:left="-708" w:leftChars="-337" w:firstLine="420" w:firstLineChars="200"/>
        <w:rPr>
          <w:rFonts w:hint="eastAsia" w:hAnsi="宋体" w:cs="宋体"/>
          <w:color w:val="auto"/>
          <w:highlight w:val="none"/>
        </w:rPr>
      </w:pPr>
      <w:r>
        <w:rPr>
          <w:rFonts w:hint="eastAsia" w:hAnsi="宋体" w:cs="宋体"/>
          <w:color w:val="auto"/>
          <w:highlight w:val="none"/>
        </w:rPr>
        <w:t>3.当投标文件的商务内容低于招标文件要求时，投标人应当如实写明“负偏离”。</w:t>
      </w:r>
    </w:p>
    <w:p>
      <w:pPr>
        <w:snapToGrid w:val="0"/>
        <w:spacing w:before="50" w:after="50"/>
        <w:rPr>
          <w:rFonts w:hint="eastAsia" w:ascii="宋体" w:hAnsi="宋体" w:cs="宋体"/>
          <w:color w:val="auto"/>
          <w:sz w:val="24"/>
          <w:highlight w:val="none"/>
        </w:rPr>
      </w:pPr>
    </w:p>
    <w:p>
      <w:pPr>
        <w:snapToGrid w:val="0"/>
        <w:spacing w:line="360" w:lineRule="auto"/>
        <w:ind w:firstLine="4935" w:firstLineChars="2350"/>
        <w:rPr>
          <w:rFonts w:hint="eastAsia" w:ascii="宋体" w:hAnsi="宋体" w:cs="宋体"/>
          <w:color w:val="auto"/>
          <w:kern w:val="0"/>
          <w:sz w:val="24"/>
          <w:highlight w:val="none"/>
        </w:rPr>
      </w:pPr>
      <w:r>
        <w:rPr>
          <w:rFonts w:hint="eastAsia" w:ascii="宋体" w:hAnsi="宋体" w:cs="宋体"/>
          <w:color w:val="auto"/>
          <w:szCs w:val="21"/>
          <w:highlight w:val="none"/>
        </w:rPr>
        <w:t xml:space="preserve">  </w:t>
      </w:r>
      <w:r>
        <w:rPr>
          <w:rFonts w:hint="eastAsia" w:ascii="宋体" w:hAnsi="宋体" w:cs="宋体"/>
          <w:color w:val="auto"/>
          <w:kern w:val="0"/>
          <w:sz w:val="24"/>
          <w:highlight w:val="none"/>
          <w:lang w:val="zh-CN"/>
        </w:rPr>
        <w:t>投标人名称(盖公章)：</w:t>
      </w:r>
    </w:p>
    <w:p>
      <w:pPr>
        <w:snapToGrid w:val="0"/>
        <w:spacing w:line="360" w:lineRule="auto"/>
        <w:ind w:firstLine="5160" w:firstLineChars="215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pPr>
        <w:widowControl/>
        <w:jc w:val="left"/>
        <w:rPr>
          <w:rFonts w:hint="eastAsia" w:ascii="宋体" w:hAnsi="宋体" w:cs="宋体"/>
          <w:color w:val="auto"/>
          <w:szCs w:val="21"/>
          <w:highlight w:val="none"/>
        </w:rPr>
        <w:sectPr>
          <w:pgSz w:w="11906" w:h="16838"/>
          <w:pgMar w:top="1134" w:right="1020" w:bottom="1020" w:left="1134" w:header="720" w:footer="720" w:gutter="0"/>
          <w:pgNumType w:fmt="decimal"/>
          <w:cols w:space="720" w:num="1"/>
          <w:docGrid w:type="lines" w:linePitch="331" w:charSpace="0"/>
        </w:sectPr>
      </w:pPr>
    </w:p>
    <w:p>
      <w:pPr>
        <w:pStyle w:val="20"/>
        <w:snapToGrid w:val="0"/>
        <w:ind w:left="-420" w:leftChars="-200" w:firstLine="0" w:firstLineChars="0"/>
        <w:rPr>
          <w:rFonts w:hint="eastAsia" w:ascii="宋体" w:hAnsi="宋体" w:cs="宋体"/>
          <w:i/>
          <w:iCs/>
          <w:color w:val="auto"/>
          <w:szCs w:val="28"/>
          <w:highlight w:val="none"/>
        </w:rPr>
      </w:pPr>
      <w:r>
        <w:rPr>
          <w:rFonts w:hint="eastAsia" w:ascii="宋体" w:hAnsi="宋体" w:cs="宋体"/>
          <w:b/>
          <w:bCs/>
          <w:color w:val="auto"/>
          <w:sz w:val="30"/>
          <w:szCs w:val="30"/>
          <w:highlight w:val="none"/>
        </w:rPr>
        <w:t>7.投标人类似的业绩证明文件（如有要求）：</w:t>
      </w:r>
    </w:p>
    <w:p>
      <w:pPr>
        <w:spacing w:line="360" w:lineRule="auto"/>
        <w:ind w:firstLine="2880" w:firstLineChars="900"/>
        <w:contextualSpacing/>
        <w:rPr>
          <w:rFonts w:hint="eastAsia" w:ascii="宋体" w:hAnsi="宋体" w:cs="宋体"/>
          <w:color w:val="auto"/>
          <w:sz w:val="32"/>
          <w:szCs w:val="32"/>
          <w:highlight w:val="none"/>
        </w:rPr>
      </w:pPr>
      <w:r>
        <w:rPr>
          <w:rFonts w:hint="eastAsia" w:ascii="宋体" w:hAnsi="宋体" w:cs="宋体"/>
          <w:color w:val="auto"/>
          <w:sz w:val="32"/>
          <w:szCs w:val="32"/>
          <w:highlight w:val="none"/>
        </w:rPr>
        <w:t>类似项目的业绩一览表</w:t>
      </w:r>
    </w:p>
    <w:p>
      <w:pPr>
        <w:autoSpaceDE w:val="0"/>
        <w:autoSpaceDN w:val="0"/>
        <w:spacing w:line="360" w:lineRule="auto"/>
        <w:jc w:val="left"/>
        <w:rPr>
          <w:rFonts w:hint="eastAsia" w:ascii="宋体" w:hAnsi="宋体" w:cs="宋体"/>
          <w:color w:val="auto"/>
          <w:sz w:val="24"/>
          <w:highlight w:val="none"/>
        </w:rPr>
      </w:pPr>
    </w:p>
    <w:p>
      <w:pPr>
        <w:autoSpaceDE w:val="0"/>
        <w:autoSpaceDN w:val="0"/>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t>所投分标（如有则填写，无分标时填写“无”或者留空）：</w:t>
      </w:r>
    </w:p>
    <w:tbl>
      <w:tblPr>
        <w:tblStyle w:val="27"/>
        <w:tblW w:w="971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24"/>
        <w:gridCol w:w="1813"/>
        <w:gridCol w:w="1687"/>
        <w:gridCol w:w="1016"/>
        <w:gridCol w:w="1016"/>
        <w:gridCol w:w="1018"/>
        <w:gridCol w:w="193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224"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采购人</w:t>
            </w:r>
          </w:p>
          <w:p>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名称</w:t>
            </w:r>
          </w:p>
        </w:tc>
        <w:tc>
          <w:tcPr>
            <w:tcW w:w="1813"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项目名称</w:t>
            </w:r>
          </w:p>
        </w:tc>
        <w:tc>
          <w:tcPr>
            <w:tcW w:w="1687"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合同金额</w:t>
            </w:r>
          </w:p>
          <w:p>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（万元）</w:t>
            </w:r>
          </w:p>
        </w:tc>
        <w:tc>
          <w:tcPr>
            <w:tcW w:w="3050" w:type="dxa"/>
            <w:gridSpan w:val="3"/>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附件在投标文件中页码</w:t>
            </w:r>
          </w:p>
        </w:tc>
        <w:tc>
          <w:tcPr>
            <w:tcW w:w="1938"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采购人联系人及</w:t>
            </w:r>
          </w:p>
          <w:p>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联系电话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122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cs="宋体"/>
                <w:color w:val="auto"/>
                <w:sz w:val="24"/>
                <w:highlight w:val="none"/>
              </w:rPr>
            </w:pPr>
          </w:p>
        </w:tc>
        <w:tc>
          <w:tcPr>
            <w:tcW w:w="18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cs="宋体"/>
                <w:color w:val="auto"/>
                <w:sz w:val="24"/>
                <w:highlight w:val="none"/>
              </w:rPr>
            </w:pPr>
          </w:p>
        </w:tc>
        <w:tc>
          <w:tcPr>
            <w:tcW w:w="168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cs="宋体"/>
                <w:color w:val="auto"/>
                <w:sz w:val="24"/>
                <w:highlight w:val="none"/>
              </w:rPr>
            </w:pPr>
          </w:p>
        </w:tc>
        <w:tc>
          <w:tcPr>
            <w:tcW w:w="1016" w:type="dxa"/>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合同</w:t>
            </w:r>
          </w:p>
        </w:tc>
        <w:tc>
          <w:tcPr>
            <w:tcW w:w="1016" w:type="dxa"/>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验收</w:t>
            </w:r>
          </w:p>
          <w:p>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报告</w:t>
            </w:r>
          </w:p>
        </w:tc>
        <w:tc>
          <w:tcPr>
            <w:tcW w:w="1018" w:type="dxa"/>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用户</w:t>
            </w:r>
          </w:p>
          <w:p>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评价</w:t>
            </w:r>
          </w:p>
        </w:tc>
        <w:tc>
          <w:tcPr>
            <w:tcW w:w="193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224" w:type="dxa"/>
            <w:tcBorders>
              <w:top w:val="single" w:color="auto" w:sz="4" w:space="0"/>
              <w:left w:val="single" w:color="auto" w:sz="4" w:space="0"/>
              <w:bottom w:val="single" w:color="auto" w:sz="4" w:space="0"/>
              <w:right w:val="single" w:color="auto" w:sz="4" w:space="0"/>
            </w:tcBorders>
          </w:tcPr>
          <w:p>
            <w:pPr>
              <w:snapToGrid w:val="0"/>
              <w:spacing w:line="240" w:lineRule="exact"/>
              <w:jc w:val="left"/>
              <w:rPr>
                <w:rFonts w:hint="eastAsia" w:ascii="宋体" w:hAnsi="宋体" w:cs="宋体"/>
                <w:color w:val="auto"/>
                <w:sz w:val="24"/>
                <w:highlight w:val="none"/>
              </w:rPr>
            </w:pPr>
          </w:p>
        </w:tc>
        <w:tc>
          <w:tcPr>
            <w:tcW w:w="1813" w:type="dxa"/>
            <w:tcBorders>
              <w:top w:val="single" w:color="auto" w:sz="4" w:space="0"/>
              <w:left w:val="single" w:color="auto" w:sz="4" w:space="0"/>
              <w:bottom w:val="single" w:color="auto" w:sz="4" w:space="0"/>
              <w:right w:val="single" w:color="auto" w:sz="4" w:space="0"/>
            </w:tcBorders>
          </w:tcPr>
          <w:p>
            <w:pPr>
              <w:snapToGrid w:val="0"/>
              <w:spacing w:line="240" w:lineRule="exact"/>
              <w:jc w:val="left"/>
              <w:rPr>
                <w:rFonts w:hint="eastAsia" w:ascii="宋体" w:hAnsi="宋体" w:cs="宋体"/>
                <w:color w:val="auto"/>
                <w:sz w:val="24"/>
                <w:highlight w:val="none"/>
              </w:rPr>
            </w:pPr>
          </w:p>
        </w:tc>
        <w:tc>
          <w:tcPr>
            <w:tcW w:w="1687" w:type="dxa"/>
            <w:tcBorders>
              <w:top w:val="single" w:color="auto" w:sz="4" w:space="0"/>
              <w:left w:val="single" w:color="auto" w:sz="4" w:space="0"/>
              <w:bottom w:val="single" w:color="auto" w:sz="4" w:space="0"/>
              <w:right w:val="single" w:color="auto" w:sz="4" w:space="0"/>
            </w:tcBorders>
          </w:tcPr>
          <w:p>
            <w:pPr>
              <w:snapToGrid w:val="0"/>
              <w:spacing w:line="240" w:lineRule="exact"/>
              <w:jc w:val="left"/>
              <w:rPr>
                <w:rFonts w:hint="eastAsia" w:ascii="宋体" w:hAnsi="宋体" w:cs="宋体"/>
                <w:color w:val="auto"/>
                <w:sz w:val="24"/>
                <w:highlight w:val="none"/>
              </w:rPr>
            </w:pPr>
          </w:p>
        </w:tc>
        <w:tc>
          <w:tcPr>
            <w:tcW w:w="1016" w:type="dxa"/>
            <w:tcBorders>
              <w:top w:val="single" w:color="auto" w:sz="4" w:space="0"/>
              <w:left w:val="single" w:color="auto" w:sz="4" w:space="0"/>
              <w:bottom w:val="single" w:color="auto" w:sz="4" w:space="0"/>
              <w:right w:val="single" w:color="auto" w:sz="4" w:space="0"/>
            </w:tcBorders>
          </w:tcPr>
          <w:p>
            <w:pPr>
              <w:snapToGrid w:val="0"/>
              <w:spacing w:line="240" w:lineRule="exact"/>
              <w:jc w:val="left"/>
              <w:rPr>
                <w:rFonts w:hint="eastAsia" w:ascii="宋体" w:hAnsi="宋体" w:cs="宋体"/>
                <w:color w:val="auto"/>
                <w:sz w:val="24"/>
                <w:highlight w:val="none"/>
              </w:rPr>
            </w:pPr>
          </w:p>
        </w:tc>
        <w:tc>
          <w:tcPr>
            <w:tcW w:w="1016" w:type="dxa"/>
            <w:tcBorders>
              <w:top w:val="single" w:color="auto" w:sz="4" w:space="0"/>
              <w:left w:val="single" w:color="auto" w:sz="4" w:space="0"/>
              <w:bottom w:val="single" w:color="auto" w:sz="4" w:space="0"/>
              <w:right w:val="single" w:color="auto" w:sz="4" w:space="0"/>
            </w:tcBorders>
          </w:tcPr>
          <w:p>
            <w:pPr>
              <w:snapToGrid w:val="0"/>
              <w:spacing w:line="240" w:lineRule="exact"/>
              <w:jc w:val="left"/>
              <w:rPr>
                <w:rFonts w:hint="eastAsia" w:ascii="宋体" w:hAnsi="宋体" w:cs="宋体"/>
                <w:color w:val="auto"/>
                <w:sz w:val="24"/>
                <w:highlight w:val="none"/>
              </w:rPr>
            </w:pPr>
          </w:p>
        </w:tc>
        <w:tc>
          <w:tcPr>
            <w:tcW w:w="1018" w:type="dxa"/>
            <w:tcBorders>
              <w:top w:val="single" w:color="auto" w:sz="4" w:space="0"/>
              <w:left w:val="single" w:color="auto" w:sz="4" w:space="0"/>
              <w:bottom w:val="single" w:color="auto" w:sz="4" w:space="0"/>
              <w:right w:val="single" w:color="auto" w:sz="4" w:space="0"/>
            </w:tcBorders>
          </w:tcPr>
          <w:p>
            <w:pPr>
              <w:snapToGrid w:val="0"/>
              <w:spacing w:line="240" w:lineRule="exact"/>
              <w:jc w:val="left"/>
              <w:rPr>
                <w:rFonts w:hint="eastAsia" w:ascii="宋体" w:hAnsi="宋体" w:cs="宋体"/>
                <w:color w:val="auto"/>
                <w:sz w:val="24"/>
                <w:highlight w:val="none"/>
              </w:rPr>
            </w:pPr>
          </w:p>
        </w:tc>
        <w:tc>
          <w:tcPr>
            <w:tcW w:w="1938" w:type="dxa"/>
            <w:tcBorders>
              <w:top w:val="single" w:color="auto" w:sz="4" w:space="0"/>
              <w:left w:val="single" w:color="auto" w:sz="4" w:space="0"/>
              <w:bottom w:val="single" w:color="auto" w:sz="4" w:space="0"/>
              <w:right w:val="single" w:color="auto" w:sz="4" w:space="0"/>
            </w:tcBorders>
          </w:tcPr>
          <w:p>
            <w:pPr>
              <w:snapToGrid w:val="0"/>
              <w:spacing w:line="240" w:lineRule="exact"/>
              <w:jc w:val="left"/>
              <w:rPr>
                <w:rFonts w:hint="eastAsia"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24" w:type="dxa"/>
            <w:tcBorders>
              <w:top w:val="single" w:color="auto" w:sz="4" w:space="0"/>
              <w:left w:val="single" w:color="auto" w:sz="4" w:space="0"/>
              <w:bottom w:val="single" w:color="auto" w:sz="4" w:space="0"/>
              <w:right w:val="single" w:color="auto" w:sz="4" w:space="0"/>
            </w:tcBorders>
          </w:tcPr>
          <w:p>
            <w:pPr>
              <w:snapToGrid w:val="0"/>
              <w:spacing w:before="50" w:after="165" w:afterLines="50" w:line="400" w:lineRule="exact"/>
              <w:jc w:val="left"/>
              <w:rPr>
                <w:rFonts w:hint="eastAsia" w:ascii="宋体" w:hAnsi="宋体" w:cs="宋体"/>
                <w:color w:val="auto"/>
                <w:sz w:val="24"/>
                <w:highlight w:val="none"/>
              </w:rPr>
            </w:pPr>
          </w:p>
        </w:tc>
        <w:tc>
          <w:tcPr>
            <w:tcW w:w="1813" w:type="dxa"/>
            <w:tcBorders>
              <w:top w:val="single" w:color="auto" w:sz="4" w:space="0"/>
              <w:left w:val="single" w:color="auto" w:sz="4" w:space="0"/>
              <w:bottom w:val="single" w:color="auto" w:sz="4" w:space="0"/>
              <w:right w:val="single" w:color="auto" w:sz="4" w:space="0"/>
            </w:tcBorders>
          </w:tcPr>
          <w:p>
            <w:pPr>
              <w:snapToGrid w:val="0"/>
              <w:spacing w:before="50" w:after="165" w:afterLines="50" w:line="400" w:lineRule="exact"/>
              <w:jc w:val="left"/>
              <w:rPr>
                <w:rFonts w:hint="eastAsia" w:ascii="宋体" w:hAnsi="宋体" w:cs="宋体"/>
                <w:color w:val="auto"/>
                <w:sz w:val="24"/>
                <w:highlight w:val="none"/>
              </w:rPr>
            </w:pPr>
          </w:p>
        </w:tc>
        <w:tc>
          <w:tcPr>
            <w:tcW w:w="1687" w:type="dxa"/>
            <w:tcBorders>
              <w:top w:val="single" w:color="auto" w:sz="4" w:space="0"/>
              <w:left w:val="single" w:color="auto" w:sz="4" w:space="0"/>
              <w:bottom w:val="single" w:color="auto" w:sz="4" w:space="0"/>
              <w:right w:val="single" w:color="auto" w:sz="4" w:space="0"/>
            </w:tcBorders>
          </w:tcPr>
          <w:p>
            <w:pPr>
              <w:snapToGrid w:val="0"/>
              <w:spacing w:before="50" w:after="165" w:afterLines="50" w:line="400" w:lineRule="exact"/>
              <w:jc w:val="left"/>
              <w:rPr>
                <w:rFonts w:hint="eastAsia" w:ascii="宋体" w:hAnsi="宋体" w:cs="宋体"/>
                <w:color w:val="auto"/>
                <w:sz w:val="24"/>
                <w:highlight w:val="none"/>
              </w:rPr>
            </w:pPr>
          </w:p>
        </w:tc>
        <w:tc>
          <w:tcPr>
            <w:tcW w:w="1016" w:type="dxa"/>
            <w:tcBorders>
              <w:top w:val="single" w:color="auto" w:sz="4" w:space="0"/>
              <w:left w:val="single" w:color="auto" w:sz="4" w:space="0"/>
              <w:bottom w:val="single" w:color="auto" w:sz="4" w:space="0"/>
              <w:right w:val="single" w:color="auto" w:sz="4" w:space="0"/>
            </w:tcBorders>
          </w:tcPr>
          <w:p>
            <w:pPr>
              <w:snapToGrid w:val="0"/>
              <w:spacing w:before="50" w:after="165" w:afterLines="50" w:line="400" w:lineRule="exact"/>
              <w:jc w:val="left"/>
              <w:rPr>
                <w:rFonts w:hint="eastAsia" w:ascii="宋体" w:hAnsi="宋体" w:cs="宋体"/>
                <w:color w:val="auto"/>
                <w:sz w:val="24"/>
                <w:highlight w:val="none"/>
              </w:rPr>
            </w:pPr>
          </w:p>
        </w:tc>
        <w:tc>
          <w:tcPr>
            <w:tcW w:w="1016" w:type="dxa"/>
            <w:tcBorders>
              <w:top w:val="single" w:color="auto" w:sz="4" w:space="0"/>
              <w:left w:val="single" w:color="auto" w:sz="4" w:space="0"/>
              <w:bottom w:val="single" w:color="auto" w:sz="4" w:space="0"/>
              <w:right w:val="single" w:color="auto" w:sz="4" w:space="0"/>
            </w:tcBorders>
          </w:tcPr>
          <w:p>
            <w:pPr>
              <w:snapToGrid w:val="0"/>
              <w:spacing w:before="50" w:after="165" w:afterLines="50" w:line="400" w:lineRule="exact"/>
              <w:jc w:val="left"/>
              <w:rPr>
                <w:rFonts w:hint="eastAsia" w:ascii="宋体" w:hAnsi="宋体" w:cs="宋体"/>
                <w:color w:val="auto"/>
                <w:sz w:val="24"/>
                <w:highlight w:val="none"/>
              </w:rPr>
            </w:pPr>
          </w:p>
        </w:tc>
        <w:tc>
          <w:tcPr>
            <w:tcW w:w="1018" w:type="dxa"/>
            <w:tcBorders>
              <w:top w:val="single" w:color="auto" w:sz="4" w:space="0"/>
              <w:left w:val="single" w:color="auto" w:sz="4" w:space="0"/>
              <w:bottom w:val="single" w:color="auto" w:sz="4" w:space="0"/>
              <w:right w:val="single" w:color="auto" w:sz="4" w:space="0"/>
            </w:tcBorders>
          </w:tcPr>
          <w:p>
            <w:pPr>
              <w:snapToGrid w:val="0"/>
              <w:spacing w:before="50" w:after="165" w:afterLines="50" w:line="400" w:lineRule="exact"/>
              <w:jc w:val="left"/>
              <w:rPr>
                <w:rFonts w:hint="eastAsia" w:ascii="宋体" w:hAnsi="宋体" w:cs="宋体"/>
                <w:color w:val="auto"/>
                <w:sz w:val="24"/>
                <w:highlight w:val="none"/>
              </w:rPr>
            </w:pPr>
          </w:p>
        </w:tc>
        <w:tc>
          <w:tcPr>
            <w:tcW w:w="1938" w:type="dxa"/>
            <w:tcBorders>
              <w:top w:val="single" w:color="auto" w:sz="4" w:space="0"/>
              <w:left w:val="single" w:color="auto" w:sz="4" w:space="0"/>
              <w:bottom w:val="single" w:color="auto" w:sz="4" w:space="0"/>
              <w:right w:val="single" w:color="auto" w:sz="4" w:space="0"/>
            </w:tcBorders>
          </w:tcPr>
          <w:p>
            <w:pPr>
              <w:snapToGrid w:val="0"/>
              <w:spacing w:before="50" w:after="165" w:afterLines="50" w:line="400" w:lineRule="exact"/>
              <w:jc w:val="left"/>
              <w:rPr>
                <w:rFonts w:hint="eastAsia"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224" w:type="dxa"/>
            <w:tcBorders>
              <w:top w:val="single" w:color="auto" w:sz="4" w:space="0"/>
              <w:left w:val="single" w:color="auto" w:sz="4" w:space="0"/>
              <w:bottom w:val="single" w:color="auto" w:sz="4" w:space="0"/>
              <w:right w:val="single" w:color="auto" w:sz="4" w:space="0"/>
            </w:tcBorders>
          </w:tcPr>
          <w:p>
            <w:pPr>
              <w:snapToGrid w:val="0"/>
              <w:spacing w:before="50" w:after="165" w:afterLines="50" w:line="400" w:lineRule="exact"/>
              <w:jc w:val="left"/>
              <w:rPr>
                <w:rFonts w:hint="eastAsia" w:ascii="宋体" w:hAnsi="宋体" w:cs="宋体"/>
                <w:color w:val="auto"/>
                <w:sz w:val="24"/>
                <w:highlight w:val="none"/>
              </w:rPr>
            </w:pPr>
          </w:p>
        </w:tc>
        <w:tc>
          <w:tcPr>
            <w:tcW w:w="1813" w:type="dxa"/>
            <w:tcBorders>
              <w:top w:val="single" w:color="auto" w:sz="4" w:space="0"/>
              <w:left w:val="single" w:color="auto" w:sz="4" w:space="0"/>
              <w:bottom w:val="single" w:color="auto" w:sz="4" w:space="0"/>
              <w:right w:val="single" w:color="auto" w:sz="4" w:space="0"/>
            </w:tcBorders>
          </w:tcPr>
          <w:p>
            <w:pPr>
              <w:snapToGrid w:val="0"/>
              <w:spacing w:before="50" w:after="165" w:afterLines="50" w:line="400" w:lineRule="exact"/>
              <w:jc w:val="left"/>
              <w:rPr>
                <w:rFonts w:hint="eastAsia" w:ascii="宋体" w:hAnsi="宋体" w:cs="宋体"/>
                <w:color w:val="auto"/>
                <w:sz w:val="24"/>
                <w:highlight w:val="none"/>
              </w:rPr>
            </w:pPr>
          </w:p>
        </w:tc>
        <w:tc>
          <w:tcPr>
            <w:tcW w:w="1687" w:type="dxa"/>
            <w:tcBorders>
              <w:top w:val="single" w:color="auto" w:sz="4" w:space="0"/>
              <w:left w:val="single" w:color="auto" w:sz="4" w:space="0"/>
              <w:bottom w:val="single" w:color="auto" w:sz="4" w:space="0"/>
              <w:right w:val="single" w:color="auto" w:sz="4" w:space="0"/>
            </w:tcBorders>
          </w:tcPr>
          <w:p>
            <w:pPr>
              <w:snapToGrid w:val="0"/>
              <w:spacing w:before="50" w:after="165" w:afterLines="50" w:line="400" w:lineRule="exact"/>
              <w:jc w:val="left"/>
              <w:rPr>
                <w:rFonts w:hint="eastAsia" w:ascii="宋体" w:hAnsi="宋体" w:cs="宋体"/>
                <w:color w:val="auto"/>
                <w:sz w:val="24"/>
                <w:highlight w:val="none"/>
              </w:rPr>
            </w:pPr>
          </w:p>
        </w:tc>
        <w:tc>
          <w:tcPr>
            <w:tcW w:w="1016" w:type="dxa"/>
            <w:tcBorders>
              <w:top w:val="single" w:color="auto" w:sz="4" w:space="0"/>
              <w:left w:val="single" w:color="auto" w:sz="4" w:space="0"/>
              <w:bottom w:val="single" w:color="auto" w:sz="4" w:space="0"/>
              <w:right w:val="single" w:color="auto" w:sz="4" w:space="0"/>
            </w:tcBorders>
          </w:tcPr>
          <w:p>
            <w:pPr>
              <w:snapToGrid w:val="0"/>
              <w:spacing w:before="50" w:after="165" w:afterLines="50" w:line="400" w:lineRule="exact"/>
              <w:jc w:val="left"/>
              <w:rPr>
                <w:rFonts w:hint="eastAsia" w:ascii="宋体" w:hAnsi="宋体" w:cs="宋体"/>
                <w:color w:val="auto"/>
                <w:sz w:val="24"/>
                <w:highlight w:val="none"/>
              </w:rPr>
            </w:pPr>
          </w:p>
        </w:tc>
        <w:tc>
          <w:tcPr>
            <w:tcW w:w="1016" w:type="dxa"/>
            <w:tcBorders>
              <w:top w:val="single" w:color="auto" w:sz="4" w:space="0"/>
              <w:left w:val="single" w:color="auto" w:sz="4" w:space="0"/>
              <w:bottom w:val="single" w:color="auto" w:sz="4" w:space="0"/>
              <w:right w:val="single" w:color="auto" w:sz="4" w:space="0"/>
            </w:tcBorders>
          </w:tcPr>
          <w:p>
            <w:pPr>
              <w:snapToGrid w:val="0"/>
              <w:spacing w:before="50" w:after="165" w:afterLines="50" w:line="400" w:lineRule="exact"/>
              <w:jc w:val="left"/>
              <w:rPr>
                <w:rFonts w:hint="eastAsia" w:ascii="宋体" w:hAnsi="宋体" w:cs="宋体"/>
                <w:color w:val="auto"/>
                <w:sz w:val="24"/>
                <w:highlight w:val="none"/>
              </w:rPr>
            </w:pPr>
          </w:p>
        </w:tc>
        <w:tc>
          <w:tcPr>
            <w:tcW w:w="1018" w:type="dxa"/>
            <w:tcBorders>
              <w:top w:val="single" w:color="auto" w:sz="4" w:space="0"/>
              <w:left w:val="single" w:color="auto" w:sz="4" w:space="0"/>
              <w:bottom w:val="single" w:color="auto" w:sz="4" w:space="0"/>
              <w:right w:val="single" w:color="auto" w:sz="4" w:space="0"/>
            </w:tcBorders>
          </w:tcPr>
          <w:p>
            <w:pPr>
              <w:snapToGrid w:val="0"/>
              <w:spacing w:before="50" w:after="165" w:afterLines="50" w:line="400" w:lineRule="exact"/>
              <w:jc w:val="left"/>
              <w:rPr>
                <w:rFonts w:hint="eastAsia" w:ascii="宋体" w:hAnsi="宋体" w:cs="宋体"/>
                <w:color w:val="auto"/>
                <w:sz w:val="24"/>
                <w:highlight w:val="none"/>
              </w:rPr>
            </w:pPr>
          </w:p>
        </w:tc>
        <w:tc>
          <w:tcPr>
            <w:tcW w:w="1938" w:type="dxa"/>
            <w:tcBorders>
              <w:top w:val="single" w:color="auto" w:sz="4" w:space="0"/>
              <w:left w:val="single" w:color="auto" w:sz="4" w:space="0"/>
              <w:bottom w:val="single" w:color="auto" w:sz="4" w:space="0"/>
              <w:right w:val="single" w:color="auto" w:sz="4" w:space="0"/>
            </w:tcBorders>
          </w:tcPr>
          <w:p>
            <w:pPr>
              <w:snapToGrid w:val="0"/>
              <w:spacing w:before="50" w:after="165" w:afterLines="50" w:line="400" w:lineRule="exact"/>
              <w:jc w:val="left"/>
              <w:rPr>
                <w:rFonts w:hint="eastAsia"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24" w:type="dxa"/>
            <w:tcBorders>
              <w:top w:val="single" w:color="auto" w:sz="4" w:space="0"/>
              <w:left w:val="single" w:color="auto" w:sz="4" w:space="0"/>
              <w:bottom w:val="single" w:color="auto" w:sz="4" w:space="0"/>
              <w:right w:val="single" w:color="auto" w:sz="4" w:space="0"/>
            </w:tcBorders>
          </w:tcPr>
          <w:p>
            <w:pPr>
              <w:snapToGrid w:val="0"/>
              <w:spacing w:before="50" w:after="165" w:afterLines="50" w:line="400" w:lineRule="exact"/>
              <w:jc w:val="left"/>
              <w:rPr>
                <w:rFonts w:hint="eastAsia" w:ascii="宋体" w:hAnsi="宋体" w:cs="宋体"/>
                <w:color w:val="auto"/>
                <w:sz w:val="24"/>
                <w:highlight w:val="none"/>
              </w:rPr>
            </w:pPr>
          </w:p>
        </w:tc>
        <w:tc>
          <w:tcPr>
            <w:tcW w:w="1813" w:type="dxa"/>
            <w:tcBorders>
              <w:top w:val="single" w:color="auto" w:sz="4" w:space="0"/>
              <w:left w:val="single" w:color="auto" w:sz="4" w:space="0"/>
              <w:bottom w:val="single" w:color="auto" w:sz="4" w:space="0"/>
              <w:right w:val="single" w:color="auto" w:sz="4" w:space="0"/>
            </w:tcBorders>
          </w:tcPr>
          <w:p>
            <w:pPr>
              <w:snapToGrid w:val="0"/>
              <w:spacing w:before="50" w:after="165" w:afterLines="50" w:line="400" w:lineRule="exact"/>
              <w:jc w:val="left"/>
              <w:rPr>
                <w:rFonts w:hint="eastAsia" w:ascii="宋体" w:hAnsi="宋体" w:cs="宋体"/>
                <w:color w:val="auto"/>
                <w:sz w:val="24"/>
                <w:highlight w:val="none"/>
              </w:rPr>
            </w:pPr>
          </w:p>
        </w:tc>
        <w:tc>
          <w:tcPr>
            <w:tcW w:w="1687" w:type="dxa"/>
            <w:tcBorders>
              <w:top w:val="single" w:color="auto" w:sz="4" w:space="0"/>
              <w:left w:val="single" w:color="auto" w:sz="4" w:space="0"/>
              <w:bottom w:val="single" w:color="auto" w:sz="4" w:space="0"/>
              <w:right w:val="single" w:color="auto" w:sz="4" w:space="0"/>
            </w:tcBorders>
          </w:tcPr>
          <w:p>
            <w:pPr>
              <w:snapToGrid w:val="0"/>
              <w:spacing w:before="50" w:after="165" w:afterLines="50" w:line="400" w:lineRule="exact"/>
              <w:jc w:val="left"/>
              <w:rPr>
                <w:rFonts w:hint="eastAsia" w:ascii="宋体" w:hAnsi="宋体" w:cs="宋体"/>
                <w:color w:val="auto"/>
                <w:sz w:val="24"/>
                <w:highlight w:val="none"/>
              </w:rPr>
            </w:pPr>
          </w:p>
        </w:tc>
        <w:tc>
          <w:tcPr>
            <w:tcW w:w="1016" w:type="dxa"/>
            <w:tcBorders>
              <w:top w:val="single" w:color="auto" w:sz="4" w:space="0"/>
              <w:left w:val="single" w:color="auto" w:sz="4" w:space="0"/>
              <w:bottom w:val="single" w:color="auto" w:sz="4" w:space="0"/>
              <w:right w:val="single" w:color="auto" w:sz="4" w:space="0"/>
            </w:tcBorders>
          </w:tcPr>
          <w:p>
            <w:pPr>
              <w:snapToGrid w:val="0"/>
              <w:spacing w:before="50" w:after="165" w:afterLines="50" w:line="400" w:lineRule="exact"/>
              <w:jc w:val="left"/>
              <w:rPr>
                <w:rFonts w:hint="eastAsia" w:ascii="宋体" w:hAnsi="宋体" w:cs="宋体"/>
                <w:color w:val="auto"/>
                <w:sz w:val="24"/>
                <w:highlight w:val="none"/>
              </w:rPr>
            </w:pPr>
          </w:p>
        </w:tc>
        <w:tc>
          <w:tcPr>
            <w:tcW w:w="1016" w:type="dxa"/>
            <w:tcBorders>
              <w:top w:val="single" w:color="auto" w:sz="4" w:space="0"/>
              <w:left w:val="single" w:color="auto" w:sz="4" w:space="0"/>
              <w:bottom w:val="single" w:color="auto" w:sz="4" w:space="0"/>
              <w:right w:val="single" w:color="auto" w:sz="4" w:space="0"/>
            </w:tcBorders>
          </w:tcPr>
          <w:p>
            <w:pPr>
              <w:snapToGrid w:val="0"/>
              <w:spacing w:before="50" w:after="165" w:afterLines="50" w:line="400" w:lineRule="exact"/>
              <w:jc w:val="left"/>
              <w:rPr>
                <w:rFonts w:hint="eastAsia" w:ascii="宋体" w:hAnsi="宋体" w:cs="宋体"/>
                <w:color w:val="auto"/>
                <w:sz w:val="24"/>
                <w:highlight w:val="none"/>
              </w:rPr>
            </w:pPr>
          </w:p>
        </w:tc>
        <w:tc>
          <w:tcPr>
            <w:tcW w:w="1018" w:type="dxa"/>
            <w:tcBorders>
              <w:top w:val="single" w:color="auto" w:sz="4" w:space="0"/>
              <w:left w:val="single" w:color="auto" w:sz="4" w:space="0"/>
              <w:bottom w:val="single" w:color="auto" w:sz="4" w:space="0"/>
              <w:right w:val="single" w:color="auto" w:sz="4" w:space="0"/>
            </w:tcBorders>
          </w:tcPr>
          <w:p>
            <w:pPr>
              <w:snapToGrid w:val="0"/>
              <w:spacing w:before="50" w:after="165" w:afterLines="50" w:line="400" w:lineRule="exact"/>
              <w:jc w:val="left"/>
              <w:rPr>
                <w:rFonts w:hint="eastAsia" w:ascii="宋体" w:hAnsi="宋体" w:cs="宋体"/>
                <w:color w:val="auto"/>
                <w:sz w:val="24"/>
                <w:highlight w:val="none"/>
              </w:rPr>
            </w:pPr>
          </w:p>
        </w:tc>
        <w:tc>
          <w:tcPr>
            <w:tcW w:w="1938" w:type="dxa"/>
            <w:tcBorders>
              <w:top w:val="single" w:color="auto" w:sz="4" w:space="0"/>
              <w:left w:val="single" w:color="auto" w:sz="4" w:space="0"/>
              <w:bottom w:val="single" w:color="auto" w:sz="4" w:space="0"/>
              <w:right w:val="single" w:color="auto" w:sz="4" w:space="0"/>
            </w:tcBorders>
          </w:tcPr>
          <w:p>
            <w:pPr>
              <w:snapToGrid w:val="0"/>
              <w:spacing w:before="50" w:after="165" w:afterLines="50" w:line="400" w:lineRule="exact"/>
              <w:jc w:val="left"/>
              <w:rPr>
                <w:rFonts w:hint="eastAsia"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24" w:type="dxa"/>
            <w:tcBorders>
              <w:top w:val="single" w:color="auto" w:sz="4" w:space="0"/>
              <w:left w:val="single" w:color="auto" w:sz="4" w:space="0"/>
              <w:bottom w:val="single" w:color="auto" w:sz="4" w:space="0"/>
              <w:right w:val="single" w:color="auto" w:sz="4" w:space="0"/>
            </w:tcBorders>
          </w:tcPr>
          <w:p>
            <w:pPr>
              <w:snapToGrid w:val="0"/>
              <w:spacing w:before="50" w:after="165" w:afterLines="50" w:line="400" w:lineRule="exact"/>
              <w:jc w:val="left"/>
              <w:rPr>
                <w:rFonts w:hint="eastAsia" w:ascii="宋体" w:hAnsi="宋体" w:cs="宋体"/>
                <w:color w:val="auto"/>
                <w:sz w:val="24"/>
                <w:highlight w:val="none"/>
              </w:rPr>
            </w:pPr>
          </w:p>
        </w:tc>
        <w:tc>
          <w:tcPr>
            <w:tcW w:w="1813" w:type="dxa"/>
            <w:tcBorders>
              <w:top w:val="single" w:color="auto" w:sz="4" w:space="0"/>
              <w:left w:val="single" w:color="auto" w:sz="4" w:space="0"/>
              <w:bottom w:val="single" w:color="auto" w:sz="4" w:space="0"/>
              <w:right w:val="single" w:color="auto" w:sz="4" w:space="0"/>
            </w:tcBorders>
          </w:tcPr>
          <w:p>
            <w:pPr>
              <w:snapToGrid w:val="0"/>
              <w:spacing w:before="50" w:after="165" w:afterLines="50" w:line="400" w:lineRule="exact"/>
              <w:jc w:val="left"/>
              <w:rPr>
                <w:rFonts w:hint="eastAsia" w:ascii="宋体" w:hAnsi="宋体" w:cs="宋体"/>
                <w:color w:val="auto"/>
                <w:sz w:val="24"/>
                <w:highlight w:val="none"/>
              </w:rPr>
            </w:pPr>
          </w:p>
        </w:tc>
        <w:tc>
          <w:tcPr>
            <w:tcW w:w="1687" w:type="dxa"/>
            <w:tcBorders>
              <w:top w:val="single" w:color="auto" w:sz="4" w:space="0"/>
              <w:left w:val="single" w:color="auto" w:sz="4" w:space="0"/>
              <w:bottom w:val="single" w:color="auto" w:sz="4" w:space="0"/>
              <w:right w:val="single" w:color="auto" w:sz="4" w:space="0"/>
            </w:tcBorders>
          </w:tcPr>
          <w:p>
            <w:pPr>
              <w:snapToGrid w:val="0"/>
              <w:spacing w:before="50" w:after="165" w:afterLines="50" w:line="400" w:lineRule="exact"/>
              <w:jc w:val="left"/>
              <w:rPr>
                <w:rFonts w:hint="eastAsia" w:ascii="宋体" w:hAnsi="宋体" w:cs="宋体"/>
                <w:color w:val="auto"/>
                <w:sz w:val="24"/>
                <w:highlight w:val="none"/>
              </w:rPr>
            </w:pPr>
          </w:p>
        </w:tc>
        <w:tc>
          <w:tcPr>
            <w:tcW w:w="1016" w:type="dxa"/>
            <w:tcBorders>
              <w:top w:val="single" w:color="auto" w:sz="4" w:space="0"/>
              <w:left w:val="single" w:color="auto" w:sz="4" w:space="0"/>
              <w:bottom w:val="single" w:color="auto" w:sz="4" w:space="0"/>
              <w:right w:val="single" w:color="auto" w:sz="4" w:space="0"/>
            </w:tcBorders>
          </w:tcPr>
          <w:p>
            <w:pPr>
              <w:snapToGrid w:val="0"/>
              <w:spacing w:before="50" w:after="165" w:afterLines="50" w:line="400" w:lineRule="exact"/>
              <w:jc w:val="left"/>
              <w:rPr>
                <w:rFonts w:hint="eastAsia" w:ascii="宋体" w:hAnsi="宋体" w:cs="宋体"/>
                <w:color w:val="auto"/>
                <w:sz w:val="24"/>
                <w:highlight w:val="none"/>
              </w:rPr>
            </w:pPr>
          </w:p>
        </w:tc>
        <w:tc>
          <w:tcPr>
            <w:tcW w:w="1016" w:type="dxa"/>
            <w:tcBorders>
              <w:top w:val="single" w:color="auto" w:sz="4" w:space="0"/>
              <w:left w:val="single" w:color="auto" w:sz="4" w:space="0"/>
              <w:bottom w:val="single" w:color="auto" w:sz="4" w:space="0"/>
              <w:right w:val="single" w:color="auto" w:sz="4" w:space="0"/>
            </w:tcBorders>
          </w:tcPr>
          <w:p>
            <w:pPr>
              <w:snapToGrid w:val="0"/>
              <w:spacing w:before="50" w:after="165" w:afterLines="50" w:line="400" w:lineRule="exact"/>
              <w:jc w:val="left"/>
              <w:rPr>
                <w:rFonts w:hint="eastAsia" w:ascii="宋体" w:hAnsi="宋体" w:cs="宋体"/>
                <w:color w:val="auto"/>
                <w:sz w:val="24"/>
                <w:highlight w:val="none"/>
              </w:rPr>
            </w:pPr>
          </w:p>
        </w:tc>
        <w:tc>
          <w:tcPr>
            <w:tcW w:w="1018" w:type="dxa"/>
            <w:tcBorders>
              <w:top w:val="single" w:color="auto" w:sz="4" w:space="0"/>
              <w:left w:val="single" w:color="auto" w:sz="4" w:space="0"/>
              <w:bottom w:val="single" w:color="auto" w:sz="4" w:space="0"/>
              <w:right w:val="single" w:color="auto" w:sz="4" w:space="0"/>
            </w:tcBorders>
          </w:tcPr>
          <w:p>
            <w:pPr>
              <w:snapToGrid w:val="0"/>
              <w:spacing w:before="50" w:after="165" w:afterLines="50" w:line="400" w:lineRule="exact"/>
              <w:jc w:val="left"/>
              <w:rPr>
                <w:rFonts w:hint="eastAsia" w:ascii="宋体" w:hAnsi="宋体" w:cs="宋体"/>
                <w:color w:val="auto"/>
                <w:sz w:val="24"/>
                <w:highlight w:val="none"/>
              </w:rPr>
            </w:pPr>
          </w:p>
        </w:tc>
        <w:tc>
          <w:tcPr>
            <w:tcW w:w="1938" w:type="dxa"/>
            <w:tcBorders>
              <w:top w:val="single" w:color="auto" w:sz="4" w:space="0"/>
              <w:left w:val="single" w:color="auto" w:sz="4" w:space="0"/>
              <w:bottom w:val="single" w:color="auto" w:sz="4" w:space="0"/>
              <w:right w:val="single" w:color="auto" w:sz="4" w:space="0"/>
            </w:tcBorders>
          </w:tcPr>
          <w:p>
            <w:pPr>
              <w:snapToGrid w:val="0"/>
              <w:spacing w:before="50" w:after="165" w:afterLines="50" w:line="400" w:lineRule="exact"/>
              <w:jc w:val="left"/>
              <w:rPr>
                <w:rFonts w:hint="eastAsia" w:ascii="宋体" w:hAnsi="宋体" w:cs="宋体"/>
                <w:color w:val="auto"/>
                <w:sz w:val="24"/>
                <w:highlight w:val="none"/>
              </w:rPr>
            </w:pPr>
          </w:p>
        </w:tc>
      </w:tr>
    </w:tbl>
    <w:p>
      <w:pPr>
        <w:pStyle w:val="14"/>
        <w:spacing w:line="360" w:lineRule="auto"/>
        <w:ind w:left="72"/>
        <w:rPr>
          <w:rFonts w:hint="eastAsia" w:hAnsi="宋体" w:cs="宋体"/>
          <w:color w:val="auto"/>
          <w:highlight w:val="none"/>
        </w:rPr>
      </w:pPr>
      <w:r>
        <w:rPr>
          <w:rFonts w:hint="eastAsia" w:hAnsi="宋体" w:cs="宋体"/>
          <w:color w:val="auto"/>
          <w:highlight w:val="none"/>
        </w:rPr>
        <w:t>注：</w:t>
      </w:r>
      <w:r>
        <w:rPr>
          <w:rFonts w:hint="eastAsia" w:hAnsi="宋体" w:cs="宋体"/>
          <w:color w:val="auto"/>
          <w:szCs w:val="21"/>
          <w:highlight w:val="none"/>
        </w:rPr>
        <w:t>在填写时，如本表格不适合投标人的实际情况，可参照本表格式自行制表填写，并附上相关证明材料</w:t>
      </w:r>
      <w:r>
        <w:rPr>
          <w:rFonts w:hint="eastAsia" w:hAnsi="宋体" w:cs="宋体"/>
          <w:color w:val="auto"/>
          <w:highlight w:val="none"/>
        </w:rPr>
        <w:t>。</w:t>
      </w:r>
    </w:p>
    <w:p>
      <w:pPr>
        <w:snapToGrid w:val="0"/>
        <w:spacing w:line="360" w:lineRule="auto"/>
        <w:ind w:firstLine="4935" w:firstLineChars="2350"/>
        <w:rPr>
          <w:rFonts w:hint="eastAsia" w:ascii="宋体" w:hAnsi="宋体" w:cs="宋体"/>
          <w:color w:val="auto"/>
          <w:szCs w:val="21"/>
          <w:highlight w:val="none"/>
        </w:rPr>
      </w:pPr>
      <w:r>
        <w:rPr>
          <w:rFonts w:hint="eastAsia" w:ascii="宋体" w:hAnsi="宋体" w:cs="宋体"/>
          <w:color w:val="auto"/>
          <w:szCs w:val="21"/>
          <w:highlight w:val="none"/>
        </w:rPr>
        <w:t xml:space="preserve"> </w:t>
      </w:r>
    </w:p>
    <w:p>
      <w:pPr>
        <w:snapToGrid w:val="0"/>
        <w:spacing w:line="360" w:lineRule="auto"/>
        <w:ind w:firstLine="4935" w:firstLineChars="2350"/>
        <w:rPr>
          <w:rFonts w:hint="eastAsia" w:ascii="宋体" w:hAnsi="宋体" w:cs="宋体"/>
          <w:color w:val="auto"/>
          <w:szCs w:val="21"/>
          <w:highlight w:val="none"/>
        </w:rPr>
      </w:pPr>
    </w:p>
    <w:p>
      <w:pPr>
        <w:snapToGrid w:val="0"/>
        <w:spacing w:line="360" w:lineRule="auto"/>
        <w:ind w:left="5187" w:leftChars="2470" w:firstLine="4620" w:firstLineChars="2200"/>
        <w:rPr>
          <w:rFonts w:hint="eastAsia" w:ascii="宋体" w:hAnsi="宋体" w:cs="宋体"/>
          <w:color w:val="auto"/>
          <w:kern w:val="0"/>
          <w:sz w:val="24"/>
          <w:highlight w:val="none"/>
        </w:rPr>
      </w:pPr>
      <w:r>
        <w:rPr>
          <w:rFonts w:hint="eastAsia" w:ascii="宋体" w:hAnsi="宋体" w:cs="宋体"/>
          <w:color w:val="auto"/>
          <w:szCs w:val="21"/>
          <w:highlight w:val="none"/>
        </w:rPr>
        <w:t xml:space="preserve"> </w:t>
      </w:r>
      <w:r>
        <w:rPr>
          <w:rFonts w:hint="eastAsia" w:ascii="宋体" w:hAnsi="宋体" w:cs="宋体"/>
          <w:color w:val="auto"/>
          <w:kern w:val="0"/>
          <w:sz w:val="24"/>
          <w:highlight w:val="none"/>
          <w:lang w:val="zh-CN"/>
        </w:rPr>
        <w:t>投标人名称(盖公章)：</w:t>
      </w:r>
    </w:p>
    <w:p>
      <w:pPr>
        <w:snapToGrid w:val="0"/>
        <w:spacing w:line="360" w:lineRule="auto"/>
        <w:ind w:firstLine="5280" w:firstLineChars="2200"/>
        <w:rPr>
          <w:rFonts w:hint="eastAsia" w:ascii="宋体" w:hAnsi="宋体" w:cs="宋体"/>
          <w:b/>
          <w:color w:val="auto"/>
          <w:sz w:val="24"/>
          <w:highlight w:val="none"/>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pPr>
        <w:snapToGrid w:val="0"/>
        <w:spacing w:before="165" w:beforeLines="50" w:after="50"/>
        <w:ind w:left="143" w:leftChars="68" w:firstLine="472" w:firstLineChars="196"/>
        <w:jc w:val="left"/>
        <w:rPr>
          <w:rFonts w:hint="eastAsia" w:ascii="宋体" w:hAnsi="宋体" w:cs="宋体"/>
          <w:b/>
          <w:color w:val="auto"/>
          <w:sz w:val="24"/>
          <w:highlight w:val="none"/>
        </w:rPr>
      </w:pPr>
    </w:p>
    <w:p>
      <w:pPr>
        <w:snapToGrid w:val="0"/>
        <w:spacing w:before="165" w:beforeLines="50" w:after="50"/>
        <w:ind w:left="143" w:leftChars="68" w:firstLine="472" w:firstLineChars="196"/>
        <w:jc w:val="left"/>
        <w:rPr>
          <w:rFonts w:hint="eastAsia" w:ascii="宋体" w:hAnsi="宋体" w:cs="宋体"/>
          <w:b/>
          <w:color w:val="auto"/>
          <w:sz w:val="24"/>
          <w:highlight w:val="none"/>
        </w:rPr>
      </w:pPr>
    </w:p>
    <w:p>
      <w:pPr>
        <w:snapToGrid w:val="0"/>
        <w:spacing w:before="165" w:beforeLines="50" w:after="50"/>
        <w:ind w:left="143" w:leftChars="68" w:firstLine="472" w:firstLineChars="196"/>
        <w:jc w:val="left"/>
        <w:rPr>
          <w:rFonts w:hint="eastAsia" w:ascii="宋体" w:hAnsi="宋体" w:cs="宋体"/>
          <w:b/>
          <w:color w:val="auto"/>
          <w:sz w:val="24"/>
          <w:highlight w:val="none"/>
        </w:rPr>
      </w:pPr>
    </w:p>
    <w:p>
      <w:pPr>
        <w:snapToGrid w:val="0"/>
        <w:spacing w:before="165" w:beforeLines="50" w:after="50"/>
        <w:ind w:left="143" w:leftChars="68" w:firstLine="472" w:firstLineChars="196"/>
        <w:jc w:val="left"/>
        <w:rPr>
          <w:rFonts w:hint="eastAsia" w:ascii="宋体" w:hAnsi="宋体" w:cs="宋体"/>
          <w:b/>
          <w:color w:val="auto"/>
          <w:sz w:val="24"/>
          <w:highlight w:val="none"/>
        </w:rPr>
      </w:pPr>
    </w:p>
    <w:p>
      <w:pPr>
        <w:snapToGrid w:val="0"/>
        <w:spacing w:before="165" w:beforeLines="50" w:after="50"/>
        <w:ind w:left="143" w:leftChars="68" w:firstLine="472" w:firstLineChars="196"/>
        <w:jc w:val="left"/>
        <w:rPr>
          <w:rFonts w:hint="eastAsia" w:ascii="宋体" w:hAnsi="宋体" w:cs="宋体"/>
          <w:b/>
          <w:color w:val="auto"/>
          <w:sz w:val="24"/>
          <w:highlight w:val="none"/>
        </w:rPr>
      </w:pPr>
    </w:p>
    <w:p>
      <w:pPr>
        <w:snapToGrid w:val="0"/>
        <w:spacing w:before="165" w:beforeLines="50" w:after="50"/>
        <w:ind w:left="143" w:leftChars="68" w:firstLine="472" w:firstLineChars="196"/>
        <w:jc w:val="left"/>
        <w:rPr>
          <w:rFonts w:hint="eastAsia" w:ascii="宋体" w:hAnsi="宋体" w:cs="宋体"/>
          <w:b/>
          <w:color w:val="auto"/>
          <w:sz w:val="24"/>
          <w:highlight w:val="none"/>
        </w:rPr>
      </w:pPr>
    </w:p>
    <w:p>
      <w:pPr>
        <w:snapToGrid w:val="0"/>
        <w:spacing w:before="165" w:beforeLines="50" w:after="50"/>
        <w:ind w:left="143" w:leftChars="68" w:firstLine="472" w:firstLineChars="196"/>
        <w:jc w:val="left"/>
        <w:rPr>
          <w:rFonts w:hint="eastAsia" w:ascii="宋体" w:hAnsi="宋体" w:cs="宋体"/>
          <w:b/>
          <w:color w:val="auto"/>
          <w:sz w:val="24"/>
          <w:highlight w:val="none"/>
        </w:rPr>
      </w:pPr>
    </w:p>
    <w:p>
      <w:pPr>
        <w:snapToGrid w:val="0"/>
        <w:spacing w:before="165" w:beforeLines="50" w:after="50"/>
        <w:ind w:left="143" w:leftChars="68" w:firstLine="472" w:firstLineChars="196"/>
        <w:jc w:val="left"/>
        <w:rPr>
          <w:rFonts w:hint="eastAsia" w:ascii="宋体" w:hAnsi="宋体" w:cs="宋体"/>
          <w:b/>
          <w:color w:val="auto"/>
          <w:sz w:val="24"/>
          <w:highlight w:val="none"/>
        </w:rPr>
      </w:pPr>
    </w:p>
    <w:p>
      <w:pPr>
        <w:snapToGrid w:val="0"/>
        <w:spacing w:before="165" w:beforeLines="50" w:after="50"/>
        <w:ind w:left="143" w:leftChars="68" w:firstLine="472" w:firstLineChars="196"/>
        <w:jc w:val="left"/>
        <w:rPr>
          <w:rFonts w:hint="eastAsia" w:ascii="宋体" w:hAnsi="宋体" w:cs="宋体"/>
          <w:b/>
          <w:color w:val="auto"/>
          <w:sz w:val="24"/>
          <w:highlight w:val="none"/>
        </w:rPr>
      </w:pPr>
    </w:p>
    <w:p>
      <w:pPr>
        <w:snapToGrid w:val="0"/>
        <w:spacing w:before="165" w:beforeLines="50" w:after="50"/>
        <w:ind w:left="143" w:leftChars="68" w:firstLine="472" w:firstLineChars="196"/>
        <w:jc w:val="left"/>
        <w:rPr>
          <w:rFonts w:hint="eastAsia" w:ascii="宋体" w:hAnsi="宋体" w:cs="宋体"/>
          <w:b/>
          <w:color w:val="auto"/>
          <w:sz w:val="24"/>
          <w:highlight w:val="none"/>
        </w:rPr>
      </w:pPr>
    </w:p>
    <w:p>
      <w:pPr>
        <w:snapToGrid w:val="0"/>
        <w:spacing w:before="165" w:beforeLines="50" w:after="50"/>
        <w:ind w:left="143" w:leftChars="68" w:firstLine="472" w:firstLineChars="196"/>
        <w:jc w:val="left"/>
        <w:rPr>
          <w:rFonts w:hint="eastAsia" w:ascii="宋体" w:hAnsi="宋体" w:cs="宋体"/>
          <w:b/>
          <w:color w:val="auto"/>
          <w:sz w:val="24"/>
          <w:highlight w:val="none"/>
        </w:rPr>
      </w:pPr>
    </w:p>
    <w:p>
      <w:pPr>
        <w:pStyle w:val="14"/>
        <w:spacing w:line="500" w:lineRule="exact"/>
        <w:jc w:val="left"/>
        <w:rPr>
          <w:rFonts w:hint="eastAsia" w:hAnsi="宋体" w:cs="宋体"/>
          <w:b/>
          <w:bCs/>
          <w:color w:val="auto"/>
          <w:sz w:val="30"/>
          <w:szCs w:val="30"/>
          <w:highlight w:val="none"/>
        </w:rPr>
      </w:pPr>
      <w:r>
        <w:rPr>
          <w:rFonts w:hint="eastAsia" w:hAnsi="宋体" w:cs="宋体"/>
          <w:b/>
          <w:bCs/>
          <w:color w:val="auto"/>
          <w:sz w:val="30"/>
          <w:szCs w:val="30"/>
          <w:highlight w:val="none"/>
        </w:rPr>
        <w:br w:type="page"/>
      </w:r>
      <w:r>
        <w:rPr>
          <w:rFonts w:hint="eastAsia" w:hAnsi="宋体" w:cs="宋体"/>
          <w:b/>
          <w:color w:val="auto"/>
          <w:sz w:val="28"/>
          <w:szCs w:val="28"/>
          <w:highlight w:val="none"/>
        </w:rPr>
        <w:t>8. 技术需求偏离表的格式：</w:t>
      </w:r>
    </w:p>
    <w:p>
      <w:pPr>
        <w:pStyle w:val="14"/>
        <w:spacing w:line="500" w:lineRule="exact"/>
        <w:jc w:val="center"/>
        <w:rPr>
          <w:rFonts w:hint="eastAsia" w:hAnsi="宋体" w:cs="宋体"/>
          <w:b/>
          <w:bCs/>
          <w:color w:val="auto"/>
          <w:sz w:val="30"/>
          <w:szCs w:val="30"/>
          <w:highlight w:val="none"/>
        </w:rPr>
      </w:pPr>
      <w:r>
        <w:rPr>
          <w:rFonts w:hint="eastAsia" w:hAnsi="宋体" w:cs="宋体"/>
          <w:b/>
          <w:bCs/>
          <w:color w:val="auto"/>
          <w:sz w:val="30"/>
          <w:szCs w:val="30"/>
          <w:highlight w:val="none"/>
        </w:rPr>
        <w:t>技术需求偏离表</w:t>
      </w:r>
    </w:p>
    <w:p>
      <w:pPr>
        <w:pStyle w:val="14"/>
        <w:spacing w:line="440" w:lineRule="exact"/>
        <w:ind w:firstLine="420" w:firstLineChars="200"/>
        <w:rPr>
          <w:rFonts w:hint="eastAsia" w:hAnsi="宋体" w:cs="宋体"/>
          <w:color w:val="auto"/>
          <w:highlight w:val="none"/>
        </w:rPr>
      </w:pPr>
    </w:p>
    <w:p>
      <w:pPr>
        <w:spacing w:line="480" w:lineRule="auto"/>
        <w:contextualSpacing/>
        <w:rPr>
          <w:rFonts w:hint="eastAsia" w:ascii="宋体" w:hAnsi="宋体" w:cs="宋体"/>
          <w:color w:val="auto"/>
          <w:sz w:val="24"/>
          <w:highlight w:val="none"/>
          <w:u w:val="single"/>
        </w:rPr>
      </w:pPr>
      <w:r>
        <w:rPr>
          <w:rFonts w:hint="eastAsia" w:ascii="宋体" w:hAnsi="宋体" w:cs="宋体"/>
          <w:color w:val="auto"/>
          <w:sz w:val="24"/>
          <w:highlight w:val="none"/>
        </w:rPr>
        <w:t>项目</w:t>
      </w:r>
      <w:r>
        <w:rPr>
          <w:rFonts w:hint="eastAsia" w:hAnsi="宋体" w:cs="宋体"/>
          <w:color w:val="auto"/>
          <w:sz w:val="24"/>
          <w:highlight w:val="none"/>
        </w:rPr>
        <w:t>名称</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p>
    <w:p>
      <w:pPr>
        <w:pStyle w:val="14"/>
        <w:spacing w:line="480" w:lineRule="auto"/>
        <w:rPr>
          <w:color w:val="auto"/>
          <w:highlight w:val="none"/>
        </w:rPr>
      </w:pPr>
      <w:r>
        <w:rPr>
          <w:rFonts w:hint="eastAsia" w:hAnsi="宋体" w:cs="宋体"/>
          <w:color w:val="auto"/>
          <w:sz w:val="24"/>
          <w:highlight w:val="none"/>
        </w:rPr>
        <w:t>项目编号：</w:t>
      </w:r>
      <w:r>
        <w:rPr>
          <w:rFonts w:hint="eastAsia" w:hAnsi="宋体" w:cs="宋体"/>
          <w:color w:val="auto"/>
          <w:sz w:val="24"/>
          <w:highlight w:val="none"/>
          <w:u w:val="single"/>
        </w:rPr>
        <w:t xml:space="preserve">                 </w:t>
      </w:r>
    </w:p>
    <w:p>
      <w:pPr>
        <w:pStyle w:val="14"/>
        <w:spacing w:line="480" w:lineRule="auto"/>
        <w:rPr>
          <w:color w:val="auto"/>
          <w:highlight w:val="none"/>
        </w:rPr>
      </w:pPr>
      <w:r>
        <w:rPr>
          <w:rFonts w:hint="eastAsia" w:hAnsi="宋体" w:cs="宋体"/>
          <w:color w:val="auto"/>
          <w:sz w:val="24"/>
          <w:highlight w:val="none"/>
        </w:rPr>
        <w:t>所投分标</w:t>
      </w:r>
      <w:r>
        <w:rPr>
          <w:rFonts w:hint="eastAsia" w:hAnsi="宋体" w:cs="宋体"/>
          <w:color w:val="auto"/>
          <w:szCs w:val="21"/>
          <w:highlight w:val="none"/>
        </w:rPr>
        <w:t>（此处有分标时填写具体分标号，无分标时填写“无”）</w:t>
      </w:r>
      <w:r>
        <w:rPr>
          <w:rFonts w:hint="eastAsia" w:hAnsi="宋体" w:cs="宋体"/>
          <w:color w:val="auto"/>
          <w:sz w:val="24"/>
          <w:szCs w:val="24"/>
          <w:highlight w:val="none"/>
        </w:rPr>
        <w:t>：</w:t>
      </w:r>
      <w:r>
        <w:rPr>
          <w:rFonts w:hint="eastAsia" w:hAnsi="宋体" w:cs="宋体"/>
          <w:color w:val="auto"/>
          <w:sz w:val="24"/>
          <w:highlight w:val="none"/>
          <w:u w:val="single"/>
        </w:rPr>
        <w:t xml:space="preserve">           </w:t>
      </w:r>
    </w:p>
    <w:tbl>
      <w:tblPr>
        <w:tblStyle w:val="27"/>
        <w:tblW w:w="98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1058"/>
        <w:gridCol w:w="3280"/>
        <w:gridCol w:w="3612"/>
        <w:gridCol w:w="1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cs="宋体"/>
                <w:color w:val="auto"/>
                <w:szCs w:val="21"/>
                <w:highlight w:val="none"/>
              </w:rPr>
            </w:pPr>
            <w:r>
              <w:rPr>
                <w:rFonts w:hint="eastAsia" w:ascii="宋体" w:hAnsi="宋体" w:cs="宋体"/>
                <w:color w:val="auto"/>
                <w:szCs w:val="21"/>
                <w:highlight w:val="none"/>
              </w:rPr>
              <w:t>项号</w:t>
            </w:r>
          </w:p>
        </w:tc>
        <w:tc>
          <w:tcPr>
            <w:tcW w:w="105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Cs w:val="21"/>
                <w:highlight w:val="none"/>
              </w:rPr>
            </w:pPr>
            <w:r>
              <w:rPr>
                <w:rFonts w:hint="eastAsia" w:ascii="宋体" w:hAnsi="宋体" w:cs="宋体"/>
                <w:color w:val="auto"/>
                <w:szCs w:val="21"/>
                <w:highlight w:val="none"/>
              </w:rPr>
              <w:t>标的名称</w:t>
            </w:r>
          </w:p>
        </w:tc>
        <w:tc>
          <w:tcPr>
            <w:tcW w:w="328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Cs w:val="21"/>
                <w:highlight w:val="none"/>
              </w:rPr>
            </w:pPr>
            <w:r>
              <w:rPr>
                <w:rFonts w:hint="eastAsia" w:ascii="宋体" w:hAnsi="宋体"/>
                <w:color w:val="auto"/>
                <w:szCs w:val="21"/>
                <w:highlight w:val="none"/>
              </w:rPr>
              <w:t>招标文件采购需求-附件工作表中-规格、参数</w:t>
            </w:r>
          </w:p>
        </w:tc>
        <w:tc>
          <w:tcPr>
            <w:tcW w:w="361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Cs w:val="21"/>
                <w:highlight w:val="none"/>
              </w:rPr>
            </w:pPr>
            <w:r>
              <w:rPr>
                <w:rFonts w:hint="eastAsia" w:ascii="宋体" w:hAnsi="宋体"/>
                <w:color w:val="auto"/>
                <w:szCs w:val="21"/>
                <w:highlight w:val="none"/>
              </w:rPr>
              <w:t>投标文件响应的规格、参数</w:t>
            </w:r>
          </w:p>
        </w:tc>
        <w:tc>
          <w:tcPr>
            <w:tcW w:w="1130"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cs="宋体"/>
                <w:color w:val="auto"/>
                <w:szCs w:val="21"/>
                <w:highlight w:val="none"/>
              </w:rPr>
            </w:pPr>
            <w:r>
              <w:rPr>
                <w:rFonts w:hint="eastAsia" w:ascii="宋体" w:hAnsi="宋体"/>
                <w:color w:val="auto"/>
                <w:szCs w:val="21"/>
                <w:highlight w:val="none"/>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05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1"/>
                <w:highlight w:val="none"/>
              </w:rPr>
            </w:pPr>
          </w:p>
        </w:tc>
        <w:tc>
          <w:tcPr>
            <w:tcW w:w="3280"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1"/>
                <w:highlight w:val="none"/>
              </w:rPr>
            </w:pPr>
          </w:p>
        </w:tc>
        <w:tc>
          <w:tcPr>
            <w:tcW w:w="3612"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1"/>
                <w:highlight w:val="none"/>
              </w:rPr>
            </w:pPr>
          </w:p>
        </w:tc>
        <w:tc>
          <w:tcPr>
            <w:tcW w:w="1130"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05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1"/>
                <w:highlight w:val="none"/>
              </w:rPr>
            </w:pPr>
          </w:p>
        </w:tc>
        <w:tc>
          <w:tcPr>
            <w:tcW w:w="3280"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1"/>
                <w:highlight w:val="none"/>
              </w:rPr>
            </w:pPr>
          </w:p>
        </w:tc>
        <w:tc>
          <w:tcPr>
            <w:tcW w:w="3612"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1"/>
                <w:highlight w:val="none"/>
              </w:rPr>
            </w:pPr>
          </w:p>
        </w:tc>
        <w:tc>
          <w:tcPr>
            <w:tcW w:w="1130"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105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1"/>
                <w:highlight w:val="none"/>
              </w:rPr>
            </w:pPr>
          </w:p>
        </w:tc>
        <w:tc>
          <w:tcPr>
            <w:tcW w:w="3280"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1"/>
                <w:highlight w:val="none"/>
              </w:rPr>
            </w:pPr>
          </w:p>
        </w:tc>
        <w:tc>
          <w:tcPr>
            <w:tcW w:w="3612"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1"/>
                <w:highlight w:val="none"/>
              </w:rPr>
            </w:pPr>
          </w:p>
        </w:tc>
        <w:tc>
          <w:tcPr>
            <w:tcW w:w="1130"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9854" w:type="dxa"/>
            <w:gridSpan w:val="5"/>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1"/>
                <w:highlight w:val="none"/>
              </w:rPr>
            </w:pPr>
            <w:r>
              <w:rPr>
                <w:rFonts w:hint="eastAsia" w:ascii="宋体" w:hAnsi="宋体" w:cs="宋体"/>
                <w:color w:val="auto"/>
                <w:szCs w:val="21"/>
                <w:highlight w:val="none"/>
              </w:rPr>
              <w:t>投标货物中，属于优先采购节能产品</w:t>
            </w:r>
            <w:r>
              <w:rPr>
                <w:rFonts w:hint="eastAsia" w:ascii="宋体" w:hAnsi="宋体" w:cs="宋体"/>
                <w:color w:val="auto"/>
                <w:highlight w:val="none"/>
              </w:rPr>
              <w:t>为</w:t>
            </w:r>
            <w:r>
              <w:rPr>
                <w:rFonts w:hint="eastAsia" w:ascii="宋体" w:hAnsi="宋体" w:cs="宋体"/>
                <w:color w:val="auto"/>
                <w:szCs w:val="21"/>
                <w:highlight w:val="none"/>
              </w:rPr>
              <w:t>本项目招标文件“第二章 采购需求”中</w:t>
            </w:r>
            <w:r>
              <w:rPr>
                <w:rFonts w:hint="eastAsia" w:ascii="宋体" w:hAnsi="宋体" w:cs="宋体"/>
                <w:color w:val="auto"/>
                <w:highlight w:val="none"/>
              </w:rPr>
              <w:t>“</w:t>
            </w:r>
            <w:r>
              <w:rPr>
                <w:rFonts w:hint="eastAsia" w:ascii="宋体" w:hAnsi="宋体" w:cs="宋体"/>
                <w:color w:val="auto"/>
                <w:szCs w:val="21"/>
                <w:highlight w:val="none"/>
              </w:rPr>
              <w:t>需求一览表</w:t>
            </w:r>
            <w:r>
              <w:rPr>
                <w:rFonts w:hint="eastAsia" w:ascii="宋体" w:hAnsi="宋体" w:cs="宋体"/>
                <w:color w:val="auto"/>
                <w:highlight w:val="none"/>
              </w:rPr>
              <w:t>”的第   项产品：</w:t>
            </w:r>
            <w:r>
              <w:rPr>
                <w:rFonts w:hint="eastAsia" w:ascii="宋体" w:hAnsi="宋体" w:cs="宋体"/>
                <w:color w:val="auto"/>
                <w:highlight w:val="none"/>
                <w:u w:val="single"/>
              </w:rPr>
              <w:t xml:space="preserve">        </w:t>
            </w:r>
            <w:r>
              <w:rPr>
                <w:rFonts w:hint="eastAsia" w:ascii="宋体" w:hAnsi="宋体" w:cs="宋体"/>
                <w:color w:val="auto"/>
                <w:highlight w:val="none"/>
              </w:rPr>
              <w:t>，合计</w:t>
            </w:r>
            <w:r>
              <w:rPr>
                <w:rFonts w:hint="eastAsia" w:ascii="宋体" w:hAnsi="宋体" w:cs="宋体"/>
                <w:color w:val="auto"/>
                <w:highlight w:val="none"/>
                <w:u w:val="single"/>
              </w:rPr>
              <w:t xml:space="preserve">     </w:t>
            </w:r>
            <w:r>
              <w:rPr>
                <w:rFonts w:hint="eastAsia" w:ascii="宋体" w:hAnsi="宋体" w:cs="宋体"/>
                <w:color w:val="auto"/>
                <w:highlight w:val="none"/>
              </w:rPr>
              <w:t>项</w:t>
            </w:r>
            <w:r>
              <w:rPr>
                <w:rFonts w:hint="eastAsia" w:ascii="宋体" w:hAnsi="宋体" w:cs="宋体"/>
                <w:color w:val="auto"/>
                <w:szCs w:val="21"/>
                <w:highlight w:val="none"/>
              </w:rPr>
              <w:t>；属于优先采购环境标志产品为本项目招标文件“第二章 采购需求”中</w:t>
            </w:r>
            <w:r>
              <w:rPr>
                <w:rFonts w:hint="eastAsia" w:ascii="宋体" w:hAnsi="宋体" w:cs="宋体"/>
                <w:color w:val="auto"/>
                <w:highlight w:val="none"/>
              </w:rPr>
              <w:t>“</w:t>
            </w:r>
            <w:r>
              <w:rPr>
                <w:rFonts w:hint="eastAsia" w:ascii="宋体" w:hAnsi="宋体" w:cs="宋体"/>
                <w:color w:val="auto"/>
                <w:szCs w:val="21"/>
                <w:highlight w:val="none"/>
              </w:rPr>
              <w:t>需求一览表</w:t>
            </w:r>
            <w:r>
              <w:rPr>
                <w:rFonts w:hint="eastAsia" w:ascii="宋体" w:hAnsi="宋体" w:cs="宋体"/>
                <w:color w:val="auto"/>
                <w:highlight w:val="none"/>
              </w:rPr>
              <w:t>”的第   项产品：</w:t>
            </w:r>
            <w:r>
              <w:rPr>
                <w:rFonts w:hint="eastAsia" w:ascii="宋体" w:hAnsi="宋体" w:cs="宋体"/>
                <w:color w:val="auto"/>
                <w:highlight w:val="none"/>
                <w:u w:val="single"/>
              </w:rPr>
              <w:t xml:space="preserve">        </w:t>
            </w:r>
            <w:r>
              <w:rPr>
                <w:rFonts w:hint="eastAsia" w:ascii="宋体" w:hAnsi="宋体" w:cs="宋体"/>
                <w:color w:val="auto"/>
                <w:highlight w:val="none"/>
              </w:rPr>
              <w:t>，合计</w:t>
            </w:r>
            <w:r>
              <w:rPr>
                <w:rFonts w:hint="eastAsia" w:ascii="宋体" w:hAnsi="宋体" w:cs="宋体"/>
                <w:color w:val="auto"/>
                <w:highlight w:val="none"/>
                <w:u w:val="single"/>
              </w:rPr>
              <w:t xml:space="preserve">     </w:t>
            </w:r>
            <w:r>
              <w:rPr>
                <w:rFonts w:hint="eastAsia" w:ascii="宋体" w:hAnsi="宋体" w:cs="宋体"/>
                <w:color w:val="auto"/>
                <w:highlight w:val="none"/>
              </w:rPr>
              <w:t>项</w:t>
            </w:r>
            <w:r>
              <w:rPr>
                <w:rFonts w:hint="eastAsia" w:ascii="宋体" w:hAnsi="宋体" w:cs="宋体"/>
                <w:color w:val="auto"/>
                <w:szCs w:val="21"/>
                <w:highlight w:val="none"/>
              </w:rPr>
              <w:t>。</w:t>
            </w:r>
            <w:r>
              <w:rPr>
                <w:rFonts w:hint="eastAsia" w:ascii="宋体" w:hAnsi="宋体" w:cs="宋体"/>
                <w:color w:val="auto"/>
                <w:highlight w:val="none"/>
              </w:rPr>
              <w:t xml:space="preserve"> </w:t>
            </w:r>
            <w:r>
              <w:rPr>
                <w:rFonts w:hint="eastAsia" w:ascii="宋体" w:hAnsi="宋体" w:cs="宋体"/>
                <w:b/>
                <w:bCs/>
                <w:color w:val="auto"/>
                <w:szCs w:val="21"/>
                <w:highlight w:val="none"/>
              </w:rPr>
              <w:t>（注：如有，请逐项列出，如无填写“无”或者留空。）</w:t>
            </w:r>
          </w:p>
        </w:tc>
      </w:tr>
    </w:tbl>
    <w:p>
      <w:pPr>
        <w:pStyle w:val="14"/>
        <w:spacing w:line="360" w:lineRule="auto"/>
        <w:rPr>
          <w:rFonts w:hint="eastAsia" w:hAnsi="宋体" w:cs="宋体"/>
          <w:color w:val="auto"/>
          <w:szCs w:val="21"/>
          <w:highlight w:val="none"/>
        </w:rPr>
      </w:pPr>
    </w:p>
    <w:p>
      <w:pPr>
        <w:pStyle w:val="14"/>
        <w:spacing w:line="360" w:lineRule="auto"/>
        <w:rPr>
          <w:rFonts w:hint="eastAsia" w:hAnsi="宋体" w:cs="宋体"/>
          <w:color w:val="auto"/>
          <w:szCs w:val="21"/>
          <w:highlight w:val="none"/>
        </w:rPr>
      </w:pPr>
      <w:r>
        <w:rPr>
          <w:rFonts w:hint="eastAsia" w:hAnsi="宋体" w:cs="宋体"/>
          <w:color w:val="auto"/>
          <w:szCs w:val="21"/>
          <w:highlight w:val="none"/>
        </w:rPr>
        <w:t>注：</w:t>
      </w:r>
    </w:p>
    <w:p>
      <w:pPr>
        <w:pStyle w:val="14"/>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1.表格内容均需按要求填写并加盖投标人公章。</w:t>
      </w:r>
    </w:p>
    <w:p>
      <w:pPr>
        <w:pStyle w:val="14"/>
        <w:spacing w:line="360" w:lineRule="auto"/>
        <w:ind w:firstLine="420" w:firstLineChars="200"/>
        <w:rPr>
          <w:rFonts w:hint="eastAsia" w:hAnsi="宋体" w:cs="宋体"/>
          <w:color w:val="auto"/>
          <w:szCs w:val="21"/>
          <w:highlight w:val="none"/>
        </w:rPr>
      </w:pPr>
      <w:r>
        <w:rPr>
          <w:rFonts w:hint="eastAsia" w:hAnsi="宋体" w:cs="宋体"/>
          <w:bCs/>
          <w:color w:val="auto"/>
          <w:szCs w:val="21"/>
          <w:highlight w:val="none"/>
        </w:rPr>
        <w:t>2.对本项目招标文件“第二章  采购需求”中“技术参数及配置”的全部条款，详细填写响应的具体内容，并作出偏离说明。“偏离说明”一栏应当选择“正偏离”或“负偏离”或“无偏离”进行填写</w:t>
      </w:r>
      <w:r>
        <w:rPr>
          <w:rFonts w:hint="eastAsia" w:hAnsi="宋体" w:cs="宋体"/>
          <w:color w:val="auto"/>
          <w:szCs w:val="21"/>
          <w:highlight w:val="none"/>
        </w:rPr>
        <w:t>。</w:t>
      </w:r>
    </w:p>
    <w:p>
      <w:pPr>
        <w:pStyle w:val="14"/>
        <w:spacing w:line="360" w:lineRule="auto"/>
        <w:ind w:firstLine="420" w:firstLineChars="200"/>
        <w:rPr>
          <w:rFonts w:hint="eastAsia" w:hAnsi="宋体" w:cs="宋体"/>
          <w:color w:val="auto"/>
          <w:szCs w:val="21"/>
          <w:highlight w:val="none"/>
        </w:rPr>
      </w:pPr>
      <w:r>
        <w:rPr>
          <w:rFonts w:hint="eastAsia" w:hAnsi="宋体" w:cs="宋体"/>
          <w:bCs/>
          <w:color w:val="auto"/>
          <w:szCs w:val="21"/>
          <w:highlight w:val="none"/>
        </w:rPr>
        <w:t>3.当投标文件的</w:t>
      </w:r>
      <w:r>
        <w:rPr>
          <w:rFonts w:hint="eastAsia" w:hAnsi="宋体" w:cs="宋体"/>
          <w:color w:val="auto"/>
          <w:szCs w:val="21"/>
          <w:highlight w:val="none"/>
        </w:rPr>
        <w:t>技术参数及配置</w:t>
      </w:r>
      <w:r>
        <w:rPr>
          <w:rFonts w:hint="eastAsia" w:hAnsi="宋体" w:cs="宋体"/>
          <w:bCs/>
          <w:color w:val="auto"/>
          <w:szCs w:val="21"/>
          <w:highlight w:val="none"/>
        </w:rPr>
        <w:t>内容低于招标文件要求时，投标人应当如实写明“负偏离”。</w:t>
      </w:r>
    </w:p>
    <w:p>
      <w:pPr>
        <w:snapToGrid w:val="0"/>
        <w:spacing w:line="360" w:lineRule="auto"/>
        <w:ind w:firstLine="5640" w:firstLineChars="2350"/>
        <w:rPr>
          <w:rFonts w:hint="eastAsia" w:ascii="宋体" w:hAnsi="宋体" w:cs="宋体"/>
          <w:color w:val="auto"/>
          <w:kern w:val="0"/>
          <w:sz w:val="24"/>
          <w:highlight w:val="none"/>
          <w:lang w:val="zh-CN"/>
        </w:rPr>
      </w:pPr>
    </w:p>
    <w:p>
      <w:pPr>
        <w:pStyle w:val="17"/>
        <w:rPr>
          <w:color w:val="auto"/>
          <w:highlight w:val="none"/>
          <w:lang w:val="zh-CN"/>
        </w:rPr>
      </w:pPr>
    </w:p>
    <w:p>
      <w:pPr>
        <w:snapToGrid w:val="0"/>
        <w:spacing w:line="360" w:lineRule="auto"/>
        <w:ind w:firstLine="5880" w:firstLineChars="2450"/>
        <w:rPr>
          <w:rFonts w:hint="eastAsia" w:ascii="宋体" w:hAnsi="宋体" w:cs="宋体"/>
          <w:color w:val="auto"/>
          <w:kern w:val="0"/>
          <w:sz w:val="24"/>
          <w:highlight w:val="none"/>
        </w:rPr>
      </w:pPr>
      <w:r>
        <w:rPr>
          <w:rFonts w:hint="eastAsia" w:ascii="宋体" w:hAnsi="宋体" w:cs="宋体"/>
          <w:color w:val="auto"/>
          <w:kern w:val="0"/>
          <w:sz w:val="24"/>
          <w:highlight w:val="none"/>
          <w:lang w:val="zh-CN"/>
        </w:rPr>
        <w:t>投标人名称(盖公章)：</w:t>
      </w:r>
    </w:p>
    <w:p>
      <w:pPr>
        <w:snapToGrid w:val="0"/>
        <w:spacing w:line="360" w:lineRule="auto"/>
        <w:ind w:firstLine="5880" w:firstLineChars="245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pPr>
        <w:widowControl/>
        <w:jc w:val="left"/>
        <w:rPr>
          <w:rFonts w:hint="eastAsia" w:ascii="宋体" w:hAnsi="宋体" w:cs="宋体"/>
          <w:color w:val="auto"/>
          <w:sz w:val="30"/>
          <w:szCs w:val="20"/>
          <w:highlight w:val="none"/>
        </w:rPr>
        <w:sectPr>
          <w:pgSz w:w="11906" w:h="16838"/>
          <w:pgMar w:top="1134" w:right="1020" w:bottom="1020" w:left="1134" w:header="720" w:footer="720" w:gutter="0"/>
          <w:pgNumType w:fmt="decimal"/>
          <w:cols w:space="720" w:num="1"/>
          <w:docGrid w:type="lines" w:linePitch="331" w:charSpace="0"/>
        </w:sectPr>
      </w:pPr>
    </w:p>
    <w:p>
      <w:pPr>
        <w:pStyle w:val="20"/>
        <w:snapToGrid w:val="0"/>
        <w:ind w:left="562" w:hanging="562"/>
        <w:rPr>
          <w:rFonts w:hint="eastAsia" w:ascii="宋体" w:hAnsi="宋体" w:cs="宋体"/>
          <w:i/>
          <w:iCs/>
          <w:color w:val="auto"/>
          <w:sz w:val="24"/>
          <w:highlight w:val="none"/>
        </w:rPr>
      </w:pPr>
      <w:r>
        <w:rPr>
          <w:rFonts w:hint="eastAsia" w:ascii="宋体" w:hAnsi="宋体" w:cs="宋体"/>
          <w:b/>
          <w:color w:val="auto"/>
          <w:szCs w:val="28"/>
          <w:highlight w:val="none"/>
        </w:rPr>
        <w:t>9. 项目实施人员一览表、售后服务人员情况表的格式</w:t>
      </w:r>
      <w:r>
        <w:rPr>
          <w:rFonts w:hint="eastAsia" w:ascii="宋体" w:hAnsi="宋体" w:cs="宋体"/>
          <w:b/>
          <w:bCs/>
          <w:color w:val="auto"/>
          <w:sz w:val="30"/>
          <w:szCs w:val="30"/>
          <w:highlight w:val="none"/>
        </w:rPr>
        <w:t>：</w:t>
      </w:r>
    </w:p>
    <w:p>
      <w:pPr>
        <w:autoSpaceDE w:val="0"/>
        <w:autoSpaceDN w:val="0"/>
        <w:spacing w:line="360" w:lineRule="auto"/>
        <w:jc w:val="left"/>
        <w:rPr>
          <w:rFonts w:hint="eastAsia" w:ascii="宋体" w:hAnsi="宋体" w:cs="宋体"/>
          <w:color w:val="auto"/>
          <w:szCs w:val="21"/>
          <w:highlight w:val="none"/>
        </w:rPr>
      </w:pPr>
    </w:p>
    <w:p>
      <w:pPr>
        <w:snapToGrid w:val="0"/>
        <w:spacing w:line="360" w:lineRule="auto"/>
        <w:rPr>
          <w:rFonts w:hint="eastAsia" w:ascii="宋体" w:hAnsi="宋体" w:cs="宋体"/>
          <w:b/>
          <w:color w:val="auto"/>
          <w:sz w:val="24"/>
          <w:highlight w:val="none"/>
        </w:rPr>
      </w:pPr>
    </w:p>
    <w:p>
      <w:pPr>
        <w:pStyle w:val="17"/>
        <w:rPr>
          <w:color w:val="auto"/>
          <w:highlight w:val="none"/>
        </w:rPr>
      </w:pPr>
    </w:p>
    <w:p>
      <w:pPr>
        <w:snapToGrid w:val="0"/>
        <w:spacing w:line="360" w:lineRule="auto"/>
        <w:ind w:firstLine="472" w:firstLineChars="196"/>
        <w:jc w:val="center"/>
        <w:rPr>
          <w:rFonts w:hint="eastAsia" w:ascii="宋体" w:hAnsi="宋体" w:cs="宋体"/>
          <w:b/>
          <w:bCs/>
          <w:color w:val="auto"/>
          <w:kern w:val="0"/>
          <w:sz w:val="24"/>
          <w:highlight w:val="none"/>
          <w:lang w:val="zh-CN"/>
        </w:rPr>
      </w:pPr>
      <w:r>
        <w:rPr>
          <w:rFonts w:hint="eastAsia" w:ascii="宋体" w:hAnsi="宋体" w:cs="宋体"/>
          <w:b/>
          <w:bCs/>
          <w:color w:val="auto"/>
          <w:kern w:val="0"/>
          <w:sz w:val="24"/>
          <w:highlight w:val="none"/>
          <w:lang w:val="zh-CN"/>
        </w:rPr>
        <w:t>项目实施人员一览表（如有要求）</w:t>
      </w:r>
    </w:p>
    <w:p>
      <w:pPr>
        <w:pStyle w:val="14"/>
        <w:rPr>
          <w:color w:val="auto"/>
          <w:sz w:val="24"/>
          <w:szCs w:val="24"/>
          <w:highlight w:val="none"/>
        </w:rPr>
      </w:pPr>
    </w:p>
    <w:p>
      <w:pPr>
        <w:pStyle w:val="14"/>
        <w:rPr>
          <w:color w:val="auto"/>
          <w:highlight w:val="none"/>
          <w:lang w:val="zh-CN"/>
        </w:rPr>
      </w:pPr>
      <w:r>
        <w:rPr>
          <w:rFonts w:hint="eastAsia"/>
          <w:color w:val="auto"/>
          <w:sz w:val="24"/>
          <w:szCs w:val="24"/>
          <w:highlight w:val="none"/>
        </w:rPr>
        <w:t>所投分标（此处有分标时填写具体分标号，无分标时填写“无”）：</w:t>
      </w:r>
      <w:r>
        <w:rPr>
          <w:rFonts w:hint="eastAsia"/>
          <w:color w:val="auto"/>
          <w:sz w:val="24"/>
          <w:szCs w:val="24"/>
          <w:highlight w:val="none"/>
          <w:u w:val="single"/>
        </w:rPr>
        <w:t xml:space="preserve">        </w:t>
      </w:r>
    </w:p>
    <w:p>
      <w:pPr>
        <w:pStyle w:val="17"/>
        <w:rPr>
          <w:rFonts w:hint="eastAsia" w:ascii="宋体" w:hAnsi="宋体" w:cs="宋体"/>
          <w:b/>
          <w:color w:val="auto"/>
          <w:sz w:val="21"/>
          <w:szCs w:val="21"/>
          <w:highlight w:val="none"/>
        </w:rPr>
      </w:pPr>
    </w:p>
    <w:tbl>
      <w:tblPr>
        <w:tblStyle w:val="27"/>
        <w:tblW w:w="9408" w:type="dxa"/>
        <w:tblInd w:w="108" w:type="dxa"/>
        <w:tblLayout w:type="fixed"/>
        <w:tblCellMar>
          <w:top w:w="0" w:type="dxa"/>
          <w:left w:w="108" w:type="dxa"/>
          <w:bottom w:w="0" w:type="dxa"/>
          <w:right w:w="108" w:type="dxa"/>
        </w:tblCellMar>
      </w:tblPr>
      <w:tblGrid>
        <w:gridCol w:w="420"/>
        <w:gridCol w:w="787"/>
        <w:gridCol w:w="489"/>
        <w:gridCol w:w="509"/>
        <w:gridCol w:w="1035"/>
        <w:gridCol w:w="1080"/>
        <w:gridCol w:w="1080"/>
        <w:gridCol w:w="2001"/>
        <w:gridCol w:w="2007"/>
      </w:tblGrid>
      <w:tr>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489"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r>
              <w:rPr>
                <w:rFonts w:hint="eastAsia" w:ascii="宋体" w:hAnsi="宋体" w:cs="宋体"/>
                <w:color w:val="auto"/>
                <w:szCs w:val="21"/>
                <w:highlight w:val="none"/>
              </w:rPr>
              <w:t>性别</w:t>
            </w:r>
          </w:p>
        </w:tc>
        <w:tc>
          <w:tcPr>
            <w:tcW w:w="509"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r>
              <w:rPr>
                <w:rFonts w:hint="eastAsia" w:ascii="宋体" w:hAnsi="宋体" w:cs="宋体"/>
                <w:color w:val="auto"/>
                <w:szCs w:val="21"/>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r>
              <w:rPr>
                <w:rFonts w:hint="eastAsia" w:ascii="宋体" w:hAnsi="宋体" w:cs="宋体"/>
                <w:color w:val="auto"/>
                <w:szCs w:val="21"/>
                <w:highlight w:val="none"/>
              </w:rPr>
              <w:t>学历</w:t>
            </w:r>
          </w:p>
          <w:p>
            <w:pPr>
              <w:autoSpaceDE w:val="0"/>
              <w:autoSpaceDN w:val="0"/>
              <w:jc w:val="center"/>
              <w:rPr>
                <w:rFonts w:hint="eastAsia" w:ascii="宋体" w:hAnsi="宋体" w:cs="宋体"/>
                <w:color w:val="auto"/>
                <w:szCs w:val="21"/>
                <w:highlight w:val="none"/>
              </w:rPr>
            </w:pPr>
            <w:r>
              <w:rPr>
                <w:rFonts w:hint="eastAsia" w:ascii="宋体" w:hAnsi="宋体" w:cs="宋体"/>
                <w:color w:val="auto"/>
                <w:szCs w:val="21"/>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r>
              <w:rPr>
                <w:rFonts w:hint="eastAsia" w:ascii="宋体" w:hAnsi="宋体" w:cs="宋体"/>
                <w:color w:val="auto"/>
                <w:szCs w:val="21"/>
                <w:highlight w:val="none"/>
              </w:rPr>
              <w:t>专业</w:t>
            </w:r>
          </w:p>
          <w:p>
            <w:pPr>
              <w:autoSpaceDE w:val="0"/>
              <w:autoSpaceDN w:val="0"/>
              <w:jc w:val="center"/>
              <w:rPr>
                <w:rFonts w:hint="eastAsia" w:ascii="宋体" w:hAnsi="宋体" w:cs="宋体"/>
                <w:color w:val="auto"/>
                <w:szCs w:val="21"/>
                <w:highlight w:val="none"/>
              </w:rPr>
            </w:pPr>
            <w:r>
              <w:rPr>
                <w:rFonts w:hint="eastAsia" w:ascii="宋体" w:hAnsi="宋体" w:cs="宋体"/>
                <w:color w:val="auto"/>
                <w:szCs w:val="21"/>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r>
              <w:rPr>
                <w:rFonts w:hint="eastAsia" w:ascii="宋体" w:hAnsi="宋体" w:cs="宋体"/>
                <w:color w:val="auto"/>
                <w:szCs w:val="21"/>
                <w:highlight w:val="none"/>
              </w:rPr>
              <w:t>职称或职业资格证书</w:t>
            </w:r>
          </w:p>
          <w:p>
            <w:pPr>
              <w:autoSpaceDE w:val="0"/>
              <w:autoSpaceDN w:val="0"/>
              <w:jc w:val="center"/>
              <w:rPr>
                <w:rFonts w:hint="eastAsia" w:ascii="宋体" w:hAnsi="宋体" w:cs="宋体"/>
                <w:color w:val="auto"/>
                <w:szCs w:val="21"/>
                <w:highlight w:val="none"/>
              </w:rPr>
            </w:pPr>
            <w:r>
              <w:rPr>
                <w:rFonts w:hint="eastAsia" w:ascii="宋体" w:hAnsi="宋体" w:cs="宋体"/>
                <w:color w:val="auto"/>
                <w:szCs w:val="21"/>
                <w:highlight w:val="none"/>
              </w:rPr>
              <w:t>(页码)</w:t>
            </w:r>
          </w:p>
        </w:tc>
        <w:tc>
          <w:tcPr>
            <w:tcW w:w="2001"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r>
              <w:rPr>
                <w:rFonts w:hint="eastAsia" w:ascii="宋体" w:hAnsi="宋体" w:cs="宋体"/>
                <w:color w:val="auto"/>
                <w:szCs w:val="21"/>
                <w:highlight w:val="none"/>
              </w:rPr>
              <w:t>本项目中的职责</w:t>
            </w:r>
          </w:p>
        </w:tc>
        <w:tc>
          <w:tcPr>
            <w:tcW w:w="2007"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r>
              <w:rPr>
                <w:rFonts w:hint="eastAsia" w:ascii="宋体" w:hAnsi="宋体" w:cs="宋体"/>
                <w:color w:val="auto"/>
                <w:szCs w:val="21"/>
                <w:highlight w:val="none"/>
              </w:rPr>
              <w:t>类似项目经历</w:t>
            </w:r>
          </w:p>
        </w:tc>
      </w:tr>
      <w:tr>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pPr>
              <w:autoSpaceDE w:val="0"/>
              <w:autoSpaceDN w:val="0"/>
              <w:jc w:val="center"/>
              <w:rPr>
                <w:rFonts w:hint="eastAsia" w:ascii="宋体" w:hAnsi="宋体" w:cs="宋体"/>
                <w:color w:val="auto"/>
                <w:szCs w:val="21"/>
                <w:highlight w:val="none"/>
              </w:rPr>
            </w:pPr>
          </w:p>
        </w:tc>
        <w:tc>
          <w:tcPr>
            <w:tcW w:w="787" w:type="dxa"/>
            <w:tcBorders>
              <w:top w:val="single" w:color="auto" w:sz="6" w:space="0"/>
              <w:left w:val="single" w:color="auto" w:sz="6" w:space="0"/>
              <w:bottom w:val="single" w:color="auto" w:sz="6" w:space="0"/>
              <w:right w:val="single" w:color="auto" w:sz="6" w:space="0"/>
            </w:tcBorders>
          </w:tcPr>
          <w:p>
            <w:pPr>
              <w:autoSpaceDE w:val="0"/>
              <w:autoSpaceDN w:val="0"/>
              <w:rPr>
                <w:rFonts w:hint="eastAsia" w:ascii="宋体" w:hAnsi="宋体" w:cs="宋体"/>
                <w:color w:val="auto"/>
                <w:szCs w:val="21"/>
                <w:highlight w:val="none"/>
              </w:rPr>
            </w:pPr>
          </w:p>
        </w:tc>
        <w:tc>
          <w:tcPr>
            <w:tcW w:w="489" w:type="dxa"/>
            <w:tcBorders>
              <w:top w:val="single" w:color="auto" w:sz="6" w:space="0"/>
              <w:left w:val="single" w:color="auto" w:sz="6" w:space="0"/>
              <w:bottom w:val="single" w:color="auto" w:sz="6" w:space="0"/>
              <w:right w:val="single" w:color="auto" w:sz="6" w:space="0"/>
            </w:tcBorders>
          </w:tcPr>
          <w:p>
            <w:pPr>
              <w:autoSpaceDE w:val="0"/>
              <w:autoSpaceDN w:val="0"/>
              <w:rPr>
                <w:rFonts w:hint="eastAsia" w:ascii="宋体" w:hAnsi="宋体" w:cs="宋体"/>
                <w:color w:val="auto"/>
                <w:szCs w:val="21"/>
                <w:highlight w:val="none"/>
              </w:rPr>
            </w:pPr>
          </w:p>
        </w:tc>
        <w:tc>
          <w:tcPr>
            <w:tcW w:w="509" w:type="dxa"/>
            <w:tcBorders>
              <w:top w:val="single" w:color="auto" w:sz="6" w:space="0"/>
              <w:left w:val="single" w:color="auto" w:sz="6" w:space="0"/>
              <w:bottom w:val="single" w:color="auto" w:sz="6" w:space="0"/>
              <w:right w:val="single" w:color="auto" w:sz="6" w:space="0"/>
            </w:tcBorders>
          </w:tcPr>
          <w:p>
            <w:pPr>
              <w:autoSpaceDE w:val="0"/>
              <w:autoSpaceDN w:val="0"/>
              <w:rPr>
                <w:rFonts w:hint="eastAsia" w:ascii="宋体" w:hAnsi="宋体" w:cs="宋体"/>
                <w:color w:val="auto"/>
                <w:szCs w:val="21"/>
                <w:highlight w:val="none"/>
              </w:rPr>
            </w:pPr>
          </w:p>
        </w:tc>
        <w:tc>
          <w:tcPr>
            <w:tcW w:w="1035" w:type="dxa"/>
            <w:tcBorders>
              <w:top w:val="single" w:color="auto" w:sz="6" w:space="0"/>
              <w:left w:val="single" w:color="auto" w:sz="6" w:space="0"/>
              <w:bottom w:val="single" w:color="auto" w:sz="6" w:space="0"/>
              <w:right w:val="single" w:color="auto" w:sz="6" w:space="0"/>
            </w:tcBorders>
          </w:tcPr>
          <w:p>
            <w:pPr>
              <w:autoSpaceDE w:val="0"/>
              <w:autoSpaceDN w:val="0"/>
              <w:rPr>
                <w:rFonts w:hint="eastAsia" w:ascii="宋体" w:hAnsi="宋体" w:cs="宋体"/>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tcPr>
          <w:p>
            <w:pPr>
              <w:autoSpaceDE w:val="0"/>
              <w:autoSpaceDN w:val="0"/>
              <w:rPr>
                <w:rFonts w:hint="eastAsia" w:ascii="宋体" w:hAnsi="宋体" w:cs="宋体"/>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tcPr>
          <w:p>
            <w:pPr>
              <w:autoSpaceDE w:val="0"/>
              <w:autoSpaceDN w:val="0"/>
              <w:rPr>
                <w:rFonts w:hint="eastAsia" w:ascii="宋体" w:hAnsi="宋体" w:cs="宋体"/>
                <w:color w:val="auto"/>
                <w:szCs w:val="21"/>
                <w:highlight w:val="none"/>
              </w:rPr>
            </w:pPr>
          </w:p>
        </w:tc>
        <w:tc>
          <w:tcPr>
            <w:tcW w:w="2001" w:type="dxa"/>
            <w:tcBorders>
              <w:top w:val="single" w:color="auto" w:sz="6" w:space="0"/>
              <w:left w:val="single" w:color="auto" w:sz="6" w:space="0"/>
              <w:bottom w:val="single" w:color="auto" w:sz="6" w:space="0"/>
              <w:right w:val="single" w:color="auto" w:sz="6" w:space="0"/>
            </w:tcBorders>
          </w:tcPr>
          <w:p>
            <w:pPr>
              <w:autoSpaceDE w:val="0"/>
              <w:autoSpaceDN w:val="0"/>
              <w:rPr>
                <w:rFonts w:hint="eastAsia" w:ascii="宋体" w:hAnsi="宋体" w:cs="宋体"/>
                <w:color w:val="auto"/>
                <w:szCs w:val="21"/>
                <w:highlight w:val="none"/>
              </w:rPr>
            </w:pPr>
          </w:p>
        </w:tc>
        <w:tc>
          <w:tcPr>
            <w:tcW w:w="2007" w:type="dxa"/>
            <w:tcBorders>
              <w:top w:val="single" w:color="auto" w:sz="6" w:space="0"/>
              <w:left w:val="single" w:color="auto" w:sz="6" w:space="0"/>
              <w:bottom w:val="single" w:color="auto" w:sz="6" w:space="0"/>
              <w:right w:val="single" w:color="auto" w:sz="6" w:space="0"/>
            </w:tcBorders>
          </w:tcPr>
          <w:p>
            <w:pPr>
              <w:autoSpaceDE w:val="0"/>
              <w:autoSpaceDN w:val="0"/>
              <w:rPr>
                <w:rFonts w:hint="eastAsia" w:ascii="宋体" w:hAnsi="宋体" w:cs="宋体"/>
                <w:color w:val="auto"/>
                <w:szCs w:val="21"/>
                <w:highlight w:val="none"/>
              </w:rPr>
            </w:pPr>
          </w:p>
        </w:tc>
      </w:tr>
      <w:tr>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jc w:val="center"/>
              <w:rPr>
                <w:rFonts w:hint="eastAsia" w:ascii="宋体" w:hAnsi="宋体" w:cs="宋体"/>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宋体" w:hAnsi="宋体" w:cs="宋体"/>
                <w:color w:val="auto"/>
                <w:sz w:val="24"/>
                <w:highlight w:val="none"/>
              </w:rPr>
            </w:pPr>
          </w:p>
        </w:tc>
        <w:tc>
          <w:tcPr>
            <w:tcW w:w="489"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宋体" w:hAnsi="宋体" w:cs="宋体"/>
                <w:color w:val="auto"/>
                <w:sz w:val="24"/>
                <w:highlight w:val="none"/>
              </w:rPr>
            </w:pPr>
          </w:p>
        </w:tc>
        <w:tc>
          <w:tcPr>
            <w:tcW w:w="509"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宋体" w:hAnsi="宋体" w:cs="宋体"/>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宋体" w:hAnsi="宋体" w:cs="宋体"/>
                <w:color w:val="auto"/>
                <w:sz w:val="24"/>
                <w:highlight w:val="none"/>
              </w:rPr>
            </w:pPr>
          </w:p>
        </w:tc>
        <w:tc>
          <w:tcPr>
            <w:tcW w:w="2001"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宋体" w:hAnsi="宋体" w:cs="宋体"/>
                <w:color w:val="auto"/>
                <w:sz w:val="24"/>
                <w:highlight w:val="none"/>
              </w:rPr>
            </w:pPr>
          </w:p>
        </w:tc>
        <w:tc>
          <w:tcPr>
            <w:tcW w:w="2007" w:type="dxa"/>
            <w:tcBorders>
              <w:top w:val="single" w:color="auto" w:sz="6" w:space="0"/>
              <w:left w:val="single" w:color="auto" w:sz="6" w:space="0"/>
              <w:bottom w:val="single" w:color="auto" w:sz="6" w:space="0"/>
              <w:right w:val="single" w:color="auto" w:sz="6" w:space="0"/>
            </w:tcBorders>
          </w:tcPr>
          <w:p>
            <w:pPr>
              <w:autoSpaceDE w:val="0"/>
              <w:autoSpaceDN w:val="0"/>
              <w:spacing w:line="360" w:lineRule="auto"/>
              <w:rPr>
                <w:rFonts w:hint="eastAsia" w:ascii="宋体" w:hAnsi="宋体" w:cs="宋体"/>
                <w:color w:val="auto"/>
                <w:sz w:val="24"/>
                <w:highlight w:val="none"/>
              </w:rPr>
            </w:pPr>
          </w:p>
        </w:tc>
      </w:tr>
    </w:tbl>
    <w:p>
      <w:pPr>
        <w:spacing w:line="360" w:lineRule="auto"/>
        <w:rPr>
          <w:rFonts w:hint="eastAsia" w:ascii="宋体" w:hAnsi="宋体" w:cs="宋体"/>
          <w:b/>
          <w:bCs/>
          <w:color w:val="auto"/>
          <w:szCs w:val="21"/>
          <w:highlight w:val="none"/>
        </w:rPr>
      </w:pPr>
      <w:r>
        <w:rPr>
          <w:rFonts w:hint="eastAsia" w:ascii="宋体" w:hAnsi="宋体" w:cs="宋体"/>
          <w:b/>
          <w:color w:val="auto"/>
          <w:szCs w:val="21"/>
          <w:highlight w:val="none"/>
        </w:rPr>
        <w:t>注：投标人可参照上述的格式自行编制，并注明所在商务技术文件页码。</w:t>
      </w:r>
    </w:p>
    <w:p>
      <w:pPr>
        <w:snapToGrid w:val="0"/>
        <w:spacing w:line="360" w:lineRule="auto"/>
        <w:ind w:firstLine="472" w:firstLineChars="196"/>
        <w:rPr>
          <w:rFonts w:hint="eastAsia" w:ascii="宋体" w:hAnsi="宋体" w:cs="宋体"/>
          <w:b/>
          <w:bCs/>
          <w:color w:val="auto"/>
          <w:kern w:val="0"/>
          <w:sz w:val="24"/>
          <w:highlight w:val="none"/>
          <w:lang w:val="zh-CN"/>
        </w:rPr>
      </w:pPr>
    </w:p>
    <w:p>
      <w:pPr>
        <w:snapToGrid w:val="0"/>
        <w:spacing w:line="360" w:lineRule="auto"/>
        <w:ind w:firstLine="5280" w:firstLineChars="2200"/>
        <w:rPr>
          <w:rFonts w:hint="eastAsia" w:ascii="宋体" w:hAnsi="宋体" w:cs="宋体"/>
          <w:color w:val="auto"/>
          <w:kern w:val="0"/>
          <w:sz w:val="24"/>
          <w:highlight w:val="none"/>
        </w:rPr>
      </w:pPr>
      <w:r>
        <w:rPr>
          <w:rFonts w:hint="eastAsia" w:ascii="宋体" w:hAnsi="宋体" w:cs="宋体"/>
          <w:color w:val="auto"/>
          <w:kern w:val="0"/>
          <w:sz w:val="24"/>
          <w:highlight w:val="none"/>
          <w:lang w:val="zh-CN"/>
        </w:rPr>
        <w:t>投标人名称(盖公章)：</w:t>
      </w:r>
    </w:p>
    <w:p>
      <w:pPr>
        <w:snapToGrid w:val="0"/>
        <w:spacing w:line="360" w:lineRule="auto"/>
        <w:ind w:firstLine="5280" w:firstLineChars="2200"/>
        <w:jc w:val="left"/>
        <w:rPr>
          <w:rFonts w:hint="eastAsia" w:ascii="宋体" w:hAnsi="宋体" w:cs="宋体"/>
          <w:b/>
          <w:bCs/>
          <w:color w:val="auto"/>
          <w:sz w:val="24"/>
          <w:highlight w:val="none"/>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pPr>
        <w:snapToGrid w:val="0"/>
        <w:spacing w:line="360" w:lineRule="auto"/>
        <w:jc w:val="center"/>
        <w:rPr>
          <w:rFonts w:hint="eastAsia" w:ascii="宋体" w:hAnsi="宋体" w:cs="宋体"/>
          <w:b/>
          <w:bCs/>
          <w:color w:val="auto"/>
          <w:sz w:val="24"/>
          <w:highlight w:val="none"/>
        </w:rPr>
      </w:pPr>
    </w:p>
    <w:p>
      <w:pPr>
        <w:snapToGrid w:val="0"/>
        <w:spacing w:line="360" w:lineRule="auto"/>
        <w:jc w:val="center"/>
        <w:rPr>
          <w:rFonts w:hint="eastAsia" w:ascii="宋体" w:hAnsi="宋体" w:cs="宋体"/>
          <w:b/>
          <w:bCs/>
          <w:color w:val="auto"/>
          <w:sz w:val="24"/>
          <w:highlight w:val="none"/>
        </w:rPr>
      </w:pPr>
      <w:r>
        <w:rPr>
          <w:rFonts w:hint="eastAsia" w:ascii="宋体" w:hAnsi="宋体" w:cs="宋体"/>
          <w:b/>
          <w:bCs/>
          <w:color w:val="auto"/>
          <w:sz w:val="24"/>
          <w:highlight w:val="none"/>
        </w:rPr>
        <w:t xml:space="preserve">                    </w:t>
      </w:r>
    </w:p>
    <w:p>
      <w:pPr>
        <w:autoSpaceDE w:val="0"/>
        <w:autoSpaceDN w:val="0"/>
        <w:spacing w:line="360" w:lineRule="auto"/>
        <w:rPr>
          <w:rFonts w:hint="eastAsia" w:ascii="宋体" w:hAnsi="宋体" w:cs="宋体"/>
          <w:color w:val="auto"/>
          <w:sz w:val="24"/>
          <w:highlight w:val="none"/>
        </w:rPr>
      </w:pPr>
      <w:r>
        <w:rPr>
          <w:rFonts w:hint="eastAsia" w:ascii="宋体" w:hAnsi="宋体" w:cs="宋体"/>
          <w:b/>
          <w:bCs/>
          <w:color w:val="auto"/>
          <w:sz w:val="24"/>
          <w:highlight w:val="none"/>
        </w:rPr>
        <w:t xml:space="preserve">                            </w:t>
      </w:r>
      <w:r>
        <w:rPr>
          <w:rFonts w:hint="eastAsia" w:ascii="宋体" w:hAnsi="宋体" w:cs="宋体"/>
          <w:b/>
          <w:color w:val="auto"/>
          <w:kern w:val="0"/>
          <w:sz w:val="24"/>
          <w:highlight w:val="none"/>
        </w:rPr>
        <w:t>售后服务人员情况表</w:t>
      </w:r>
      <w:r>
        <w:rPr>
          <w:rFonts w:hint="eastAsia" w:ascii="宋体" w:hAnsi="宋体" w:cs="宋体"/>
          <w:color w:val="auto"/>
          <w:sz w:val="24"/>
          <w:highlight w:val="none"/>
        </w:rPr>
        <w:t>（如有要求，参照此格式自制）</w:t>
      </w:r>
    </w:p>
    <w:p>
      <w:pPr>
        <w:pStyle w:val="17"/>
        <w:rPr>
          <w:color w:val="auto"/>
          <w:highlight w:val="none"/>
        </w:rPr>
      </w:pPr>
    </w:p>
    <w:tbl>
      <w:tblPr>
        <w:tblStyle w:val="27"/>
        <w:tblW w:w="9854" w:type="dxa"/>
        <w:jc w:val="center"/>
        <w:tblLayout w:type="fixed"/>
        <w:tblCellMar>
          <w:top w:w="0" w:type="dxa"/>
          <w:left w:w="108" w:type="dxa"/>
          <w:bottom w:w="0" w:type="dxa"/>
          <w:right w:w="108" w:type="dxa"/>
        </w:tblCellMar>
      </w:tblPr>
      <w:tblGrid>
        <w:gridCol w:w="451"/>
        <w:gridCol w:w="971"/>
        <w:gridCol w:w="725"/>
        <w:gridCol w:w="406"/>
        <w:gridCol w:w="886"/>
        <w:gridCol w:w="2128"/>
        <w:gridCol w:w="1064"/>
        <w:gridCol w:w="1242"/>
        <w:gridCol w:w="886"/>
        <w:gridCol w:w="1095"/>
      </w:tblGrid>
      <w:tr>
        <w:tblPrEx>
          <w:tblCellMar>
            <w:top w:w="0" w:type="dxa"/>
            <w:left w:w="108" w:type="dxa"/>
            <w:bottom w:w="0" w:type="dxa"/>
            <w:right w:w="108" w:type="dxa"/>
          </w:tblCellMar>
        </w:tblPrEx>
        <w:trPr>
          <w:jc w:val="center"/>
        </w:trPr>
        <w:tc>
          <w:tcPr>
            <w:tcW w:w="451" w:type="dxa"/>
            <w:tcBorders>
              <w:top w:val="single" w:color="auto" w:sz="6" w:space="0"/>
              <w:left w:val="single" w:color="auto" w:sz="6" w:space="0"/>
              <w:bottom w:val="single" w:color="auto" w:sz="6" w:space="0"/>
              <w:right w:val="single" w:color="auto" w:sz="4" w:space="0"/>
            </w:tcBorders>
            <w:vAlign w:val="center"/>
          </w:tcPr>
          <w:p>
            <w:pPr>
              <w:autoSpaceDE w:val="0"/>
              <w:autoSpaceDN w:val="0"/>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971" w:type="dxa"/>
            <w:tcBorders>
              <w:top w:val="single" w:color="auto" w:sz="6" w:space="0"/>
              <w:left w:val="single" w:color="auto" w:sz="4"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r>
              <w:rPr>
                <w:rFonts w:hint="eastAsia" w:ascii="宋体" w:hAnsi="宋体" w:cs="宋体"/>
                <w:color w:val="auto"/>
                <w:szCs w:val="21"/>
                <w:highlight w:val="none"/>
              </w:rPr>
              <w:t>类别</w:t>
            </w:r>
          </w:p>
        </w:tc>
        <w:tc>
          <w:tcPr>
            <w:tcW w:w="725"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406"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r>
              <w:rPr>
                <w:rFonts w:hint="eastAsia" w:ascii="宋体" w:hAnsi="宋体" w:cs="宋体"/>
                <w:color w:val="auto"/>
                <w:szCs w:val="21"/>
                <w:highlight w:val="none"/>
              </w:rPr>
              <w:t>性别</w:t>
            </w:r>
          </w:p>
        </w:tc>
        <w:tc>
          <w:tcPr>
            <w:tcW w:w="886"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r>
              <w:rPr>
                <w:rFonts w:hint="eastAsia" w:ascii="宋体" w:hAnsi="宋体" w:cs="宋体"/>
                <w:color w:val="auto"/>
                <w:szCs w:val="21"/>
                <w:highlight w:val="none"/>
              </w:rPr>
              <w:t>年龄</w:t>
            </w:r>
          </w:p>
        </w:tc>
        <w:tc>
          <w:tcPr>
            <w:tcW w:w="2128"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r>
              <w:rPr>
                <w:rFonts w:hint="eastAsia" w:ascii="宋体" w:hAnsi="宋体" w:cs="宋体"/>
                <w:color w:val="auto"/>
                <w:szCs w:val="21"/>
                <w:highlight w:val="none"/>
              </w:rPr>
              <w:t>学历及专业</w:t>
            </w:r>
          </w:p>
        </w:tc>
        <w:tc>
          <w:tcPr>
            <w:tcW w:w="1064"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r>
              <w:rPr>
                <w:rFonts w:hint="eastAsia" w:ascii="宋体" w:hAnsi="宋体" w:cs="宋体"/>
                <w:color w:val="auto"/>
                <w:szCs w:val="21"/>
                <w:highlight w:val="none"/>
              </w:rPr>
              <w:t>职称/职业资格证书</w:t>
            </w:r>
          </w:p>
        </w:tc>
        <w:tc>
          <w:tcPr>
            <w:tcW w:w="1242"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r>
              <w:rPr>
                <w:rFonts w:hint="eastAsia" w:ascii="宋体" w:hAnsi="宋体" w:cs="宋体"/>
                <w:color w:val="auto"/>
                <w:szCs w:val="21"/>
                <w:highlight w:val="none"/>
              </w:rPr>
              <w:t>本项目中的职责</w:t>
            </w:r>
          </w:p>
        </w:tc>
        <w:tc>
          <w:tcPr>
            <w:tcW w:w="886"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r>
              <w:rPr>
                <w:rFonts w:hint="eastAsia" w:ascii="宋体" w:hAnsi="宋体" w:cs="宋体"/>
                <w:color w:val="auto"/>
                <w:szCs w:val="21"/>
                <w:highlight w:val="none"/>
              </w:rPr>
              <w:t>响应时间</w:t>
            </w:r>
          </w:p>
        </w:tc>
        <w:tc>
          <w:tcPr>
            <w:tcW w:w="1095"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r>
              <w:rPr>
                <w:rFonts w:hint="eastAsia" w:ascii="宋体" w:hAnsi="宋体" w:cs="宋体"/>
                <w:color w:val="auto"/>
                <w:szCs w:val="21"/>
                <w:highlight w:val="none"/>
              </w:rPr>
              <w:t>到达现场时间</w:t>
            </w:r>
          </w:p>
        </w:tc>
      </w:tr>
      <w:tr>
        <w:tblPrEx>
          <w:tblCellMar>
            <w:top w:w="0" w:type="dxa"/>
            <w:left w:w="108" w:type="dxa"/>
            <w:bottom w:w="0" w:type="dxa"/>
            <w:right w:w="108" w:type="dxa"/>
          </w:tblCellMar>
        </w:tblPrEx>
        <w:trPr>
          <w:trHeight w:val="607" w:hRule="atLeast"/>
          <w:jc w:val="center"/>
        </w:trPr>
        <w:tc>
          <w:tcPr>
            <w:tcW w:w="451" w:type="dxa"/>
            <w:tcBorders>
              <w:top w:val="single" w:color="auto" w:sz="6" w:space="0"/>
              <w:left w:val="single" w:color="auto" w:sz="6" w:space="0"/>
              <w:bottom w:val="single" w:color="auto" w:sz="6" w:space="0"/>
              <w:right w:val="single" w:color="auto" w:sz="4" w:space="0"/>
            </w:tcBorders>
            <w:vAlign w:val="center"/>
          </w:tcPr>
          <w:p>
            <w:pPr>
              <w:autoSpaceDE w:val="0"/>
              <w:autoSpaceDN w:val="0"/>
              <w:jc w:val="center"/>
              <w:rPr>
                <w:rFonts w:hint="eastAsia" w:ascii="宋体" w:hAnsi="宋体" w:cs="宋体"/>
                <w:color w:val="auto"/>
                <w:szCs w:val="21"/>
                <w:highlight w:val="none"/>
              </w:rPr>
            </w:pPr>
          </w:p>
        </w:tc>
        <w:tc>
          <w:tcPr>
            <w:tcW w:w="971" w:type="dxa"/>
            <w:tcBorders>
              <w:top w:val="single" w:color="auto" w:sz="6" w:space="0"/>
              <w:left w:val="single" w:color="auto" w:sz="4"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r>
              <w:rPr>
                <w:rFonts w:hint="eastAsia" w:ascii="宋体" w:hAnsi="宋体" w:cs="宋体"/>
                <w:color w:val="auto"/>
                <w:szCs w:val="21"/>
                <w:highlight w:val="none"/>
              </w:rPr>
              <w:t>负责人</w:t>
            </w:r>
          </w:p>
        </w:tc>
        <w:tc>
          <w:tcPr>
            <w:tcW w:w="725"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p>
        </w:tc>
        <w:tc>
          <w:tcPr>
            <w:tcW w:w="406"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p>
        </w:tc>
        <w:tc>
          <w:tcPr>
            <w:tcW w:w="886"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p>
        </w:tc>
        <w:tc>
          <w:tcPr>
            <w:tcW w:w="2128"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p>
        </w:tc>
        <w:tc>
          <w:tcPr>
            <w:tcW w:w="1064"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p>
        </w:tc>
        <w:tc>
          <w:tcPr>
            <w:tcW w:w="1242"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p>
        </w:tc>
        <w:tc>
          <w:tcPr>
            <w:tcW w:w="886"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p>
        </w:tc>
        <w:tc>
          <w:tcPr>
            <w:tcW w:w="1095"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p>
        </w:tc>
      </w:tr>
      <w:tr>
        <w:tblPrEx>
          <w:tblCellMar>
            <w:top w:w="0" w:type="dxa"/>
            <w:left w:w="108" w:type="dxa"/>
            <w:bottom w:w="0" w:type="dxa"/>
            <w:right w:w="108" w:type="dxa"/>
          </w:tblCellMar>
        </w:tblPrEx>
        <w:trPr>
          <w:trHeight w:val="595" w:hRule="atLeast"/>
          <w:jc w:val="center"/>
        </w:trPr>
        <w:tc>
          <w:tcPr>
            <w:tcW w:w="451" w:type="dxa"/>
            <w:tcBorders>
              <w:top w:val="single" w:color="auto" w:sz="6" w:space="0"/>
              <w:left w:val="single" w:color="auto" w:sz="6" w:space="0"/>
              <w:bottom w:val="single" w:color="auto" w:sz="6" w:space="0"/>
              <w:right w:val="single" w:color="auto" w:sz="4" w:space="0"/>
            </w:tcBorders>
            <w:vAlign w:val="center"/>
          </w:tcPr>
          <w:p>
            <w:pPr>
              <w:autoSpaceDE w:val="0"/>
              <w:autoSpaceDN w:val="0"/>
              <w:jc w:val="center"/>
              <w:rPr>
                <w:rFonts w:hint="eastAsia" w:ascii="宋体" w:hAnsi="宋体" w:cs="宋体"/>
                <w:color w:val="auto"/>
                <w:szCs w:val="21"/>
                <w:highlight w:val="none"/>
              </w:rPr>
            </w:pPr>
          </w:p>
        </w:tc>
        <w:tc>
          <w:tcPr>
            <w:tcW w:w="971" w:type="dxa"/>
            <w:tcBorders>
              <w:top w:val="single" w:color="auto" w:sz="6" w:space="0"/>
              <w:left w:val="single" w:color="auto" w:sz="4"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r>
              <w:rPr>
                <w:rFonts w:hint="eastAsia" w:ascii="宋体" w:hAnsi="宋体" w:cs="宋体"/>
                <w:color w:val="auto"/>
                <w:szCs w:val="21"/>
                <w:highlight w:val="none"/>
              </w:rPr>
              <w:t>售后人员</w:t>
            </w:r>
          </w:p>
        </w:tc>
        <w:tc>
          <w:tcPr>
            <w:tcW w:w="725"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p>
        </w:tc>
        <w:tc>
          <w:tcPr>
            <w:tcW w:w="406"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p>
        </w:tc>
        <w:tc>
          <w:tcPr>
            <w:tcW w:w="886"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p>
        </w:tc>
        <w:tc>
          <w:tcPr>
            <w:tcW w:w="2128"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p>
        </w:tc>
        <w:tc>
          <w:tcPr>
            <w:tcW w:w="1064"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p>
        </w:tc>
        <w:tc>
          <w:tcPr>
            <w:tcW w:w="1242"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p>
        </w:tc>
        <w:tc>
          <w:tcPr>
            <w:tcW w:w="886"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p>
        </w:tc>
        <w:tc>
          <w:tcPr>
            <w:tcW w:w="1095"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p>
        </w:tc>
      </w:tr>
      <w:tr>
        <w:tblPrEx>
          <w:tblCellMar>
            <w:top w:w="0" w:type="dxa"/>
            <w:left w:w="108" w:type="dxa"/>
            <w:bottom w:w="0" w:type="dxa"/>
            <w:right w:w="108" w:type="dxa"/>
          </w:tblCellMar>
        </w:tblPrEx>
        <w:trPr>
          <w:trHeight w:val="595" w:hRule="atLeast"/>
          <w:jc w:val="center"/>
        </w:trPr>
        <w:tc>
          <w:tcPr>
            <w:tcW w:w="451" w:type="dxa"/>
            <w:tcBorders>
              <w:top w:val="single" w:color="auto" w:sz="6" w:space="0"/>
              <w:left w:val="single" w:color="auto" w:sz="6" w:space="0"/>
              <w:bottom w:val="single" w:color="auto" w:sz="6" w:space="0"/>
              <w:right w:val="single" w:color="auto" w:sz="4" w:space="0"/>
            </w:tcBorders>
            <w:vAlign w:val="center"/>
          </w:tcPr>
          <w:p>
            <w:pPr>
              <w:autoSpaceDE w:val="0"/>
              <w:autoSpaceDN w:val="0"/>
              <w:jc w:val="center"/>
              <w:rPr>
                <w:rFonts w:hint="eastAsia" w:ascii="宋体" w:hAnsi="宋体" w:cs="宋体"/>
                <w:color w:val="auto"/>
                <w:szCs w:val="21"/>
                <w:highlight w:val="none"/>
              </w:rPr>
            </w:pPr>
          </w:p>
        </w:tc>
        <w:tc>
          <w:tcPr>
            <w:tcW w:w="971" w:type="dxa"/>
            <w:tcBorders>
              <w:top w:val="single" w:color="auto" w:sz="6" w:space="0"/>
              <w:left w:val="single" w:color="auto" w:sz="4"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725"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p>
        </w:tc>
        <w:tc>
          <w:tcPr>
            <w:tcW w:w="406"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p>
        </w:tc>
        <w:tc>
          <w:tcPr>
            <w:tcW w:w="886"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p>
        </w:tc>
        <w:tc>
          <w:tcPr>
            <w:tcW w:w="2128"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p>
        </w:tc>
        <w:tc>
          <w:tcPr>
            <w:tcW w:w="1064"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p>
        </w:tc>
        <w:tc>
          <w:tcPr>
            <w:tcW w:w="1242"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p>
        </w:tc>
        <w:tc>
          <w:tcPr>
            <w:tcW w:w="886"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p>
        </w:tc>
        <w:tc>
          <w:tcPr>
            <w:tcW w:w="1095" w:type="dxa"/>
            <w:tcBorders>
              <w:top w:val="single" w:color="auto" w:sz="6" w:space="0"/>
              <w:left w:val="single" w:color="auto" w:sz="6" w:space="0"/>
              <w:bottom w:val="single" w:color="auto" w:sz="6" w:space="0"/>
              <w:right w:val="single" w:color="auto" w:sz="6" w:space="0"/>
            </w:tcBorders>
            <w:vAlign w:val="center"/>
          </w:tcPr>
          <w:p>
            <w:pPr>
              <w:autoSpaceDE w:val="0"/>
              <w:autoSpaceDN w:val="0"/>
              <w:jc w:val="center"/>
              <w:rPr>
                <w:rFonts w:hint="eastAsia" w:ascii="宋体" w:hAnsi="宋体" w:cs="宋体"/>
                <w:color w:val="auto"/>
                <w:szCs w:val="21"/>
                <w:highlight w:val="none"/>
              </w:rPr>
            </w:pPr>
          </w:p>
        </w:tc>
      </w:tr>
    </w:tbl>
    <w:p>
      <w:pPr>
        <w:pStyle w:val="17"/>
        <w:rPr>
          <w:rFonts w:hint="eastAsia" w:ascii="宋体" w:hAnsi="宋体" w:cs="宋体"/>
          <w:color w:val="auto"/>
          <w:sz w:val="21"/>
          <w:szCs w:val="21"/>
          <w:highlight w:val="none"/>
        </w:rPr>
      </w:pPr>
    </w:p>
    <w:p>
      <w:pPr>
        <w:pStyle w:val="17"/>
        <w:rPr>
          <w:color w:val="auto"/>
          <w:highlight w:val="none"/>
        </w:rPr>
      </w:pPr>
    </w:p>
    <w:p>
      <w:pPr>
        <w:snapToGrid w:val="0"/>
        <w:spacing w:line="360" w:lineRule="auto"/>
        <w:ind w:firstLine="5280" w:firstLineChars="2200"/>
        <w:rPr>
          <w:rFonts w:hint="eastAsia" w:ascii="宋体" w:hAnsi="宋体" w:cs="宋体"/>
          <w:color w:val="auto"/>
          <w:kern w:val="0"/>
          <w:sz w:val="24"/>
          <w:highlight w:val="none"/>
        </w:rPr>
      </w:pPr>
      <w:r>
        <w:rPr>
          <w:rFonts w:hint="eastAsia" w:ascii="宋体" w:hAnsi="宋体" w:cs="宋体"/>
          <w:color w:val="auto"/>
          <w:kern w:val="0"/>
          <w:sz w:val="24"/>
          <w:highlight w:val="none"/>
          <w:lang w:val="zh-CN"/>
        </w:rPr>
        <w:t>投标人名称(盖公章)：</w:t>
      </w:r>
    </w:p>
    <w:p>
      <w:pPr>
        <w:snapToGrid w:val="0"/>
        <w:spacing w:line="360" w:lineRule="auto"/>
        <w:jc w:val="center"/>
        <w:rPr>
          <w:rFonts w:hint="eastAsia" w:ascii="宋体" w:hAnsi="宋体" w:cs="宋体"/>
          <w:b/>
          <w:bCs/>
          <w:color w:val="auto"/>
          <w:sz w:val="24"/>
          <w:highlight w:val="none"/>
        </w:rPr>
      </w:pP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pPr>
        <w:snapToGrid w:val="0"/>
        <w:spacing w:line="360" w:lineRule="auto"/>
        <w:jc w:val="center"/>
        <w:rPr>
          <w:rFonts w:hint="eastAsia" w:ascii="宋体" w:hAnsi="宋体" w:cs="宋体"/>
          <w:b/>
          <w:bCs/>
          <w:color w:val="auto"/>
          <w:sz w:val="24"/>
          <w:highlight w:val="none"/>
        </w:rPr>
      </w:pPr>
    </w:p>
    <w:p>
      <w:pPr>
        <w:pStyle w:val="14"/>
        <w:jc w:val="center"/>
        <w:outlineLvl w:val="1"/>
        <w:rPr>
          <w:rFonts w:hint="eastAsia" w:hAnsi="宋体" w:cs="宋体"/>
          <w:b/>
          <w:bCs/>
          <w:color w:val="auto"/>
          <w:sz w:val="28"/>
          <w:szCs w:val="28"/>
          <w:highlight w:val="none"/>
        </w:rPr>
      </w:pPr>
      <w:r>
        <w:rPr>
          <w:rFonts w:hint="eastAsia" w:hAnsi="宋体" w:cs="宋体"/>
          <w:b/>
          <w:bCs/>
          <w:color w:val="auto"/>
          <w:sz w:val="24"/>
          <w:szCs w:val="24"/>
          <w:highlight w:val="none"/>
        </w:rPr>
        <w:br w:type="page"/>
      </w:r>
      <w:bookmarkStart w:id="315" w:name="_Toc27076"/>
      <w:bookmarkStart w:id="316" w:name="_Toc10710"/>
      <w:bookmarkStart w:id="317" w:name="_Toc31296"/>
      <w:bookmarkStart w:id="318" w:name="_Toc17482"/>
      <w:bookmarkStart w:id="319" w:name="_Toc21638"/>
      <w:r>
        <w:rPr>
          <w:rFonts w:hint="eastAsia" w:hAnsi="宋体" w:cs="宋体"/>
          <w:b/>
          <w:bCs/>
          <w:color w:val="auto"/>
          <w:sz w:val="28"/>
          <w:szCs w:val="28"/>
          <w:highlight w:val="none"/>
        </w:rPr>
        <w:t>第三节 报价文件格式</w:t>
      </w:r>
      <w:bookmarkEnd w:id="315"/>
      <w:bookmarkEnd w:id="316"/>
      <w:bookmarkEnd w:id="317"/>
      <w:bookmarkEnd w:id="318"/>
      <w:bookmarkEnd w:id="319"/>
    </w:p>
    <w:p>
      <w:pPr>
        <w:snapToGrid w:val="0"/>
        <w:spacing w:before="165" w:beforeLines="50" w:after="50" w:line="400" w:lineRule="exact"/>
        <w:jc w:val="left"/>
        <w:rPr>
          <w:rFonts w:hint="eastAsia" w:ascii="宋体" w:hAnsi="宋体" w:cs="宋体"/>
          <w:color w:val="auto"/>
          <w:sz w:val="24"/>
          <w:highlight w:val="none"/>
        </w:rPr>
      </w:pPr>
    </w:p>
    <w:p>
      <w:pPr>
        <w:snapToGrid w:val="0"/>
        <w:spacing w:before="165" w:beforeLines="50" w:after="50" w:line="400" w:lineRule="exact"/>
        <w:jc w:val="left"/>
        <w:rPr>
          <w:rFonts w:hint="eastAsia" w:ascii="宋体" w:hAnsi="宋体" w:cs="宋体"/>
          <w:b/>
          <w:bCs/>
          <w:color w:val="auto"/>
          <w:sz w:val="28"/>
          <w:szCs w:val="28"/>
          <w:highlight w:val="none"/>
        </w:rPr>
      </w:pPr>
      <w:r>
        <w:rPr>
          <w:rFonts w:hint="eastAsia" w:ascii="宋体" w:hAnsi="宋体" w:cs="宋体"/>
          <w:color w:val="auto"/>
          <w:sz w:val="24"/>
          <w:highlight w:val="none"/>
        </w:rPr>
        <w:t xml:space="preserve"> </w:t>
      </w:r>
      <w:r>
        <w:rPr>
          <w:rFonts w:hint="eastAsia" w:ascii="宋体" w:hAnsi="宋体" w:cs="宋体"/>
          <w:b/>
          <w:bCs/>
          <w:color w:val="auto"/>
          <w:sz w:val="28"/>
          <w:szCs w:val="28"/>
          <w:highlight w:val="none"/>
        </w:rPr>
        <w:t>1.报价文件封面的格式</w:t>
      </w:r>
      <w:r>
        <w:rPr>
          <w:rFonts w:hint="eastAsia" w:ascii="宋体" w:hAnsi="宋体" w:cs="宋体"/>
          <w:b/>
          <w:color w:val="auto"/>
          <w:sz w:val="28"/>
          <w:szCs w:val="28"/>
          <w:highlight w:val="none"/>
        </w:rPr>
        <w:t>（参照此格式自拟）</w:t>
      </w:r>
      <w:r>
        <w:rPr>
          <w:rFonts w:hint="eastAsia" w:ascii="宋体" w:hAnsi="宋体" w:cs="宋体"/>
          <w:b/>
          <w:bCs/>
          <w:color w:val="auto"/>
          <w:sz w:val="28"/>
          <w:szCs w:val="28"/>
          <w:highlight w:val="none"/>
        </w:rPr>
        <w:t xml:space="preserve">： </w:t>
      </w:r>
    </w:p>
    <w:p>
      <w:pPr>
        <w:snapToGrid w:val="0"/>
        <w:spacing w:before="165" w:beforeLines="50" w:after="50" w:line="400" w:lineRule="exact"/>
        <w:jc w:val="left"/>
        <w:rPr>
          <w:rFonts w:hint="eastAsia" w:ascii="宋体" w:hAnsi="宋体" w:cs="宋体"/>
          <w:b/>
          <w:bCs/>
          <w:color w:val="auto"/>
          <w:sz w:val="28"/>
          <w:szCs w:val="28"/>
          <w:highlight w:val="none"/>
        </w:rPr>
      </w:pPr>
    </w:p>
    <w:p>
      <w:pPr>
        <w:snapToGrid w:val="0"/>
        <w:spacing w:before="165" w:beforeLines="50" w:after="50" w:line="400" w:lineRule="exact"/>
        <w:jc w:val="left"/>
        <w:rPr>
          <w:rFonts w:hint="eastAsia" w:ascii="宋体" w:hAnsi="宋体" w:cs="宋体"/>
          <w:color w:val="auto"/>
          <w:sz w:val="24"/>
          <w:highlight w:val="none"/>
        </w:rPr>
      </w:pPr>
      <w:r>
        <w:rPr>
          <w:rFonts w:hint="eastAsia" w:ascii="宋体" w:hAnsi="宋体" w:cs="宋体"/>
          <w:b/>
          <w:bCs/>
          <w:color w:val="auto"/>
          <w:sz w:val="28"/>
          <w:szCs w:val="28"/>
          <w:highlight w:val="none"/>
        </w:rPr>
        <w:t xml:space="preserve">   </w:t>
      </w:r>
      <w:r>
        <w:rPr>
          <w:rFonts w:hint="eastAsia" w:ascii="宋体" w:hAnsi="宋体" w:cs="宋体"/>
          <w:color w:val="auto"/>
          <w:sz w:val="24"/>
          <w:highlight w:val="none"/>
        </w:rPr>
        <w:t xml:space="preserve">                                            </w:t>
      </w:r>
    </w:p>
    <w:p>
      <w:pPr>
        <w:snapToGrid w:val="0"/>
        <w:spacing w:before="165" w:beforeLines="50" w:after="50" w:line="400" w:lineRule="exact"/>
        <w:ind w:firstLine="5760" w:firstLineChars="2400"/>
        <w:rPr>
          <w:rFonts w:hint="eastAsia" w:ascii="宋体" w:hAnsi="宋体" w:cs="宋体"/>
          <w:bCs/>
          <w:color w:val="auto"/>
          <w:sz w:val="32"/>
          <w:szCs w:val="20"/>
          <w:highlight w:val="none"/>
        </w:rPr>
      </w:pPr>
      <w:r>
        <w:rPr>
          <w:rFonts w:hint="eastAsia" w:ascii="宋体" w:hAnsi="宋体" w:cs="宋体"/>
          <w:color w:val="auto"/>
          <w:sz w:val="24"/>
          <w:highlight w:val="none"/>
        </w:rPr>
        <w:t xml:space="preserve">    </w:t>
      </w:r>
      <w:r>
        <w:rPr>
          <w:rFonts w:hint="eastAsia" w:ascii="宋体" w:hAnsi="宋体" w:cs="宋体"/>
          <w:bCs/>
          <w:color w:val="auto"/>
          <w:highlight w:val="none"/>
        </w:rPr>
        <w:t>电子版投标文件</w:t>
      </w:r>
    </w:p>
    <w:p>
      <w:pPr>
        <w:snapToGrid w:val="0"/>
        <w:spacing w:before="165" w:beforeLines="50" w:after="50" w:line="400" w:lineRule="exact"/>
        <w:jc w:val="center"/>
        <w:rPr>
          <w:rFonts w:hint="eastAsia" w:ascii="宋体" w:hAnsi="宋体" w:cs="宋体"/>
          <w:bCs/>
          <w:color w:val="auto"/>
          <w:sz w:val="24"/>
          <w:szCs w:val="20"/>
          <w:highlight w:val="none"/>
        </w:rPr>
      </w:pPr>
    </w:p>
    <w:p>
      <w:pPr>
        <w:snapToGrid w:val="0"/>
        <w:spacing w:before="165" w:beforeLines="50" w:after="50" w:line="400" w:lineRule="exact"/>
        <w:jc w:val="center"/>
        <w:rPr>
          <w:rFonts w:hint="eastAsia" w:ascii="宋体" w:hAnsi="宋体" w:cs="宋体"/>
          <w:b/>
          <w:bCs/>
          <w:color w:val="auto"/>
          <w:sz w:val="32"/>
          <w:szCs w:val="32"/>
          <w:highlight w:val="none"/>
        </w:rPr>
      </w:pPr>
    </w:p>
    <w:p>
      <w:pPr>
        <w:snapToGrid w:val="0"/>
        <w:spacing w:before="165" w:beforeLines="50" w:after="50" w:line="400" w:lineRule="exact"/>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报价文件</w:t>
      </w:r>
    </w:p>
    <w:p>
      <w:pPr>
        <w:snapToGrid w:val="0"/>
        <w:spacing w:before="165" w:beforeLines="50" w:after="50" w:line="400" w:lineRule="exact"/>
        <w:rPr>
          <w:rFonts w:hint="eastAsia" w:ascii="宋体" w:hAnsi="宋体" w:cs="宋体"/>
          <w:bCs/>
          <w:color w:val="auto"/>
          <w:sz w:val="24"/>
          <w:szCs w:val="20"/>
          <w:highlight w:val="none"/>
        </w:rPr>
      </w:pPr>
    </w:p>
    <w:p>
      <w:pPr>
        <w:snapToGrid w:val="0"/>
        <w:spacing w:before="165" w:beforeLines="50" w:after="50" w:line="400" w:lineRule="exact"/>
        <w:rPr>
          <w:rFonts w:hint="eastAsia" w:ascii="宋体" w:hAnsi="宋体" w:cs="宋体"/>
          <w:bCs/>
          <w:color w:val="auto"/>
          <w:sz w:val="24"/>
          <w:szCs w:val="20"/>
          <w:highlight w:val="none"/>
        </w:rPr>
      </w:pPr>
    </w:p>
    <w:p>
      <w:pPr>
        <w:snapToGrid w:val="0"/>
        <w:spacing w:before="165" w:beforeLines="50" w:after="50" w:line="400" w:lineRule="exact"/>
        <w:rPr>
          <w:rFonts w:hint="eastAsia" w:ascii="宋体" w:hAnsi="宋体" w:cs="宋体"/>
          <w:bCs/>
          <w:color w:val="auto"/>
          <w:sz w:val="24"/>
          <w:szCs w:val="20"/>
          <w:highlight w:val="none"/>
        </w:rPr>
      </w:pPr>
    </w:p>
    <w:p>
      <w:pPr>
        <w:snapToGrid w:val="0"/>
        <w:spacing w:before="165" w:beforeLines="50" w:after="50" w:line="400" w:lineRule="exact"/>
        <w:rPr>
          <w:rFonts w:hint="eastAsia" w:ascii="宋体" w:hAnsi="宋体" w:cs="宋体"/>
          <w:bCs/>
          <w:color w:val="auto"/>
          <w:sz w:val="24"/>
          <w:szCs w:val="20"/>
          <w:highlight w:val="none"/>
        </w:rPr>
      </w:pPr>
    </w:p>
    <w:p>
      <w:pPr>
        <w:snapToGrid w:val="0"/>
        <w:spacing w:before="165" w:beforeLines="50" w:after="50" w:line="400" w:lineRule="exact"/>
        <w:ind w:firstLine="360" w:firstLineChars="150"/>
        <w:rPr>
          <w:rFonts w:hint="eastAsia" w:ascii="宋体" w:hAnsi="宋体" w:cs="宋体"/>
          <w:bCs/>
          <w:color w:val="auto"/>
          <w:sz w:val="24"/>
          <w:highlight w:val="none"/>
        </w:rPr>
      </w:pPr>
      <w:r>
        <w:rPr>
          <w:rFonts w:hint="eastAsia" w:ascii="宋体" w:hAnsi="宋体" w:cs="宋体"/>
          <w:bCs/>
          <w:color w:val="auto"/>
          <w:sz w:val="24"/>
          <w:highlight w:val="none"/>
        </w:rPr>
        <w:t xml:space="preserve">项目名称： </w:t>
      </w:r>
    </w:p>
    <w:p>
      <w:pPr>
        <w:snapToGrid w:val="0"/>
        <w:spacing w:before="165" w:beforeLines="50" w:after="50" w:line="400" w:lineRule="exact"/>
        <w:ind w:firstLine="360" w:firstLineChars="150"/>
        <w:rPr>
          <w:rFonts w:hint="eastAsia" w:ascii="宋体" w:hAnsi="宋体" w:cs="宋体"/>
          <w:bCs/>
          <w:color w:val="auto"/>
          <w:sz w:val="24"/>
          <w:highlight w:val="none"/>
        </w:rPr>
      </w:pPr>
    </w:p>
    <w:p>
      <w:pPr>
        <w:snapToGrid w:val="0"/>
        <w:spacing w:before="165" w:beforeLines="50" w:after="50" w:line="400" w:lineRule="exact"/>
        <w:ind w:firstLine="360" w:firstLineChars="150"/>
        <w:rPr>
          <w:rFonts w:hint="eastAsia" w:ascii="宋体" w:hAnsi="宋体" w:cs="宋体"/>
          <w:bCs/>
          <w:color w:val="auto"/>
          <w:sz w:val="24"/>
          <w:highlight w:val="none"/>
        </w:rPr>
      </w:pPr>
      <w:r>
        <w:rPr>
          <w:rFonts w:hint="eastAsia" w:ascii="宋体" w:hAnsi="宋体" w:cs="宋体"/>
          <w:bCs/>
          <w:color w:val="auto"/>
          <w:sz w:val="24"/>
          <w:highlight w:val="none"/>
        </w:rPr>
        <w:t xml:space="preserve">项目编号： </w:t>
      </w:r>
    </w:p>
    <w:p>
      <w:pPr>
        <w:snapToGrid w:val="0"/>
        <w:spacing w:before="165" w:beforeLines="50" w:after="50" w:line="400" w:lineRule="exact"/>
        <w:ind w:firstLine="360" w:firstLineChars="150"/>
        <w:rPr>
          <w:rFonts w:hint="eastAsia" w:ascii="宋体" w:hAnsi="宋体" w:cs="宋体"/>
          <w:bCs/>
          <w:color w:val="auto"/>
          <w:sz w:val="24"/>
          <w:highlight w:val="none"/>
        </w:rPr>
      </w:pPr>
    </w:p>
    <w:p>
      <w:pPr>
        <w:snapToGrid w:val="0"/>
        <w:spacing w:before="165" w:beforeLines="50" w:after="50" w:line="400" w:lineRule="exact"/>
        <w:ind w:firstLine="360" w:firstLineChars="150"/>
        <w:rPr>
          <w:rFonts w:hint="eastAsia" w:ascii="宋体" w:hAnsi="宋体" w:cs="宋体"/>
          <w:bCs/>
          <w:color w:val="auto"/>
          <w:sz w:val="24"/>
          <w:highlight w:val="none"/>
        </w:rPr>
      </w:pPr>
      <w:r>
        <w:rPr>
          <w:rFonts w:hint="eastAsia" w:ascii="宋体" w:hAnsi="宋体" w:cs="宋体"/>
          <w:bCs/>
          <w:color w:val="auto"/>
          <w:sz w:val="24"/>
          <w:highlight w:val="none"/>
        </w:rPr>
        <w:t>所投分标（如有则填写，无分标时填写“无”或者留空）：</w:t>
      </w:r>
    </w:p>
    <w:p>
      <w:pPr>
        <w:snapToGrid w:val="0"/>
        <w:spacing w:before="165" w:beforeLines="50" w:after="50" w:line="400" w:lineRule="exact"/>
        <w:ind w:firstLine="360" w:firstLineChars="150"/>
        <w:rPr>
          <w:rFonts w:hint="eastAsia" w:ascii="宋体" w:hAnsi="宋体" w:cs="宋体"/>
          <w:bCs/>
          <w:color w:val="auto"/>
          <w:sz w:val="24"/>
          <w:highlight w:val="none"/>
        </w:rPr>
      </w:pPr>
    </w:p>
    <w:p>
      <w:pPr>
        <w:snapToGrid w:val="0"/>
        <w:spacing w:before="165" w:beforeLines="50" w:after="50" w:line="400" w:lineRule="exact"/>
        <w:ind w:firstLine="360" w:firstLineChars="150"/>
        <w:rPr>
          <w:rFonts w:hint="eastAsia" w:ascii="宋体" w:hAnsi="宋体" w:cs="宋体"/>
          <w:bCs/>
          <w:color w:val="auto"/>
          <w:sz w:val="24"/>
          <w:highlight w:val="none"/>
        </w:rPr>
      </w:pPr>
      <w:r>
        <w:rPr>
          <w:rFonts w:hint="eastAsia" w:ascii="宋体" w:hAnsi="宋体" w:cs="宋体"/>
          <w:bCs/>
          <w:color w:val="auto"/>
          <w:sz w:val="24"/>
          <w:highlight w:val="none"/>
        </w:rPr>
        <w:t>投标人名称：</w:t>
      </w:r>
    </w:p>
    <w:p>
      <w:pPr>
        <w:snapToGrid w:val="0"/>
        <w:spacing w:before="165" w:beforeLines="50" w:after="50" w:line="400" w:lineRule="exact"/>
        <w:ind w:firstLine="360" w:firstLineChars="150"/>
        <w:rPr>
          <w:rFonts w:hint="eastAsia" w:ascii="宋体" w:hAnsi="宋体" w:cs="宋体"/>
          <w:bCs/>
          <w:color w:val="auto"/>
          <w:sz w:val="24"/>
          <w:highlight w:val="none"/>
        </w:rPr>
      </w:pPr>
    </w:p>
    <w:p>
      <w:pPr>
        <w:pStyle w:val="8"/>
        <w:snapToGrid w:val="0"/>
        <w:spacing w:before="50" w:after="50" w:line="400" w:lineRule="exact"/>
        <w:ind w:firstLine="960" w:firstLineChars="400"/>
        <w:rPr>
          <w:rFonts w:hint="eastAsia" w:ascii="宋体" w:hAnsi="宋体" w:cs="宋体"/>
          <w:bCs/>
          <w:color w:val="auto"/>
          <w:sz w:val="24"/>
          <w:szCs w:val="24"/>
          <w:highlight w:val="none"/>
        </w:rPr>
      </w:pPr>
    </w:p>
    <w:p>
      <w:pPr>
        <w:snapToGrid w:val="0"/>
        <w:spacing w:before="165" w:beforeLines="50" w:after="50" w:line="400" w:lineRule="exact"/>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pPr>
        <w:widowControl/>
        <w:jc w:val="left"/>
        <w:rPr>
          <w:rFonts w:hint="eastAsia" w:ascii="宋体" w:hAnsi="宋体" w:cs="宋体"/>
          <w:color w:val="auto"/>
          <w:sz w:val="24"/>
          <w:highlight w:val="none"/>
        </w:rPr>
        <w:sectPr>
          <w:pgSz w:w="11906" w:h="16838"/>
          <w:pgMar w:top="1134" w:right="1020" w:bottom="1020" w:left="1134" w:header="720" w:footer="720" w:gutter="0"/>
          <w:pgNumType w:fmt="decimal"/>
          <w:cols w:space="720" w:num="1"/>
          <w:docGrid w:type="lines" w:linePitch="331" w:charSpace="0"/>
        </w:sectPr>
      </w:pPr>
    </w:p>
    <w:p>
      <w:pPr>
        <w:snapToGrid w:val="0"/>
        <w:spacing w:before="165" w:beforeLines="50" w:after="50" w:line="360" w:lineRule="auto"/>
        <w:jc w:val="left"/>
        <w:rPr>
          <w:rFonts w:hint="eastAsia" w:ascii="宋体" w:hAnsi="宋体" w:cs="宋体"/>
          <w:color w:val="auto"/>
          <w:sz w:val="28"/>
          <w:szCs w:val="28"/>
          <w:highlight w:val="none"/>
        </w:rPr>
      </w:pPr>
      <w:r>
        <w:rPr>
          <w:rFonts w:hint="eastAsia" w:ascii="宋体" w:hAnsi="宋体" w:cs="宋体"/>
          <w:b/>
          <w:color w:val="auto"/>
          <w:sz w:val="28"/>
          <w:szCs w:val="28"/>
          <w:highlight w:val="none"/>
        </w:rPr>
        <w:t>2.</w:t>
      </w:r>
      <w:r>
        <w:rPr>
          <w:rFonts w:hint="eastAsia" w:ascii="宋体" w:hAnsi="宋体" w:cs="宋体"/>
          <w:b/>
          <w:bCs/>
          <w:color w:val="auto"/>
          <w:sz w:val="28"/>
          <w:szCs w:val="28"/>
          <w:highlight w:val="none"/>
        </w:rPr>
        <w:t>报价文件目录</w:t>
      </w:r>
    </w:p>
    <w:p>
      <w:pPr>
        <w:snapToGrid w:val="0"/>
        <w:spacing w:before="50" w:after="165" w:afterLines="50" w:line="360" w:lineRule="auto"/>
        <w:jc w:val="left"/>
        <w:rPr>
          <w:rFonts w:hint="eastAsia" w:ascii="宋体" w:hAnsi="宋体" w:cs="宋体"/>
          <w:b/>
          <w:color w:val="auto"/>
          <w:sz w:val="28"/>
          <w:szCs w:val="28"/>
          <w:highlight w:val="none"/>
        </w:rPr>
      </w:pPr>
      <w:r>
        <w:rPr>
          <w:rFonts w:hint="eastAsia" w:ascii="宋体" w:hAnsi="宋体" w:cs="宋体"/>
          <w:color w:val="auto"/>
          <w:sz w:val="28"/>
          <w:szCs w:val="28"/>
          <w:highlight w:val="none"/>
        </w:rPr>
        <w:t>根据招标文件规定及投标人提供的材料自行编写目录</w:t>
      </w:r>
      <w:r>
        <w:rPr>
          <w:rFonts w:hint="eastAsia" w:ascii="宋体" w:hAnsi="宋体" w:cs="宋体"/>
          <w:color w:val="auto"/>
          <w:kern w:val="0"/>
          <w:sz w:val="28"/>
          <w:szCs w:val="28"/>
          <w:highlight w:val="none"/>
        </w:rPr>
        <w:t>（部分格式后附）</w:t>
      </w:r>
      <w:r>
        <w:rPr>
          <w:rFonts w:hint="eastAsia" w:ascii="宋体" w:hAnsi="宋体" w:cs="宋体"/>
          <w:color w:val="auto"/>
          <w:sz w:val="28"/>
          <w:szCs w:val="28"/>
          <w:highlight w:val="none"/>
        </w:rPr>
        <w:t>。</w:t>
      </w:r>
    </w:p>
    <w:p>
      <w:pPr>
        <w:spacing w:line="360" w:lineRule="auto"/>
        <w:rPr>
          <w:rFonts w:hint="eastAsia"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b/>
          <w:bCs/>
          <w:color w:val="auto"/>
          <w:sz w:val="28"/>
          <w:szCs w:val="28"/>
          <w:highlight w:val="none"/>
        </w:rPr>
        <w:t>3.投标函的格式：</w:t>
      </w:r>
    </w:p>
    <w:p>
      <w:pPr>
        <w:pStyle w:val="14"/>
        <w:spacing w:line="500" w:lineRule="exact"/>
        <w:jc w:val="center"/>
        <w:rPr>
          <w:rFonts w:hint="eastAsia" w:hAnsi="宋体" w:cs="宋体"/>
          <w:b/>
          <w:bCs/>
          <w:color w:val="auto"/>
          <w:sz w:val="30"/>
          <w:szCs w:val="30"/>
          <w:highlight w:val="none"/>
        </w:rPr>
      </w:pPr>
      <w:r>
        <w:rPr>
          <w:rFonts w:hint="eastAsia" w:hAnsi="宋体" w:cs="宋体"/>
          <w:b/>
          <w:bCs/>
          <w:color w:val="auto"/>
          <w:sz w:val="30"/>
          <w:szCs w:val="30"/>
          <w:highlight w:val="none"/>
        </w:rPr>
        <w:t>投标函</w:t>
      </w:r>
    </w:p>
    <w:p>
      <w:pPr>
        <w:pStyle w:val="14"/>
        <w:spacing w:line="440" w:lineRule="exact"/>
        <w:ind w:firstLine="420" w:firstLineChars="200"/>
        <w:rPr>
          <w:rFonts w:hint="eastAsia" w:hAnsi="宋体" w:cs="宋体"/>
          <w:color w:val="auto"/>
          <w:highlight w:val="none"/>
        </w:rPr>
      </w:pPr>
    </w:p>
    <w:p>
      <w:pPr>
        <w:pStyle w:val="14"/>
        <w:spacing w:line="440" w:lineRule="exact"/>
        <w:ind w:firstLine="420" w:firstLineChars="200"/>
        <w:rPr>
          <w:rFonts w:hint="eastAsia" w:hAnsi="宋体" w:cs="宋体"/>
          <w:color w:val="auto"/>
          <w:highlight w:val="none"/>
        </w:rPr>
      </w:pPr>
      <w:r>
        <w:rPr>
          <w:rFonts w:hint="eastAsia" w:hAnsi="宋体" w:cs="宋体"/>
          <w:color w:val="auto"/>
          <w:highlight w:val="none"/>
        </w:rPr>
        <w:t>致：</w:t>
      </w:r>
      <w:bookmarkStart w:id="320" w:name="PO_3000001867_PM031_4"/>
      <w:r>
        <w:rPr>
          <w:rFonts w:hint="eastAsia" w:hAnsi="宋体" w:cs="宋体"/>
          <w:color w:val="auto"/>
          <w:highlight w:val="none"/>
          <w:u w:val="single"/>
        </w:rPr>
        <w:t>广西科联招标中心有限公司</w:t>
      </w:r>
      <w:bookmarkEnd w:id="320"/>
      <w:r>
        <w:rPr>
          <w:rFonts w:hint="eastAsia" w:hAnsi="宋体" w:cs="宋体"/>
          <w:color w:val="auto"/>
          <w:highlight w:val="none"/>
        </w:rPr>
        <w:t xml:space="preserve"> </w:t>
      </w:r>
    </w:p>
    <w:p>
      <w:pPr>
        <w:pStyle w:val="14"/>
        <w:spacing w:line="440" w:lineRule="exact"/>
        <w:ind w:firstLine="420" w:firstLineChars="200"/>
        <w:rPr>
          <w:rFonts w:hint="eastAsia" w:hAnsi="宋体" w:cs="宋体"/>
          <w:color w:val="auto"/>
          <w:highlight w:val="none"/>
        </w:rPr>
      </w:pPr>
      <w:r>
        <w:rPr>
          <w:rFonts w:hint="eastAsia" w:hAnsi="宋体" w:cs="宋体"/>
          <w:color w:val="auto"/>
          <w:highlight w:val="none"/>
        </w:rPr>
        <w:t>我方已仔细阅读了贵方组织的</w:t>
      </w:r>
      <w:r>
        <w:rPr>
          <w:rFonts w:hint="eastAsia" w:hAnsi="宋体" w:cs="宋体"/>
          <w:color w:val="auto"/>
          <w:highlight w:val="none"/>
          <w:u w:val="single"/>
        </w:rPr>
        <w:t xml:space="preserve">  </w:t>
      </w:r>
      <w:r>
        <w:rPr>
          <w:rFonts w:hint="eastAsia" w:hAnsi="宋体" w:cs="宋体"/>
          <w:i/>
          <w:iCs/>
          <w:color w:val="auto"/>
          <w:highlight w:val="none"/>
          <w:u w:val="single"/>
        </w:rPr>
        <w:t>（项目名称）</w:t>
      </w:r>
      <w:r>
        <w:rPr>
          <w:rFonts w:hint="eastAsia" w:hAnsi="宋体" w:cs="宋体"/>
          <w:i/>
          <w:iCs/>
          <w:color w:val="auto"/>
          <w:highlight w:val="none"/>
          <w:u w:val="single"/>
          <w:lang w:val="en-US" w:eastAsia="zh-CN"/>
        </w:rPr>
        <w:t xml:space="preserve">    </w:t>
      </w:r>
      <w:r>
        <w:rPr>
          <w:rFonts w:hint="eastAsia" w:hAnsi="宋体" w:cs="宋体"/>
          <w:color w:val="auto"/>
          <w:highlight w:val="none"/>
          <w:u w:val="single"/>
        </w:rPr>
        <w:t xml:space="preserve">  </w:t>
      </w:r>
      <w:r>
        <w:rPr>
          <w:rFonts w:hint="eastAsia" w:hAnsi="宋体" w:cs="宋体"/>
          <w:color w:val="auto"/>
          <w:highlight w:val="none"/>
        </w:rPr>
        <w:t>项目（项目编号：</w:t>
      </w:r>
      <w:r>
        <w:rPr>
          <w:rFonts w:hint="eastAsia" w:hAnsi="宋体" w:cs="宋体"/>
          <w:color w:val="auto"/>
          <w:highlight w:val="none"/>
          <w:u w:val="single"/>
        </w:rPr>
        <w:t xml:space="preserve">        </w:t>
      </w:r>
      <w:r>
        <w:rPr>
          <w:rFonts w:hint="eastAsia" w:hAnsi="宋体" w:cs="宋体"/>
          <w:color w:val="auto"/>
          <w:highlight w:val="none"/>
        </w:rPr>
        <w:t>）的招标文件的全部内容，授权</w:t>
      </w:r>
      <w:r>
        <w:rPr>
          <w:rFonts w:hint="eastAsia" w:hAnsi="宋体" w:cs="宋体"/>
          <w:color w:val="auto"/>
          <w:highlight w:val="none"/>
          <w:u w:val="single"/>
        </w:rPr>
        <w:t xml:space="preserve">                      </w:t>
      </w:r>
      <w:r>
        <w:rPr>
          <w:rFonts w:hint="eastAsia" w:hAnsi="宋体" w:cs="宋体"/>
          <w:color w:val="auto"/>
          <w:highlight w:val="none"/>
        </w:rPr>
        <w:t>(全权代表姓名)</w:t>
      </w:r>
      <w:r>
        <w:rPr>
          <w:rFonts w:hint="eastAsia" w:hAnsi="宋体" w:cs="宋体"/>
          <w:color w:val="auto"/>
          <w:highlight w:val="none"/>
          <w:u w:val="single"/>
        </w:rPr>
        <w:t xml:space="preserve">          </w:t>
      </w:r>
      <w:r>
        <w:rPr>
          <w:rFonts w:hint="eastAsia" w:hAnsi="宋体" w:cs="宋体"/>
          <w:color w:val="auto"/>
          <w:highlight w:val="none"/>
        </w:rPr>
        <w:t xml:space="preserve"> (职务、职称)为全权代表，现正式提交下述文件参加贵方组织的本次政府采购活动： </w:t>
      </w:r>
    </w:p>
    <w:p>
      <w:pPr>
        <w:pStyle w:val="14"/>
        <w:spacing w:line="440" w:lineRule="exact"/>
        <w:ind w:firstLine="420" w:firstLineChars="200"/>
        <w:rPr>
          <w:rFonts w:hint="eastAsia" w:hAnsi="宋体" w:cs="宋体"/>
          <w:color w:val="auto"/>
          <w:highlight w:val="none"/>
        </w:rPr>
      </w:pPr>
      <w:r>
        <w:rPr>
          <w:rFonts w:hint="eastAsia" w:hAnsi="宋体" w:cs="宋体"/>
          <w:color w:val="auto"/>
          <w:highlight w:val="none"/>
        </w:rPr>
        <w:t>一、报价文件电子版（包含按投标人须知前附表要求提交的全部文件）；</w:t>
      </w:r>
    </w:p>
    <w:p>
      <w:pPr>
        <w:pStyle w:val="14"/>
        <w:spacing w:line="440" w:lineRule="exact"/>
        <w:ind w:firstLine="482"/>
        <w:rPr>
          <w:rFonts w:hint="eastAsia" w:hAnsi="宋体" w:cs="宋体"/>
          <w:color w:val="auto"/>
          <w:highlight w:val="none"/>
        </w:rPr>
      </w:pPr>
      <w:r>
        <w:rPr>
          <w:rFonts w:hint="eastAsia" w:hAnsi="宋体" w:cs="宋体"/>
          <w:color w:val="auto"/>
          <w:highlight w:val="none"/>
        </w:rPr>
        <w:t>二、资格文件电子版（包含按投标人须知前附表要求提交的全部文件）；</w:t>
      </w:r>
    </w:p>
    <w:p>
      <w:pPr>
        <w:pStyle w:val="14"/>
        <w:spacing w:line="440" w:lineRule="exact"/>
        <w:ind w:firstLine="482"/>
        <w:rPr>
          <w:rFonts w:hint="eastAsia" w:hAnsi="宋体" w:cs="宋体"/>
          <w:color w:val="auto"/>
          <w:highlight w:val="none"/>
        </w:rPr>
      </w:pPr>
      <w:r>
        <w:rPr>
          <w:rFonts w:hint="eastAsia" w:hAnsi="宋体" w:cs="宋体"/>
          <w:color w:val="auto"/>
          <w:highlight w:val="none"/>
        </w:rPr>
        <w:t>三、商务技术文件电子版（包含按投标人须知前附表要求提交的全部文件）；</w:t>
      </w:r>
    </w:p>
    <w:p>
      <w:pPr>
        <w:pStyle w:val="14"/>
        <w:spacing w:line="440" w:lineRule="exact"/>
        <w:ind w:firstLine="482"/>
        <w:rPr>
          <w:rFonts w:hint="eastAsia" w:hAnsi="宋体" w:cs="宋体"/>
          <w:color w:val="auto"/>
          <w:highlight w:val="none"/>
        </w:rPr>
      </w:pPr>
      <w:r>
        <w:rPr>
          <w:rFonts w:hint="eastAsia" w:hAnsi="宋体" w:cs="宋体"/>
          <w:color w:val="auto"/>
          <w:highlight w:val="none"/>
        </w:rPr>
        <w:t>据此函，我方兹宣布：</w:t>
      </w:r>
    </w:p>
    <w:p>
      <w:pPr>
        <w:pStyle w:val="14"/>
        <w:spacing w:line="360" w:lineRule="exact"/>
        <w:ind w:firstLine="420" w:firstLineChars="200"/>
        <w:rPr>
          <w:rFonts w:hint="eastAsia" w:hAnsi="宋体" w:cs="宋体"/>
          <w:color w:val="auto"/>
          <w:highlight w:val="none"/>
          <w:u w:val="single"/>
        </w:rPr>
      </w:pPr>
      <w:r>
        <w:rPr>
          <w:rFonts w:hint="eastAsia" w:hAnsi="宋体" w:cs="宋体"/>
          <w:color w:val="auto"/>
          <w:highlight w:val="none"/>
        </w:rPr>
        <w:t>1.我方愿意以投标时提供的开标一览表中的投标总报价</w:t>
      </w:r>
      <w:r>
        <w:rPr>
          <w:rFonts w:hint="eastAsia" w:hAnsi="宋体" w:cs="宋体"/>
          <w:color w:val="auto"/>
          <w:szCs w:val="22"/>
          <w:highlight w:val="none"/>
        </w:rPr>
        <w:t>，</w:t>
      </w:r>
      <w:r>
        <w:rPr>
          <w:rFonts w:hint="eastAsia" w:hAnsi="宋体" w:cs="宋体"/>
          <w:color w:val="auto"/>
          <w:highlight w:val="none"/>
        </w:rPr>
        <w:t>提供本项目招标文件“第二章  采购需求”中的相应的采购内容，具体详见开标一览表。</w:t>
      </w:r>
    </w:p>
    <w:p>
      <w:pPr>
        <w:pStyle w:val="14"/>
        <w:spacing w:line="360" w:lineRule="exact"/>
        <w:ind w:firstLine="420" w:firstLineChars="200"/>
        <w:rPr>
          <w:rFonts w:hint="eastAsia" w:hAnsi="宋体" w:cs="宋体"/>
          <w:color w:val="auto"/>
          <w:highlight w:val="none"/>
          <w:u w:val="single"/>
        </w:rPr>
      </w:pPr>
      <w:r>
        <w:rPr>
          <w:rFonts w:hint="eastAsia" w:hAnsi="宋体" w:cs="宋体"/>
          <w:color w:val="auto"/>
          <w:highlight w:val="none"/>
        </w:rPr>
        <w:t>2.我方同意自本项目招标文件“第三章 投标人须知”第一节 投标人须知前附表 第21.1项规定的投标截止时间（开标时间）起遵循本投标函，并承诺在“投标人须知前附表”第17.2项规定的投标有效期内不修改、撤销投标文件。</w:t>
      </w:r>
    </w:p>
    <w:p>
      <w:pPr>
        <w:pStyle w:val="14"/>
        <w:spacing w:line="360" w:lineRule="exact"/>
        <w:ind w:firstLine="420" w:firstLineChars="200"/>
        <w:rPr>
          <w:rFonts w:hint="eastAsia" w:hAnsi="宋体" w:cs="宋体"/>
          <w:color w:val="auto"/>
          <w:highlight w:val="none"/>
          <w:u w:val="single"/>
        </w:rPr>
      </w:pPr>
      <w:r>
        <w:rPr>
          <w:rFonts w:hint="eastAsia" w:hAnsi="宋体" w:cs="宋体"/>
          <w:color w:val="auto"/>
          <w:highlight w:val="none"/>
        </w:rPr>
        <w:t>3.我方所提交的投标文件及有关资料都是内容完整、真实和准确的。</w:t>
      </w:r>
    </w:p>
    <w:p>
      <w:pPr>
        <w:pStyle w:val="14"/>
        <w:spacing w:line="440" w:lineRule="exact"/>
        <w:ind w:firstLine="482"/>
        <w:rPr>
          <w:rFonts w:hint="eastAsia" w:hAnsi="宋体" w:cs="宋体"/>
          <w:color w:val="auto"/>
          <w:highlight w:val="none"/>
        </w:rPr>
      </w:pPr>
      <w:r>
        <w:rPr>
          <w:rFonts w:hint="eastAsia" w:hAnsi="宋体" w:cs="宋体"/>
          <w:color w:val="auto"/>
          <w:highlight w:val="none"/>
        </w:rPr>
        <w:t>4.</w:t>
      </w:r>
      <w:r>
        <w:rPr>
          <w:rFonts w:hint="eastAsia" w:hAnsi="宋体" w:cs="宋体"/>
          <w:color w:val="auto"/>
          <w:szCs w:val="21"/>
          <w:highlight w:val="none"/>
        </w:rPr>
        <w:t>如本项目采购内容涉及须符合国家强制规定的，我方承诺我方本次投标（包括资格条件和所投产品）均符合国家有关强制规定。</w:t>
      </w:r>
    </w:p>
    <w:p>
      <w:pPr>
        <w:pStyle w:val="14"/>
        <w:spacing w:line="440" w:lineRule="exact"/>
        <w:ind w:firstLine="420" w:firstLineChars="200"/>
        <w:rPr>
          <w:rFonts w:hint="eastAsia" w:hAnsi="宋体" w:cs="宋体"/>
          <w:color w:val="auto"/>
          <w:highlight w:val="none"/>
        </w:rPr>
      </w:pPr>
      <w:r>
        <w:rPr>
          <w:rFonts w:hint="eastAsia" w:hAnsi="宋体" w:cs="宋体"/>
          <w:color w:val="auto"/>
          <w:highlight w:val="none"/>
        </w:rPr>
        <w:t>5.如我方中标，我方承诺在收到中标通知书后，在中标通知书规定的期限内，根据招标文件、我方的投标文件及有关澄清承诺书的要求按第五章“拟签订的合同文本”与采购人订立书面合同，并按照合同约定承担完成合同的责任和义务。</w:t>
      </w:r>
    </w:p>
    <w:p>
      <w:pPr>
        <w:pStyle w:val="14"/>
        <w:spacing w:line="440" w:lineRule="exact"/>
        <w:ind w:firstLine="420" w:firstLineChars="200"/>
        <w:rPr>
          <w:rFonts w:hint="eastAsia" w:hAnsi="宋体" w:cs="宋体"/>
          <w:color w:val="auto"/>
          <w:highlight w:val="none"/>
        </w:rPr>
      </w:pPr>
      <w:r>
        <w:rPr>
          <w:rFonts w:hint="eastAsia" w:hAnsi="宋体" w:cs="宋体"/>
          <w:color w:val="auto"/>
          <w:highlight w:val="none"/>
        </w:rPr>
        <w:t>6.我方已详细审核招标文件，我方知道必须放弃提出含糊不清或误解问题的权利。</w:t>
      </w:r>
    </w:p>
    <w:p>
      <w:pPr>
        <w:pStyle w:val="14"/>
        <w:spacing w:line="440" w:lineRule="exact"/>
        <w:ind w:firstLine="420" w:firstLineChars="200"/>
        <w:rPr>
          <w:rFonts w:hint="eastAsia" w:hAnsi="宋体" w:cs="宋体"/>
          <w:color w:val="auto"/>
          <w:highlight w:val="none"/>
        </w:rPr>
      </w:pPr>
      <w:r>
        <w:rPr>
          <w:rFonts w:hint="eastAsia" w:hAnsi="宋体" w:cs="宋体"/>
          <w:color w:val="auto"/>
          <w:highlight w:val="none"/>
        </w:rPr>
        <w:t>7.我方同意应贵方要求提供与本投标有关的任何数据或资料。若贵方需要，我方愿意提供我方作出的一切承诺的证明材料。</w:t>
      </w:r>
    </w:p>
    <w:p>
      <w:pPr>
        <w:pStyle w:val="14"/>
        <w:spacing w:line="440" w:lineRule="exact"/>
        <w:ind w:firstLine="420" w:firstLineChars="200"/>
        <w:rPr>
          <w:rFonts w:hint="eastAsia" w:hAnsi="宋体" w:cs="宋体"/>
          <w:color w:val="auto"/>
          <w:highlight w:val="none"/>
        </w:rPr>
      </w:pPr>
      <w:r>
        <w:rPr>
          <w:rFonts w:hint="eastAsia" w:hAnsi="宋体" w:cs="宋体"/>
          <w:color w:val="auto"/>
          <w:highlight w:val="none"/>
        </w:rPr>
        <w:t>8.我方完全理解贵方不一定接受投标报价最低的投标人为中标人的行为。</w:t>
      </w:r>
    </w:p>
    <w:p>
      <w:pPr>
        <w:pStyle w:val="14"/>
        <w:spacing w:line="440" w:lineRule="exact"/>
        <w:ind w:firstLine="420" w:firstLineChars="200"/>
        <w:rPr>
          <w:rFonts w:hint="eastAsia" w:hAnsi="宋体" w:cs="宋体"/>
          <w:color w:val="auto"/>
          <w:highlight w:val="none"/>
        </w:rPr>
      </w:pPr>
      <w:r>
        <w:rPr>
          <w:rFonts w:hint="eastAsia" w:hAnsi="宋体" w:cs="宋体"/>
          <w:color w:val="auto"/>
          <w:highlight w:val="none"/>
        </w:rPr>
        <w:t>9.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pPr>
        <w:pStyle w:val="14"/>
        <w:numPr>
          <w:ilvl w:val="0"/>
          <w:numId w:val="3"/>
        </w:numPr>
        <w:spacing w:line="440" w:lineRule="exact"/>
        <w:rPr>
          <w:rFonts w:hint="eastAsia" w:hAnsi="宋体" w:cs="宋体"/>
          <w:color w:val="auto"/>
          <w:highlight w:val="none"/>
        </w:rPr>
      </w:pPr>
      <w:r>
        <w:rPr>
          <w:rFonts w:hint="eastAsia" w:hAnsi="宋体" w:cs="宋体"/>
          <w:color w:val="auto"/>
          <w:highlight w:val="none"/>
        </w:rPr>
        <w:t>提供虚假材料谋取中标、成交的；</w:t>
      </w:r>
    </w:p>
    <w:p>
      <w:pPr>
        <w:pStyle w:val="14"/>
        <w:numPr>
          <w:ilvl w:val="0"/>
          <w:numId w:val="3"/>
        </w:numPr>
        <w:spacing w:line="440" w:lineRule="exact"/>
        <w:rPr>
          <w:rFonts w:hint="eastAsia" w:hAnsi="宋体" w:cs="宋体"/>
          <w:color w:val="auto"/>
          <w:highlight w:val="none"/>
        </w:rPr>
      </w:pPr>
      <w:r>
        <w:rPr>
          <w:rFonts w:hint="eastAsia" w:hAnsi="宋体" w:cs="宋体"/>
          <w:color w:val="auto"/>
          <w:highlight w:val="none"/>
        </w:rPr>
        <w:t>采取不正当手段诋毁、排挤其他供应商的；</w:t>
      </w:r>
    </w:p>
    <w:p>
      <w:pPr>
        <w:pStyle w:val="14"/>
        <w:numPr>
          <w:ilvl w:val="0"/>
          <w:numId w:val="3"/>
        </w:numPr>
        <w:spacing w:line="440" w:lineRule="exact"/>
        <w:rPr>
          <w:rFonts w:hint="eastAsia" w:hAnsi="宋体" w:cs="宋体"/>
          <w:color w:val="auto"/>
          <w:highlight w:val="none"/>
        </w:rPr>
      </w:pPr>
      <w:r>
        <w:rPr>
          <w:rFonts w:hint="eastAsia" w:hAnsi="宋体" w:cs="宋体"/>
          <w:color w:val="auto"/>
          <w:highlight w:val="none"/>
        </w:rPr>
        <w:t>与采购人、其他供应商或者采购代理机构恶意串通的；</w:t>
      </w:r>
    </w:p>
    <w:p>
      <w:pPr>
        <w:pStyle w:val="14"/>
        <w:numPr>
          <w:ilvl w:val="0"/>
          <w:numId w:val="3"/>
        </w:numPr>
        <w:spacing w:line="440" w:lineRule="exact"/>
        <w:rPr>
          <w:rFonts w:hint="eastAsia" w:hAnsi="宋体" w:cs="宋体"/>
          <w:color w:val="auto"/>
          <w:highlight w:val="none"/>
        </w:rPr>
      </w:pPr>
      <w:r>
        <w:rPr>
          <w:rFonts w:hint="eastAsia" w:hAnsi="宋体" w:cs="宋体"/>
          <w:color w:val="auto"/>
          <w:highlight w:val="none"/>
        </w:rPr>
        <w:t>向采购人、采购代理机构行贿或者提供其他不正当利益的；</w:t>
      </w:r>
    </w:p>
    <w:p>
      <w:pPr>
        <w:pStyle w:val="14"/>
        <w:numPr>
          <w:ilvl w:val="0"/>
          <w:numId w:val="3"/>
        </w:numPr>
        <w:spacing w:line="440" w:lineRule="exact"/>
        <w:rPr>
          <w:rFonts w:hint="eastAsia" w:hAnsi="宋体" w:cs="宋体"/>
          <w:color w:val="auto"/>
          <w:highlight w:val="none"/>
        </w:rPr>
      </w:pPr>
      <w:r>
        <w:rPr>
          <w:rFonts w:hint="eastAsia" w:hAnsi="宋体" w:cs="宋体"/>
          <w:color w:val="auto"/>
          <w:highlight w:val="none"/>
        </w:rPr>
        <w:t>在招标采购过程中与采购人进行协商谈判的；</w:t>
      </w:r>
    </w:p>
    <w:p>
      <w:pPr>
        <w:pStyle w:val="14"/>
        <w:numPr>
          <w:ilvl w:val="0"/>
          <w:numId w:val="3"/>
        </w:numPr>
        <w:spacing w:line="440" w:lineRule="exact"/>
        <w:rPr>
          <w:rFonts w:hint="eastAsia" w:hAnsi="宋体" w:cs="宋体"/>
          <w:color w:val="auto"/>
          <w:highlight w:val="none"/>
        </w:rPr>
      </w:pPr>
      <w:r>
        <w:rPr>
          <w:rFonts w:hint="eastAsia" w:hAnsi="宋体" w:cs="宋体"/>
          <w:color w:val="auto"/>
          <w:highlight w:val="none"/>
        </w:rPr>
        <w:t>拒绝有关部门监督检查或提供虚假情况的。</w:t>
      </w:r>
    </w:p>
    <w:p>
      <w:pPr>
        <w:pStyle w:val="14"/>
        <w:spacing w:line="360" w:lineRule="auto"/>
        <w:ind w:firstLine="420"/>
        <w:rPr>
          <w:rFonts w:hint="eastAsia" w:hAnsi="宋体" w:cs="宋体"/>
          <w:color w:val="auto"/>
          <w:highlight w:val="none"/>
        </w:rPr>
      </w:pPr>
      <w:r>
        <w:rPr>
          <w:rFonts w:hint="eastAsia" w:hAnsi="宋体" w:cs="宋体"/>
          <w:color w:val="auto"/>
          <w:highlight w:val="none"/>
        </w:rPr>
        <w:t>10.以上事项如有虚假或者隐瞒，我方愿意承担一切后果，并不再寻求任何旨在减轻或者免除法律责任的辩解。</w:t>
      </w:r>
    </w:p>
    <w:p>
      <w:pPr>
        <w:pStyle w:val="14"/>
        <w:spacing w:line="360" w:lineRule="auto"/>
        <w:ind w:firstLine="420"/>
        <w:rPr>
          <w:rFonts w:hint="eastAsia" w:hAnsi="宋体" w:cs="宋体"/>
          <w:color w:val="auto"/>
          <w:highlight w:val="none"/>
        </w:rPr>
      </w:pPr>
      <w:r>
        <w:rPr>
          <w:rFonts w:hint="eastAsia" w:hAnsi="宋体" w:cs="宋体"/>
          <w:color w:val="auto"/>
          <w:highlight w:val="none"/>
        </w:rPr>
        <w:t>11.与本投标有关的一切正式往来信函请寄：</w:t>
      </w:r>
    </w:p>
    <w:p>
      <w:pPr>
        <w:snapToGrid w:val="0"/>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投标人全称：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pPr>
        <w:snapToGrid w:val="0"/>
        <w:spacing w:line="36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投标人统一社会信用代码：</w:t>
      </w:r>
      <w:r>
        <w:rPr>
          <w:rFonts w:hint="eastAsia" w:ascii="宋体" w:hAnsi="宋体" w:cs="宋体"/>
          <w:color w:val="auto"/>
          <w:szCs w:val="21"/>
          <w:highlight w:val="none"/>
          <w:u w:val="single"/>
        </w:rPr>
        <w:t xml:space="preserve">                          </w:t>
      </w:r>
    </w:p>
    <w:p>
      <w:pPr>
        <w:snapToGrid w:val="0"/>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开户行及账号：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pPr>
        <w:snapToGrid w:val="0"/>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投标人联系电话：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pPr>
        <w:snapToGrid w:val="0"/>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pPr>
        <w:snapToGrid w:val="0"/>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邮编：</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pPr>
        <w:snapToGrid w:val="0"/>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电子邮箱：</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pPr>
        <w:snapToGrid w:val="0"/>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法定代表人姓名：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w:t>
      </w:r>
    </w:p>
    <w:p>
      <w:pPr>
        <w:snapToGrid w:val="0"/>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法定代表人身份证号码：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pPr>
        <w:snapToGrid w:val="0"/>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授权委托代理人姓名：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w:t>
      </w:r>
    </w:p>
    <w:p>
      <w:pPr>
        <w:snapToGrid w:val="0"/>
        <w:spacing w:line="360" w:lineRule="exact"/>
        <w:ind w:left="976" w:leftChars="200" w:hanging="556" w:hangingChars="265"/>
        <w:rPr>
          <w:rFonts w:hint="eastAsia" w:ascii="宋体" w:hAnsi="宋体" w:cs="宋体"/>
          <w:color w:val="auto"/>
          <w:szCs w:val="21"/>
          <w:highlight w:val="none"/>
          <w:u w:val="single"/>
        </w:rPr>
      </w:pPr>
      <w:r>
        <w:rPr>
          <w:rFonts w:hint="eastAsia" w:ascii="宋体" w:hAnsi="宋体" w:cs="宋体"/>
          <w:color w:val="auto"/>
          <w:szCs w:val="21"/>
          <w:highlight w:val="none"/>
        </w:rPr>
        <w:t>授权委托代理人身份证号码：</w:t>
      </w:r>
      <w:r>
        <w:rPr>
          <w:rFonts w:hint="eastAsia" w:ascii="宋体" w:hAnsi="宋体" w:cs="宋体"/>
          <w:color w:val="auto"/>
          <w:szCs w:val="21"/>
          <w:highlight w:val="none"/>
          <w:u w:val="single"/>
        </w:rPr>
        <w:t xml:space="preserve">             　 </w:t>
      </w:r>
    </w:p>
    <w:p>
      <w:pPr>
        <w:pStyle w:val="14"/>
        <w:spacing w:line="440" w:lineRule="exact"/>
        <w:ind w:firstLine="420"/>
        <w:rPr>
          <w:rFonts w:hint="eastAsia" w:hAnsi="宋体" w:cs="宋体"/>
          <w:color w:val="auto"/>
          <w:szCs w:val="21"/>
          <w:highlight w:val="none"/>
          <w:u w:val="single"/>
        </w:rPr>
      </w:pPr>
      <w:r>
        <w:rPr>
          <w:rFonts w:hint="eastAsia" w:hAnsi="宋体" w:cs="宋体"/>
          <w:color w:val="auto"/>
          <w:szCs w:val="21"/>
          <w:highlight w:val="none"/>
        </w:rPr>
        <w:t>授权委托代理人手机号码：</w:t>
      </w:r>
      <w:r>
        <w:rPr>
          <w:rFonts w:hint="eastAsia" w:hAnsi="宋体" w:cs="宋体"/>
          <w:color w:val="auto"/>
          <w:szCs w:val="21"/>
          <w:highlight w:val="none"/>
          <w:u w:val="single"/>
        </w:rPr>
        <w:t xml:space="preserve">             　 </w:t>
      </w:r>
    </w:p>
    <w:p>
      <w:pPr>
        <w:snapToGrid w:val="0"/>
        <w:spacing w:line="360" w:lineRule="auto"/>
        <w:ind w:firstLine="5040" w:firstLineChars="2100"/>
        <w:rPr>
          <w:rFonts w:hint="eastAsia" w:ascii="宋体" w:hAnsi="宋体" w:cs="宋体"/>
          <w:color w:val="auto"/>
          <w:kern w:val="0"/>
          <w:sz w:val="24"/>
          <w:highlight w:val="none"/>
        </w:rPr>
      </w:pPr>
      <w:r>
        <w:rPr>
          <w:rFonts w:hint="eastAsia" w:ascii="宋体" w:hAnsi="宋体" w:cs="宋体"/>
          <w:color w:val="auto"/>
          <w:kern w:val="0"/>
          <w:sz w:val="24"/>
          <w:highlight w:val="none"/>
          <w:lang w:val="zh-CN"/>
        </w:rPr>
        <w:t>投标人名称(盖公章)：</w:t>
      </w:r>
    </w:p>
    <w:p>
      <w:pPr>
        <w:snapToGrid w:val="0"/>
        <w:spacing w:line="360" w:lineRule="auto"/>
        <w:ind w:firstLine="5160" w:firstLineChars="215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pPr>
        <w:widowControl/>
        <w:spacing w:line="360" w:lineRule="auto"/>
        <w:jc w:val="left"/>
        <w:rPr>
          <w:rFonts w:hint="eastAsia" w:ascii="宋体" w:hAnsi="宋体" w:cs="宋体"/>
          <w:color w:val="auto"/>
          <w:kern w:val="0"/>
          <w:sz w:val="24"/>
          <w:highlight w:val="none"/>
          <w:lang w:val="zh-CN"/>
        </w:rPr>
        <w:sectPr>
          <w:pgSz w:w="11906" w:h="16838"/>
          <w:pgMar w:top="1134" w:right="1020" w:bottom="1020" w:left="1134" w:header="720" w:footer="720" w:gutter="0"/>
          <w:pgNumType w:fmt="decimal"/>
          <w:cols w:space="720" w:num="1"/>
          <w:docGrid w:type="lines" w:linePitch="331" w:charSpace="0"/>
        </w:sectPr>
      </w:pPr>
    </w:p>
    <w:p>
      <w:pPr>
        <w:pStyle w:val="14"/>
        <w:spacing w:line="360" w:lineRule="auto"/>
        <w:jc w:val="left"/>
        <w:rPr>
          <w:rFonts w:hint="eastAsia" w:hAnsi="宋体" w:cs="宋体"/>
          <w:b/>
          <w:color w:val="auto"/>
          <w:sz w:val="28"/>
          <w:szCs w:val="28"/>
          <w:highlight w:val="none"/>
        </w:rPr>
      </w:pPr>
      <w:r>
        <w:rPr>
          <w:rFonts w:hint="eastAsia" w:hAnsi="宋体" w:cs="宋体"/>
          <w:b/>
          <w:color w:val="auto"/>
          <w:sz w:val="28"/>
          <w:szCs w:val="28"/>
          <w:highlight w:val="none"/>
        </w:rPr>
        <w:t>4. 开标一览表的格式：</w:t>
      </w:r>
    </w:p>
    <w:p>
      <w:pPr>
        <w:pStyle w:val="14"/>
        <w:spacing w:line="360" w:lineRule="auto"/>
        <w:jc w:val="center"/>
        <w:rPr>
          <w:rFonts w:hint="eastAsia" w:hAnsi="宋体" w:cs="宋体"/>
          <w:b/>
          <w:color w:val="auto"/>
          <w:sz w:val="30"/>
          <w:szCs w:val="30"/>
          <w:highlight w:val="none"/>
        </w:rPr>
      </w:pPr>
      <w:r>
        <w:rPr>
          <w:rFonts w:hint="eastAsia" w:hAnsi="宋体" w:cs="宋体"/>
          <w:b/>
          <w:color w:val="auto"/>
          <w:sz w:val="30"/>
          <w:szCs w:val="30"/>
          <w:highlight w:val="none"/>
        </w:rPr>
        <w:t>开标一览表</w:t>
      </w:r>
      <w:r>
        <w:rPr>
          <w:rFonts w:hint="eastAsia" w:hAnsi="宋体" w:cs="宋体"/>
          <w:b/>
          <w:color w:val="auto"/>
          <w:kern w:val="0"/>
          <w:sz w:val="24"/>
          <w:highlight w:val="none"/>
          <w:lang w:val="zh-CN"/>
        </w:rPr>
        <w:t>(单位均为人民币元)</w:t>
      </w:r>
    </w:p>
    <w:p>
      <w:pPr>
        <w:snapToGrid w:val="0"/>
        <w:spacing w:before="50" w:after="50" w:line="480" w:lineRule="auto"/>
        <w:rPr>
          <w:rFonts w:hint="eastAsia" w:ascii="宋体" w:hAnsi="宋体" w:cs="宋体"/>
          <w:color w:val="auto"/>
          <w:sz w:val="24"/>
          <w:highlight w:val="none"/>
        </w:rPr>
      </w:pPr>
      <w:r>
        <w:rPr>
          <w:rFonts w:hint="eastAsia" w:ascii="宋体" w:hAnsi="宋体" w:cs="宋体"/>
          <w:color w:val="auto"/>
          <w:sz w:val="24"/>
          <w:highlight w:val="none"/>
        </w:rPr>
        <w:t>项目名称：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pPr>
        <w:snapToGrid w:val="0"/>
        <w:spacing w:before="50" w:after="50" w:line="480" w:lineRule="auto"/>
        <w:rPr>
          <w:rFonts w:hint="eastAsia" w:ascii="宋体" w:hAnsi="宋体" w:cs="宋体"/>
          <w:color w:val="auto"/>
          <w:sz w:val="24"/>
          <w:highlight w:val="none"/>
          <w:u w:val="single"/>
        </w:rPr>
      </w:pPr>
      <w:r>
        <w:rPr>
          <w:rFonts w:hint="eastAsia" w:ascii="宋体" w:hAnsi="宋体" w:cs="宋体"/>
          <w:color w:val="auto"/>
          <w:sz w:val="24"/>
          <w:highlight w:val="none"/>
        </w:rPr>
        <w:t>项目编号：</w:t>
      </w:r>
      <w:r>
        <w:rPr>
          <w:rFonts w:hint="eastAsia" w:ascii="宋体" w:hAnsi="宋体" w:cs="宋体"/>
          <w:color w:val="auto"/>
          <w:sz w:val="24"/>
          <w:highlight w:val="none"/>
          <w:u w:val="single"/>
        </w:rPr>
        <w:t xml:space="preserve"> </w:t>
      </w:r>
      <w:bookmarkStart w:id="321" w:name="PO_3000001867_PM001_7"/>
      <w:r>
        <w:rPr>
          <w:rFonts w:hint="eastAsia" w:ascii="宋体" w:hAnsi="宋体" w:cs="宋体"/>
          <w:color w:val="auto"/>
          <w:sz w:val="24"/>
          <w:highlight w:val="none"/>
          <w:u w:val="single"/>
        </w:rPr>
        <w:t xml:space="preserve">                      </w:t>
      </w:r>
      <w:bookmarkEnd w:id="321"/>
    </w:p>
    <w:p>
      <w:pPr>
        <w:pStyle w:val="17"/>
        <w:rPr>
          <w:color w:val="auto"/>
          <w:highlight w:val="none"/>
        </w:rPr>
      </w:pPr>
      <w:r>
        <w:rPr>
          <w:rFonts w:hint="eastAsia" w:ascii="宋体" w:hAnsi="宋体" w:cs="宋体"/>
          <w:bCs/>
          <w:color w:val="auto"/>
          <w:sz w:val="24"/>
          <w:highlight w:val="none"/>
        </w:rPr>
        <w:t>所投分标（如有则填写，无分标时填写“无”或者留空）：</w:t>
      </w:r>
      <w:r>
        <w:rPr>
          <w:rFonts w:hint="eastAsia" w:ascii="宋体" w:hAnsi="宋体" w:cs="宋体"/>
          <w:color w:val="auto"/>
          <w:sz w:val="24"/>
          <w:highlight w:val="none"/>
          <w:u w:val="single"/>
        </w:rPr>
        <w:t xml:space="preserve">           </w:t>
      </w:r>
      <w:r>
        <w:rPr>
          <w:rFonts w:hint="eastAsia" w:hAnsi="宋体" w:cs="宋体"/>
          <w:color w:val="auto"/>
          <w:sz w:val="24"/>
          <w:highlight w:val="none"/>
        </w:rPr>
        <w:t xml:space="preserve">  </w:t>
      </w:r>
    </w:p>
    <w:tbl>
      <w:tblPr>
        <w:tblStyle w:val="27"/>
        <w:tblW w:w="9975"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025"/>
        <w:gridCol w:w="930"/>
        <w:gridCol w:w="1601"/>
        <w:gridCol w:w="714"/>
        <w:gridCol w:w="685"/>
        <w:gridCol w:w="1169"/>
        <w:gridCol w:w="1509"/>
        <w:gridCol w:w="846"/>
        <w:gridCol w:w="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2"/>
                <w:highlight w:val="none"/>
              </w:rPr>
            </w:pPr>
            <w:r>
              <w:rPr>
                <w:rFonts w:hint="eastAsia" w:ascii="宋体" w:hAnsi="宋体" w:cs="宋体"/>
                <w:color w:val="auto"/>
                <w:szCs w:val="22"/>
                <w:highlight w:val="none"/>
              </w:rPr>
              <w:t>序号</w:t>
            </w:r>
          </w:p>
        </w:tc>
        <w:tc>
          <w:tcPr>
            <w:tcW w:w="1025"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2"/>
                <w:highlight w:val="none"/>
              </w:rPr>
            </w:pPr>
            <w:r>
              <w:rPr>
                <w:rFonts w:hint="eastAsia" w:ascii="宋体" w:hAnsi="宋体" w:cs="宋体"/>
                <w:color w:val="auto"/>
                <w:szCs w:val="22"/>
                <w:highlight w:val="none"/>
              </w:rPr>
              <w:t>标的名称</w:t>
            </w:r>
          </w:p>
        </w:tc>
        <w:tc>
          <w:tcPr>
            <w:tcW w:w="93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品牌（如有）</w:t>
            </w:r>
          </w:p>
        </w:tc>
        <w:tc>
          <w:tcPr>
            <w:tcW w:w="160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规格型号</w:t>
            </w:r>
          </w:p>
        </w:tc>
        <w:tc>
          <w:tcPr>
            <w:tcW w:w="71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数量</w:t>
            </w:r>
          </w:p>
          <w:p>
            <w:pPr>
              <w:jc w:val="center"/>
              <w:rPr>
                <w:rFonts w:hint="eastAsia" w:ascii="宋体" w:hAnsi="宋体" w:cs="宋体"/>
                <w:color w:val="auto"/>
                <w:szCs w:val="22"/>
                <w:highlight w:val="none"/>
              </w:rPr>
            </w:pPr>
            <w:r>
              <w:rPr>
                <w:rFonts w:hint="eastAsia" w:ascii="宋体" w:hAnsi="宋体" w:cs="宋体"/>
                <w:color w:val="auto"/>
                <w:szCs w:val="22"/>
                <w:highlight w:val="none"/>
              </w:rPr>
              <w:t>①</w:t>
            </w:r>
          </w:p>
        </w:tc>
        <w:tc>
          <w:tcPr>
            <w:tcW w:w="6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单位</w:t>
            </w:r>
          </w:p>
        </w:tc>
        <w:tc>
          <w:tcPr>
            <w:tcW w:w="116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单价(元)</w:t>
            </w:r>
          </w:p>
          <w:p>
            <w:pPr>
              <w:jc w:val="center"/>
              <w:rPr>
                <w:rFonts w:hint="eastAsia" w:ascii="宋体" w:hAnsi="宋体" w:cs="宋体"/>
                <w:color w:val="auto"/>
                <w:szCs w:val="22"/>
                <w:highlight w:val="none"/>
              </w:rPr>
            </w:pPr>
            <w:r>
              <w:rPr>
                <w:rFonts w:hint="eastAsia" w:ascii="宋体" w:hAnsi="宋体" w:cs="宋体"/>
                <w:color w:val="auto"/>
                <w:szCs w:val="22"/>
                <w:highlight w:val="none"/>
              </w:rPr>
              <w:t>②</w:t>
            </w:r>
          </w:p>
        </w:tc>
        <w:tc>
          <w:tcPr>
            <w:tcW w:w="150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单项合计（元）</w:t>
            </w:r>
          </w:p>
          <w:p>
            <w:pPr>
              <w:jc w:val="center"/>
              <w:rPr>
                <w:rFonts w:hint="eastAsia" w:ascii="宋体" w:hAnsi="宋体" w:cs="宋体"/>
                <w:color w:val="auto"/>
                <w:szCs w:val="22"/>
                <w:highlight w:val="none"/>
              </w:rPr>
            </w:pPr>
            <w:r>
              <w:rPr>
                <w:rFonts w:hint="eastAsia" w:ascii="宋体" w:hAnsi="宋体" w:cs="宋体"/>
                <w:color w:val="auto"/>
                <w:szCs w:val="22"/>
                <w:highlight w:val="none"/>
              </w:rPr>
              <w:t>③＝①×②</w:t>
            </w:r>
          </w:p>
        </w:tc>
        <w:tc>
          <w:tcPr>
            <w:tcW w:w="846" w:type="dxa"/>
            <w:tcBorders>
              <w:top w:val="single" w:color="auto" w:sz="4" w:space="0"/>
              <w:left w:val="single" w:color="auto" w:sz="4" w:space="0"/>
              <w:bottom w:val="single" w:color="auto" w:sz="4" w:space="0"/>
              <w:right w:val="single" w:color="auto" w:sz="4" w:space="0"/>
            </w:tcBorders>
          </w:tcPr>
          <w:p>
            <w:pPr>
              <w:rPr>
                <w:color w:val="auto"/>
                <w:highlight w:val="none"/>
              </w:rPr>
            </w:pPr>
          </w:p>
          <w:p>
            <w:pPr>
              <w:jc w:val="center"/>
              <w:rPr>
                <w:color w:val="auto"/>
                <w:highlight w:val="none"/>
              </w:rPr>
            </w:pPr>
            <w:r>
              <w:rPr>
                <w:rFonts w:hint="eastAsia"/>
                <w:color w:val="auto"/>
                <w:highlight w:val="none"/>
              </w:rPr>
              <w:t>制造商名称</w:t>
            </w:r>
          </w:p>
        </w:tc>
        <w:tc>
          <w:tcPr>
            <w:tcW w:w="777" w:type="dxa"/>
            <w:tcBorders>
              <w:top w:val="single" w:color="auto" w:sz="4" w:space="0"/>
              <w:left w:val="single" w:color="auto" w:sz="4" w:space="0"/>
              <w:bottom w:val="single" w:color="auto" w:sz="4" w:space="0"/>
              <w:right w:val="single" w:color="auto" w:sz="4" w:space="0"/>
            </w:tcBorders>
            <w:vAlign w:val="center"/>
          </w:tcPr>
          <w:p>
            <w:pPr>
              <w:rPr>
                <w:color w:val="auto"/>
                <w:highlight w:val="none"/>
              </w:rPr>
            </w:pPr>
            <w:r>
              <w:rPr>
                <w:rFonts w:hint="eastAsia" w:ascii="宋体" w:hAnsi="宋体" w:cs="宋体"/>
                <w:color w:val="auto"/>
                <w:szCs w:val="22"/>
                <w:highlight w:val="none"/>
              </w:rPr>
              <w:t>标的产地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1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1</w:t>
            </w:r>
          </w:p>
        </w:tc>
        <w:tc>
          <w:tcPr>
            <w:tcW w:w="1025"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2"/>
                <w:highlight w:val="none"/>
              </w:rPr>
            </w:pPr>
          </w:p>
        </w:tc>
        <w:tc>
          <w:tcPr>
            <w:tcW w:w="930"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2"/>
                <w:highlight w:val="none"/>
              </w:rPr>
            </w:pPr>
          </w:p>
        </w:tc>
        <w:tc>
          <w:tcPr>
            <w:tcW w:w="1601"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2"/>
                <w:highlight w:val="none"/>
              </w:rPr>
            </w:pPr>
          </w:p>
        </w:tc>
        <w:tc>
          <w:tcPr>
            <w:tcW w:w="714"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2"/>
                <w:highlight w:val="none"/>
              </w:rPr>
            </w:pPr>
          </w:p>
        </w:tc>
        <w:tc>
          <w:tcPr>
            <w:tcW w:w="685"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2"/>
                <w:highlight w:val="none"/>
              </w:rPr>
            </w:pPr>
          </w:p>
        </w:tc>
        <w:tc>
          <w:tcPr>
            <w:tcW w:w="1169"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2"/>
                <w:highlight w:val="none"/>
              </w:rPr>
            </w:pPr>
          </w:p>
        </w:tc>
        <w:tc>
          <w:tcPr>
            <w:tcW w:w="1509"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2"/>
                <w:highlight w:val="none"/>
              </w:rPr>
            </w:pPr>
          </w:p>
        </w:tc>
        <w:tc>
          <w:tcPr>
            <w:tcW w:w="846" w:type="dxa"/>
            <w:tcBorders>
              <w:top w:val="single" w:color="auto" w:sz="4" w:space="0"/>
              <w:left w:val="single" w:color="auto" w:sz="4" w:space="0"/>
              <w:bottom w:val="single" w:color="auto" w:sz="4" w:space="0"/>
              <w:right w:val="single" w:color="auto" w:sz="4" w:space="0"/>
            </w:tcBorders>
          </w:tcPr>
          <w:p>
            <w:pPr>
              <w:rPr>
                <w:rFonts w:hint="eastAsia" w:ascii="宋体" w:hAnsi="宋体" w:cs="宋体"/>
                <w:color w:val="auto"/>
                <w:szCs w:val="22"/>
                <w:highlight w:val="none"/>
              </w:rPr>
            </w:pPr>
          </w:p>
        </w:tc>
        <w:tc>
          <w:tcPr>
            <w:tcW w:w="777" w:type="dxa"/>
            <w:tcBorders>
              <w:top w:val="single" w:color="auto" w:sz="4" w:space="0"/>
              <w:left w:val="single" w:color="auto" w:sz="4" w:space="0"/>
              <w:bottom w:val="single" w:color="auto" w:sz="4" w:space="0"/>
              <w:right w:val="single" w:color="auto" w:sz="4" w:space="0"/>
            </w:tcBorders>
          </w:tcPr>
          <w:p>
            <w:pPr>
              <w:rPr>
                <w:rFonts w:hint="eastAsia"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71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2</w:t>
            </w:r>
          </w:p>
        </w:tc>
        <w:tc>
          <w:tcPr>
            <w:tcW w:w="1025"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2"/>
                <w:highlight w:val="none"/>
              </w:rPr>
            </w:pPr>
          </w:p>
        </w:tc>
        <w:tc>
          <w:tcPr>
            <w:tcW w:w="930"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2"/>
                <w:highlight w:val="none"/>
              </w:rPr>
            </w:pPr>
          </w:p>
        </w:tc>
        <w:tc>
          <w:tcPr>
            <w:tcW w:w="1601"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2"/>
                <w:highlight w:val="none"/>
              </w:rPr>
            </w:pPr>
          </w:p>
        </w:tc>
        <w:tc>
          <w:tcPr>
            <w:tcW w:w="714"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2"/>
                <w:highlight w:val="none"/>
              </w:rPr>
            </w:pPr>
          </w:p>
        </w:tc>
        <w:tc>
          <w:tcPr>
            <w:tcW w:w="685"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2"/>
                <w:highlight w:val="none"/>
              </w:rPr>
            </w:pPr>
          </w:p>
        </w:tc>
        <w:tc>
          <w:tcPr>
            <w:tcW w:w="1169"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2"/>
                <w:highlight w:val="none"/>
              </w:rPr>
            </w:pPr>
          </w:p>
        </w:tc>
        <w:tc>
          <w:tcPr>
            <w:tcW w:w="1509"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2"/>
                <w:highlight w:val="none"/>
              </w:rPr>
            </w:pPr>
          </w:p>
        </w:tc>
        <w:tc>
          <w:tcPr>
            <w:tcW w:w="846" w:type="dxa"/>
            <w:tcBorders>
              <w:top w:val="single" w:color="auto" w:sz="4" w:space="0"/>
              <w:left w:val="single" w:color="auto" w:sz="4" w:space="0"/>
              <w:bottom w:val="single" w:color="auto" w:sz="4" w:space="0"/>
              <w:right w:val="single" w:color="auto" w:sz="4" w:space="0"/>
            </w:tcBorders>
          </w:tcPr>
          <w:p>
            <w:pPr>
              <w:rPr>
                <w:rFonts w:hint="eastAsia" w:ascii="宋体" w:hAnsi="宋体" w:cs="宋体"/>
                <w:color w:val="auto"/>
                <w:szCs w:val="22"/>
                <w:highlight w:val="none"/>
              </w:rPr>
            </w:pPr>
          </w:p>
        </w:tc>
        <w:tc>
          <w:tcPr>
            <w:tcW w:w="777" w:type="dxa"/>
            <w:tcBorders>
              <w:top w:val="single" w:color="auto" w:sz="4" w:space="0"/>
              <w:left w:val="single" w:color="auto" w:sz="4" w:space="0"/>
              <w:bottom w:val="single" w:color="auto" w:sz="4" w:space="0"/>
              <w:right w:val="single" w:color="auto" w:sz="4" w:space="0"/>
            </w:tcBorders>
          </w:tcPr>
          <w:p>
            <w:pPr>
              <w:rPr>
                <w:rFonts w:hint="eastAsia"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 w:hRule="atLeast"/>
        </w:trPr>
        <w:tc>
          <w:tcPr>
            <w:tcW w:w="71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Cs w:val="22"/>
                <w:highlight w:val="none"/>
              </w:rPr>
            </w:pPr>
            <w:r>
              <w:rPr>
                <w:rFonts w:hint="eastAsia" w:ascii="宋体" w:hAnsi="宋体" w:cs="宋体"/>
                <w:color w:val="auto"/>
                <w:szCs w:val="22"/>
                <w:highlight w:val="none"/>
              </w:rPr>
              <w:t>...</w:t>
            </w:r>
          </w:p>
        </w:tc>
        <w:tc>
          <w:tcPr>
            <w:tcW w:w="1025"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2"/>
                <w:highlight w:val="none"/>
              </w:rPr>
            </w:pPr>
          </w:p>
        </w:tc>
        <w:tc>
          <w:tcPr>
            <w:tcW w:w="930"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2"/>
                <w:highlight w:val="none"/>
              </w:rPr>
            </w:pPr>
          </w:p>
        </w:tc>
        <w:tc>
          <w:tcPr>
            <w:tcW w:w="1601"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2"/>
                <w:highlight w:val="none"/>
              </w:rPr>
            </w:pPr>
          </w:p>
        </w:tc>
        <w:tc>
          <w:tcPr>
            <w:tcW w:w="714"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2"/>
                <w:highlight w:val="none"/>
              </w:rPr>
            </w:pPr>
          </w:p>
        </w:tc>
        <w:tc>
          <w:tcPr>
            <w:tcW w:w="685"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2"/>
                <w:highlight w:val="none"/>
              </w:rPr>
            </w:pPr>
          </w:p>
        </w:tc>
        <w:tc>
          <w:tcPr>
            <w:tcW w:w="1169"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2"/>
                <w:highlight w:val="none"/>
              </w:rPr>
            </w:pPr>
          </w:p>
        </w:tc>
        <w:tc>
          <w:tcPr>
            <w:tcW w:w="1509"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2"/>
                <w:highlight w:val="none"/>
              </w:rPr>
            </w:pPr>
          </w:p>
        </w:tc>
        <w:tc>
          <w:tcPr>
            <w:tcW w:w="846" w:type="dxa"/>
            <w:tcBorders>
              <w:top w:val="single" w:color="auto" w:sz="4" w:space="0"/>
              <w:left w:val="single" w:color="auto" w:sz="4" w:space="0"/>
              <w:bottom w:val="single" w:color="auto" w:sz="4" w:space="0"/>
              <w:right w:val="single" w:color="auto" w:sz="4" w:space="0"/>
            </w:tcBorders>
          </w:tcPr>
          <w:p>
            <w:pPr>
              <w:rPr>
                <w:rFonts w:hint="eastAsia" w:ascii="宋体" w:hAnsi="宋体" w:cs="宋体"/>
                <w:color w:val="auto"/>
                <w:szCs w:val="22"/>
                <w:highlight w:val="none"/>
              </w:rPr>
            </w:pPr>
          </w:p>
        </w:tc>
        <w:tc>
          <w:tcPr>
            <w:tcW w:w="777" w:type="dxa"/>
            <w:tcBorders>
              <w:top w:val="single" w:color="auto" w:sz="4" w:space="0"/>
              <w:left w:val="single" w:color="auto" w:sz="4" w:space="0"/>
              <w:bottom w:val="single" w:color="auto" w:sz="4" w:space="0"/>
              <w:right w:val="single" w:color="auto" w:sz="4" w:space="0"/>
            </w:tcBorders>
          </w:tcPr>
          <w:p>
            <w:pPr>
              <w:rPr>
                <w:rFonts w:hint="eastAsia" w:ascii="宋体" w:hAnsi="宋体" w:cs="宋体"/>
                <w:color w:val="auto"/>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975" w:type="dxa"/>
            <w:gridSpan w:val="10"/>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2"/>
                <w:highlight w:val="none"/>
              </w:rPr>
            </w:pPr>
            <w:r>
              <w:rPr>
                <w:rFonts w:hint="eastAsia" w:hAnsi="宋体" w:cs="宋体"/>
                <w:color w:val="auto"/>
                <w:highlight w:val="none"/>
              </w:rPr>
              <w:t>投标总</w:t>
            </w:r>
            <w:r>
              <w:rPr>
                <w:rFonts w:hint="eastAsia" w:ascii="宋体" w:hAnsi="宋体" w:cs="宋体"/>
                <w:color w:val="auto"/>
                <w:szCs w:val="22"/>
                <w:highlight w:val="none"/>
              </w:rPr>
              <w:t xml:space="preserve">报价（包含税费等所有费用）：（大写）人民币 </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（小写）¥ </w:t>
            </w:r>
            <w:r>
              <w:rPr>
                <w:rFonts w:hint="eastAsia" w:ascii="宋体" w:hAnsi="宋体" w:cs="宋体"/>
                <w:color w:val="auto"/>
                <w:szCs w:val="22"/>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97" w:hRule="atLeast"/>
        </w:trPr>
        <w:tc>
          <w:tcPr>
            <w:tcW w:w="719"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Cs w:val="22"/>
                <w:highlight w:val="none"/>
              </w:rPr>
            </w:pPr>
            <w:r>
              <w:rPr>
                <w:rFonts w:hint="eastAsia" w:ascii="宋体" w:hAnsi="宋体" w:cs="宋体"/>
                <w:color w:val="auto"/>
                <w:szCs w:val="21"/>
                <w:highlight w:val="none"/>
              </w:rPr>
              <w:t>备注</w:t>
            </w:r>
          </w:p>
        </w:tc>
        <w:tc>
          <w:tcPr>
            <w:tcW w:w="9256" w:type="dxa"/>
            <w:gridSpan w:val="9"/>
            <w:tcBorders>
              <w:top w:val="single" w:color="auto" w:sz="4" w:space="0"/>
              <w:left w:val="single" w:color="auto" w:sz="4" w:space="0"/>
              <w:bottom w:val="single" w:color="auto" w:sz="4" w:space="0"/>
              <w:right w:val="single" w:color="auto" w:sz="4" w:space="0"/>
            </w:tcBorders>
            <w:vAlign w:val="center"/>
          </w:tcPr>
          <w:p>
            <w:pPr>
              <w:ind w:firstLine="420" w:firstLineChars="200"/>
              <w:rPr>
                <w:rFonts w:hint="eastAsia" w:ascii="宋体" w:hAnsi="宋体" w:cs="宋体"/>
                <w:color w:val="auto"/>
                <w:highlight w:val="none"/>
              </w:rPr>
            </w:pPr>
            <w:r>
              <w:rPr>
                <w:rFonts w:hint="eastAsia" w:ascii="宋体" w:hAnsi="宋体" w:cs="宋体"/>
                <w:color w:val="auto"/>
                <w:szCs w:val="21"/>
                <w:highlight w:val="none"/>
              </w:rPr>
              <w:t>根据《国务院办公厅关于在政府采购中实施本国产品标准及相关政策的通知》国办发〔2025〕34号的规定，我方为</w:t>
            </w:r>
            <w:r>
              <w:rPr>
                <w:rFonts w:hint="eastAsia" w:ascii="宋体" w:hAnsi="宋体" w:cs="宋体"/>
                <w:color w:val="auto"/>
                <w:szCs w:val="21"/>
                <w:highlight w:val="none"/>
                <w:shd w:val="clear" w:color="auto" w:fill="FFFFFF"/>
              </w:rPr>
              <w:t>本政府采购项目提供的符合本国产品标准的产品成本之和占全部投标产品成本之和的比例达到</w:t>
            </w:r>
            <w:r>
              <w:rPr>
                <w:rFonts w:hint="eastAsia" w:ascii="宋体" w:hAnsi="宋体" w:cs="宋体"/>
                <w:color w:val="auto"/>
                <w:szCs w:val="21"/>
                <w:highlight w:val="none"/>
                <w:u w:val="single"/>
                <w:shd w:val="clear" w:color="auto" w:fill="FFFFFF"/>
              </w:rPr>
              <w:t xml:space="preserve">        %</w:t>
            </w:r>
            <w:r>
              <w:rPr>
                <w:rFonts w:hint="eastAsia" w:ascii="宋体" w:hAnsi="宋体" w:cs="宋体"/>
                <w:color w:val="auto"/>
                <w:szCs w:val="21"/>
                <w:highlight w:val="none"/>
                <w:shd w:val="clear" w:color="auto" w:fill="FFFFFF"/>
              </w:rPr>
              <w:t>。</w:t>
            </w:r>
          </w:p>
        </w:tc>
      </w:tr>
    </w:tbl>
    <w:p>
      <w:pPr>
        <w:snapToGrid w:val="0"/>
        <w:spacing w:before="50" w:after="50"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 xml:space="preserve">注： </w:t>
      </w:r>
    </w:p>
    <w:p>
      <w:pPr>
        <w:snapToGrid w:val="0"/>
        <w:spacing w:before="50" w:after="50"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1</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val="zh-CN"/>
        </w:rPr>
        <w:t>投标人需按本表格式填写，不得自行更改，也不得留空，如有多分标，按分标分别提供开标一览表，必须加盖投标人有效公章，</w:t>
      </w:r>
      <w:r>
        <w:rPr>
          <w:rFonts w:hint="eastAsia" w:ascii="宋体" w:hAnsi="宋体" w:cs="宋体"/>
          <w:b/>
          <w:color w:val="auto"/>
          <w:kern w:val="0"/>
          <w:szCs w:val="21"/>
          <w:highlight w:val="none"/>
          <w:lang w:val="zh-CN"/>
        </w:rPr>
        <w:t>否则其投标作无效标处理。</w:t>
      </w:r>
    </w:p>
    <w:p>
      <w:pPr>
        <w:snapToGrid w:val="0"/>
        <w:spacing w:before="50" w:after="50"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2</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val="zh-CN"/>
        </w:rPr>
        <w:t>本表内容均不能涂改，</w:t>
      </w:r>
      <w:r>
        <w:rPr>
          <w:rFonts w:hint="eastAsia" w:ascii="宋体" w:hAnsi="宋体" w:cs="宋体"/>
          <w:b/>
          <w:color w:val="auto"/>
          <w:kern w:val="0"/>
          <w:szCs w:val="21"/>
          <w:highlight w:val="none"/>
          <w:lang w:val="zh-CN"/>
        </w:rPr>
        <w:t>否则其投标作无效标处理。</w:t>
      </w:r>
    </w:p>
    <w:p>
      <w:pPr>
        <w:snapToGrid w:val="0"/>
        <w:spacing w:before="50" w:after="50" w:line="360" w:lineRule="auto"/>
        <w:ind w:firstLine="420" w:firstLineChars="200"/>
        <w:jc w:val="left"/>
        <w:rPr>
          <w:rFonts w:hint="eastAsia" w:ascii="宋体" w:hAnsi="宋体" w:cs="宋体"/>
          <w:b/>
          <w:color w:val="auto"/>
          <w:kern w:val="0"/>
          <w:szCs w:val="21"/>
          <w:highlight w:val="none"/>
          <w:lang w:val="zh-CN"/>
        </w:rPr>
      </w:pPr>
      <w:r>
        <w:rPr>
          <w:rFonts w:hint="eastAsia" w:ascii="宋体" w:hAnsi="宋体" w:cs="宋体"/>
          <w:color w:val="auto"/>
          <w:kern w:val="0"/>
          <w:szCs w:val="21"/>
          <w:highlight w:val="none"/>
          <w:lang w:val="zh-CN"/>
        </w:rPr>
        <w:t>3</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val="zh-CN"/>
        </w:rPr>
        <w:t>如为联合体投标，“投标人名称”处必须列明联合体各方名称，并标注联合体牵头人名称，且盖章处须加盖联合体各方公章，</w:t>
      </w:r>
      <w:r>
        <w:rPr>
          <w:rFonts w:hint="eastAsia" w:ascii="宋体" w:hAnsi="宋体" w:cs="宋体"/>
          <w:b/>
          <w:color w:val="auto"/>
          <w:kern w:val="0"/>
          <w:szCs w:val="21"/>
          <w:highlight w:val="none"/>
          <w:lang w:val="zh-CN"/>
        </w:rPr>
        <w:t>否则其投标作无效标处理。</w:t>
      </w:r>
    </w:p>
    <w:p>
      <w:pPr>
        <w:snapToGrid w:val="0"/>
        <w:spacing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4</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val="zh-CN"/>
        </w:rPr>
        <w:t>以上表格要求细分项目及报价，在“</w:t>
      </w:r>
      <w:r>
        <w:rPr>
          <w:rFonts w:hint="eastAsia" w:ascii="宋体" w:hAnsi="宋体" w:cs="宋体"/>
          <w:color w:val="auto"/>
          <w:szCs w:val="22"/>
          <w:highlight w:val="none"/>
        </w:rPr>
        <w:t>标的名称</w:t>
      </w:r>
      <w:r>
        <w:rPr>
          <w:rFonts w:hint="eastAsia" w:ascii="宋体" w:hAnsi="宋体" w:cs="宋体"/>
          <w:color w:val="auto"/>
          <w:kern w:val="0"/>
          <w:szCs w:val="21"/>
          <w:highlight w:val="none"/>
          <w:lang w:val="zh-CN"/>
        </w:rPr>
        <w:t>”一栏中，填写具体货物，在“规格型号”一栏中，填写具体货物</w:t>
      </w:r>
      <w:r>
        <w:rPr>
          <w:rFonts w:hint="eastAsia" w:ascii="宋体" w:hAnsi="宋体" w:cs="宋体"/>
          <w:color w:val="auto"/>
          <w:kern w:val="0"/>
          <w:szCs w:val="21"/>
          <w:highlight w:val="none"/>
        </w:rPr>
        <w:t>的</w:t>
      </w:r>
      <w:r>
        <w:rPr>
          <w:rFonts w:hint="eastAsia" w:ascii="宋体" w:hAnsi="宋体" w:cs="宋体"/>
          <w:color w:val="auto"/>
          <w:kern w:val="0"/>
          <w:szCs w:val="21"/>
          <w:highlight w:val="none"/>
          <w:lang w:val="zh-CN"/>
        </w:rPr>
        <w:t>规格和型号（</w:t>
      </w:r>
      <w:r>
        <w:rPr>
          <w:rFonts w:hint="eastAsia"/>
          <w:color w:val="auto"/>
          <w:highlight w:val="none"/>
        </w:rPr>
        <w:t>如为定制产品，“规格型号”栏可以填写“定制”</w:t>
      </w:r>
      <w:r>
        <w:rPr>
          <w:rFonts w:hint="eastAsia" w:ascii="宋体" w:hAnsi="宋体" w:cs="宋体"/>
          <w:color w:val="auto"/>
          <w:kern w:val="0"/>
          <w:szCs w:val="21"/>
          <w:highlight w:val="none"/>
          <w:lang w:val="zh-CN"/>
        </w:rPr>
        <w:t>），</w:t>
      </w:r>
      <w:r>
        <w:rPr>
          <w:rFonts w:hint="eastAsia" w:ascii="宋体" w:hAnsi="宋体" w:cs="宋体"/>
          <w:b/>
          <w:color w:val="auto"/>
          <w:kern w:val="0"/>
          <w:szCs w:val="21"/>
          <w:highlight w:val="none"/>
          <w:lang w:val="zh-CN"/>
        </w:rPr>
        <w:t>否则其投标作无效标处理。</w:t>
      </w:r>
    </w:p>
    <w:p>
      <w:pPr>
        <w:snapToGrid w:val="0"/>
        <w:spacing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rPr>
        <w:t>5.</w:t>
      </w:r>
      <w:r>
        <w:rPr>
          <w:rFonts w:hint="eastAsia" w:ascii="宋体" w:hAnsi="宋体" w:cs="宋体"/>
          <w:color w:val="auto"/>
          <w:kern w:val="0"/>
          <w:szCs w:val="21"/>
          <w:highlight w:val="none"/>
          <w:lang w:val="zh-CN"/>
        </w:rPr>
        <w:t>特别提示：采购代理机构将对项目名称和项目编号，中标人名称、地址和中标金额，主要中标标的名称、</w:t>
      </w:r>
      <w:r>
        <w:rPr>
          <w:rFonts w:hint="eastAsia" w:ascii="宋体" w:hAnsi="宋体" w:cs="宋体"/>
          <w:color w:val="auto"/>
          <w:kern w:val="0"/>
          <w:szCs w:val="21"/>
          <w:highlight w:val="none"/>
        </w:rPr>
        <w:t>品牌（如有）、</w:t>
      </w:r>
      <w:r>
        <w:rPr>
          <w:rFonts w:hint="eastAsia" w:ascii="宋体" w:hAnsi="宋体" w:cs="宋体"/>
          <w:color w:val="auto"/>
          <w:kern w:val="0"/>
          <w:szCs w:val="21"/>
          <w:highlight w:val="none"/>
          <w:lang w:val="zh-CN"/>
        </w:rPr>
        <w:t>规格型号、数量、单价等予以公示。</w:t>
      </w:r>
    </w:p>
    <w:p>
      <w:pPr>
        <w:snapToGrid w:val="0"/>
        <w:spacing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rPr>
        <w:t>6.</w:t>
      </w:r>
      <w:r>
        <w:rPr>
          <w:rFonts w:hint="eastAsia" w:ascii="宋体" w:hAnsi="宋体" w:cs="宋体"/>
          <w:color w:val="auto"/>
          <w:kern w:val="0"/>
          <w:szCs w:val="21"/>
          <w:highlight w:val="none"/>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pPr>
        <w:snapToGrid w:val="0"/>
        <w:spacing w:line="360" w:lineRule="auto"/>
        <w:ind w:firstLine="5760" w:firstLineChars="2400"/>
        <w:rPr>
          <w:rFonts w:hint="eastAsia" w:ascii="宋体" w:hAnsi="宋体" w:cs="宋体"/>
          <w:color w:val="auto"/>
          <w:kern w:val="0"/>
          <w:sz w:val="24"/>
          <w:highlight w:val="none"/>
        </w:rPr>
      </w:pPr>
      <w:r>
        <w:rPr>
          <w:rFonts w:hint="eastAsia" w:ascii="宋体" w:hAnsi="宋体" w:cs="宋体"/>
          <w:color w:val="auto"/>
          <w:kern w:val="0"/>
          <w:sz w:val="24"/>
          <w:highlight w:val="none"/>
          <w:lang w:val="zh-CN"/>
        </w:rPr>
        <w:t>投标人名称(盖公章)：</w:t>
      </w:r>
    </w:p>
    <w:p>
      <w:pPr>
        <w:snapToGrid w:val="0"/>
        <w:spacing w:line="360" w:lineRule="auto"/>
        <w:ind w:firstLine="5880" w:firstLineChars="245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pPr>
        <w:widowControl/>
        <w:jc w:val="left"/>
        <w:rPr>
          <w:rFonts w:hint="eastAsia" w:ascii="宋体" w:hAnsi="宋体" w:cs="宋体"/>
          <w:color w:val="auto"/>
          <w:sz w:val="30"/>
          <w:szCs w:val="20"/>
          <w:highlight w:val="none"/>
        </w:rPr>
        <w:sectPr>
          <w:pgSz w:w="11906" w:h="16838"/>
          <w:pgMar w:top="1134" w:right="1020" w:bottom="1020" w:left="1134" w:header="720" w:footer="720" w:gutter="0"/>
          <w:pgNumType w:fmt="decimal"/>
          <w:cols w:space="720" w:num="1"/>
          <w:docGrid w:type="lines" w:linePitch="331" w:charSpace="0"/>
        </w:sectPr>
      </w:pPr>
    </w:p>
    <w:p>
      <w:pPr>
        <w:snapToGrid w:val="0"/>
        <w:spacing w:before="165" w:beforeLines="50" w:after="50"/>
        <w:jc w:val="center"/>
        <w:outlineLvl w:val="1"/>
        <w:rPr>
          <w:rFonts w:hint="eastAsia" w:ascii="宋体" w:hAnsi="宋体" w:cs="宋体"/>
          <w:b/>
          <w:bCs/>
          <w:color w:val="auto"/>
          <w:sz w:val="28"/>
          <w:szCs w:val="28"/>
          <w:highlight w:val="none"/>
        </w:rPr>
      </w:pPr>
      <w:bookmarkStart w:id="322" w:name="_Toc19036"/>
      <w:bookmarkStart w:id="323" w:name="_Toc8131"/>
      <w:bookmarkStart w:id="324" w:name="_Toc19686840"/>
      <w:bookmarkStart w:id="325" w:name="_Toc24690"/>
      <w:bookmarkStart w:id="326" w:name="_Toc12749"/>
      <w:bookmarkStart w:id="327" w:name="_Toc26722"/>
      <w:r>
        <w:rPr>
          <w:rFonts w:hint="eastAsia" w:ascii="宋体" w:hAnsi="宋体" w:cs="宋体"/>
          <w:b/>
          <w:bCs/>
          <w:color w:val="auto"/>
          <w:sz w:val="28"/>
          <w:szCs w:val="28"/>
          <w:highlight w:val="none"/>
        </w:rPr>
        <w:t>第四节 其他文书、文件格式</w:t>
      </w:r>
      <w:bookmarkEnd w:id="322"/>
      <w:bookmarkEnd w:id="323"/>
      <w:bookmarkEnd w:id="324"/>
      <w:bookmarkEnd w:id="325"/>
      <w:bookmarkEnd w:id="326"/>
      <w:bookmarkEnd w:id="327"/>
    </w:p>
    <w:p>
      <w:pPr>
        <w:pStyle w:val="14"/>
        <w:jc w:val="left"/>
        <w:rPr>
          <w:rFonts w:hint="eastAsia" w:hAnsi="宋体" w:cs="宋体"/>
          <w:b/>
          <w:color w:val="auto"/>
          <w:sz w:val="28"/>
          <w:szCs w:val="28"/>
          <w:highlight w:val="none"/>
        </w:rPr>
      </w:pPr>
      <w:r>
        <w:rPr>
          <w:rFonts w:hint="eastAsia" w:hAnsi="宋体" w:cs="宋体"/>
          <w:b/>
          <w:color w:val="auto"/>
          <w:sz w:val="28"/>
          <w:szCs w:val="28"/>
          <w:highlight w:val="none"/>
        </w:rPr>
        <w:t>1.中小企业声明函的格式：</w:t>
      </w:r>
    </w:p>
    <w:p>
      <w:pPr>
        <w:pStyle w:val="14"/>
        <w:jc w:val="center"/>
        <w:rPr>
          <w:rFonts w:ascii="Times New Roman" w:hAnsi="Times New Roman"/>
          <w:b/>
          <w:color w:val="auto"/>
          <w:sz w:val="30"/>
          <w:szCs w:val="30"/>
          <w:highlight w:val="none"/>
        </w:rPr>
      </w:pPr>
      <w:r>
        <w:rPr>
          <w:rFonts w:hint="eastAsia" w:ascii="Times New Roman" w:hAnsi="Times New Roman"/>
          <w:b/>
          <w:color w:val="auto"/>
          <w:sz w:val="30"/>
          <w:szCs w:val="30"/>
          <w:highlight w:val="none"/>
        </w:rPr>
        <w:t>中小企业声明函</w:t>
      </w:r>
    </w:p>
    <w:p>
      <w:pPr>
        <w:pStyle w:val="12"/>
        <w:spacing w:line="360" w:lineRule="exact"/>
        <w:ind w:firstLine="404" w:firstLineChars="200"/>
        <w:rPr>
          <w:rFonts w:hint="eastAsia" w:hAnsi="宋体" w:cs="宋体"/>
          <w:color w:val="auto"/>
          <w:sz w:val="21"/>
          <w:szCs w:val="21"/>
          <w:highlight w:val="none"/>
        </w:rPr>
      </w:pPr>
    </w:p>
    <w:p>
      <w:pPr>
        <w:pStyle w:val="2"/>
        <w:spacing w:line="360" w:lineRule="exact"/>
        <w:ind w:left="-426" w:leftChars="-203" w:right="142" w:firstLine="480" w:firstLineChars="200"/>
        <w:contextualSpacing/>
        <w:rPr>
          <w:rFonts w:hint="eastAsia" w:ascii="宋体" w:hAnsi="宋体" w:cs="宋体"/>
          <w:color w:val="auto"/>
          <w:kern w:val="24"/>
          <w:sz w:val="24"/>
          <w:highlight w:val="none"/>
        </w:rPr>
      </w:pPr>
      <w:r>
        <w:rPr>
          <w:rFonts w:hint="eastAsia" w:ascii="宋体" w:hAnsi="宋体" w:cs="宋体"/>
          <w:color w:val="auto"/>
          <w:kern w:val="24"/>
          <w:sz w:val="24"/>
          <w:highlight w:val="none"/>
        </w:rPr>
        <w:t>本公司（联合体）郑重声明，根据《政府采购促进中小企业发展管理办法》（财库﹝2020﹞46号）的规定，本公司（联合体）参加</w:t>
      </w:r>
      <w:r>
        <w:rPr>
          <w:rFonts w:hint="eastAsia" w:ascii="宋体" w:hAnsi="宋体" w:cs="宋体"/>
          <w:i/>
          <w:iCs/>
          <w:color w:val="auto"/>
          <w:kern w:val="24"/>
          <w:sz w:val="24"/>
          <w:highlight w:val="none"/>
          <w:u w:val="single"/>
        </w:rPr>
        <w:t>（单位名称）</w:t>
      </w:r>
      <w:r>
        <w:rPr>
          <w:rFonts w:hint="eastAsia" w:ascii="宋体" w:hAnsi="宋体" w:cs="宋体"/>
          <w:color w:val="auto"/>
          <w:kern w:val="24"/>
          <w:sz w:val="24"/>
          <w:highlight w:val="none"/>
        </w:rPr>
        <w:t>的</w:t>
      </w:r>
      <w:r>
        <w:rPr>
          <w:rFonts w:hint="eastAsia" w:ascii="宋体" w:hAnsi="宋体" w:cs="宋体"/>
          <w:i/>
          <w:iCs/>
          <w:color w:val="auto"/>
          <w:kern w:val="24"/>
          <w:sz w:val="24"/>
          <w:highlight w:val="none"/>
          <w:u w:val="single"/>
        </w:rPr>
        <w:t>（项目名称）</w:t>
      </w:r>
      <w:r>
        <w:rPr>
          <w:rFonts w:hint="eastAsia" w:ascii="宋体" w:hAnsi="宋体" w:cs="宋体"/>
          <w:color w:val="auto"/>
          <w:kern w:val="24"/>
          <w:sz w:val="24"/>
          <w:highlight w:val="none"/>
        </w:rPr>
        <w:t>采购活动，提供的货物全部由符合政策要求的中小企业制造。相关企业（含联合体中的中小企业、签订分包意向协议的中小企业）的具体情况如下：</w:t>
      </w:r>
    </w:p>
    <w:p>
      <w:pPr>
        <w:tabs>
          <w:tab w:val="left" w:pos="1384"/>
          <w:tab w:val="left" w:pos="4562"/>
          <w:tab w:val="left" w:pos="6803"/>
        </w:tabs>
        <w:spacing w:line="360" w:lineRule="exact"/>
        <w:ind w:left="-426" w:right="-58" w:firstLine="655"/>
        <w:contextualSpacing/>
        <w:rPr>
          <w:rFonts w:hint="eastAsia" w:ascii="宋体" w:hAnsi="宋体" w:cs="宋体"/>
          <w:color w:val="auto"/>
          <w:kern w:val="24"/>
          <w:sz w:val="24"/>
          <w:highlight w:val="none"/>
        </w:rPr>
      </w:pPr>
      <w:r>
        <w:rPr>
          <w:rFonts w:hint="eastAsia" w:ascii="宋体" w:hAnsi="宋体" w:cs="宋体"/>
          <w:color w:val="auto"/>
          <w:kern w:val="24"/>
          <w:sz w:val="24"/>
          <w:highlight w:val="none"/>
        </w:rPr>
        <w:t>1.</w:t>
      </w:r>
      <w:r>
        <w:rPr>
          <w:rFonts w:hint="eastAsia" w:ascii="宋体" w:hAnsi="宋体" w:cs="宋体"/>
          <w:i/>
          <w:iCs/>
          <w:color w:val="auto"/>
          <w:kern w:val="24"/>
          <w:sz w:val="24"/>
          <w:highlight w:val="none"/>
          <w:u w:val="single"/>
        </w:rPr>
        <w:t>（标的名称）</w:t>
      </w:r>
      <w:r>
        <w:rPr>
          <w:rFonts w:hint="eastAsia" w:ascii="宋体" w:hAnsi="宋体" w:cs="宋体"/>
          <w:i/>
          <w:iCs/>
          <w:color w:val="auto"/>
          <w:kern w:val="24"/>
          <w:sz w:val="24"/>
          <w:highlight w:val="none"/>
          <w:u w:val="single"/>
          <w:lang w:val="en-US" w:eastAsia="zh-CN"/>
        </w:rPr>
        <w:t xml:space="preserve">   </w:t>
      </w:r>
      <w:r>
        <w:rPr>
          <w:rFonts w:hint="eastAsia" w:ascii="宋体" w:hAnsi="宋体" w:cs="宋体"/>
          <w:color w:val="auto"/>
          <w:kern w:val="24"/>
          <w:sz w:val="24"/>
          <w:highlight w:val="none"/>
        </w:rPr>
        <w:t>，属于</w:t>
      </w:r>
      <w:r>
        <w:rPr>
          <w:rFonts w:hint="eastAsia" w:ascii="宋体" w:hAnsi="宋体" w:cs="宋体"/>
          <w:i/>
          <w:iCs/>
          <w:color w:val="auto"/>
          <w:kern w:val="24"/>
          <w:sz w:val="24"/>
          <w:highlight w:val="none"/>
          <w:u w:val="single"/>
        </w:rPr>
        <w:t>（采购文件中明确的所属行业）</w:t>
      </w:r>
      <w:r>
        <w:rPr>
          <w:rFonts w:hint="eastAsia" w:ascii="宋体" w:hAnsi="宋体" w:cs="宋体"/>
          <w:i/>
          <w:iCs/>
          <w:color w:val="auto"/>
          <w:kern w:val="24"/>
          <w:sz w:val="24"/>
          <w:highlight w:val="none"/>
          <w:u w:val="single"/>
          <w:lang w:val="en-US" w:eastAsia="zh-CN"/>
        </w:rPr>
        <w:t xml:space="preserve">   </w:t>
      </w:r>
      <w:r>
        <w:rPr>
          <w:rFonts w:hint="eastAsia" w:ascii="宋体" w:hAnsi="宋体" w:cs="宋体"/>
          <w:i/>
          <w:iCs/>
          <w:color w:val="auto"/>
          <w:kern w:val="24"/>
          <w:sz w:val="24"/>
          <w:highlight w:val="none"/>
          <w:u w:val="single"/>
        </w:rPr>
        <w:t>行业</w:t>
      </w:r>
      <w:r>
        <w:rPr>
          <w:rFonts w:hint="eastAsia" w:ascii="宋体" w:hAnsi="宋体" w:cs="宋体"/>
          <w:color w:val="auto"/>
          <w:kern w:val="24"/>
          <w:sz w:val="24"/>
          <w:highlight w:val="none"/>
        </w:rPr>
        <w:t>；制造商为</w:t>
      </w:r>
      <w:r>
        <w:rPr>
          <w:rFonts w:hint="eastAsia" w:ascii="宋体" w:hAnsi="宋体" w:cs="宋体"/>
          <w:i/>
          <w:iCs/>
          <w:color w:val="auto"/>
          <w:kern w:val="24"/>
          <w:sz w:val="24"/>
          <w:highlight w:val="none"/>
          <w:u w:val="single"/>
        </w:rPr>
        <w:t>（企业名称）</w:t>
      </w:r>
      <w:r>
        <w:rPr>
          <w:rFonts w:hint="eastAsia" w:ascii="宋体" w:hAnsi="宋体" w:cs="宋体"/>
          <w:i/>
          <w:iCs/>
          <w:color w:val="auto"/>
          <w:kern w:val="24"/>
          <w:sz w:val="24"/>
          <w:highlight w:val="none"/>
          <w:u w:val="single"/>
          <w:lang w:val="en-US" w:eastAsia="zh-CN"/>
        </w:rPr>
        <w:t xml:space="preserve">    </w:t>
      </w:r>
      <w:r>
        <w:rPr>
          <w:rFonts w:hint="eastAsia" w:ascii="宋体" w:hAnsi="宋体" w:cs="宋体"/>
          <w:color w:val="auto"/>
          <w:kern w:val="24"/>
          <w:sz w:val="24"/>
          <w:highlight w:val="none"/>
        </w:rPr>
        <w:t>，从业人员</w:t>
      </w:r>
      <w:r>
        <w:rPr>
          <w:rFonts w:hint="eastAsia" w:ascii="宋体" w:hAnsi="宋体" w:cs="宋体"/>
          <w:color w:val="auto"/>
          <w:kern w:val="24"/>
          <w:sz w:val="24"/>
          <w:highlight w:val="none"/>
          <w:u w:val="single"/>
        </w:rPr>
        <w:t xml:space="preserve">      </w:t>
      </w:r>
      <w:r>
        <w:rPr>
          <w:rFonts w:hint="eastAsia" w:ascii="宋体" w:hAnsi="宋体" w:cs="宋体"/>
          <w:color w:val="auto"/>
          <w:kern w:val="24"/>
          <w:sz w:val="24"/>
          <w:highlight w:val="none"/>
        </w:rPr>
        <w:t>人，营业收入为</w:t>
      </w:r>
      <w:r>
        <w:rPr>
          <w:rFonts w:hint="eastAsia" w:ascii="宋体" w:hAnsi="宋体" w:cs="宋体"/>
          <w:color w:val="auto"/>
          <w:kern w:val="24"/>
          <w:sz w:val="24"/>
          <w:highlight w:val="none"/>
          <w:u w:val="single"/>
        </w:rPr>
        <w:t xml:space="preserve">      </w:t>
      </w:r>
      <w:r>
        <w:rPr>
          <w:rFonts w:hint="eastAsia" w:ascii="宋体" w:hAnsi="宋体" w:cs="宋体"/>
          <w:color w:val="auto"/>
          <w:kern w:val="24"/>
          <w:sz w:val="24"/>
          <w:highlight w:val="none"/>
        </w:rPr>
        <w:t>万元，资产总额为</w:t>
      </w:r>
      <w:r>
        <w:rPr>
          <w:rFonts w:hint="eastAsia" w:ascii="宋体" w:hAnsi="宋体" w:cs="宋体"/>
          <w:color w:val="auto"/>
          <w:kern w:val="24"/>
          <w:sz w:val="24"/>
          <w:highlight w:val="none"/>
          <w:u w:val="single"/>
        </w:rPr>
        <w:t xml:space="preserve">      </w:t>
      </w:r>
      <w:r>
        <w:rPr>
          <w:rFonts w:hint="eastAsia" w:ascii="宋体" w:hAnsi="宋体" w:cs="宋体"/>
          <w:color w:val="auto"/>
          <w:kern w:val="24"/>
          <w:sz w:val="24"/>
          <w:highlight w:val="none"/>
        </w:rPr>
        <w:t>万元，属于</w:t>
      </w:r>
      <w:r>
        <w:rPr>
          <w:rFonts w:hint="eastAsia" w:ascii="宋体" w:hAnsi="宋体" w:cs="宋体"/>
          <w:i/>
          <w:iCs/>
          <w:color w:val="auto"/>
          <w:kern w:val="24"/>
          <w:sz w:val="24"/>
          <w:highlight w:val="none"/>
          <w:u w:val="single"/>
        </w:rPr>
        <w:t>（中型企业、小型企业、微型企业）</w:t>
      </w:r>
      <w:r>
        <w:rPr>
          <w:rFonts w:hint="eastAsia" w:ascii="宋体" w:hAnsi="宋体" w:cs="宋体"/>
          <w:i/>
          <w:iCs/>
          <w:color w:val="auto"/>
          <w:kern w:val="24"/>
          <w:sz w:val="24"/>
          <w:highlight w:val="none"/>
          <w:u w:val="single"/>
          <w:lang w:val="en-US" w:eastAsia="zh-CN"/>
        </w:rPr>
        <w:t xml:space="preserve">   </w:t>
      </w:r>
      <w:r>
        <w:rPr>
          <w:rFonts w:hint="eastAsia" w:ascii="宋体" w:hAnsi="宋体" w:cs="宋体"/>
          <w:color w:val="auto"/>
          <w:kern w:val="24"/>
          <w:sz w:val="24"/>
          <w:highlight w:val="none"/>
        </w:rPr>
        <w:t>；</w:t>
      </w:r>
    </w:p>
    <w:p>
      <w:pPr>
        <w:tabs>
          <w:tab w:val="left" w:pos="1065"/>
          <w:tab w:val="left" w:pos="6477"/>
        </w:tabs>
        <w:spacing w:line="360" w:lineRule="exact"/>
        <w:ind w:left="-426" w:right="-58" w:firstLine="655"/>
        <w:contextualSpacing/>
        <w:rPr>
          <w:rFonts w:hint="eastAsia" w:ascii="宋体" w:hAnsi="宋体" w:cs="宋体"/>
          <w:color w:val="auto"/>
          <w:kern w:val="24"/>
          <w:sz w:val="24"/>
          <w:highlight w:val="none"/>
        </w:rPr>
      </w:pPr>
      <w:r>
        <w:rPr>
          <w:rFonts w:hint="eastAsia" w:ascii="宋体" w:hAnsi="宋体" w:cs="宋体"/>
          <w:color w:val="auto"/>
          <w:kern w:val="24"/>
          <w:sz w:val="24"/>
          <w:highlight w:val="none"/>
        </w:rPr>
        <w:t>2.</w:t>
      </w:r>
      <w:r>
        <w:rPr>
          <w:rFonts w:hint="eastAsia" w:ascii="宋体" w:hAnsi="宋体" w:cs="宋体"/>
          <w:i/>
          <w:iCs/>
          <w:color w:val="auto"/>
          <w:kern w:val="24"/>
          <w:sz w:val="24"/>
          <w:highlight w:val="none"/>
          <w:u w:val="single"/>
        </w:rPr>
        <w:t>（标的名称）</w:t>
      </w:r>
      <w:r>
        <w:rPr>
          <w:rFonts w:hint="eastAsia" w:ascii="宋体" w:hAnsi="宋体" w:cs="宋体"/>
          <w:i/>
          <w:iCs/>
          <w:color w:val="auto"/>
          <w:kern w:val="24"/>
          <w:sz w:val="24"/>
          <w:highlight w:val="none"/>
          <w:u w:val="single"/>
          <w:lang w:val="en-US" w:eastAsia="zh-CN"/>
        </w:rPr>
        <w:t xml:space="preserve">   </w:t>
      </w:r>
      <w:r>
        <w:rPr>
          <w:rFonts w:hint="eastAsia" w:ascii="宋体" w:hAnsi="宋体" w:cs="宋体"/>
          <w:color w:val="auto"/>
          <w:kern w:val="24"/>
          <w:sz w:val="24"/>
          <w:highlight w:val="none"/>
        </w:rPr>
        <w:t>，属于</w:t>
      </w:r>
      <w:r>
        <w:rPr>
          <w:rFonts w:hint="eastAsia" w:ascii="宋体" w:hAnsi="宋体" w:cs="宋体"/>
          <w:i/>
          <w:iCs/>
          <w:color w:val="auto"/>
          <w:kern w:val="24"/>
          <w:sz w:val="24"/>
          <w:highlight w:val="none"/>
          <w:u w:val="single"/>
        </w:rPr>
        <w:t>（采购文件中明确的所属行业）</w:t>
      </w:r>
      <w:r>
        <w:rPr>
          <w:rFonts w:hint="eastAsia" w:ascii="宋体" w:hAnsi="宋体" w:cs="宋体"/>
          <w:i/>
          <w:iCs/>
          <w:color w:val="auto"/>
          <w:kern w:val="24"/>
          <w:sz w:val="24"/>
          <w:highlight w:val="none"/>
          <w:u w:val="single"/>
          <w:lang w:val="en-US" w:eastAsia="zh-CN"/>
        </w:rPr>
        <w:t xml:space="preserve">   </w:t>
      </w:r>
      <w:r>
        <w:rPr>
          <w:rFonts w:hint="eastAsia" w:ascii="宋体" w:hAnsi="宋体" w:cs="宋体"/>
          <w:i/>
          <w:iCs/>
          <w:color w:val="auto"/>
          <w:kern w:val="24"/>
          <w:sz w:val="24"/>
          <w:highlight w:val="none"/>
          <w:u w:val="single"/>
        </w:rPr>
        <w:t>行业</w:t>
      </w:r>
      <w:r>
        <w:rPr>
          <w:rFonts w:hint="eastAsia" w:ascii="宋体" w:hAnsi="宋体" w:cs="宋体"/>
          <w:color w:val="auto"/>
          <w:kern w:val="24"/>
          <w:sz w:val="24"/>
          <w:highlight w:val="none"/>
        </w:rPr>
        <w:t>；制造商为</w:t>
      </w:r>
      <w:r>
        <w:rPr>
          <w:rFonts w:hint="eastAsia" w:ascii="宋体" w:hAnsi="宋体" w:cs="宋体"/>
          <w:i/>
          <w:iCs/>
          <w:color w:val="auto"/>
          <w:kern w:val="24"/>
          <w:sz w:val="24"/>
          <w:highlight w:val="none"/>
          <w:u w:val="single"/>
        </w:rPr>
        <w:t>（企业名称）</w:t>
      </w:r>
      <w:r>
        <w:rPr>
          <w:rFonts w:hint="eastAsia" w:ascii="宋体" w:hAnsi="宋体" w:cs="宋体"/>
          <w:i/>
          <w:iCs/>
          <w:color w:val="auto"/>
          <w:kern w:val="24"/>
          <w:sz w:val="24"/>
          <w:highlight w:val="none"/>
          <w:u w:val="single"/>
          <w:lang w:val="en-US" w:eastAsia="zh-CN"/>
        </w:rPr>
        <w:t xml:space="preserve">    </w:t>
      </w:r>
      <w:r>
        <w:rPr>
          <w:rFonts w:hint="eastAsia" w:ascii="宋体" w:hAnsi="宋体" w:cs="宋体"/>
          <w:color w:val="auto"/>
          <w:kern w:val="24"/>
          <w:sz w:val="24"/>
          <w:highlight w:val="none"/>
        </w:rPr>
        <w:t>，从业人员</w:t>
      </w:r>
      <w:r>
        <w:rPr>
          <w:rFonts w:hint="eastAsia" w:ascii="宋体" w:hAnsi="宋体" w:cs="宋体"/>
          <w:color w:val="auto"/>
          <w:kern w:val="24"/>
          <w:sz w:val="24"/>
          <w:highlight w:val="none"/>
          <w:u w:val="single"/>
        </w:rPr>
        <w:t xml:space="preserve">      </w:t>
      </w:r>
      <w:r>
        <w:rPr>
          <w:rFonts w:hint="eastAsia" w:ascii="宋体" w:hAnsi="宋体" w:cs="宋体"/>
          <w:color w:val="auto"/>
          <w:kern w:val="24"/>
          <w:sz w:val="24"/>
          <w:highlight w:val="none"/>
        </w:rPr>
        <w:t>人，营业收入为</w:t>
      </w:r>
      <w:r>
        <w:rPr>
          <w:rFonts w:hint="eastAsia" w:ascii="宋体" w:hAnsi="宋体" w:cs="宋体"/>
          <w:color w:val="auto"/>
          <w:kern w:val="24"/>
          <w:sz w:val="24"/>
          <w:highlight w:val="none"/>
          <w:u w:val="single"/>
        </w:rPr>
        <w:t xml:space="preserve">      </w:t>
      </w:r>
      <w:r>
        <w:rPr>
          <w:rFonts w:hint="eastAsia" w:ascii="宋体" w:hAnsi="宋体" w:cs="宋体"/>
          <w:color w:val="auto"/>
          <w:kern w:val="24"/>
          <w:sz w:val="24"/>
          <w:highlight w:val="none"/>
        </w:rPr>
        <w:t>万元，资产总额为</w:t>
      </w:r>
      <w:r>
        <w:rPr>
          <w:rFonts w:hint="eastAsia" w:ascii="宋体" w:hAnsi="宋体" w:cs="宋体"/>
          <w:color w:val="auto"/>
          <w:kern w:val="24"/>
          <w:sz w:val="24"/>
          <w:highlight w:val="none"/>
          <w:u w:val="single"/>
        </w:rPr>
        <w:t xml:space="preserve">      </w:t>
      </w:r>
      <w:r>
        <w:rPr>
          <w:rFonts w:hint="eastAsia" w:ascii="宋体" w:hAnsi="宋体" w:cs="宋体"/>
          <w:color w:val="auto"/>
          <w:kern w:val="24"/>
          <w:sz w:val="24"/>
          <w:highlight w:val="none"/>
        </w:rPr>
        <w:t>万元，属于</w:t>
      </w:r>
      <w:r>
        <w:rPr>
          <w:rFonts w:hint="eastAsia" w:ascii="宋体" w:hAnsi="宋体" w:cs="宋体"/>
          <w:i/>
          <w:iCs/>
          <w:color w:val="auto"/>
          <w:kern w:val="24"/>
          <w:sz w:val="24"/>
          <w:highlight w:val="none"/>
          <w:u w:val="single"/>
        </w:rPr>
        <w:t>（中型企业、小型企业、微型企业）</w:t>
      </w:r>
      <w:r>
        <w:rPr>
          <w:rFonts w:hint="eastAsia" w:ascii="宋体" w:hAnsi="宋体" w:cs="宋体"/>
          <w:i/>
          <w:iCs/>
          <w:color w:val="auto"/>
          <w:kern w:val="24"/>
          <w:sz w:val="24"/>
          <w:highlight w:val="none"/>
          <w:u w:val="single"/>
          <w:lang w:val="en-US" w:eastAsia="zh-CN"/>
        </w:rPr>
        <w:t xml:space="preserve">   </w:t>
      </w:r>
      <w:r>
        <w:rPr>
          <w:rFonts w:hint="eastAsia" w:ascii="宋体" w:hAnsi="宋体" w:cs="宋体"/>
          <w:color w:val="auto"/>
          <w:kern w:val="24"/>
          <w:sz w:val="24"/>
          <w:highlight w:val="none"/>
        </w:rPr>
        <w:t>；</w:t>
      </w:r>
    </w:p>
    <w:p>
      <w:pPr>
        <w:pStyle w:val="2"/>
        <w:spacing w:line="360" w:lineRule="exact"/>
        <w:ind w:left="142" w:right="142"/>
        <w:contextualSpacing/>
        <w:rPr>
          <w:rFonts w:hint="eastAsia" w:ascii="宋体" w:hAnsi="宋体" w:cs="宋体"/>
          <w:color w:val="auto"/>
          <w:kern w:val="24"/>
          <w:highlight w:val="none"/>
        </w:rPr>
      </w:pPr>
      <w:r>
        <w:rPr>
          <w:rFonts w:hint="eastAsia" w:ascii="宋体" w:hAnsi="宋体" w:cs="宋体"/>
          <w:color w:val="auto"/>
          <w:kern w:val="24"/>
          <w:highlight w:val="none"/>
        </w:rPr>
        <w:t xml:space="preserve">…… </w:t>
      </w:r>
    </w:p>
    <w:p>
      <w:pPr>
        <w:pStyle w:val="2"/>
        <w:spacing w:line="360" w:lineRule="exact"/>
        <w:ind w:left="-405" w:leftChars="-193" w:right="142" w:firstLine="453" w:firstLineChars="189"/>
        <w:contextualSpacing/>
        <w:rPr>
          <w:rFonts w:hint="eastAsia" w:ascii="宋体" w:hAnsi="宋体" w:cs="宋体"/>
          <w:color w:val="auto"/>
          <w:kern w:val="24"/>
          <w:sz w:val="24"/>
          <w:highlight w:val="none"/>
        </w:rPr>
      </w:pPr>
      <w:r>
        <w:rPr>
          <w:rFonts w:hint="eastAsia" w:ascii="宋体" w:hAnsi="宋体" w:cs="宋体"/>
          <w:color w:val="auto"/>
          <w:kern w:val="24"/>
          <w:sz w:val="24"/>
          <w:highlight w:val="none"/>
        </w:rPr>
        <w:t>以上企业，不属于大企业的分支机构，不存在控股股东为大企业的情形，也不存在与大企业的负责人为同一人的情形。</w:t>
      </w:r>
    </w:p>
    <w:p>
      <w:pPr>
        <w:pStyle w:val="2"/>
        <w:spacing w:line="360" w:lineRule="exact"/>
        <w:ind w:left="-426" w:right="142" w:firstLine="420"/>
        <w:contextualSpacing/>
        <w:rPr>
          <w:rFonts w:hint="eastAsia" w:ascii="宋体" w:hAnsi="宋体" w:cs="宋体"/>
          <w:color w:val="auto"/>
          <w:kern w:val="24"/>
          <w:sz w:val="24"/>
          <w:highlight w:val="none"/>
        </w:rPr>
      </w:pPr>
      <w:r>
        <w:rPr>
          <w:rFonts w:hint="eastAsia" w:ascii="宋体" w:hAnsi="宋体" w:cs="宋体"/>
          <w:color w:val="auto"/>
          <w:kern w:val="24"/>
          <w:sz w:val="24"/>
          <w:highlight w:val="none"/>
        </w:rPr>
        <w:t>本企业对上述声明内容的真实性负责。如有虚假，将依法承担相应责任。</w:t>
      </w:r>
    </w:p>
    <w:p>
      <w:pPr>
        <w:pStyle w:val="14"/>
        <w:spacing w:line="360" w:lineRule="auto"/>
        <w:ind w:firstLine="480" w:firstLineChars="200"/>
        <w:rPr>
          <w:rFonts w:hint="eastAsia" w:hAnsi="宋体" w:cs="宋体"/>
          <w:color w:val="auto"/>
          <w:sz w:val="24"/>
          <w:szCs w:val="24"/>
          <w:highlight w:val="none"/>
        </w:rPr>
      </w:pPr>
    </w:p>
    <w:p>
      <w:pPr>
        <w:snapToGrid w:val="0"/>
        <w:spacing w:line="360" w:lineRule="auto"/>
        <w:ind w:firstLine="5040" w:firstLineChars="2100"/>
        <w:rPr>
          <w:rFonts w:hint="eastAsia" w:ascii="宋体" w:hAnsi="宋体" w:cs="宋体"/>
          <w:color w:val="auto"/>
          <w:kern w:val="0"/>
          <w:sz w:val="24"/>
          <w:highlight w:val="none"/>
        </w:rPr>
      </w:pPr>
      <w:r>
        <w:rPr>
          <w:rFonts w:hint="eastAsia" w:ascii="宋体" w:hAnsi="宋体" w:cs="宋体"/>
          <w:color w:val="auto"/>
          <w:kern w:val="0"/>
          <w:sz w:val="24"/>
          <w:highlight w:val="none"/>
          <w:lang w:val="zh-CN"/>
        </w:rPr>
        <w:t>投标人名称(盖公章)：</w:t>
      </w:r>
    </w:p>
    <w:p>
      <w:pPr>
        <w:snapToGrid w:val="0"/>
        <w:spacing w:line="360" w:lineRule="auto"/>
        <w:ind w:firstLine="5160" w:firstLineChars="215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pPr>
        <w:pStyle w:val="12"/>
        <w:spacing w:before="50" w:after="165" w:afterLines="50" w:line="360" w:lineRule="auto"/>
        <w:ind w:firstLine="404" w:firstLineChars="200"/>
        <w:rPr>
          <w:rFonts w:hint="eastAsia" w:hAnsi="宋体" w:cs="宋体"/>
          <w:color w:val="auto"/>
          <w:sz w:val="21"/>
          <w:szCs w:val="21"/>
          <w:highlight w:val="none"/>
        </w:rPr>
      </w:pPr>
      <w:r>
        <w:rPr>
          <w:rFonts w:hint="eastAsia" w:hAnsi="宋体" w:cs="宋体"/>
          <w:color w:val="auto"/>
          <w:sz w:val="21"/>
          <w:szCs w:val="21"/>
          <w:highlight w:val="none"/>
        </w:rPr>
        <w:t>注：</w:t>
      </w:r>
    </w:p>
    <w:p>
      <w:pPr>
        <w:pStyle w:val="12"/>
        <w:spacing w:before="50" w:after="165" w:afterLines="50" w:line="360" w:lineRule="auto"/>
        <w:ind w:firstLine="404" w:firstLineChars="200"/>
        <w:rPr>
          <w:rFonts w:hint="eastAsia" w:hAnsi="宋体" w:cs="宋体"/>
          <w:color w:val="auto"/>
          <w:sz w:val="21"/>
          <w:szCs w:val="21"/>
          <w:highlight w:val="none"/>
        </w:rPr>
      </w:pPr>
      <w:r>
        <w:rPr>
          <w:rFonts w:hint="eastAsia" w:hAnsi="宋体" w:cs="宋体"/>
          <w:color w:val="auto"/>
          <w:sz w:val="21"/>
          <w:szCs w:val="21"/>
          <w:highlight w:val="none"/>
        </w:rPr>
        <w:t>1.从业人员、营业收入、资产总额填报上一年度数据，无上一年度数据的新成立企业可不填报。</w:t>
      </w:r>
    </w:p>
    <w:p>
      <w:pPr>
        <w:pStyle w:val="12"/>
        <w:spacing w:line="360" w:lineRule="auto"/>
        <w:ind w:firstLine="404" w:firstLineChars="200"/>
        <w:rPr>
          <w:rFonts w:hint="eastAsia" w:hAnsi="宋体" w:cs="宋体"/>
          <w:color w:val="auto"/>
          <w:sz w:val="21"/>
          <w:szCs w:val="21"/>
          <w:highlight w:val="none"/>
        </w:rPr>
      </w:pPr>
      <w:r>
        <w:rPr>
          <w:rFonts w:hint="eastAsia" w:hAnsi="宋体" w:cs="宋体"/>
          <w:color w:val="auto"/>
          <w:sz w:val="21"/>
          <w:szCs w:val="21"/>
          <w:highlight w:val="none"/>
        </w:rPr>
        <w:t>2.请根据自己的真实情况出具《中小企业声明函》。依法享受中小企业扶持政策的，采购人或者采购代理机构在公告中标结果时，同时公告其《中小企业声明函》，接受社会监督。</w:t>
      </w:r>
    </w:p>
    <w:p>
      <w:pPr>
        <w:pStyle w:val="12"/>
        <w:spacing w:line="360" w:lineRule="auto"/>
        <w:ind w:firstLine="406" w:firstLineChars="200"/>
        <w:rPr>
          <w:rFonts w:hint="eastAsia" w:hAnsi="宋体" w:cs="宋体"/>
          <w:b/>
          <w:bCs/>
          <w:color w:val="auto"/>
          <w:sz w:val="21"/>
          <w:szCs w:val="21"/>
          <w:highlight w:val="none"/>
        </w:rPr>
      </w:pPr>
      <w:r>
        <w:rPr>
          <w:rFonts w:hint="eastAsia" w:hAnsi="宋体" w:cs="宋体"/>
          <w:b/>
          <w:bCs/>
          <w:color w:val="auto"/>
          <w:sz w:val="21"/>
          <w:szCs w:val="21"/>
          <w:highlight w:val="none"/>
        </w:rPr>
        <w:t>3.本声明函主要供参加政府采购活动的中小企业填写，非中小企业无需填写。</w:t>
      </w:r>
    </w:p>
    <w:p>
      <w:pPr>
        <w:pStyle w:val="12"/>
        <w:spacing w:line="360" w:lineRule="auto"/>
        <w:ind w:firstLine="406" w:firstLineChars="200"/>
        <w:rPr>
          <w:rFonts w:hint="eastAsia" w:hAnsi="宋体" w:cs="宋体"/>
          <w:b/>
          <w:bCs/>
          <w:color w:val="auto"/>
          <w:sz w:val="21"/>
          <w:szCs w:val="21"/>
          <w:highlight w:val="none"/>
        </w:rPr>
      </w:pPr>
      <w:r>
        <w:rPr>
          <w:rFonts w:hint="eastAsia" w:hAnsi="宋体" w:cs="宋体"/>
          <w:b/>
          <w:bCs/>
          <w:color w:val="auto"/>
          <w:sz w:val="21"/>
          <w:szCs w:val="21"/>
          <w:highlight w:val="none"/>
        </w:rPr>
        <w:t>4.小型、微型企业提供中型企业提供的货物的，视同为中型企业。</w:t>
      </w:r>
    </w:p>
    <w:p>
      <w:pPr>
        <w:pStyle w:val="12"/>
        <w:spacing w:line="360" w:lineRule="auto"/>
        <w:ind w:firstLine="404" w:firstLineChars="200"/>
        <w:rPr>
          <w:rFonts w:hint="eastAsia" w:hAnsi="宋体" w:cs="宋体"/>
          <w:color w:val="auto"/>
          <w:sz w:val="21"/>
          <w:szCs w:val="21"/>
          <w:highlight w:val="none"/>
        </w:rPr>
        <w:sectPr>
          <w:pgSz w:w="11906" w:h="16838"/>
          <w:pgMar w:top="1134" w:right="1020" w:bottom="1020" w:left="1134" w:header="720" w:footer="720" w:gutter="0"/>
          <w:pgNumType w:fmt="decimal"/>
          <w:cols w:space="720" w:num="1"/>
          <w:docGrid w:type="lines" w:linePitch="331" w:charSpace="0"/>
        </w:sectPr>
      </w:pPr>
    </w:p>
    <w:p>
      <w:pPr>
        <w:pStyle w:val="14"/>
        <w:spacing w:line="360" w:lineRule="auto"/>
        <w:jc w:val="left"/>
        <w:rPr>
          <w:rFonts w:hint="eastAsia" w:hAnsi="宋体" w:cs="宋体"/>
          <w:b/>
          <w:color w:val="auto"/>
          <w:sz w:val="28"/>
          <w:szCs w:val="28"/>
          <w:highlight w:val="none"/>
        </w:rPr>
      </w:pPr>
      <w:r>
        <w:rPr>
          <w:rFonts w:hint="eastAsia" w:hAnsi="宋体" w:cs="宋体"/>
          <w:b/>
          <w:color w:val="auto"/>
          <w:sz w:val="28"/>
          <w:szCs w:val="28"/>
          <w:highlight w:val="none"/>
        </w:rPr>
        <w:t>2.残疾人福利性单位声明函的格式：</w:t>
      </w:r>
    </w:p>
    <w:p>
      <w:pPr>
        <w:pStyle w:val="14"/>
        <w:spacing w:line="360" w:lineRule="auto"/>
        <w:jc w:val="center"/>
        <w:rPr>
          <w:rFonts w:hint="eastAsia" w:hAnsi="宋体" w:cs="宋体"/>
          <w:b/>
          <w:color w:val="auto"/>
          <w:sz w:val="30"/>
          <w:szCs w:val="30"/>
          <w:highlight w:val="none"/>
        </w:rPr>
      </w:pPr>
    </w:p>
    <w:p>
      <w:pPr>
        <w:pStyle w:val="14"/>
        <w:spacing w:line="360" w:lineRule="auto"/>
        <w:jc w:val="center"/>
        <w:rPr>
          <w:rFonts w:hint="eastAsia" w:hAnsi="宋体" w:cs="宋体"/>
          <w:b/>
          <w:color w:val="auto"/>
          <w:sz w:val="30"/>
          <w:szCs w:val="30"/>
          <w:highlight w:val="none"/>
        </w:rPr>
      </w:pPr>
      <w:r>
        <w:rPr>
          <w:rFonts w:hint="eastAsia" w:hAnsi="宋体" w:cs="宋体"/>
          <w:b/>
          <w:color w:val="auto"/>
          <w:sz w:val="30"/>
          <w:szCs w:val="30"/>
          <w:highlight w:val="none"/>
        </w:rPr>
        <w:t>残疾人福利性单位声明函</w:t>
      </w:r>
    </w:p>
    <w:p>
      <w:pPr>
        <w:pStyle w:val="14"/>
        <w:spacing w:line="360" w:lineRule="auto"/>
        <w:jc w:val="center"/>
        <w:rPr>
          <w:rFonts w:hint="eastAsia" w:hAnsi="宋体" w:cs="宋体"/>
          <w:b/>
          <w:color w:val="auto"/>
          <w:sz w:val="30"/>
          <w:szCs w:val="30"/>
          <w:highlight w:val="none"/>
        </w:rPr>
      </w:pPr>
    </w:p>
    <w:p>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单位的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项目采购活动提供本单位制造的货物（由本单位承担工程/提供服务），或者提供其他残疾人福利性单位制造的货物（不包括使用非残疾人福利性单位注册商标的货物）。</w:t>
      </w:r>
    </w:p>
    <w:p>
      <w:pPr>
        <w:pStyle w:val="14"/>
        <w:spacing w:line="360" w:lineRule="auto"/>
        <w:ind w:firstLine="480" w:firstLineChars="200"/>
        <w:jc w:val="left"/>
        <w:rPr>
          <w:rFonts w:hint="eastAsia" w:hAnsi="宋体" w:cs="宋体"/>
          <w:color w:val="auto"/>
          <w:sz w:val="30"/>
          <w:szCs w:val="30"/>
          <w:highlight w:val="none"/>
        </w:rPr>
      </w:pPr>
      <w:r>
        <w:rPr>
          <w:rFonts w:hint="eastAsia" w:hAnsi="宋体" w:cs="宋体"/>
          <w:color w:val="auto"/>
          <w:sz w:val="24"/>
          <w:szCs w:val="24"/>
          <w:highlight w:val="none"/>
        </w:rPr>
        <w:t>本单位对上述声明的真实性负责。如有虚假，将依法承担相应责任。</w:t>
      </w:r>
    </w:p>
    <w:p>
      <w:pPr>
        <w:pStyle w:val="14"/>
        <w:spacing w:line="360" w:lineRule="auto"/>
        <w:jc w:val="left"/>
        <w:rPr>
          <w:rFonts w:hint="eastAsia" w:hAnsi="宋体" w:cs="宋体"/>
          <w:b/>
          <w:color w:val="auto"/>
          <w:szCs w:val="21"/>
          <w:highlight w:val="none"/>
        </w:rPr>
      </w:pPr>
    </w:p>
    <w:p>
      <w:pPr>
        <w:pStyle w:val="14"/>
        <w:spacing w:line="360" w:lineRule="auto"/>
        <w:jc w:val="left"/>
        <w:rPr>
          <w:rFonts w:hint="eastAsia" w:hAnsi="宋体" w:cs="宋体"/>
          <w:b/>
          <w:color w:val="auto"/>
          <w:szCs w:val="21"/>
          <w:highlight w:val="none"/>
        </w:rPr>
      </w:pPr>
    </w:p>
    <w:p>
      <w:pPr>
        <w:snapToGrid w:val="0"/>
        <w:spacing w:line="360" w:lineRule="auto"/>
        <w:ind w:left="5137" w:leftChars="1736" w:hanging="1491" w:hangingChars="825"/>
        <w:rPr>
          <w:rFonts w:hint="eastAsia" w:ascii="宋体" w:hAnsi="宋体" w:cs="宋体"/>
          <w:color w:val="auto"/>
          <w:kern w:val="0"/>
          <w:sz w:val="24"/>
          <w:highlight w:val="none"/>
        </w:rPr>
      </w:pPr>
      <w:r>
        <w:rPr>
          <w:rFonts w:hint="eastAsia" w:ascii="宋体" w:hAnsi="宋体" w:cs="宋体"/>
          <w:b/>
          <w:color w:val="auto"/>
          <w:sz w:val="18"/>
          <w:szCs w:val="18"/>
          <w:highlight w:val="none"/>
        </w:rPr>
        <w:t xml:space="preserve">                                                                    </w:t>
      </w:r>
      <w:r>
        <w:rPr>
          <w:rFonts w:hint="eastAsia" w:ascii="宋体" w:hAnsi="宋体" w:cs="宋体"/>
          <w:color w:val="auto"/>
          <w:kern w:val="0"/>
          <w:sz w:val="24"/>
          <w:highlight w:val="none"/>
          <w:lang w:val="zh-CN"/>
        </w:rPr>
        <w:t>投标人名称(盖公章)：</w:t>
      </w:r>
    </w:p>
    <w:p>
      <w:pPr>
        <w:snapToGrid w:val="0"/>
        <w:spacing w:line="360" w:lineRule="auto"/>
        <w:ind w:firstLine="5160" w:firstLineChars="215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pPr>
        <w:pStyle w:val="14"/>
        <w:spacing w:line="360" w:lineRule="auto"/>
        <w:ind w:left="5132" w:leftChars="1979" w:hanging="976" w:hangingChars="488"/>
        <w:rPr>
          <w:rFonts w:hint="eastAsia" w:hAnsi="宋体" w:cs="宋体"/>
          <w:color w:val="auto"/>
          <w:sz w:val="20"/>
          <w:highlight w:val="none"/>
        </w:rPr>
      </w:pPr>
    </w:p>
    <w:p>
      <w:pPr>
        <w:spacing w:line="360" w:lineRule="auto"/>
        <w:ind w:right="4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注：请根据自己的真实情况出具《残疾人福利性单位声明函》。依法享受中小企业扶持政策的，采购人或者采购代理机构在公告中标结果时，同时公告其《残疾人福利性单位声明函》，接受社会监督；根据《关于政府采购支持监狱企业发展有关问题的通知》（财库〔2014〕68号）的规定，投标人提供由省级以上监狱管理局、戒毒管理局（含新疆生产建设兵团）出具的属于监狱企业证明文件的，视同为小型和微型企业。</w:t>
      </w:r>
    </w:p>
    <w:p>
      <w:pPr>
        <w:pStyle w:val="23"/>
        <w:shd w:val="clear" w:color="auto" w:fill="FFFFFF"/>
        <w:spacing w:before="30" w:beforeAutospacing="0" w:after="30" w:afterAutospacing="0"/>
        <w:rPr>
          <w:rFonts w:hint="eastAsia"/>
          <w:b/>
          <w:color w:val="auto"/>
          <w:kern w:val="2"/>
          <w:sz w:val="30"/>
          <w:szCs w:val="30"/>
          <w:highlight w:val="none"/>
        </w:rPr>
      </w:pPr>
      <w:r>
        <w:rPr>
          <w:rFonts w:hint="eastAsia"/>
          <w:color w:val="auto"/>
          <w:szCs w:val="21"/>
          <w:highlight w:val="none"/>
        </w:rPr>
        <w:br w:type="page"/>
      </w:r>
      <w:r>
        <w:rPr>
          <w:rFonts w:hint="eastAsia"/>
          <w:b/>
          <w:color w:val="auto"/>
          <w:sz w:val="28"/>
          <w:szCs w:val="28"/>
          <w:highlight w:val="none"/>
        </w:rPr>
        <w:t>3.关于符合本国产品标准的声明函的格式：</w:t>
      </w:r>
    </w:p>
    <w:p>
      <w:pPr>
        <w:widowControl/>
        <w:shd w:val="clear" w:color="auto" w:fill="FFFFFF"/>
        <w:spacing w:before="30" w:after="30"/>
        <w:jc w:val="center"/>
        <w:rPr>
          <w:rFonts w:hint="eastAsia" w:ascii="宋体" w:hAnsi="宋体" w:cs="宋体"/>
          <w:b/>
          <w:color w:val="auto"/>
          <w:sz w:val="30"/>
          <w:szCs w:val="30"/>
          <w:highlight w:val="none"/>
        </w:rPr>
      </w:pPr>
    </w:p>
    <w:p>
      <w:pPr>
        <w:widowControl/>
        <w:shd w:val="clear" w:color="auto" w:fill="FFFFFF"/>
        <w:spacing w:before="30" w:after="30"/>
        <w:jc w:val="center"/>
        <w:rPr>
          <w:rFonts w:hint="eastAsia" w:ascii="宋体" w:hAnsi="宋体" w:cs="宋体"/>
          <w:color w:val="auto"/>
          <w:sz w:val="24"/>
          <w:highlight w:val="none"/>
        </w:rPr>
      </w:pPr>
      <w:r>
        <w:rPr>
          <w:rFonts w:hint="eastAsia" w:ascii="宋体" w:hAnsi="宋体" w:cs="宋体"/>
          <w:b/>
          <w:color w:val="auto"/>
          <w:sz w:val="30"/>
          <w:szCs w:val="30"/>
          <w:highlight w:val="none"/>
        </w:rPr>
        <w:t>关于符合本国产品标准的声明函</w:t>
      </w:r>
    </w:p>
    <w:p>
      <w:pPr>
        <w:widowControl/>
        <w:shd w:val="clear" w:color="auto" w:fill="FFFFFF"/>
        <w:spacing w:before="30" w:after="30"/>
        <w:ind w:firstLine="420"/>
        <w:jc w:val="left"/>
        <w:rPr>
          <w:rFonts w:hint="eastAsia" w:ascii="宋体" w:hAnsi="宋体" w:cs="宋体"/>
          <w:color w:val="auto"/>
          <w:sz w:val="24"/>
          <w:highlight w:val="none"/>
        </w:rPr>
      </w:pPr>
    </w:p>
    <w:p>
      <w:pPr>
        <w:widowControl/>
        <w:shd w:val="clear" w:color="auto" w:fill="FFFFFF"/>
        <w:spacing w:before="30" w:after="30" w:line="360" w:lineRule="auto"/>
        <w:ind w:firstLine="420"/>
        <w:jc w:val="left"/>
        <w:rPr>
          <w:rFonts w:hint="eastAsia" w:ascii="宋体" w:hAnsi="宋体" w:cs="宋体"/>
          <w:color w:val="auto"/>
          <w:sz w:val="24"/>
          <w:highlight w:val="none"/>
        </w:rPr>
      </w:pPr>
      <w:r>
        <w:rPr>
          <w:rFonts w:hint="eastAsia" w:ascii="宋体" w:hAnsi="宋体" w:cs="宋体"/>
          <w:color w:val="auto"/>
          <w:sz w:val="24"/>
          <w:highlight w:val="none"/>
        </w:rPr>
        <w:t>本公司（单位）郑重声明，根据《国务院办公厅关于在政府采购中实施本国产品标准及相关政策的通知》（国办发〔2025〕34号）的规定，本公司（单位）提供的以下产品属于本国产品。具体情况如下：</w:t>
      </w:r>
    </w:p>
    <w:p>
      <w:pPr>
        <w:widowControl/>
        <w:shd w:val="clear" w:color="auto" w:fill="FFFFFF"/>
        <w:spacing w:before="30" w:after="30" w:line="360" w:lineRule="auto"/>
        <w:ind w:firstLine="420"/>
        <w:jc w:val="left"/>
        <w:rPr>
          <w:rFonts w:hint="eastAsia" w:ascii="宋体" w:hAnsi="宋体" w:cs="宋体"/>
          <w:color w:val="auto"/>
          <w:sz w:val="24"/>
          <w:highlight w:val="none"/>
        </w:rPr>
      </w:pPr>
      <w:r>
        <w:rPr>
          <w:rFonts w:hint="eastAsia" w:ascii="宋体" w:hAnsi="宋体" w:cs="宋体"/>
          <w:color w:val="auto"/>
          <w:sz w:val="24"/>
          <w:highlight w:val="none"/>
        </w:rPr>
        <w:t>1.（产品名称1）1，生产厂为（厂名）2，厂址为（生产厂址）。（产品名称1）的中国境内生产的组件成本占比≥（规定比例）3。（产品名称1）的（关键组件）4在中国境内生产。（产品名称1）的（关键工序）5在中国境内完成。</w:t>
      </w:r>
    </w:p>
    <w:p>
      <w:pPr>
        <w:widowControl/>
        <w:shd w:val="clear" w:color="auto" w:fill="FFFFFF"/>
        <w:spacing w:before="30" w:after="30" w:line="360" w:lineRule="auto"/>
        <w:ind w:firstLine="420"/>
        <w:jc w:val="left"/>
        <w:rPr>
          <w:rFonts w:hint="eastAsia" w:ascii="宋体" w:hAnsi="宋体" w:cs="宋体"/>
          <w:color w:val="auto"/>
          <w:sz w:val="24"/>
          <w:highlight w:val="none"/>
        </w:rPr>
      </w:pPr>
      <w:r>
        <w:rPr>
          <w:rFonts w:hint="eastAsia" w:ascii="宋体" w:hAnsi="宋体" w:cs="宋体"/>
          <w:color w:val="auto"/>
          <w:sz w:val="24"/>
          <w:highlight w:val="none"/>
        </w:rPr>
        <w:t>2.（产品名称2），生产厂为（厂名），厂址为（生产厂址）。（产品名称2）的中国境内生产的组件成本占比≥（规定比例）。（产品名称2）的（关键组件）在中国境内生产。（产品名称2）的（关键工序）在中国境内完成。</w:t>
      </w:r>
    </w:p>
    <w:p>
      <w:pPr>
        <w:widowControl/>
        <w:shd w:val="clear" w:color="auto" w:fill="FFFFFF"/>
        <w:spacing w:before="30" w:after="30" w:line="360" w:lineRule="auto"/>
        <w:ind w:firstLine="420"/>
        <w:jc w:val="left"/>
        <w:rPr>
          <w:rFonts w:hint="eastAsia" w:ascii="宋体" w:hAnsi="宋体" w:cs="宋体"/>
          <w:color w:val="auto"/>
          <w:sz w:val="24"/>
          <w:highlight w:val="none"/>
        </w:rPr>
      </w:pPr>
      <w:r>
        <w:rPr>
          <w:rFonts w:hint="eastAsia" w:ascii="宋体" w:hAnsi="宋体" w:cs="宋体"/>
          <w:color w:val="auto"/>
          <w:sz w:val="24"/>
          <w:highlight w:val="none"/>
        </w:rPr>
        <w:t>……</w:t>
      </w:r>
    </w:p>
    <w:p>
      <w:pPr>
        <w:widowControl/>
        <w:shd w:val="clear" w:color="auto" w:fill="FFFFFF"/>
        <w:spacing w:before="30" w:after="30" w:line="360" w:lineRule="auto"/>
        <w:ind w:firstLine="420"/>
        <w:jc w:val="left"/>
        <w:rPr>
          <w:rFonts w:hint="eastAsia" w:ascii="宋体" w:hAnsi="宋体" w:cs="宋体"/>
          <w:color w:val="auto"/>
          <w:sz w:val="24"/>
          <w:highlight w:val="none"/>
        </w:rPr>
      </w:pPr>
      <w:bookmarkStart w:id="328" w:name="OLE_LINK6"/>
      <w:r>
        <w:rPr>
          <w:rFonts w:hint="eastAsia" w:ascii="宋体" w:hAnsi="宋体" w:cs="宋体"/>
          <w:color w:val="auto"/>
          <w:sz w:val="24"/>
          <w:highlight w:val="none"/>
        </w:rPr>
        <w:t>本公司（单位）对上述声明内容的真实性负责。如有虚假，愿承担相应法律责任。</w:t>
      </w:r>
    </w:p>
    <w:p>
      <w:pPr>
        <w:widowControl/>
        <w:shd w:val="clear" w:color="auto" w:fill="FFFFFF"/>
        <w:spacing w:before="30" w:after="30" w:line="360" w:lineRule="auto"/>
        <w:jc w:val="left"/>
        <w:rPr>
          <w:rFonts w:hint="eastAsia" w:ascii="宋体" w:hAnsi="宋体" w:cs="宋体"/>
          <w:color w:val="auto"/>
          <w:sz w:val="24"/>
          <w:highlight w:val="none"/>
        </w:rPr>
      </w:pPr>
    </w:p>
    <w:p>
      <w:pPr>
        <w:widowControl/>
        <w:shd w:val="clear" w:color="auto" w:fill="FFFFFF"/>
        <w:spacing w:before="30" w:after="30" w:line="360" w:lineRule="auto"/>
        <w:jc w:val="right"/>
        <w:rPr>
          <w:rFonts w:hint="eastAsia" w:ascii="宋体" w:hAnsi="宋体" w:cs="宋体"/>
          <w:color w:val="auto"/>
          <w:sz w:val="24"/>
          <w:highlight w:val="none"/>
        </w:rPr>
      </w:pPr>
      <w:r>
        <w:rPr>
          <w:rFonts w:hint="eastAsia" w:ascii="宋体" w:hAnsi="宋体" w:cs="宋体"/>
          <w:color w:val="auto"/>
          <w:sz w:val="24"/>
          <w:highlight w:val="none"/>
        </w:rPr>
        <w:t>公司（单位）名称（盖章）：　        </w:t>
      </w:r>
    </w:p>
    <w:p>
      <w:pPr>
        <w:widowControl/>
        <w:shd w:val="clear" w:color="auto" w:fill="FFFFFF"/>
        <w:spacing w:before="30" w:after="30" w:line="360" w:lineRule="auto"/>
        <w:jc w:val="right"/>
        <w:rPr>
          <w:rFonts w:hint="eastAsia" w:ascii="宋体" w:hAnsi="宋体" w:cs="宋体"/>
          <w:color w:val="auto"/>
          <w:sz w:val="24"/>
          <w:highlight w:val="none"/>
        </w:rPr>
      </w:pPr>
      <w:r>
        <w:rPr>
          <w:rFonts w:hint="eastAsia" w:ascii="宋体" w:hAnsi="宋体" w:cs="宋体"/>
          <w:color w:val="auto"/>
          <w:sz w:val="24"/>
          <w:highlight w:val="none"/>
        </w:rPr>
        <w:t>日期：　     年　  月　  日    </w:t>
      </w:r>
      <w:bookmarkEnd w:id="328"/>
      <w:r>
        <w:rPr>
          <w:rFonts w:hint="eastAsia" w:ascii="宋体" w:hAnsi="宋体" w:cs="宋体"/>
          <w:color w:val="auto"/>
          <w:sz w:val="24"/>
          <w:highlight w:val="none"/>
        </w:rPr>
        <w:t>     </w:t>
      </w:r>
    </w:p>
    <w:p>
      <w:pPr>
        <w:widowControl/>
        <w:shd w:val="clear" w:color="auto" w:fill="FFFFFF"/>
        <w:spacing w:before="30" w:after="30" w:line="360" w:lineRule="auto"/>
        <w:jc w:val="left"/>
        <w:rPr>
          <w:rFonts w:hint="eastAsia" w:ascii="宋体" w:hAnsi="宋体" w:cs="宋体"/>
          <w:color w:val="auto"/>
          <w:sz w:val="24"/>
          <w:highlight w:val="none"/>
        </w:rPr>
      </w:pPr>
      <w:r>
        <w:rPr>
          <w:rFonts w:hint="eastAsia" w:ascii="宋体" w:hAnsi="宋体" w:cs="宋体"/>
          <w:color w:val="auto"/>
          <w:sz w:val="24"/>
          <w:highlight w:val="none"/>
        </w:rPr>
        <w:t>__________________</w:t>
      </w:r>
    </w:p>
    <w:p>
      <w:pPr>
        <w:widowControl/>
        <w:shd w:val="clear" w:color="auto" w:fill="FFFFFF"/>
        <w:spacing w:before="30" w:after="30"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1.产品如有型号，请在“产品名称”栏一并填写。</w:t>
      </w:r>
    </w:p>
    <w:p>
      <w:pPr>
        <w:widowControl/>
        <w:shd w:val="clear" w:color="auto" w:fill="FFFFFF"/>
        <w:spacing w:before="30" w:after="30"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2.生产厂名与厂址应与生产厂营业执照载明的相关信息保持一致。</w:t>
      </w:r>
    </w:p>
    <w:p>
      <w:pPr>
        <w:widowControl/>
        <w:shd w:val="clear" w:color="auto" w:fill="FFFFFF"/>
        <w:spacing w:before="30" w:after="30"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3.该产品的中国境内生产的组件成本占比相关要求实施前，“规定比例”栏可不填，下同。</w:t>
      </w:r>
    </w:p>
    <w:p>
      <w:pPr>
        <w:widowControl/>
        <w:shd w:val="clear" w:color="auto" w:fill="FFFFFF"/>
        <w:spacing w:before="30" w:after="30"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4.该产品的关键组件要求实施前，“关键组件”栏可不填，下同。</w:t>
      </w:r>
    </w:p>
    <w:p>
      <w:pPr>
        <w:spacing w:line="360" w:lineRule="auto"/>
        <w:ind w:right="4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5.该产品的关键工序要求实施前，“关键工序”栏可不填，下同。</w:t>
      </w:r>
    </w:p>
    <w:p>
      <w:pPr>
        <w:widowControl/>
        <w:shd w:val="clear" w:color="auto" w:fill="FFFFFF"/>
        <w:spacing w:before="30" w:after="30"/>
        <w:jc w:val="center"/>
        <w:rPr>
          <w:rFonts w:hint="eastAsia" w:ascii="宋体" w:hAnsi="宋体" w:cs="宋体"/>
          <w:color w:val="auto"/>
          <w:kern w:val="0"/>
          <w:sz w:val="24"/>
          <w:highlight w:val="none"/>
          <w:shd w:val="clear" w:color="auto" w:fill="FFFFFF"/>
        </w:rPr>
      </w:pPr>
    </w:p>
    <w:p>
      <w:pPr>
        <w:widowControl/>
        <w:shd w:val="clear" w:color="auto" w:fill="FFFFFF"/>
        <w:spacing w:before="30" w:after="30"/>
        <w:jc w:val="center"/>
        <w:rPr>
          <w:rFonts w:hint="eastAsia" w:ascii="宋体" w:hAnsi="宋体" w:cs="宋体"/>
          <w:b/>
          <w:color w:val="auto"/>
          <w:sz w:val="30"/>
          <w:szCs w:val="30"/>
          <w:highlight w:val="none"/>
        </w:rPr>
      </w:pPr>
      <w:r>
        <w:rPr>
          <w:rFonts w:hint="eastAsia" w:ascii="宋体" w:hAnsi="宋体" w:cs="宋体"/>
          <w:color w:val="auto"/>
          <w:kern w:val="0"/>
          <w:sz w:val="24"/>
          <w:highlight w:val="none"/>
          <w:shd w:val="clear" w:color="auto" w:fill="FFFFFF"/>
        </w:rPr>
        <w:t>注：中标供应商提供的《声明函》或有关证明文件随中标结果同时公告。</w:t>
      </w:r>
    </w:p>
    <w:p>
      <w:pPr>
        <w:shd w:val="clear" w:color="auto" w:fill="FFFFFF"/>
        <w:spacing w:line="480" w:lineRule="atLeast"/>
        <w:jc w:val="left"/>
        <w:rPr>
          <w:rFonts w:hint="eastAsia" w:ascii="宋体" w:hAnsi="宋体" w:cs="宋体"/>
          <w:color w:val="auto"/>
          <w:szCs w:val="21"/>
          <w:highlight w:val="none"/>
        </w:rPr>
      </w:pPr>
    </w:p>
    <w:p>
      <w:pPr>
        <w:shd w:val="clear" w:color="auto" w:fill="FFFFFF"/>
        <w:spacing w:line="480" w:lineRule="atLeast"/>
        <w:jc w:val="left"/>
        <w:rPr>
          <w:color w:val="auto"/>
          <w:highlight w:val="none"/>
        </w:rPr>
      </w:pPr>
      <w:r>
        <w:rPr>
          <w:rFonts w:ascii="宋体" w:hAnsi="宋体" w:cs="宋体"/>
          <w:color w:val="auto"/>
          <w:sz w:val="28"/>
          <w:szCs w:val="28"/>
          <w:highlight w:val="none"/>
        </w:rPr>
        <w:br w:type="page"/>
      </w:r>
      <w:r>
        <w:rPr>
          <w:rFonts w:hint="eastAsia" w:ascii="宋体" w:hAnsi="宋体" w:cs="宋体"/>
          <w:color w:val="auto"/>
          <w:sz w:val="28"/>
          <w:szCs w:val="28"/>
          <w:highlight w:val="none"/>
        </w:rPr>
        <w:t>4.</w:t>
      </w:r>
      <w:r>
        <w:rPr>
          <w:rFonts w:hint="eastAsia" w:ascii="宋体" w:hAnsi="宋体" w:cs="宋体"/>
          <w:color w:val="auto"/>
          <w:kern w:val="0"/>
          <w:sz w:val="28"/>
          <w:szCs w:val="28"/>
          <w:highlight w:val="none"/>
        </w:rPr>
        <w:t>广西壮族自治区政府采购项目合同验收书的格式：</w:t>
      </w:r>
    </w:p>
    <w:p>
      <w:pPr>
        <w:shd w:val="clear" w:color="auto" w:fill="FFFFFF"/>
        <w:spacing w:line="480" w:lineRule="atLeast"/>
        <w:jc w:val="center"/>
        <w:rPr>
          <w:rFonts w:hint="eastAsia" w:ascii="宋体" w:hAnsi="宋体" w:cs="宋体"/>
          <w:color w:val="auto"/>
          <w:kern w:val="0"/>
          <w:sz w:val="32"/>
          <w:szCs w:val="32"/>
          <w:highlight w:val="none"/>
        </w:rPr>
      </w:pPr>
      <w:r>
        <w:rPr>
          <w:rFonts w:hint="eastAsia" w:ascii="宋体" w:hAnsi="宋体" w:cs="宋体"/>
          <w:color w:val="auto"/>
          <w:kern w:val="0"/>
          <w:sz w:val="32"/>
          <w:szCs w:val="32"/>
          <w:highlight w:val="none"/>
        </w:rPr>
        <w:t>广西壮族自治区政府采购项目合同验收书</w:t>
      </w:r>
    </w:p>
    <w:p>
      <w:pPr>
        <w:shd w:val="clear" w:color="auto" w:fill="FFFFFF"/>
        <w:snapToGrid w:val="0"/>
        <w:spacing w:line="320" w:lineRule="atLeast"/>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根据政府采购项目（</w:t>
      </w:r>
      <w:r>
        <w:rPr>
          <w:rFonts w:hint="eastAsia" w:ascii="宋体" w:hAnsi="宋体" w:cs="宋体"/>
          <w:color w:val="auto"/>
          <w:kern w:val="0"/>
          <w:szCs w:val="21"/>
          <w:highlight w:val="none"/>
          <w:u w:val="single"/>
        </w:rPr>
        <w:t>采购合同编号：</w:t>
      </w:r>
      <w:r>
        <w:rPr>
          <w:rFonts w:hint="eastAsia" w:ascii="宋体" w:hAnsi="宋体" w:cs="宋体"/>
          <w:color w:val="auto"/>
          <w:kern w:val="0"/>
          <w:szCs w:val="21"/>
          <w:highlight w:val="none"/>
          <w:u w:val="single"/>
        </w:rPr>
        <w:softHyphen/>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）的约定，我单位对（</w:t>
      </w:r>
      <w:r>
        <w:rPr>
          <w:rFonts w:hint="eastAsia" w:ascii="宋体" w:hAnsi="宋体" w:cs="宋体"/>
          <w:color w:val="auto"/>
          <w:kern w:val="0"/>
          <w:szCs w:val="21"/>
          <w:highlight w:val="none"/>
          <w:u w:val="single"/>
        </w:rPr>
        <w:t xml:space="preserve"> 项目名称 </w:t>
      </w:r>
      <w:r>
        <w:rPr>
          <w:rFonts w:hint="eastAsia" w:ascii="宋体" w:hAnsi="宋体" w:cs="宋体"/>
          <w:color w:val="auto"/>
          <w:kern w:val="0"/>
          <w:szCs w:val="21"/>
          <w:highlight w:val="none"/>
        </w:rPr>
        <w:t>） 政府采购项目中标（或者成交）投标人（</w:t>
      </w:r>
      <w:r>
        <w:rPr>
          <w:rFonts w:hint="eastAsia" w:ascii="宋体" w:hAnsi="宋体" w:cs="宋体"/>
          <w:color w:val="auto"/>
          <w:kern w:val="0"/>
          <w:szCs w:val="21"/>
          <w:highlight w:val="none"/>
          <w:u w:val="single"/>
        </w:rPr>
        <w:t xml:space="preserve"> 公司名称 </w:t>
      </w:r>
      <w:r>
        <w:rPr>
          <w:rFonts w:hint="eastAsia" w:ascii="宋体" w:hAnsi="宋体" w:cs="宋体"/>
          <w:color w:val="auto"/>
          <w:kern w:val="0"/>
          <w:szCs w:val="21"/>
          <w:highlight w:val="none"/>
        </w:rPr>
        <w:t>） 提供的货物（或者工程、服务）进行了验收，验收情况如下：</w:t>
      </w:r>
    </w:p>
    <w:tbl>
      <w:tblPr>
        <w:tblStyle w:val="27"/>
        <w:tblW w:w="9371" w:type="dxa"/>
        <w:jc w:val="center"/>
        <w:tblLayout w:type="fixed"/>
        <w:tblCellMar>
          <w:top w:w="0" w:type="dxa"/>
          <w:left w:w="0" w:type="dxa"/>
          <w:bottom w:w="0" w:type="dxa"/>
          <w:right w:w="0" w:type="dxa"/>
        </w:tblCellMar>
      </w:tblPr>
      <w:tblGrid>
        <w:gridCol w:w="1331"/>
        <w:gridCol w:w="1921"/>
        <w:gridCol w:w="798"/>
        <w:gridCol w:w="102"/>
        <w:gridCol w:w="2002"/>
        <w:gridCol w:w="178"/>
        <w:gridCol w:w="685"/>
        <w:gridCol w:w="2354"/>
      </w:tblGrid>
      <w:tr>
        <w:tblPrEx>
          <w:tblCellMar>
            <w:top w:w="0" w:type="dxa"/>
            <w:left w:w="0" w:type="dxa"/>
            <w:bottom w:w="0" w:type="dxa"/>
            <w:right w:w="0" w:type="dxa"/>
          </w:tblCellMar>
        </w:tblPrEx>
        <w:trPr>
          <w:trHeight w:val="497" w:hRule="atLeast"/>
          <w:jc w:val="center"/>
        </w:trPr>
        <w:tc>
          <w:tcPr>
            <w:tcW w:w="3252" w:type="dxa"/>
            <w:gridSpan w:val="2"/>
            <w:tcBorders>
              <w:top w:val="single" w:color="auto" w:sz="8" w:space="0"/>
              <w:left w:val="single" w:color="auto" w:sz="8" w:space="0"/>
              <w:bottom w:val="single" w:color="auto" w:sz="8" w:space="0"/>
              <w:right w:val="single" w:color="auto" w:sz="8" w:space="0"/>
            </w:tcBorders>
            <w:vAlign w:val="center"/>
          </w:tcPr>
          <w:p>
            <w:pPr>
              <w:snapToGrid w:val="0"/>
              <w:spacing w:before="100" w:beforeAutospacing="1" w:after="100" w:afterAutospacing="1" w:line="320" w:lineRule="atLeast"/>
              <w:ind w:firstLine="5"/>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验收方式：</w:t>
            </w:r>
          </w:p>
        </w:tc>
        <w:tc>
          <w:tcPr>
            <w:tcW w:w="6119" w:type="dxa"/>
            <w:gridSpan w:val="6"/>
            <w:tcBorders>
              <w:top w:val="single" w:color="auto" w:sz="8" w:space="0"/>
              <w:left w:val="nil"/>
              <w:bottom w:val="single" w:color="auto" w:sz="8" w:space="0"/>
              <w:right w:val="single" w:color="auto" w:sz="8" w:space="0"/>
            </w:tcBorders>
            <w:vAlign w:val="center"/>
          </w:tcPr>
          <w:p>
            <w:pPr>
              <w:snapToGrid w:val="0"/>
              <w:spacing w:before="100" w:beforeAutospacing="1" w:after="100" w:afterAutospacing="1" w:line="320" w:lineRule="atLeast"/>
              <w:ind w:firstLine="48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□自行验收 □委托验收</w:t>
            </w:r>
          </w:p>
        </w:tc>
      </w:tr>
      <w:tr>
        <w:tblPrEx>
          <w:tblCellMar>
            <w:top w:w="0" w:type="dxa"/>
            <w:left w:w="0" w:type="dxa"/>
            <w:bottom w:w="0" w:type="dxa"/>
            <w:right w:w="0" w:type="dxa"/>
          </w:tblCellMar>
        </w:tblPrEx>
        <w:trPr>
          <w:trHeight w:val="622" w:hRule="atLeast"/>
          <w:jc w:val="center"/>
        </w:trPr>
        <w:tc>
          <w:tcPr>
            <w:tcW w:w="1331" w:type="dxa"/>
            <w:tcBorders>
              <w:top w:val="nil"/>
              <w:left w:val="single" w:color="auto" w:sz="8" w:space="0"/>
              <w:bottom w:val="single" w:color="auto" w:sz="8" w:space="0"/>
              <w:right w:val="single" w:color="auto" w:sz="8" w:space="0"/>
            </w:tcBorders>
            <w:vAlign w:val="center"/>
          </w:tcPr>
          <w:p>
            <w:pPr>
              <w:snapToGrid w:val="0"/>
              <w:spacing w:before="100" w:beforeAutospacing="1" w:after="100" w:afterAutospacing="1" w:line="320" w:lineRule="atLeast"/>
              <w:ind w:firstLine="2"/>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序号</w:t>
            </w:r>
          </w:p>
        </w:tc>
        <w:tc>
          <w:tcPr>
            <w:tcW w:w="1921" w:type="dxa"/>
            <w:tcBorders>
              <w:top w:val="nil"/>
              <w:left w:val="nil"/>
              <w:bottom w:val="single" w:color="auto" w:sz="8" w:space="0"/>
              <w:right w:val="single" w:color="auto" w:sz="8" w:space="0"/>
            </w:tcBorders>
            <w:vAlign w:val="center"/>
          </w:tcPr>
          <w:p>
            <w:pPr>
              <w:snapToGrid w:val="0"/>
              <w:spacing w:before="100" w:beforeAutospacing="1" w:after="100" w:afterAutospacing="1" w:line="320" w:lineRule="atLeast"/>
              <w:ind w:firstLine="2"/>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名 称</w:t>
            </w:r>
          </w:p>
        </w:tc>
        <w:tc>
          <w:tcPr>
            <w:tcW w:w="2902" w:type="dxa"/>
            <w:gridSpan w:val="3"/>
            <w:tcBorders>
              <w:top w:val="nil"/>
              <w:left w:val="nil"/>
              <w:bottom w:val="single" w:color="auto" w:sz="8" w:space="0"/>
              <w:right w:val="single" w:color="auto" w:sz="8" w:space="0"/>
            </w:tcBorders>
            <w:vAlign w:val="center"/>
          </w:tcPr>
          <w:p>
            <w:pPr>
              <w:snapToGrid w:val="0"/>
              <w:spacing w:before="100" w:beforeAutospacing="1" w:after="100" w:afterAutospacing="1" w:line="320" w:lineRule="atLeast"/>
              <w:ind w:firstLine="2"/>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货物型号规格、标准及配置等（或者服务内容、标准）</w:t>
            </w:r>
          </w:p>
        </w:tc>
        <w:tc>
          <w:tcPr>
            <w:tcW w:w="863" w:type="dxa"/>
            <w:gridSpan w:val="2"/>
            <w:tcBorders>
              <w:top w:val="nil"/>
              <w:left w:val="nil"/>
              <w:bottom w:val="single" w:color="auto" w:sz="8" w:space="0"/>
              <w:right w:val="single" w:color="auto" w:sz="8" w:space="0"/>
            </w:tcBorders>
            <w:vAlign w:val="center"/>
          </w:tcPr>
          <w:p>
            <w:pPr>
              <w:snapToGrid w:val="0"/>
              <w:spacing w:before="100" w:beforeAutospacing="1" w:after="100" w:afterAutospacing="1" w:line="320"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数量</w:t>
            </w:r>
          </w:p>
        </w:tc>
        <w:tc>
          <w:tcPr>
            <w:tcW w:w="2354" w:type="dxa"/>
            <w:tcBorders>
              <w:top w:val="nil"/>
              <w:left w:val="nil"/>
              <w:bottom w:val="single" w:color="auto" w:sz="8" w:space="0"/>
              <w:right w:val="single" w:color="auto" w:sz="8" w:space="0"/>
            </w:tcBorders>
            <w:vAlign w:val="center"/>
          </w:tcPr>
          <w:p>
            <w:pPr>
              <w:snapToGrid w:val="0"/>
              <w:spacing w:before="100" w:beforeAutospacing="1" w:after="100" w:afterAutospacing="1" w:line="320" w:lineRule="atLeast"/>
              <w:ind w:firstLine="2"/>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金 额</w:t>
            </w:r>
          </w:p>
        </w:tc>
      </w:tr>
      <w:tr>
        <w:tblPrEx>
          <w:tblCellMar>
            <w:top w:w="0" w:type="dxa"/>
            <w:left w:w="0" w:type="dxa"/>
            <w:bottom w:w="0" w:type="dxa"/>
            <w:right w:w="0" w:type="dxa"/>
          </w:tblCellMar>
        </w:tblPrEx>
        <w:trPr>
          <w:trHeight w:val="487" w:hRule="atLeast"/>
          <w:jc w:val="center"/>
        </w:trPr>
        <w:tc>
          <w:tcPr>
            <w:tcW w:w="1331" w:type="dxa"/>
            <w:tcBorders>
              <w:top w:val="nil"/>
              <w:left w:val="single" w:color="auto" w:sz="8" w:space="0"/>
              <w:bottom w:val="single" w:color="auto" w:sz="8" w:space="0"/>
              <w:right w:val="single" w:color="auto" w:sz="8" w:space="0"/>
            </w:tcBorders>
            <w:vAlign w:val="center"/>
          </w:tcPr>
          <w:p>
            <w:pPr>
              <w:spacing w:before="100" w:beforeAutospacing="1" w:after="100" w:afterAutospacing="1" w:line="240" w:lineRule="atLeast"/>
              <w:jc w:val="center"/>
              <w:rPr>
                <w:rFonts w:hint="eastAsia" w:ascii="宋体" w:hAnsi="宋体" w:cs="宋体"/>
                <w:color w:val="auto"/>
                <w:kern w:val="0"/>
                <w:szCs w:val="21"/>
                <w:highlight w:val="none"/>
              </w:rPr>
            </w:pPr>
          </w:p>
        </w:tc>
        <w:tc>
          <w:tcPr>
            <w:tcW w:w="1921" w:type="dxa"/>
            <w:tcBorders>
              <w:top w:val="nil"/>
              <w:left w:val="nil"/>
              <w:bottom w:val="single" w:color="auto" w:sz="8" w:space="0"/>
              <w:right w:val="single" w:color="auto" w:sz="8" w:space="0"/>
            </w:tcBorders>
            <w:vAlign w:val="center"/>
          </w:tcPr>
          <w:p>
            <w:pPr>
              <w:spacing w:before="100" w:beforeAutospacing="1" w:after="100" w:afterAutospacing="1" w:line="240" w:lineRule="atLeast"/>
              <w:jc w:val="center"/>
              <w:rPr>
                <w:rFonts w:hint="eastAsia" w:ascii="宋体" w:hAnsi="宋体" w:cs="宋体"/>
                <w:color w:val="auto"/>
                <w:kern w:val="0"/>
                <w:szCs w:val="21"/>
                <w:highlight w:val="none"/>
              </w:rPr>
            </w:pPr>
          </w:p>
        </w:tc>
        <w:tc>
          <w:tcPr>
            <w:tcW w:w="2902" w:type="dxa"/>
            <w:gridSpan w:val="3"/>
            <w:tcBorders>
              <w:top w:val="nil"/>
              <w:left w:val="nil"/>
              <w:bottom w:val="single" w:color="auto" w:sz="8" w:space="0"/>
              <w:right w:val="single" w:color="auto" w:sz="8" w:space="0"/>
            </w:tcBorders>
            <w:vAlign w:val="center"/>
          </w:tcPr>
          <w:p>
            <w:pPr>
              <w:spacing w:before="100" w:beforeAutospacing="1" w:after="100" w:afterAutospacing="1" w:line="240" w:lineRule="atLeast"/>
              <w:jc w:val="center"/>
              <w:rPr>
                <w:rFonts w:hint="eastAsia" w:ascii="宋体" w:hAnsi="宋体" w:cs="宋体"/>
                <w:color w:val="auto"/>
                <w:kern w:val="0"/>
                <w:szCs w:val="21"/>
                <w:highlight w:val="none"/>
              </w:rPr>
            </w:pPr>
          </w:p>
        </w:tc>
        <w:tc>
          <w:tcPr>
            <w:tcW w:w="863" w:type="dxa"/>
            <w:gridSpan w:val="2"/>
            <w:tcBorders>
              <w:top w:val="nil"/>
              <w:left w:val="nil"/>
              <w:bottom w:val="single" w:color="auto" w:sz="8" w:space="0"/>
              <w:right w:val="single" w:color="auto" w:sz="8" w:space="0"/>
            </w:tcBorders>
            <w:vAlign w:val="center"/>
          </w:tcPr>
          <w:p>
            <w:pPr>
              <w:spacing w:before="100" w:beforeAutospacing="1" w:after="100" w:afterAutospacing="1" w:line="240" w:lineRule="atLeast"/>
              <w:jc w:val="center"/>
              <w:rPr>
                <w:rFonts w:hint="eastAsia" w:ascii="宋体" w:hAnsi="宋体" w:cs="宋体"/>
                <w:color w:val="auto"/>
                <w:kern w:val="0"/>
                <w:szCs w:val="21"/>
                <w:highlight w:val="none"/>
              </w:rPr>
            </w:pPr>
          </w:p>
        </w:tc>
        <w:tc>
          <w:tcPr>
            <w:tcW w:w="2354" w:type="dxa"/>
            <w:tcBorders>
              <w:top w:val="nil"/>
              <w:left w:val="nil"/>
              <w:bottom w:val="single" w:color="auto" w:sz="8" w:space="0"/>
              <w:right w:val="single" w:color="auto" w:sz="8" w:space="0"/>
            </w:tcBorders>
            <w:vAlign w:val="center"/>
          </w:tcPr>
          <w:p>
            <w:pPr>
              <w:spacing w:before="100" w:beforeAutospacing="1" w:after="100" w:afterAutospacing="1" w:line="240" w:lineRule="atLeast"/>
              <w:jc w:val="center"/>
              <w:rPr>
                <w:rFonts w:hint="eastAsia" w:ascii="宋体" w:hAnsi="宋体" w:cs="宋体"/>
                <w:color w:val="auto"/>
                <w:kern w:val="0"/>
                <w:szCs w:val="21"/>
                <w:highlight w:val="none"/>
              </w:rPr>
            </w:pPr>
          </w:p>
        </w:tc>
      </w:tr>
      <w:tr>
        <w:tblPrEx>
          <w:tblCellMar>
            <w:top w:w="0" w:type="dxa"/>
            <w:left w:w="0" w:type="dxa"/>
            <w:bottom w:w="0" w:type="dxa"/>
            <w:right w:w="0" w:type="dxa"/>
          </w:tblCellMar>
        </w:tblPrEx>
        <w:trPr>
          <w:trHeight w:val="487" w:hRule="atLeast"/>
          <w:jc w:val="center"/>
        </w:trPr>
        <w:tc>
          <w:tcPr>
            <w:tcW w:w="1331" w:type="dxa"/>
            <w:tcBorders>
              <w:top w:val="nil"/>
              <w:left w:val="single" w:color="auto" w:sz="8" w:space="0"/>
              <w:bottom w:val="single" w:color="auto" w:sz="8" w:space="0"/>
              <w:right w:val="single" w:color="auto" w:sz="8" w:space="0"/>
            </w:tcBorders>
            <w:vAlign w:val="center"/>
          </w:tcPr>
          <w:p>
            <w:pPr>
              <w:spacing w:before="100" w:beforeAutospacing="1" w:after="100" w:afterAutospacing="1" w:line="240" w:lineRule="atLeast"/>
              <w:jc w:val="center"/>
              <w:rPr>
                <w:rFonts w:hint="eastAsia" w:ascii="宋体" w:hAnsi="宋体" w:cs="宋体"/>
                <w:color w:val="auto"/>
                <w:kern w:val="0"/>
                <w:szCs w:val="21"/>
                <w:highlight w:val="none"/>
              </w:rPr>
            </w:pPr>
          </w:p>
        </w:tc>
        <w:tc>
          <w:tcPr>
            <w:tcW w:w="1921" w:type="dxa"/>
            <w:tcBorders>
              <w:top w:val="nil"/>
              <w:left w:val="nil"/>
              <w:bottom w:val="single" w:color="auto" w:sz="8" w:space="0"/>
              <w:right w:val="single" w:color="auto" w:sz="8" w:space="0"/>
            </w:tcBorders>
            <w:vAlign w:val="center"/>
          </w:tcPr>
          <w:p>
            <w:pPr>
              <w:spacing w:before="100" w:beforeAutospacing="1" w:after="100" w:afterAutospacing="1" w:line="240" w:lineRule="atLeast"/>
              <w:jc w:val="center"/>
              <w:rPr>
                <w:rFonts w:hint="eastAsia" w:ascii="宋体" w:hAnsi="宋体" w:cs="宋体"/>
                <w:color w:val="auto"/>
                <w:kern w:val="0"/>
                <w:szCs w:val="21"/>
                <w:highlight w:val="none"/>
              </w:rPr>
            </w:pPr>
          </w:p>
        </w:tc>
        <w:tc>
          <w:tcPr>
            <w:tcW w:w="2902" w:type="dxa"/>
            <w:gridSpan w:val="3"/>
            <w:tcBorders>
              <w:top w:val="nil"/>
              <w:left w:val="nil"/>
              <w:bottom w:val="single" w:color="auto" w:sz="8" w:space="0"/>
              <w:right w:val="single" w:color="auto" w:sz="8" w:space="0"/>
            </w:tcBorders>
            <w:vAlign w:val="center"/>
          </w:tcPr>
          <w:p>
            <w:pPr>
              <w:spacing w:before="100" w:beforeAutospacing="1" w:after="100" w:afterAutospacing="1" w:line="240" w:lineRule="atLeast"/>
              <w:jc w:val="center"/>
              <w:rPr>
                <w:rFonts w:hint="eastAsia" w:ascii="宋体" w:hAnsi="宋体" w:cs="宋体"/>
                <w:color w:val="auto"/>
                <w:kern w:val="0"/>
                <w:szCs w:val="21"/>
                <w:highlight w:val="none"/>
              </w:rPr>
            </w:pPr>
          </w:p>
        </w:tc>
        <w:tc>
          <w:tcPr>
            <w:tcW w:w="863" w:type="dxa"/>
            <w:gridSpan w:val="2"/>
            <w:tcBorders>
              <w:top w:val="nil"/>
              <w:left w:val="nil"/>
              <w:bottom w:val="single" w:color="auto" w:sz="8" w:space="0"/>
              <w:right w:val="single" w:color="auto" w:sz="8" w:space="0"/>
            </w:tcBorders>
            <w:vAlign w:val="center"/>
          </w:tcPr>
          <w:p>
            <w:pPr>
              <w:spacing w:before="100" w:beforeAutospacing="1" w:after="100" w:afterAutospacing="1" w:line="240" w:lineRule="atLeast"/>
              <w:jc w:val="center"/>
              <w:rPr>
                <w:rFonts w:hint="eastAsia" w:ascii="宋体" w:hAnsi="宋体" w:cs="宋体"/>
                <w:color w:val="auto"/>
                <w:kern w:val="0"/>
                <w:szCs w:val="21"/>
                <w:highlight w:val="none"/>
              </w:rPr>
            </w:pPr>
          </w:p>
        </w:tc>
        <w:tc>
          <w:tcPr>
            <w:tcW w:w="2354" w:type="dxa"/>
            <w:tcBorders>
              <w:top w:val="nil"/>
              <w:left w:val="nil"/>
              <w:bottom w:val="single" w:color="auto" w:sz="8" w:space="0"/>
              <w:right w:val="single" w:color="auto" w:sz="8" w:space="0"/>
            </w:tcBorders>
            <w:vAlign w:val="center"/>
          </w:tcPr>
          <w:p>
            <w:pPr>
              <w:spacing w:before="100" w:beforeAutospacing="1" w:after="100" w:afterAutospacing="1" w:line="240" w:lineRule="atLeast"/>
              <w:jc w:val="center"/>
              <w:rPr>
                <w:rFonts w:hint="eastAsia" w:ascii="宋体" w:hAnsi="宋体" w:cs="宋体"/>
                <w:color w:val="auto"/>
                <w:kern w:val="0"/>
                <w:szCs w:val="21"/>
                <w:highlight w:val="none"/>
              </w:rPr>
            </w:pPr>
          </w:p>
        </w:tc>
      </w:tr>
      <w:tr>
        <w:tblPrEx>
          <w:tblCellMar>
            <w:top w:w="0" w:type="dxa"/>
            <w:left w:w="0" w:type="dxa"/>
            <w:bottom w:w="0" w:type="dxa"/>
            <w:right w:w="0" w:type="dxa"/>
          </w:tblCellMar>
        </w:tblPrEx>
        <w:trPr>
          <w:trHeight w:val="487" w:hRule="atLeast"/>
          <w:jc w:val="center"/>
        </w:trPr>
        <w:tc>
          <w:tcPr>
            <w:tcW w:w="1331" w:type="dxa"/>
            <w:tcBorders>
              <w:top w:val="nil"/>
              <w:left w:val="single" w:color="auto" w:sz="8" w:space="0"/>
              <w:bottom w:val="single" w:color="auto" w:sz="8" w:space="0"/>
              <w:right w:val="single" w:color="auto" w:sz="8" w:space="0"/>
            </w:tcBorders>
            <w:vAlign w:val="center"/>
          </w:tcPr>
          <w:p>
            <w:pPr>
              <w:spacing w:before="100" w:beforeAutospacing="1" w:after="100" w:afterAutospacing="1" w:line="240" w:lineRule="atLeast"/>
              <w:jc w:val="center"/>
              <w:rPr>
                <w:rFonts w:hint="eastAsia" w:ascii="宋体" w:hAnsi="宋体" w:cs="宋体"/>
                <w:color w:val="auto"/>
                <w:kern w:val="0"/>
                <w:szCs w:val="21"/>
                <w:highlight w:val="none"/>
              </w:rPr>
            </w:pPr>
          </w:p>
        </w:tc>
        <w:tc>
          <w:tcPr>
            <w:tcW w:w="1921" w:type="dxa"/>
            <w:tcBorders>
              <w:top w:val="nil"/>
              <w:left w:val="nil"/>
              <w:bottom w:val="single" w:color="auto" w:sz="8" w:space="0"/>
              <w:right w:val="single" w:color="auto" w:sz="8" w:space="0"/>
            </w:tcBorders>
            <w:vAlign w:val="center"/>
          </w:tcPr>
          <w:p>
            <w:pPr>
              <w:spacing w:before="100" w:beforeAutospacing="1" w:after="100" w:afterAutospacing="1" w:line="240" w:lineRule="atLeast"/>
              <w:jc w:val="center"/>
              <w:rPr>
                <w:rFonts w:hint="eastAsia" w:ascii="宋体" w:hAnsi="宋体" w:cs="宋体"/>
                <w:color w:val="auto"/>
                <w:kern w:val="0"/>
                <w:szCs w:val="21"/>
                <w:highlight w:val="none"/>
              </w:rPr>
            </w:pPr>
          </w:p>
        </w:tc>
        <w:tc>
          <w:tcPr>
            <w:tcW w:w="2902" w:type="dxa"/>
            <w:gridSpan w:val="3"/>
            <w:tcBorders>
              <w:top w:val="nil"/>
              <w:left w:val="nil"/>
              <w:bottom w:val="single" w:color="auto" w:sz="8" w:space="0"/>
              <w:right w:val="single" w:color="auto" w:sz="8" w:space="0"/>
            </w:tcBorders>
            <w:vAlign w:val="center"/>
          </w:tcPr>
          <w:p>
            <w:pPr>
              <w:spacing w:before="100" w:beforeAutospacing="1" w:after="100" w:afterAutospacing="1" w:line="240" w:lineRule="atLeast"/>
              <w:jc w:val="center"/>
              <w:rPr>
                <w:rFonts w:hint="eastAsia" w:ascii="宋体" w:hAnsi="宋体" w:cs="宋体"/>
                <w:color w:val="auto"/>
                <w:kern w:val="0"/>
                <w:szCs w:val="21"/>
                <w:highlight w:val="none"/>
              </w:rPr>
            </w:pPr>
          </w:p>
        </w:tc>
        <w:tc>
          <w:tcPr>
            <w:tcW w:w="863" w:type="dxa"/>
            <w:gridSpan w:val="2"/>
            <w:tcBorders>
              <w:top w:val="nil"/>
              <w:left w:val="nil"/>
              <w:bottom w:val="single" w:color="auto" w:sz="8" w:space="0"/>
              <w:right w:val="single" w:color="auto" w:sz="8" w:space="0"/>
            </w:tcBorders>
            <w:vAlign w:val="center"/>
          </w:tcPr>
          <w:p>
            <w:pPr>
              <w:spacing w:before="100" w:beforeAutospacing="1" w:after="100" w:afterAutospacing="1" w:line="240" w:lineRule="atLeast"/>
              <w:jc w:val="center"/>
              <w:rPr>
                <w:rFonts w:hint="eastAsia" w:ascii="宋体" w:hAnsi="宋体" w:cs="宋体"/>
                <w:color w:val="auto"/>
                <w:kern w:val="0"/>
                <w:szCs w:val="21"/>
                <w:highlight w:val="none"/>
              </w:rPr>
            </w:pPr>
          </w:p>
        </w:tc>
        <w:tc>
          <w:tcPr>
            <w:tcW w:w="2354" w:type="dxa"/>
            <w:tcBorders>
              <w:top w:val="nil"/>
              <w:left w:val="nil"/>
              <w:bottom w:val="single" w:color="auto" w:sz="8" w:space="0"/>
              <w:right w:val="single" w:color="auto" w:sz="8" w:space="0"/>
            </w:tcBorders>
            <w:vAlign w:val="center"/>
          </w:tcPr>
          <w:p>
            <w:pPr>
              <w:spacing w:before="100" w:beforeAutospacing="1" w:after="100" w:afterAutospacing="1" w:line="240" w:lineRule="atLeast"/>
              <w:jc w:val="center"/>
              <w:rPr>
                <w:rFonts w:hint="eastAsia" w:ascii="宋体" w:hAnsi="宋体" w:cs="宋体"/>
                <w:color w:val="auto"/>
                <w:kern w:val="0"/>
                <w:szCs w:val="21"/>
                <w:highlight w:val="none"/>
              </w:rPr>
            </w:pPr>
          </w:p>
        </w:tc>
      </w:tr>
      <w:tr>
        <w:tblPrEx>
          <w:tblCellMar>
            <w:top w:w="0" w:type="dxa"/>
            <w:left w:w="0" w:type="dxa"/>
            <w:bottom w:w="0" w:type="dxa"/>
            <w:right w:w="0" w:type="dxa"/>
          </w:tblCellMar>
        </w:tblPrEx>
        <w:trPr>
          <w:trHeight w:val="487" w:hRule="atLeast"/>
          <w:jc w:val="center"/>
        </w:trPr>
        <w:tc>
          <w:tcPr>
            <w:tcW w:w="6154" w:type="dxa"/>
            <w:gridSpan w:val="5"/>
            <w:tcBorders>
              <w:top w:val="nil"/>
              <w:left w:val="single" w:color="auto" w:sz="8" w:space="0"/>
              <w:bottom w:val="single" w:color="auto" w:sz="8" w:space="0"/>
              <w:right w:val="single" w:color="auto" w:sz="8" w:space="0"/>
            </w:tcBorders>
            <w:vAlign w:val="center"/>
          </w:tcPr>
          <w:p>
            <w:pPr>
              <w:snapToGrid w:val="0"/>
              <w:spacing w:before="100" w:beforeAutospacing="1" w:after="100" w:afterAutospacing="1" w:line="320" w:lineRule="atLeast"/>
              <w:ind w:firstLine="5"/>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合 计</w:t>
            </w:r>
          </w:p>
        </w:tc>
        <w:tc>
          <w:tcPr>
            <w:tcW w:w="863" w:type="dxa"/>
            <w:gridSpan w:val="2"/>
            <w:tcBorders>
              <w:top w:val="nil"/>
              <w:left w:val="nil"/>
              <w:bottom w:val="single" w:color="auto" w:sz="8" w:space="0"/>
              <w:right w:val="single" w:color="auto" w:sz="8" w:space="0"/>
            </w:tcBorders>
            <w:vAlign w:val="center"/>
          </w:tcPr>
          <w:p>
            <w:pPr>
              <w:spacing w:before="100" w:beforeAutospacing="1" w:after="100" w:afterAutospacing="1" w:line="240" w:lineRule="atLeast"/>
              <w:jc w:val="center"/>
              <w:rPr>
                <w:rFonts w:hint="eastAsia" w:ascii="宋体" w:hAnsi="宋体" w:cs="宋体"/>
                <w:color w:val="auto"/>
                <w:kern w:val="0"/>
                <w:szCs w:val="21"/>
                <w:highlight w:val="none"/>
              </w:rPr>
            </w:pPr>
          </w:p>
        </w:tc>
        <w:tc>
          <w:tcPr>
            <w:tcW w:w="2354" w:type="dxa"/>
            <w:tcBorders>
              <w:top w:val="nil"/>
              <w:left w:val="nil"/>
              <w:bottom w:val="single" w:color="auto" w:sz="8" w:space="0"/>
              <w:right w:val="single" w:color="auto" w:sz="8" w:space="0"/>
            </w:tcBorders>
            <w:vAlign w:val="center"/>
          </w:tcPr>
          <w:p>
            <w:pPr>
              <w:spacing w:before="100" w:beforeAutospacing="1" w:after="100" w:afterAutospacing="1" w:line="240" w:lineRule="atLeast"/>
              <w:jc w:val="center"/>
              <w:rPr>
                <w:rFonts w:hint="eastAsia" w:ascii="宋体" w:hAnsi="宋体" w:cs="宋体"/>
                <w:color w:val="auto"/>
                <w:kern w:val="0"/>
                <w:szCs w:val="21"/>
                <w:highlight w:val="none"/>
              </w:rPr>
            </w:pPr>
          </w:p>
        </w:tc>
      </w:tr>
      <w:tr>
        <w:tblPrEx>
          <w:tblCellMar>
            <w:top w:w="0" w:type="dxa"/>
            <w:left w:w="0" w:type="dxa"/>
            <w:bottom w:w="0" w:type="dxa"/>
            <w:right w:w="0" w:type="dxa"/>
          </w:tblCellMar>
        </w:tblPrEx>
        <w:trPr>
          <w:trHeight w:val="641" w:hRule="atLeast"/>
          <w:jc w:val="center"/>
        </w:trPr>
        <w:tc>
          <w:tcPr>
            <w:tcW w:w="9371" w:type="dxa"/>
            <w:gridSpan w:val="8"/>
            <w:tcBorders>
              <w:top w:val="nil"/>
              <w:left w:val="single" w:color="auto" w:sz="8" w:space="0"/>
              <w:bottom w:val="single" w:color="auto" w:sz="8" w:space="0"/>
              <w:right w:val="single" w:color="auto" w:sz="8" w:space="0"/>
            </w:tcBorders>
            <w:vAlign w:val="center"/>
          </w:tcPr>
          <w:p>
            <w:pPr>
              <w:snapToGrid w:val="0"/>
              <w:spacing w:before="100" w:beforeAutospacing="1" w:after="100" w:afterAutospacing="1" w:line="320" w:lineRule="atLeast"/>
              <w:ind w:firstLine="2"/>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合计大写金额： 亿 仟 佰 拾 万 仟 佰 拾 元</w:t>
            </w:r>
          </w:p>
        </w:tc>
      </w:tr>
      <w:tr>
        <w:tblPrEx>
          <w:tblCellMar>
            <w:top w:w="0" w:type="dxa"/>
            <w:left w:w="0" w:type="dxa"/>
            <w:bottom w:w="0" w:type="dxa"/>
            <w:right w:w="0" w:type="dxa"/>
          </w:tblCellMar>
        </w:tblPrEx>
        <w:trPr>
          <w:trHeight w:val="641" w:hRule="atLeast"/>
          <w:jc w:val="center"/>
        </w:trPr>
        <w:tc>
          <w:tcPr>
            <w:tcW w:w="1331" w:type="dxa"/>
            <w:tcBorders>
              <w:top w:val="nil"/>
              <w:left w:val="single" w:color="auto" w:sz="8" w:space="0"/>
              <w:bottom w:val="single" w:color="auto" w:sz="8" w:space="0"/>
              <w:right w:val="single" w:color="auto" w:sz="8" w:space="0"/>
            </w:tcBorders>
            <w:vAlign w:val="center"/>
          </w:tcPr>
          <w:p>
            <w:pPr>
              <w:snapToGrid w:val="0"/>
              <w:spacing w:before="100" w:beforeAutospacing="1" w:after="100" w:afterAutospacing="1" w:line="320" w:lineRule="atLeast"/>
              <w:ind w:firstLine="2"/>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实际供货日期</w:t>
            </w:r>
          </w:p>
        </w:tc>
        <w:tc>
          <w:tcPr>
            <w:tcW w:w="2719" w:type="dxa"/>
            <w:gridSpan w:val="2"/>
            <w:tcBorders>
              <w:top w:val="nil"/>
              <w:left w:val="nil"/>
              <w:bottom w:val="single" w:color="auto" w:sz="8" w:space="0"/>
              <w:right w:val="single" w:color="auto" w:sz="8" w:space="0"/>
            </w:tcBorders>
            <w:vAlign w:val="center"/>
          </w:tcPr>
          <w:p>
            <w:pPr>
              <w:spacing w:before="100" w:beforeAutospacing="1" w:after="100" w:afterAutospacing="1" w:line="240" w:lineRule="atLeast"/>
              <w:jc w:val="center"/>
              <w:rPr>
                <w:rFonts w:hint="eastAsia" w:ascii="宋体" w:hAnsi="宋体" w:cs="宋体"/>
                <w:color w:val="auto"/>
                <w:kern w:val="0"/>
                <w:szCs w:val="21"/>
                <w:highlight w:val="none"/>
              </w:rPr>
            </w:pPr>
          </w:p>
        </w:tc>
        <w:tc>
          <w:tcPr>
            <w:tcW w:w="2282" w:type="dxa"/>
            <w:gridSpan w:val="3"/>
            <w:tcBorders>
              <w:top w:val="nil"/>
              <w:left w:val="nil"/>
              <w:bottom w:val="single" w:color="auto" w:sz="8" w:space="0"/>
              <w:right w:val="single" w:color="auto" w:sz="8" w:space="0"/>
            </w:tcBorders>
            <w:vAlign w:val="center"/>
          </w:tcPr>
          <w:p>
            <w:pPr>
              <w:snapToGrid w:val="0"/>
              <w:spacing w:before="100" w:beforeAutospacing="1" w:after="100" w:afterAutospacing="1" w:line="320" w:lineRule="atLeast"/>
              <w:ind w:firstLine="46"/>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合同交货验收日期</w:t>
            </w:r>
          </w:p>
        </w:tc>
        <w:tc>
          <w:tcPr>
            <w:tcW w:w="3039" w:type="dxa"/>
            <w:gridSpan w:val="2"/>
            <w:tcBorders>
              <w:top w:val="nil"/>
              <w:left w:val="nil"/>
              <w:bottom w:val="single" w:color="auto" w:sz="8" w:space="0"/>
              <w:right w:val="single" w:color="auto" w:sz="8" w:space="0"/>
            </w:tcBorders>
            <w:vAlign w:val="center"/>
          </w:tcPr>
          <w:p>
            <w:pPr>
              <w:spacing w:before="100" w:beforeAutospacing="1" w:after="100" w:afterAutospacing="1" w:line="240" w:lineRule="atLeast"/>
              <w:jc w:val="center"/>
              <w:rPr>
                <w:rFonts w:hint="eastAsia" w:ascii="宋体" w:hAnsi="宋体" w:cs="宋体"/>
                <w:color w:val="auto"/>
                <w:kern w:val="0"/>
                <w:szCs w:val="21"/>
                <w:highlight w:val="none"/>
              </w:rPr>
            </w:pPr>
          </w:p>
        </w:tc>
      </w:tr>
      <w:tr>
        <w:tblPrEx>
          <w:tblCellMar>
            <w:top w:w="0" w:type="dxa"/>
            <w:left w:w="0" w:type="dxa"/>
            <w:bottom w:w="0" w:type="dxa"/>
            <w:right w:w="0" w:type="dxa"/>
          </w:tblCellMar>
        </w:tblPrEx>
        <w:trPr>
          <w:trHeight w:val="394" w:hRule="atLeast"/>
          <w:jc w:val="center"/>
        </w:trPr>
        <w:tc>
          <w:tcPr>
            <w:tcW w:w="1331" w:type="dxa"/>
            <w:tcBorders>
              <w:top w:val="nil"/>
              <w:left w:val="single" w:color="auto" w:sz="8" w:space="0"/>
              <w:bottom w:val="single" w:color="auto" w:sz="8" w:space="0"/>
              <w:right w:val="single" w:color="auto" w:sz="8" w:space="0"/>
            </w:tcBorders>
            <w:vAlign w:val="center"/>
          </w:tcPr>
          <w:p>
            <w:pPr>
              <w:spacing w:before="100" w:beforeAutospacing="1" w:after="100" w:afterAutospacing="1" w:line="240" w:lineRule="atLeast"/>
              <w:jc w:val="center"/>
              <w:rPr>
                <w:rFonts w:hint="eastAsia" w:ascii="宋体" w:hAnsi="宋体" w:cs="宋体"/>
                <w:color w:val="auto"/>
                <w:kern w:val="0"/>
                <w:szCs w:val="21"/>
                <w:highlight w:val="none"/>
              </w:rPr>
            </w:pPr>
          </w:p>
        </w:tc>
        <w:tc>
          <w:tcPr>
            <w:tcW w:w="2719" w:type="dxa"/>
            <w:gridSpan w:val="2"/>
            <w:tcBorders>
              <w:top w:val="nil"/>
              <w:left w:val="nil"/>
              <w:bottom w:val="single" w:color="auto" w:sz="8" w:space="0"/>
              <w:right w:val="single" w:color="auto" w:sz="8" w:space="0"/>
            </w:tcBorders>
            <w:vAlign w:val="center"/>
          </w:tcPr>
          <w:p>
            <w:pPr>
              <w:spacing w:before="100" w:beforeAutospacing="1" w:after="100" w:afterAutospacing="1" w:line="240" w:lineRule="atLeast"/>
              <w:jc w:val="center"/>
              <w:rPr>
                <w:rFonts w:hint="eastAsia" w:ascii="宋体" w:hAnsi="宋体" w:cs="宋体"/>
                <w:color w:val="auto"/>
                <w:kern w:val="0"/>
                <w:szCs w:val="21"/>
                <w:highlight w:val="none"/>
              </w:rPr>
            </w:pPr>
          </w:p>
        </w:tc>
        <w:tc>
          <w:tcPr>
            <w:tcW w:w="2282" w:type="dxa"/>
            <w:gridSpan w:val="3"/>
            <w:tcBorders>
              <w:top w:val="nil"/>
              <w:left w:val="nil"/>
              <w:bottom w:val="single" w:color="auto" w:sz="8" w:space="0"/>
              <w:right w:val="single" w:color="auto" w:sz="8" w:space="0"/>
            </w:tcBorders>
            <w:vAlign w:val="center"/>
          </w:tcPr>
          <w:p>
            <w:pPr>
              <w:spacing w:before="100" w:beforeAutospacing="1" w:after="100" w:afterAutospacing="1" w:line="240" w:lineRule="atLeast"/>
              <w:jc w:val="center"/>
              <w:rPr>
                <w:rFonts w:hint="eastAsia" w:ascii="宋体" w:hAnsi="宋体" w:cs="宋体"/>
                <w:color w:val="auto"/>
                <w:kern w:val="0"/>
                <w:szCs w:val="21"/>
                <w:highlight w:val="none"/>
              </w:rPr>
            </w:pPr>
          </w:p>
        </w:tc>
        <w:tc>
          <w:tcPr>
            <w:tcW w:w="3039" w:type="dxa"/>
            <w:gridSpan w:val="2"/>
            <w:tcBorders>
              <w:top w:val="nil"/>
              <w:left w:val="nil"/>
              <w:bottom w:val="single" w:color="auto" w:sz="8" w:space="0"/>
              <w:right w:val="single" w:color="auto" w:sz="8" w:space="0"/>
            </w:tcBorders>
            <w:vAlign w:val="center"/>
          </w:tcPr>
          <w:p>
            <w:pPr>
              <w:spacing w:before="100" w:beforeAutospacing="1" w:after="100" w:afterAutospacing="1" w:line="240" w:lineRule="atLeast"/>
              <w:jc w:val="center"/>
              <w:rPr>
                <w:rFonts w:hint="eastAsia" w:ascii="宋体" w:hAnsi="宋体" w:cs="宋体"/>
                <w:color w:val="auto"/>
                <w:kern w:val="0"/>
                <w:szCs w:val="21"/>
                <w:highlight w:val="none"/>
              </w:rPr>
            </w:pPr>
          </w:p>
        </w:tc>
      </w:tr>
      <w:tr>
        <w:tblPrEx>
          <w:tblCellMar>
            <w:top w:w="0" w:type="dxa"/>
            <w:left w:w="0" w:type="dxa"/>
            <w:bottom w:w="0" w:type="dxa"/>
            <w:right w:w="0" w:type="dxa"/>
          </w:tblCellMar>
        </w:tblPrEx>
        <w:trPr>
          <w:trHeight w:val="693" w:hRule="atLeast"/>
          <w:jc w:val="center"/>
        </w:trPr>
        <w:tc>
          <w:tcPr>
            <w:tcW w:w="133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snapToGrid w:val="0"/>
              <w:spacing w:before="100" w:beforeAutospacing="1" w:after="100" w:afterAutospacing="1" w:line="320" w:lineRule="atLeas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验收具体内容</w:t>
            </w:r>
          </w:p>
        </w:tc>
        <w:tc>
          <w:tcPr>
            <w:tcW w:w="8040" w:type="dxa"/>
            <w:gridSpan w:val="7"/>
            <w:tcBorders>
              <w:top w:val="nil"/>
              <w:left w:val="nil"/>
              <w:bottom w:val="single" w:color="auto" w:sz="8" w:space="0"/>
              <w:right w:val="single" w:color="auto" w:sz="8" w:space="0"/>
            </w:tcBorders>
            <w:tcMar>
              <w:top w:w="0" w:type="dxa"/>
              <w:left w:w="108" w:type="dxa"/>
              <w:bottom w:w="0" w:type="dxa"/>
              <w:right w:w="108" w:type="dxa"/>
            </w:tcMar>
            <w:vAlign w:val="center"/>
          </w:tcPr>
          <w:p>
            <w:pPr>
              <w:snapToGrid w:val="0"/>
              <w:spacing w:before="100" w:beforeAutospacing="1" w:after="100" w:afterAutospacing="1" w:line="320" w:lineRule="atLeas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应按采购合同、采购文件、投标文件及验收方案等进行验收；并核对中标或者成交投标人在安装调试等方面是否违反合同约定或者服务规范要求、提供的质量保证证明材料是否齐全、应有的配件及附件是否达到合同约定等。可附件)</w:t>
            </w:r>
          </w:p>
        </w:tc>
      </w:tr>
      <w:tr>
        <w:tblPrEx>
          <w:tblCellMar>
            <w:top w:w="0" w:type="dxa"/>
            <w:left w:w="0" w:type="dxa"/>
            <w:bottom w:w="0" w:type="dxa"/>
            <w:right w:w="0" w:type="dxa"/>
          </w:tblCellMar>
        </w:tblPrEx>
        <w:trPr>
          <w:trHeight w:val="1281" w:hRule="atLeast"/>
          <w:jc w:val="center"/>
        </w:trPr>
        <w:tc>
          <w:tcPr>
            <w:tcW w:w="1331"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spacing w:before="100" w:beforeAutospacing="1" w:after="100" w:afterAutospacing="1" w:line="320" w:lineRule="atLeas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验收小组意见</w:t>
            </w:r>
          </w:p>
        </w:tc>
        <w:tc>
          <w:tcPr>
            <w:tcW w:w="8040" w:type="dxa"/>
            <w:gridSpan w:val="7"/>
            <w:tcBorders>
              <w:top w:val="nil"/>
              <w:left w:val="nil"/>
              <w:bottom w:val="single" w:color="auto" w:sz="8" w:space="0"/>
              <w:right w:val="single" w:color="auto" w:sz="8" w:space="0"/>
            </w:tcBorders>
            <w:vAlign w:val="center"/>
          </w:tcPr>
          <w:p>
            <w:pPr>
              <w:spacing w:before="100" w:beforeAutospacing="1" w:after="100" w:afterAutospacing="1" w:line="320" w:lineRule="atLeas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验收结论性意见：</w:t>
            </w:r>
          </w:p>
        </w:tc>
      </w:tr>
      <w:tr>
        <w:tblPrEx>
          <w:tblCellMar>
            <w:top w:w="0" w:type="dxa"/>
            <w:left w:w="0" w:type="dxa"/>
            <w:bottom w:w="0" w:type="dxa"/>
            <w:right w:w="0" w:type="dxa"/>
          </w:tblCellMar>
        </w:tblPrEx>
        <w:trPr>
          <w:trHeight w:val="607" w:hRule="atLeast"/>
          <w:jc w:val="center"/>
        </w:trPr>
        <w:tc>
          <w:tcPr>
            <w:tcW w:w="1331" w:type="dxa"/>
            <w:vMerge w:val="continue"/>
            <w:tcBorders>
              <w:top w:val="nil"/>
              <w:left w:val="single" w:color="auto" w:sz="8" w:space="0"/>
              <w:bottom w:val="single" w:color="auto" w:sz="8" w:space="0"/>
              <w:right w:val="single" w:color="auto" w:sz="8" w:space="0"/>
            </w:tcBorders>
            <w:vAlign w:val="center"/>
          </w:tcPr>
          <w:p>
            <w:pPr>
              <w:jc w:val="left"/>
              <w:rPr>
                <w:rFonts w:hint="eastAsia" w:ascii="宋体" w:hAnsi="宋体" w:cs="宋体"/>
                <w:color w:val="auto"/>
                <w:kern w:val="0"/>
                <w:szCs w:val="21"/>
                <w:highlight w:val="none"/>
              </w:rPr>
            </w:pPr>
          </w:p>
        </w:tc>
        <w:tc>
          <w:tcPr>
            <w:tcW w:w="8040" w:type="dxa"/>
            <w:gridSpan w:val="7"/>
            <w:tcBorders>
              <w:top w:val="nil"/>
              <w:left w:val="nil"/>
              <w:bottom w:val="single" w:color="auto" w:sz="8" w:space="0"/>
              <w:right w:val="single" w:color="auto" w:sz="8" w:space="0"/>
            </w:tcBorders>
            <w:vAlign w:val="center"/>
          </w:tcPr>
          <w:p>
            <w:pPr>
              <w:spacing w:before="100" w:beforeAutospacing="1" w:after="100" w:afterAutospacing="1" w:line="320" w:lineRule="atLeast"/>
              <w:ind w:firstLine="96"/>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有异议的意见和说明理由：</w:t>
            </w:r>
          </w:p>
          <w:p>
            <w:pPr>
              <w:spacing w:before="100" w:beforeAutospacing="1" w:after="100" w:afterAutospacing="1" w:line="320" w:lineRule="atLeas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签字：</w:t>
            </w:r>
          </w:p>
        </w:tc>
      </w:tr>
      <w:tr>
        <w:tblPrEx>
          <w:tblCellMar>
            <w:top w:w="0" w:type="dxa"/>
            <w:left w:w="0" w:type="dxa"/>
            <w:bottom w:w="0" w:type="dxa"/>
            <w:right w:w="0" w:type="dxa"/>
          </w:tblCellMar>
        </w:tblPrEx>
        <w:trPr>
          <w:trHeight w:val="507" w:hRule="atLeast"/>
          <w:jc w:val="center"/>
        </w:trPr>
        <w:tc>
          <w:tcPr>
            <w:tcW w:w="9371" w:type="dxa"/>
            <w:gridSpan w:val="8"/>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spacing w:before="100" w:beforeAutospacing="1" w:after="100" w:afterAutospacing="1" w:line="320" w:lineRule="atLeas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验收小组成员签字：</w:t>
            </w:r>
          </w:p>
        </w:tc>
      </w:tr>
      <w:tr>
        <w:tblPrEx>
          <w:tblCellMar>
            <w:top w:w="0" w:type="dxa"/>
            <w:left w:w="0" w:type="dxa"/>
            <w:bottom w:w="0" w:type="dxa"/>
            <w:right w:w="0" w:type="dxa"/>
          </w:tblCellMar>
        </w:tblPrEx>
        <w:trPr>
          <w:trHeight w:val="736" w:hRule="atLeast"/>
          <w:jc w:val="center"/>
        </w:trPr>
        <w:tc>
          <w:tcPr>
            <w:tcW w:w="9371" w:type="dxa"/>
            <w:gridSpan w:val="8"/>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spacing w:before="100" w:beforeAutospacing="1" w:after="100" w:afterAutospacing="1" w:line="320" w:lineRule="atLeas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监督人员或者其他相关人员签字：</w:t>
            </w:r>
          </w:p>
          <w:p>
            <w:pPr>
              <w:spacing w:before="100" w:beforeAutospacing="1" w:after="100" w:afterAutospacing="1" w:line="320" w:lineRule="atLeast"/>
              <w:ind w:firstLine="74"/>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或者受邀机构的意见（盖章）：</w:t>
            </w:r>
          </w:p>
        </w:tc>
      </w:tr>
      <w:tr>
        <w:tblPrEx>
          <w:tblCellMar>
            <w:top w:w="0" w:type="dxa"/>
            <w:left w:w="0" w:type="dxa"/>
            <w:bottom w:w="0" w:type="dxa"/>
            <w:right w:w="0" w:type="dxa"/>
          </w:tblCellMar>
        </w:tblPrEx>
        <w:trPr>
          <w:trHeight w:val="758" w:hRule="atLeast"/>
          <w:jc w:val="center"/>
        </w:trPr>
        <w:tc>
          <w:tcPr>
            <w:tcW w:w="4152" w:type="dxa"/>
            <w:gridSpan w:val="4"/>
            <w:tcBorders>
              <w:top w:val="nil"/>
              <w:left w:val="single" w:color="auto" w:sz="8" w:space="0"/>
              <w:bottom w:val="single" w:color="auto" w:sz="8" w:space="0"/>
              <w:right w:val="single" w:color="auto" w:sz="4" w:space="0"/>
            </w:tcBorders>
            <w:tcMar>
              <w:top w:w="0" w:type="dxa"/>
              <w:left w:w="108" w:type="dxa"/>
              <w:bottom w:w="0" w:type="dxa"/>
              <w:right w:w="108" w:type="dxa"/>
            </w:tcMar>
            <w:vAlign w:val="center"/>
          </w:tcPr>
          <w:p>
            <w:pPr>
              <w:spacing w:before="100" w:beforeAutospacing="1" w:after="100" w:afterAutospacing="1" w:line="320" w:lineRule="atLeast"/>
              <w:ind w:firstLine="74"/>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中标或者成交人负责人签字或者盖章：</w:t>
            </w:r>
          </w:p>
          <w:p>
            <w:pPr>
              <w:spacing w:before="100" w:beforeAutospacing="1" w:after="100" w:afterAutospacing="1" w:line="320" w:lineRule="atLeas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联系电话： </w:t>
            </w:r>
          </w:p>
          <w:p>
            <w:pPr>
              <w:spacing w:before="100" w:beforeAutospacing="1" w:after="100" w:afterAutospacing="1" w:line="320" w:lineRule="atLeast"/>
              <w:ind w:firstLine="2940" w:firstLineChars="14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年 月 日</w:t>
            </w:r>
          </w:p>
        </w:tc>
        <w:tc>
          <w:tcPr>
            <w:tcW w:w="5219" w:type="dxa"/>
            <w:gridSpan w:val="4"/>
            <w:tcBorders>
              <w:top w:val="nil"/>
              <w:left w:val="single" w:color="auto" w:sz="4" w:space="0"/>
              <w:bottom w:val="single" w:color="auto" w:sz="8" w:space="0"/>
              <w:right w:val="single" w:color="auto" w:sz="8" w:space="0"/>
            </w:tcBorders>
            <w:vAlign w:val="center"/>
          </w:tcPr>
          <w:p>
            <w:pPr>
              <w:spacing w:before="100" w:beforeAutospacing="1" w:after="100" w:afterAutospacing="1" w:line="320" w:lineRule="atLeas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采购人或者受托机构的意见（盖章）：</w:t>
            </w:r>
          </w:p>
          <w:p>
            <w:pPr>
              <w:spacing w:before="100" w:beforeAutospacing="1" w:after="100" w:afterAutospacing="1" w:line="320" w:lineRule="atLeas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联系电话： </w:t>
            </w:r>
          </w:p>
          <w:p>
            <w:pPr>
              <w:spacing w:before="100" w:beforeAutospacing="1" w:after="100" w:afterAutospacing="1" w:line="320" w:lineRule="atLeast"/>
              <w:ind w:firstLine="3780" w:firstLineChars="18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年 月 日</w:t>
            </w:r>
          </w:p>
        </w:tc>
      </w:tr>
    </w:tbl>
    <w:p>
      <w:pPr>
        <w:jc w:val="left"/>
        <w:rPr>
          <w:rFonts w:hint="eastAsia" w:ascii="宋体" w:hAnsi="宋体" w:cs="宋体"/>
          <w:color w:val="auto"/>
          <w:highlight w:val="none"/>
        </w:rPr>
      </w:pPr>
      <w:r>
        <w:rPr>
          <w:rFonts w:hint="eastAsia" w:ascii="宋体" w:hAnsi="宋体" w:cs="宋体"/>
          <w:color w:val="auto"/>
          <w:highlight w:val="none"/>
        </w:rPr>
        <w:br w:type="page"/>
      </w:r>
      <w:r>
        <w:rPr>
          <w:rFonts w:hint="eastAsia" w:ascii="宋体" w:hAnsi="宋体" w:cs="宋体"/>
          <w:color w:val="auto"/>
          <w:sz w:val="28"/>
          <w:szCs w:val="28"/>
          <w:highlight w:val="none"/>
        </w:rPr>
        <w:t>5.政府采购项目履约保证金退付意见书的格式：</w:t>
      </w:r>
    </w:p>
    <w:p>
      <w:pPr>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政府采购项目履约保证金退付意见书（参考）</w:t>
      </w:r>
    </w:p>
    <w:tbl>
      <w:tblPr>
        <w:tblStyle w:val="27"/>
        <w:tblW w:w="94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84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008" w:type="dxa"/>
            <w:vMerge w:val="restart"/>
            <w:vAlign w:val="center"/>
          </w:tcPr>
          <w:p>
            <w:pPr>
              <w:jc w:val="center"/>
              <w:rPr>
                <w:rFonts w:hint="eastAsia" w:ascii="宋体" w:hAnsi="宋体" w:cs="宋体"/>
                <w:color w:val="auto"/>
                <w:sz w:val="24"/>
                <w:highlight w:val="none"/>
              </w:rPr>
            </w:pPr>
            <w:r>
              <w:rPr>
                <w:rFonts w:hint="eastAsia" w:ascii="宋体" w:hAnsi="宋体" w:cs="宋体"/>
                <w:color w:val="auto"/>
                <w:sz w:val="24"/>
                <w:highlight w:val="none"/>
              </w:rPr>
              <w:t>供</w:t>
            </w:r>
          </w:p>
          <w:p>
            <w:pPr>
              <w:jc w:val="center"/>
              <w:rPr>
                <w:rFonts w:hint="eastAsia" w:ascii="宋体" w:hAnsi="宋体" w:cs="宋体"/>
                <w:color w:val="auto"/>
                <w:sz w:val="24"/>
                <w:highlight w:val="none"/>
              </w:rPr>
            </w:pPr>
            <w:r>
              <w:rPr>
                <w:rFonts w:hint="eastAsia" w:ascii="宋体" w:hAnsi="宋体" w:cs="宋体"/>
                <w:color w:val="auto"/>
                <w:sz w:val="24"/>
                <w:highlight w:val="none"/>
              </w:rPr>
              <w:t>应</w:t>
            </w:r>
          </w:p>
          <w:p>
            <w:pPr>
              <w:jc w:val="center"/>
              <w:rPr>
                <w:rFonts w:hint="eastAsia" w:ascii="宋体" w:hAnsi="宋体" w:cs="宋体"/>
                <w:color w:val="auto"/>
                <w:sz w:val="24"/>
                <w:highlight w:val="none"/>
              </w:rPr>
            </w:pPr>
            <w:r>
              <w:rPr>
                <w:rFonts w:hint="eastAsia" w:ascii="宋体" w:hAnsi="宋体" w:cs="宋体"/>
                <w:color w:val="auto"/>
                <w:sz w:val="24"/>
                <w:highlight w:val="none"/>
              </w:rPr>
              <w:t>商</w:t>
            </w:r>
          </w:p>
          <w:p>
            <w:pPr>
              <w:jc w:val="center"/>
              <w:rPr>
                <w:rFonts w:hint="eastAsia" w:ascii="宋体" w:hAnsi="宋体" w:cs="宋体"/>
                <w:color w:val="auto"/>
                <w:sz w:val="24"/>
                <w:highlight w:val="none"/>
              </w:rPr>
            </w:pPr>
            <w:r>
              <w:rPr>
                <w:rFonts w:hint="eastAsia" w:ascii="宋体" w:hAnsi="宋体" w:cs="宋体"/>
                <w:color w:val="auto"/>
                <w:sz w:val="24"/>
                <w:highlight w:val="none"/>
              </w:rPr>
              <w:t>申</w:t>
            </w:r>
          </w:p>
          <w:p>
            <w:pPr>
              <w:jc w:val="center"/>
              <w:rPr>
                <w:rFonts w:hint="eastAsia" w:ascii="宋体" w:hAnsi="宋体" w:cs="宋体"/>
                <w:color w:val="auto"/>
                <w:sz w:val="24"/>
                <w:highlight w:val="none"/>
              </w:rPr>
            </w:pPr>
            <w:r>
              <w:rPr>
                <w:rFonts w:hint="eastAsia" w:ascii="宋体" w:hAnsi="宋体" w:cs="宋体"/>
                <w:color w:val="auto"/>
                <w:sz w:val="24"/>
                <w:highlight w:val="none"/>
              </w:rPr>
              <w:t>请</w:t>
            </w:r>
          </w:p>
        </w:tc>
        <w:tc>
          <w:tcPr>
            <w:tcW w:w="8456" w:type="dxa"/>
            <w:vAlign w:val="center"/>
          </w:tcPr>
          <w:p>
            <w:pPr>
              <w:rPr>
                <w:rFonts w:hint="eastAsia" w:ascii="宋体" w:hAnsi="宋体" w:cs="宋体"/>
                <w:color w:val="auto"/>
                <w:sz w:val="24"/>
                <w:highlight w:val="none"/>
              </w:rPr>
            </w:pPr>
            <w:r>
              <w:rPr>
                <w:rFonts w:hint="eastAsia" w:ascii="宋体" w:hAnsi="宋体" w:cs="宋体"/>
                <w:color w:val="auto"/>
                <w:sz w:val="24"/>
                <w:highlight w:val="none"/>
              </w:rPr>
              <w:t>项目编号：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1008" w:type="dxa"/>
            <w:vMerge w:val="continue"/>
            <w:vAlign w:val="center"/>
          </w:tcPr>
          <w:p>
            <w:pPr>
              <w:rPr>
                <w:rFonts w:hint="eastAsia" w:ascii="宋体" w:hAnsi="宋体" w:cs="宋体"/>
                <w:color w:val="auto"/>
                <w:sz w:val="24"/>
                <w:highlight w:val="none"/>
              </w:rPr>
            </w:pPr>
          </w:p>
        </w:tc>
        <w:tc>
          <w:tcPr>
            <w:tcW w:w="8456" w:type="dxa"/>
            <w:vAlign w:val="center"/>
          </w:tcPr>
          <w:p>
            <w:pPr>
              <w:rPr>
                <w:rFonts w:hint="eastAsia" w:ascii="宋体" w:hAnsi="宋体" w:cs="宋体"/>
                <w:color w:val="auto"/>
                <w:sz w:val="24"/>
                <w:highlight w:val="none"/>
              </w:rPr>
            </w:pPr>
            <w:r>
              <w:rPr>
                <w:rFonts w:hint="eastAsia" w:ascii="宋体" w:hAnsi="宋体" w:cs="宋体"/>
                <w:color w:val="auto"/>
                <w:sz w:val="24"/>
                <w:highlight w:val="none"/>
              </w:rPr>
              <w:t>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dxa"/>
            <w:vMerge w:val="continue"/>
          </w:tcPr>
          <w:p>
            <w:pPr>
              <w:rPr>
                <w:rFonts w:hint="eastAsia" w:ascii="宋体" w:hAnsi="宋体" w:cs="宋体"/>
                <w:color w:val="auto"/>
                <w:sz w:val="24"/>
                <w:highlight w:val="none"/>
              </w:rPr>
            </w:pPr>
          </w:p>
        </w:tc>
        <w:tc>
          <w:tcPr>
            <w:tcW w:w="8456" w:type="dxa"/>
          </w:tcPr>
          <w:p>
            <w:pPr>
              <w:rPr>
                <w:rFonts w:hint="eastAsia" w:ascii="宋体" w:hAnsi="宋体" w:cs="宋体"/>
                <w:color w:val="auto"/>
                <w:sz w:val="24"/>
                <w:highlight w:val="none"/>
              </w:rPr>
            </w:pPr>
            <w:r>
              <w:rPr>
                <w:rFonts w:hint="eastAsia" w:ascii="宋体" w:hAnsi="宋体" w:cs="宋体"/>
                <w:color w:val="auto"/>
                <w:sz w:val="24"/>
                <w:highlight w:val="none"/>
              </w:rPr>
              <w:t xml:space="preserve">  </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该项目已于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日验收并交付使用。根据合同规定，该项目的履约保证金期限于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日已满，请将履约保证金（大写）人民币                              （小写）¥</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退付到达以下账户。</w:t>
            </w:r>
          </w:p>
          <w:p>
            <w:pPr>
              <w:spacing w:line="400" w:lineRule="exact"/>
              <w:rPr>
                <w:rFonts w:hint="eastAsia" w:ascii="宋体" w:hAnsi="宋体" w:cs="宋体"/>
                <w:color w:val="auto"/>
                <w:sz w:val="24"/>
                <w:highlight w:val="none"/>
              </w:rPr>
            </w:pP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单位名称：</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开户银行：</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账   号：</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联系人及电话：</w:t>
            </w:r>
          </w:p>
          <w:p>
            <w:pPr>
              <w:spacing w:line="520" w:lineRule="exact"/>
              <w:jc w:val="center"/>
              <w:rPr>
                <w:rFonts w:hint="eastAsia" w:ascii="宋体" w:hAnsi="宋体" w:cs="宋体"/>
                <w:color w:val="auto"/>
                <w:sz w:val="24"/>
                <w:highlight w:val="none"/>
              </w:rPr>
            </w:pPr>
            <w:r>
              <w:rPr>
                <w:rFonts w:hint="eastAsia" w:ascii="宋体" w:hAnsi="宋体" w:cs="宋体"/>
                <w:color w:val="auto"/>
                <w:sz w:val="24"/>
                <w:highlight w:val="none"/>
              </w:rPr>
              <w:t xml:space="preserve">         投标人签章：</w:t>
            </w:r>
          </w:p>
          <w:p>
            <w:pPr>
              <w:spacing w:line="520" w:lineRule="exact"/>
              <w:jc w:val="center"/>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6" w:hRule="atLeast"/>
        </w:trPr>
        <w:tc>
          <w:tcPr>
            <w:tcW w:w="1008" w:type="dxa"/>
            <w:vAlign w:val="center"/>
          </w:tcPr>
          <w:p>
            <w:pPr>
              <w:jc w:val="center"/>
              <w:rPr>
                <w:rFonts w:hint="eastAsia" w:ascii="宋体" w:hAnsi="宋体" w:cs="宋体"/>
                <w:color w:val="auto"/>
                <w:sz w:val="24"/>
                <w:highlight w:val="none"/>
              </w:rPr>
            </w:pPr>
            <w:r>
              <w:rPr>
                <w:rFonts w:hint="eastAsia" w:ascii="宋体" w:hAnsi="宋体" w:cs="宋体"/>
                <w:color w:val="auto"/>
                <w:sz w:val="24"/>
                <w:highlight w:val="none"/>
              </w:rPr>
              <w:t>采</w:t>
            </w:r>
          </w:p>
          <w:p>
            <w:pPr>
              <w:jc w:val="center"/>
              <w:rPr>
                <w:rFonts w:hint="eastAsia" w:ascii="宋体" w:hAnsi="宋体" w:cs="宋体"/>
                <w:color w:val="auto"/>
                <w:sz w:val="24"/>
                <w:highlight w:val="none"/>
              </w:rPr>
            </w:pPr>
            <w:r>
              <w:rPr>
                <w:rFonts w:hint="eastAsia" w:ascii="宋体" w:hAnsi="宋体" w:cs="宋体"/>
                <w:color w:val="auto"/>
                <w:sz w:val="24"/>
                <w:highlight w:val="none"/>
              </w:rPr>
              <w:t>购</w:t>
            </w:r>
          </w:p>
          <w:p>
            <w:pPr>
              <w:jc w:val="center"/>
              <w:rPr>
                <w:rFonts w:hint="eastAsia" w:ascii="宋体" w:hAnsi="宋体" w:cs="宋体"/>
                <w:color w:val="auto"/>
                <w:sz w:val="24"/>
                <w:highlight w:val="none"/>
              </w:rPr>
            </w:pPr>
            <w:r>
              <w:rPr>
                <w:rFonts w:hint="eastAsia" w:ascii="宋体" w:hAnsi="宋体" w:cs="宋体"/>
                <w:color w:val="auto"/>
                <w:sz w:val="24"/>
                <w:highlight w:val="none"/>
              </w:rPr>
              <w:t>人</w:t>
            </w:r>
          </w:p>
          <w:p>
            <w:pPr>
              <w:jc w:val="center"/>
              <w:rPr>
                <w:rFonts w:hint="eastAsia" w:ascii="宋体" w:hAnsi="宋体" w:cs="宋体"/>
                <w:color w:val="auto"/>
                <w:sz w:val="24"/>
                <w:highlight w:val="none"/>
              </w:rPr>
            </w:pPr>
            <w:r>
              <w:rPr>
                <w:rFonts w:hint="eastAsia" w:ascii="宋体" w:hAnsi="宋体" w:cs="宋体"/>
                <w:color w:val="auto"/>
                <w:sz w:val="24"/>
                <w:highlight w:val="none"/>
              </w:rPr>
              <w:t>意</w:t>
            </w:r>
          </w:p>
          <w:p>
            <w:pPr>
              <w:jc w:val="center"/>
              <w:rPr>
                <w:rFonts w:hint="eastAsia" w:ascii="宋体" w:hAnsi="宋体" w:cs="宋体"/>
                <w:color w:val="auto"/>
                <w:sz w:val="24"/>
                <w:highlight w:val="none"/>
              </w:rPr>
            </w:pPr>
            <w:r>
              <w:rPr>
                <w:rFonts w:hint="eastAsia" w:ascii="宋体" w:hAnsi="宋体" w:cs="宋体"/>
                <w:color w:val="auto"/>
                <w:sz w:val="24"/>
                <w:highlight w:val="none"/>
              </w:rPr>
              <w:t>见</w:t>
            </w:r>
          </w:p>
        </w:tc>
        <w:tc>
          <w:tcPr>
            <w:tcW w:w="8456" w:type="dxa"/>
          </w:tcPr>
          <w:p>
            <w:pPr>
              <w:rPr>
                <w:rFonts w:hint="eastAsia" w:ascii="宋体" w:hAnsi="宋体" w:cs="宋体"/>
                <w:color w:val="auto"/>
                <w:sz w:val="24"/>
                <w:highlight w:val="none"/>
              </w:rPr>
            </w:pPr>
          </w:p>
          <w:p>
            <w:pPr>
              <w:rPr>
                <w:rFonts w:hint="eastAsia" w:ascii="宋体" w:hAnsi="宋体" w:cs="宋体"/>
                <w:color w:val="auto"/>
                <w:sz w:val="24"/>
                <w:highlight w:val="none"/>
              </w:rPr>
            </w:pPr>
            <w:r>
              <w:rPr>
                <w:rFonts w:hint="eastAsia" w:ascii="宋体" w:hAnsi="宋体" w:cs="宋体"/>
                <w:color w:val="auto"/>
                <w:sz w:val="24"/>
                <w:highlight w:val="none"/>
              </w:rPr>
              <w:t>退付意见：（是否同意退付履约保证金及退付金额）</w:t>
            </w:r>
          </w:p>
          <w:p>
            <w:pPr>
              <w:rPr>
                <w:rFonts w:hint="eastAsia" w:ascii="宋体" w:hAnsi="宋体" w:cs="宋体"/>
                <w:color w:val="auto"/>
                <w:sz w:val="24"/>
                <w:highlight w:val="none"/>
              </w:rPr>
            </w:pPr>
          </w:p>
          <w:p>
            <w:pPr>
              <w:rPr>
                <w:rFonts w:hint="eastAsia" w:ascii="宋体" w:hAnsi="宋体" w:cs="宋体"/>
                <w:color w:val="auto"/>
                <w:sz w:val="24"/>
                <w:highlight w:val="none"/>
              </w:rPr>
            </w:pPr>
          </w:p>
          <w:p>
            <w:pPr>
              <w:spacing w:line="520" w:lineRule="exact"/>
              <w:rPr>
                <w:rFonts w:hint="eastAsia" w:ascii="宋体" w:hAnsi="宋体" w:cs="宋体"/>
                <w:color w:val="auto"/>
                <w:sz w:val="24"/>
                <w:highlight w:val="none"/>
              </w:rPr>
            </w:pPr>
            <w:r>
              <w:rPr>
                <w:rFonts w:hint="eastAsia" w:ascii="宋体" w:hAnsi="宋体" w:cs="宋体"/>
                <w:color w:val="auto"/>
                <w:sz w:val="24"/>
                <w:highlight w:val="none"/>
              </w:rPr>
              <w:t>联系人及电话：                         采购人签章</w:t>
            </w:r>
          </w:p>
          <w:p>
            <w:pPr>
              <w:spacing w:line="520" w:lineRule="exact"/>
              <w:jc w:val="center"/>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1008" w:type="dxa"/>
            <w:vAlign w:val="center"/>
          </w:tcPr>
          <w:p>
            <w:pPr>
              <w:jc w:val="center"/>
              <w:rPr>
                <w:rFonts w:hint="eastAsia" w:ascii="宋体" w:hAnsi="宋体" w:cs="宋体"/>
                <w:color w:val="auto"/>
                <w:sz w:val="24"/>
                <w:highlight w:val="none"/>
              </w:rPr>
            </w:pPr>
            <w:r>
              <w:rPr>
                <w:rFonts w:hint="eastAsia" w:ascii="宋体" w:hAnsi="宋体" w:cs="宋体"/>
                <w:color w:val="auto"/>
                <w:sz w:val="24"/>
                <w:highlight w:val="none"/>
              </w:rPr>
              <w:t>备注</w:t>
            </w:r>
          </w:p>
        </w:tc>
        <w:tc>
          <w:tcPr>
            <w:tcW w:w="8456" w:type="dxa"/>
          </w:tcPr>
          <w:p>
            <w:pPr>
              <w:rPr>
                <w:rFonts w:hint="eastAsia" w:ascii="宋体" w:hAnsi="宋体" w:cs="宋体"/>
                <w:color w:val="auto"/>
                <w:sz w:val="24"/>
                <w:highlight w:val="none"/>
              </w:rPr>
            </w:pPr>
          </w:p>
        </w:tc>
      </w:tr>
    </w:tbl>
    <w:p>
      <w:pPr>
        <w:pStyle w:val="2"/>
        <w:ind w:left="480" w:leftChars="114" w:hanging="241" w:hangingChars="100"/>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注：投标人凭经采购人审批的退付意见书到履约保证金收取单位办理履约保证金退付事宜。</w:t>
      </w:r>
    </w:p>
    <w:p>
      <w:pPr>
        <w:pStyle w:val="14"/>
        <w:tabs>
          <w:tab w:val="left" w:pos="2472"/>
        </w:tabs>
        <w:spacing w:line="460" w:lineRule="exact"/>
        <w:jc w:val="center"/>
        <w:rPr>
          <w:rFonts w:hint="eastAsia" w:hAnsi="宋体" w:cs="宋体"/>
          <w:b/>
          <w:color w:val="auto"/>
          <w:sz w:val="36"/>
          <w:highlight w:val="none"/>
        </w:rPr>
      </w:pPr>
    </w:p>
    <w:p>
      <w:pPr>
        <w:pStyle w:val="14"/>
        <w:tabs>
          <w:tab w:val="left" w:pos="2472"/>
        </w:tabs>
        <w:spacing w:line="460" w:lineRule="exact"/>
        <w:jc w:val="center"/>
        <w:rPr>
          <w:rFonts w:hint="eastAsia" w:hAnsi="宋体" w:cs="宋体"/>
          <w:b/>
          <w:color w:val="auto"/>
          <w:sz w:val="36"/>
          <w:highlight w:val="none"/>
        </w:rPr>
      </w:pPr>
    </w:p>
    <w:p>
      <w:pPr>
        <w:pStyle w:val="14"/>
        <w:tabs>
          <w:tab w:val="left" w:pos="2472"/>
        </w:tabs>
        <w:spacing w:line="460" w:lineRule="exact"/>
        <w:jc w:val="center"/>
        <w:rPr>
          <w:rFonts w:hint="eastAsia" w:hAnsi="宋体" w:cs="宋体"/>
          <w:b/>
          <w:color w:val="auto"/>
          <w:sz w:val="36"/>
          <w:highlight w:val="none"/>
        </w:rPr>
      </w:pPr>
    </w:p>
    <w:p>
      <w:pPr>
        <w:pStyle w:val="14"/>
        <w:tabs>
          <w:tab w:val="left" w:pos="2472"/>
        </w:tabs>
        <w:spacing w:line="460" w:lineRule="exact"/>
        <w:jc w:val="center"/>
        <w:rPr>
          <w:rFonts w:hint="eastAsia" w:hAnsi="宋体" w:cs="宋体"/>
          <w:b/>
          <w:color w:val="auto"/>
          <w:sz w:val="36"/>
          <w:highlight w:val="none"/>
        </w:rPr>
      </w:pPr>
    </w:p>
    <w:p>
      <w:pPr>
        <w:pStyle w:val="14"/>
        <w:tabs>
          <w:tab w:val="left" w:pos="2472"/>
        </w:tabs>
        <w:spacing w:line="460" w:lineRule="exact"/>
        <w:jc w:val="center"/>
        <w:rPr>
          <w:rFonts w:hint="eastAsia" w:hAnsi="宋体" w:cs="宋体"/>
          <w:b/>
          <w:color w:val="auto"/>
          <w:sz w:val="36"/>
          <w:highlight w:val="none"/>
        </w:rPr>
      </w:pPr>
    </w:p>
    <w:p>
      <w:pPr>
        <w:pStyle w:val="14"/>
        <w:tabs>
          <w:tab w:val="left" w:pos="2472"/>
        </w:tabs>
        <w:spacing w:line="460" w:lineRule="exact"/>
        <w:jc w:val="center"/>
        <w:rPr>
          <w:rFonts w:hint="eastAsia" w:hAnsi="宋体" w:cs="宋体"/>
          <w:b/>
          <w:color w:val="auto"/>
          <w:sz w:val="36"/>
          <w:highlight w:val="none"/>
        </w:rPr>
      </w:pPr>
    </w:p>
    <w:p>
      <w:pPr>
        <w:pStyle w:val="14"/>
        <w:tabs>
          <w:tab w:val="left" w:pos="2472"/>
        </w:tabs>
        <w:spacing w:line="460" w:lineRule="exact"/>
        <w:jc w:val="center"/>
        <w:rPr>
          <w:rFonts w:hint="eastAsia" w:hAnsi="宋体" w:cs="宋体"/>
          <w:b/>
          <w:color w:val="auto"/>
          <w:sz w:val="36"/>
          <w:highlight w:val="none"/>
        </w:rPr>
      </w:pPr>
    </w:p>
    <w:p>
      <w:pPr>
        <w:pStyle w:val="14"/>
        <w:tabs>
          <w:tab w:val="left" w:pos="2472"/>
        </w:tabs>
        <w:spacing w:line="460" w:lineRule="exact"/>
        <w:jc w:val="center"/>
        <w:rPr>
          <w:rFonts w:hint="eastAsia" w:hAnsi="宋体" w:cs="宋体"/>
          <w:b/>
          <w:color w:val="auto"/>
          <w:sz w:val="36"/>
          <w:highlight w:val="none"/>
        </w:rPr>
      </w:pPr>
    </w:p>
    <w:p>
      <w:pPr>
        <w:pStyle w:val="14"/>
        <w:tabs>
          <w:tab w:val="left" w:pos="2472"/>
        </w:tabs>
        <w:spacing w:line="460" w:lineRule="exact"/>
        <w:jc w:val="center"/>
        <w:rPr>
          <w:rFonts w:hint="eastAsia" w:hAnsi="宋体" w:cs="宋体"/>
          <w:b/>
          <w:color w:val="auto"/>
          <w:sz w:val="36"/>
          <w:highlight w:val="none"/>
        </w:rPr>
      </w:pPr>
    </w:p>
    <w:p>
      <w:pPr>
        <w:pStyle w:val="14"/>
        <w:tabs>
          <w:tab w:val="left" w:pos="2472"/>
        </w:tabs>
        <w:spacing w:line="460" w:lineRule="exact"/>
        <w:jc w:val="center"/>
        <w:rPr>
          <w:rFonts w:hint="eastAsia" w:hAnsi="宋体" w:cs="宋体"/>
          <w:b/>
          <w:color w:val="auto"/>
          <w:sz w:val="36"/>
          <w:highlight w:val="none"/>
        </w:rPr>
      </w:pPr>
    </w:p>
    <w:p>
      <w:pPr>
        <w:pStyle w:val="14"/>
        <w:tabs>
          <w:tab w:val="left" w:pos="2472"/>
        </w:tabs>
        <w:spacing w:line="460" w:lineRule="exact"/>
        <w:jc w:val="center"/>
        <w:outlineLvl w:val="0"/>
        <w:rPr>
          <w:rFonts w:hint="eastAsia" w:hAnsi="宋体" w:cs="宋体"/>
          <w:color w:val="auto"/>
          <w:sz w:val="20"/>
          <w:highlight w:val="none"/>
        </w:rPr>
        <w:sectPr>
          <w:pgSz w:w="11906" w:h="16838"/>
          <w:pgMar w:top="1134" w:right="1020" w:bottom="1020" w:left="1134" w:header="720" w:footer="720" w:gutter="0"/>
          <w:pgNumType w:fmt="decimal"/>
          <w:cols w:space="720" w:num="1"/>
          <w:docGrid w:type="lines" w:linePitch="331" w:charSpace="0"/>
        </w:sectPr>
      </w:pPr>
      <w:bookmarkStart w:id="329" w:name="_Toc30176"/>
      <w:bookmarkStart w:id="330" w:name="_Toc19823"/>
      <w:bookmarkStart w:id="331" w:name="_Toc8663"/>
      <w:bookmarkStart w:id="332" w:name="_Toc1424"/>
      <w:bookmarkStart w:id="333" w:name="_Toc15281"/>
      <w:bookmarkStart w:id="334" w:name="_Toc10282"/>
      <w:bookmarkStart w:id="335" w:name="_Toc29827"/>
      <w:bookmarkStart w:id="336" w:name="_Toc4526"/>
      <w:bookmarkStart w:id="337" w:name="_Toc18201"/>
      <w:bookmarkStart w:id="338" w:name="_Toc8319"/>
      <w:bookmarkStart w:id="339" w:name="_Toc22405"/>
      <w:r>
        <w:rPr>
          <w:rFonts w:hint="eastAsia" w:hAnsi="宋体" w:cs="宋体"/>
          <w:b/>
          <w:color w:val="auto"/>
          <w:sz w:val="36"/>
          <w:highlight w:val="none"/>
        </w:rPr>
        <w:t>第七章 质疑、投诉材料格</w:t>
      </w:r>
      <w:bookmarkEnd w:id="329"/>
      <w:bookmarkEnd w:id="330"/>
      <w:bookmarkEnd w:id="331"/>
      <w:r>
        <w:rPr>
          <w:rFonts w:hint="eastAsia" w:hAnsi="宋体" w:cs="宋体"/>
          <w:b/>
          <w:color w:val="auto"/>
          <w:sz w:val="36"/>
          <w:highlight w:val="none"/>
        </w:rPr>
        <w:t>式</w:t>
      </w:r>
      <w:bookmarkEnd w:id="332"/>
      <w:bookmarkEnd w:id="333"/>
      <w:bookmarkEnd w:id="334"/>
      <w:bookmarkEnd w:id="335"/>
      <w:bookmarkEnd w:id="336"/>
      <w:bookmarkEnd w:id="337"/>
      <w:bookmarkEnd w:id="338"/>
      <w:bookmarkEnd w:id="339"/>
    </w:p>
    <w:p>
      <w:pPr>
        <w:pStyle w:val="4"/>
        <w:jc w:val="center"/>
        <w:rPr>
          <w:rFonts w:hint="eastAsia" w:ascii="宋体" w:hAnsi="宋体" w:eastAsia="宋体" w:cs="宋体"/>
          <w:b w:val="0"/>
          <w:bCs w:val="0"/>
          <w:color w:val="auto"/>
          <w:highlight w:val="none"/>
        </w:rPr>
      </w:pPr>
      <w:bookmarkStart w:id="340" w:name="_Toc12534"/>
      <w:bookmarkStart w:id="341" w:name="_Toc25079"/>
      <w:bookmarkStart w:id="342" w:name="_Toc18910"/>
      <w:bookmarkStart w:id="343" w:name="_Toc5790"/>
      <w:bookmarkStart w:id="344" w:name="_Toc19413"/>
      <w:r>
        <w:rPr>
          <w:rFonts w:hint="eastAsia" w:ascii="宋体" w:hAnsi="宋体" w:eastAsia="宋体" w:cs="宋体"/>
          <w:b w:val="0"/>
          <w:bCs w:val="0"/>
          <w:color w:val="auto"/>
          <w:highlight w:val="none"/>
        </w:rPr>
        <w:t>第一节 质疑函（格式）</w:t>
      </w:r>
      <w:bookmarkEnd w:id="340"/>
      <w:bookmarkEnd w:id="341"/>
      <w:bookmarkEnd w:id="342"/>
      <w:bookmarkEnd w:id="343"/>
      <w:bookmarkEnd w:id="344"/>
    </w:p>
    <w:p>
      <w:pPr>
        <w:jc w:val="center"/>
        <w:rPr>
          <w:rFonts w:hint="eastAsia" w:ascii="宋体" w:hAnsi="宋体" w:cs="宋体"/>
          <w:b/>
          <w:bCs/>
          <w:color w:val="auto"/>
          <w:sz w:val="44"/>
          <w:szCs w:val="44"/>
          <w:highlight w:val="none"/>
        </w:rPr>
      </w:pPr>
      <w:r>
        <w:rPr>
          <w:rFonts w:hint="eastAsia" w:ascii="宋体" w:hAnsi="宋体" w:cs="宋体"/>
          <w:b/>
          <w:bCs/>
          <w:color w:val="auto"/>
          <w:sz w:val="30"/>
          <w:szCs w:val="30"/>
          <w:highlight w:val="none"/>
        </w:rPr>
        <w:t>质疑函</w:t>
      </w:r>
    </w:p>
    <w:p>
      <w:pPr>
        <w:adjustRightInd w:val="0"/>
        <w:snapToGrid w:val="0"/>
        <w:spacing w:before="240" w:beforeLines="100" w:line="360" w:lineRule="auto"/>
        <w:rPr>
          <w:rFonts w:hint="eastAsia" w:ascii="宋体" w:hAnsi="宋体" w:cs="宋体"/>
          <w:bCs/>
          <w:color w:val="auto"/>
          <w:sz w:val="24"/>
          <w:highlight w:val="none"/>
        </w:rPr>
      </w:pPr>
      <w:r>
        <w:rPr>
          <w:rFonts w:hint="eastAsia" w:ascii="宋体" w:hAnsi="宋体" w:cs="宋体"/>
          <w:bCs/>
          <w:color w:val="auto"/>
          <w:sz w:val="24"/>
          <w:highlight w:val="none"/>
        </w:rPr>
        <w:t>一、质疑供应商基本信息</w:t>
      </w:r>
    </w:p>
    <w:p>
      <w:pPr>
        <w:adjustRightInd w:val="0"/>
        <w:snapToGrid w:val="0"/>
        <w:spacing w:line="360" w:lineRule="auto"/>
        <w:rPr>
          <w:rFonts w:hint="eastAsia" w:ascii="宋体" w:hAnsi="宋体" w:cs="宋体"/>
          <w:color w:val="auto"/>
          <w:sz w:val="24"/>
          <w:highlight w:val="none"/>
          <w:u w:val="dotted"/>
        </w:rPr>
      </w:pPr>
      <w:r>
        <w:rPr>
          <w:rFonts w:hint="eastAsia" w:ascii="宋体" w:hAnsi="宋体" w:cs="宋体"/>
          <w:color w:val="auto"/>
          <w:sz w:val="24"/>
          <w:highlight w:val="none"/>
        </w:rPr>
        <w:t>质疑供应商：</w:t>
      </w:r>
      <w:r>
        <w:rPr>
          <w:rFonts w:hint="eastAsia" w:ascii="宋体" w:hAnsi="宋体" w:cs="宋体"/>
          <w:color w:val="auto"/>
          <w:sz w:val="24"/>
          <w:highlight w:val="none"/>
          <w:u w:val="dotted"/>
        </w:rPr>
        <w:t xml:space="preserve">                                        </w:t>
      </w:r>
    </w:p>
    <w:p>
      <w:pPr>
        <w:adjustRightInd w:val="0"/>
        <w:snapToGrid w:val="0"/>
        <w:spacing w:line="360" w:lineRule="auto"/>
        <w:rPr>
          <w:rFonts w:hint="eastAsia" w:ascii="宋体" w:hAnsi="宋体" w:cs="宋体"/>
          <w:color w:val="auto"/>
          <w:sz w:val="24"/>
          <w:highlight w:val="none"/>
        </w:rPr>
      </w:pPr>
      <w:r>
        <w:rPr>
          <w:rFonts w:hint="eastAsia" w:ascii="宋体" w:hAnsi="宋体" w:cs="宋体"/>
          <w:color w:val="auto"/>
          <w:sz w:val="24"/>
          <w:highlight w:val="none"/>
        </w:rPr>
        <w:t>地址：</w:t>
      </w:r>
      <w:r>
        <w:rPr>
          <w:rFonts w:hint="eastAsia" w:ascii="宋体" w:hAnsi="宋体" w:cs="宋体"/>
          <w:color w:val="auto"/>
          <w:sz w:val="24"/>
          <w:highlight w:val="none"/>
          <w:u w:val="dotted"/>
        </w:rPr>
        <w:t xml:space="preserve">                          </w:t>
      </w:r>
      <w:r>
        <w:rPr>
          <w:rFonts w:hint="eastAsia" w:ascii="宋体" w:hAnsi="宋体" w:cs="宋体"/>
          <w:color w:val="auto"/>
          <w:sz w:val="24"/>
          <w:highlight w:val="none"/>
        </w:rPr>
        <w:t>邮编：</w:t>
      </w:r>
      <w:r>
        <w:rPr>
          <w:rFonts w:hint="eastAsia" w:ascii="宋体" w:hAnsi="宋体" w:cs="宋体"/>
          <w:color w:val="auto"/>
          <w:sz w:val="24"/>
          <w:highlight w:val="none"/>
          <w:u w:val="dotted"/>
        </w:rPr>
        <w:t xml:space="preserve">                                                   </w:t>
      </w:r>
    </w:p>
    <w:p>
      <w:pPr>
        <w:adjustRightInd w:val="0"/>
        <w:snapToGrid w:val="0"/>
        <w:spacing w:line="360" w:lineRule="auto"/>
        <w:rPr>
          <w:rFonts w:hint="eastAsia" w:ascii="宋体" w:hAnsi="宋体" w:cs="宋体"/>
          <w:color w:val="auto"/>
          <w:sz w:val="24"/>
          <w:highlight w:val="none"/>
        </w:rPr>
      </w:pPr>
      <w:r>
        <w:rPr>
          <w:rFonts w:hint="eastAsia" w:ascii="宋体" w:hAnsi="宋体" w:cs="宋体"/>
          <w:color w:val="auto"/>
          <w:sz w:val="24"/>
          <w:highlight w:val="none"/>
        </w:rPr>
        <w:t>联系人：</w:t>
      </w:r>
      <w:r>
        <w:rPr>
          <w:rFonts w:hint="eastAsia" w:ascii="宋体" w:hAnsi="宋体" w:cs="宋体"/>
          <w:color w:val="auto"/>
          <w:sz w:val="24"/>
          <w:highlight w:val="none"/>
          <w:u w:val="dotted"/>
        </w:rPr>
        <w:t xml:space="preserve">                      </w:t>
      </w:r>
      <w:r>
        <w:rPr>
          <w:rFonts w:hint="eastAsia" w:ascii="宋体" w:hAnsi="宋体" w:cs="宋体"/>
          <w:color w:val="auto"/>
          <w:sz w:val="24"/>
          <w:highlight w:val="none"/>
        </w:rPr>
        <w:t>联系电话：</w:t>
      </w:r>
      <w:r>
        <w:rPr>
          <w:rFonts w:hint="eastAsia" w:ascii="宋体" w:hAnsi="宋体" w:cs="宋体"/>
          <w:color w:val="auto"/>
          <w:sz w:val="24"/>
          <w:highlight w:val="none"/>
          <w:u w:val="dotted"/>
        </w:rPr>
        <w:t xml:space="preserve">                              </w:t>
      </w:r>
    </w:p>
    <w:p>
      <w:pPr>
        <w:adjustRightInd w:val="0"/>
        <w:snapToGrid w:val="0"/>
        <w:spacing w:line="360" w:lineRule="auto"/>
        <w:rPr>
          <w:rFonts w:hint="eastAsia" w:ascii="宋体" w:hAnsi="宋体" w:cs="宋体"/>
          <w:color w:val="auto"/>
          <w:sz w:val="24"/>
          <w:highlight w:val="none"/>
          <w:u w:val="dotted"/>
        </w:rPr>
      </w:pPr>
      <w:r>
        <w:rPr>
          <w:rFonts w:hint="eastAsia" w:ascii="宋体" w:hAnsi="宋体" w:cs="宋体"/>
          <w:color w:val="auto"/>
          <w:sz w:val="24"/>
          <w:highlight w:val="none"/>
        </w:rPr>
        <w:t>授权代表：</w:t>
      </w:r>
      <w:r>
        <w:rPr>
          <w:rFonts w:hint="eastAsia" w:ascii="宋体" w:hAnsi="宋体" w:cs="宋体"/>
          <w:color w:val="auto"/>
          <w:sz w:val="24"/>
          <w:highlight w:val="none"/>
          <w:u w:val="dotted"/>
        </w:rPr>
        <w:t xml:space="preserve">                                          </w:t>
      </w:r>
    </w:p>
    <w:p>
      <w:pPr>
        <w:adjustRightInd w:val="0"/>
        <w:snapToGrid w:val="0"/>
        <w:spacing w:line="360" w:lineRule="auto"/>
        <w:rPr>
          <w:rFonts w:hint="eastAsia" w:ascii="宋体" w:hAnsi="宋体" w:cs="宋体"/>
          <w:color w:val="auto"/>
          <w:sz w:val="24"/>
          <w:highlight w:val="none"/>
        </w:rPr>
      </w:pPr>
      <w:r>
        <w:rPr>
          <w:rFonts w:hint="eastAsia" w:ascii="宋体" w:hAnsi="宋体" w:cs="宋体"/>
          <w:color w:val="auto"/>
          <w:sz w:val="24"/>
          <w:highlight w:val="none"/>
        </w:rPr>
        <w:t>联系电话：</w:t>
      </w:r>
      <w:r>
        <w:rPr>
          <w:rFonts w:hint="eastAsia" w:ascii="宋体" w:hAnsi="宋体" w:cs="宋体"/>
          <w:color w:val="auto"/>
          <w:sz w:val="24"/>
          <w:highlight w:val="none"/>
          <w:u w:val="dotted"/>
        </w:rPr>
        <w:t xml:space="preserve">                                           </w:t>
      </w:r>
      <w:r>
        <w:rPr>
          <w:rFonts w:hint="eastAsia" w:ascii="宋体" w:hAnsi="宋体" w:cs="宋体"/>
          <w:color w:val="auto"/>
          <w:sz w:val="24"/>
          <w:highlight w:val="none"/>
        </w:rPr>
        <w:t xml:space="preserve"> </w:t>
      </w:r>
    </w:p>
    <w:p>
      <w:pPr>
        <w:adjustRightInd w:val="0"/>
        <w:snapToGrid w:val="0"/>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地址： </w:t>
      </w:r>
      <w:r>
        <w:rPr>
          <w:rFonts w:hint="eastAsia" w:ascii="宋体" w:hAnsi="宋体" w:cs="宋体"/>
          <w:color w:val="auto"/>
          <w:sz w:val="24"/>
          <w:highlight w:val="none"/>
          <w:u w:val="dotted"/>
        </w:rPr>
        <w:t xml:space="preserve">                        </w:t>
      </w:r>
      <w:r>
        <w:rPr>
          <w:rFonts w:hint="eastAsia" w:ascii="宋体" w:hAnsi="宋体" w:cs="宋体"/>
          <w:color w:val="auto"/>
          <w:sz w:val="24"/>
          <w:highlight w:val="none"/>
        </w:rPr>
        <w:t>邮编：</w:t>
      </w:r>
      <w:r>
        <w:rPr>
          <w:rFonts w:hint="eastAsia" w:ascii="宋体" w:hAnsi="宋体" w:cs="宋体"/>
          <w:color w:val="auto"/>
          <w:sz w:val="24"/>
          <w:highlight w:val="none"/>
          <w:u w:val="dotted"/>
        </w:rPr>
        <w:t xml:space="preserve">                                                </w:t>
      </w:r>
    </w:p>
    <w:p>
      <w:pPr>
        <w:adjustRightInd w:val="0"/>
        <w:snapToGrid w:val="0"/>
        <w:spacing w:line="360" w:lineRule="auto"/>
        <w:rPr>
          <w:rFonts w:hint="eastAsia" w:ascii="宋体" w:hAnsi="宋体" w:cs="宋体"/>
          <w:bCs/>
          <w:color w:val="auto"/>
          <w:sz w:val="24"/>
          <w:highlight w:val="none"/>
        </w:rPr>
      </w:pPr>
      <w:r>
        <w:rPr>
          <w:rFonts w:hint="eastAsia" w:ascii="宋体" w:hAnsi="宋体" w:cs="宋体"/>
          <w:bCs/>
          <w:color w:val="auto"/>
          <w:sz w:val="24"/>
          <w:highlight w:val="none"/>
        </w:rPr>
        <w:t>二、质疑项目基本情况</w:t>
      </w:r>
    </w:p>
    <w:p>
      <w:pPr>
        <w:adjustRightInd w:val="0"/>
        <w:snapToGrid w:val="0"/>
        <w:spacing w:line="360" w:lineRule="auto"/>
        <w:rPr>
          <w:rFonts w:hint="eastAsia" w:ascii="宋体" w:hAnsi="宋体" w:cs="宋体"/>
          <w:color w:val="auto"/>
          <w:sz w:val="24"/>
          <w:highlight w:val="none"/>
        </w:rPr>
      </w:pPr>
      <w:r>
        <w:rPr>
          <w:rFonts w:hint="eastAsia" w:ascii="宋体" w:hAnsi="宋体" w:cs="宋体"/>
          <w:color w:val="auto"/>
          <w:sz w:val="24"/>
          <w:highlight w:val="none"/>
        </w:rPr>
        <w:t>质疑项目的名称：</w:t>
      </w:r>
      <w:r>
        <w:rPr>
          <w:rFonts w:hint="eastAsia" w:ascii="宋体" w:hAnsi="宋体" w:cs="宋体"/>
          <w:color w:val="auto"/>
          <w:sz w:val="24"/>
          <w:highlight w:val="none"/>
          <w:u w:val="dotted"/>
        </w:rPr>
        <w:t xml:space="preserve">                           </w:t>
      </w:r>
    </w:p>
    <w:p>
      <w:pPr>
        <w:adjustRightInd w:val="0"/>
        <w:snapToGrid w:val="0"/>
        <w:spacing w:line="360" w:lineRule="auto"/>
        <w:rPr>
          <w:rFonts w:hint="eastAsia" w:ascii="宋体" w:hAnsi="宋体" w:cs="宋体"/>
          <w:color w:val="auto"/>
          <w:sz w:val="24"/>
          <w:highlight w:val="none"/>
        </w:rPr>
      </w:pPr>
      <w:r>
        <w:rPr>
          <w:rFonts w:hint="eastAsia" w:ascii="宋体" w:hAnsi="宋体" w:cs="宋体"/>
          <w:color w:val="auto"/>
          <w:sz w:val="24"/>
          <w:highlight w:val="none"/>
        </w:rPr>
        <w:t>质疑项目的编号：</w:t>
      </w:r>
      <w:r>
        <w:rPr>
          <w:rFonts w:hint="eastAsia" w:ascii="宋体" w:hAnsi="宋体" w:cs="宋体"/>
          <w:color w:val="auto"/>
          <w:sz w:val="24"/>
          <w:highlight w:val="none"/>
          <w:u w:val="dotted"/>
        </w:rPr>
        <w:t xml:space="preserve">                          </w:t>
      </w:r>
      <w:r>
        <w:rPr>
          <w:rFonts w:hint="eastAsia" w:ascii="宋体" w:hAnsi="宋体" w:cs="宋体"/>
          <w:color w:val="auto"/>
          <w:sz w:val="24"/>
          <w:highlight w:val="none"/>
        </w:rPr>
        <w:t>包号：</w:t>
      </w:r>
      <w:r>
        <w:rPr>
          <w:rFonts w:hint="eastAsia" w:ascii="宋体" w:hAnsi="宋体" w:cs="宋体"/>
          <w:color w:val="auto"/>
          <w:sz w:val="24"/>
          <w:highlight w:val="none"/>
          <w:u w:val="dotted"/>
        </w:rPr>
        <w:t xml:space="preserve">                 </w:t>
      </w:r>
    </w:p>
    <w:p>
      <w:pPr>
        <w:adjustRightInd w:val="0"/>
        <w:snapToGrid w:val="0"/>
        <w:spacing w:line="360" w:lineRule="auto"/>
        <w:rPr>
          <w:rFonts w:hint="eastAsia" w:ascii="宋体" w:hAnsi="宋体" w:cs="宋体"/>
          <w:color w:val="auto"/>
          <w:sz w:val="24"/>
          <w:highlight w:val="none"/>
          <w:u w:val="dotted"/>
        </w:rPr>
      </w:pPr>
      <w:r>
        <w:rPr>
          <w:rFonts w:hint="eastAsia" w:ascii="宋体" w:hAnsi="宋体" w:cs="宋体"/>
          <w:color w:val="auto"/>
          <w:sz w:val="24"/>
          <w:highlight w:val="none"/>
        </w:rPr>
        <w:t>采购人名称：</w:t>
      </w:r>
      <w:r>
        <w:rPr>
          <w:rFonts w:hint="eastAsia" w:ascii="宋体" w:hAnsi="宋体" w:cs="宋体"/>
          <w:color w:val="auto"/>
          <w:sz w:val="24"/>
          <w:highlight w:val="none"/>
          <w:u w:val="dotted"/>
        </w:rPr>
        <w:t xml:space="preserve">  </w:t>
      </w:r>
      <w:bookmarkStart w:id="345" w:name="PO_3000001867_PM026_5"/>
      <w:r>
        <w:rPr>
          <w:rFonts w:hint="eastAsia" w:ascii="宋体" w:hAnsi="宋体" w:cs="宋体"/>
          <w:color w:val="auto"/>
          <w:sz w:val="24"/>
          <w:highlight w:val="none"/>
          <w:u w:val="dotted"/>
        </w:rPr>
        <w:t xml:space="preserve">                        </w:t>
      </w:r>
      <w:bookmarkEnd w:id="345"/>
      <w:r>
        <w:rPr>
          <w:rFonts w:hint="eastAsia" w:ascii="宋体" w:hAnsi="宋体" w:cs="宋体"/>
          <w:color w:val="auto"/>
          <w:sz w:val="24"/>
          <w:highlight w:val="none"/>
          <w:u w:val="dotted"/>
        </w:rPr>
        <w:t xml:space="preserve">  </w:t>
      </w:r>
    </w:p>
    <w:p>
      <w:pPr>
        <w:adjustRightInd w:val="0"/>
        <w:snapToGrid w:val="0"/>
        <w:spacing w:line="360" w:lineRule="auto"/>
        <w:rPr>
          <w:rFonts w:hint="eastAsia" w:ascii="宋体" w:hAnsi="宋体" w:cs="宋体"/>
          <w:color w:val="auto"/>
          <w:sz w:val="24"/>
          <w:highlight w:val="none"/>
          <w:lang w:val="zh-CN"/>
        </w:rPr>
      </w:pPr>
      <w:r>
        <w:rPr>
          <w:rFonts w:hint="eastAsia" w:ascii="宋体" w:hAnsi="宋体" w:cs="宋体"/>
          <w:color w:val="auto"/>
          <w:sz w:val="24"/>
          <w:highlight w:val="none"/>
          <w:lang w:val="zh-CN"/>
        </w:rPr>
        <w:t>质疑事项：</w:t>
      </w:r>
    </w:p>
    <w:p>
      <w:pPr>
        <w:adjustRightInd w:val="0"/>
        <w:snapToGrid w:val="0"/>
        <w:spacing w:line="360" w:lineRule="auto"/>
        <w:rPr>
          <w:rFonts w:hint="eastAsia" w:ascii="宋体" w:hAnsi="宋体" w:cs="宋体"/>
          <w:color w:val="auto"/>
          <w:sz w:val="24"/>
          <w:highlight w:val="none"/>
          <w:lang w:val="zh-CN"/>
        </w:rPr>
      </w:pPr>
      <w:r>
        <w:rPr>
          <w:rFonts w:hint="eastAsia" w:ascii="宋体" w:hAnsi="宋体" w:cs="宋体"/>
          <w:color w:val="auto"/>
          <w:sz w:val="24"/>
          <w:highlight w:val="none"/>
          <w:lang w:val="zh-CN"/>
        </w:rPr>
        <w:t>□采购文件   采购文件获取日期：</w:t>
      </w:r>
      <w:r>
        <w:rPr>
          <w:rFonts w:hint="eastAsia" w:ascii="宋体" w:hAnsi="宋体" w:cs="宋体"/>
          <w:color w:val="auto"/>
          <w:sz w:val="24"/>
          <w:highlight w:val="none"/>
          <w:u w:val="dotted"/>
        </w:rPr>
        <w:t xml:space="preserve">                         </w:t>
      </w:r>
      <w:r>
        <w:rPr>
          <w:rFonts w:hint="eastAsia" w:ascii="宋体" w:hAnsi="宋体" w:cs="宋体"/>
          <w:color w:val="auto"/>
          <w:sz w:val="24"/>
          <w:highlight w:val="none"/>
          <w:lang w:val="zh-CN"/>
        </w:rPr>
        <w:t xml:space="preserve">  </w:t>
      </w:r>
    </w:p>
    <w:p>
      <w:pPr>
        <w:adjustRightInd w:val="0"/>
        <w:snapToGrid w:val="0"/>
        <w:spacing w:line="360" w:lineRule="auto"/>
        <w:rPr>
          <w:rFonts w:hint="eastAsia" w:ascii="宋体" w:hAnsi="宋体" w:cs="宋体"/>
          <w:color w:val="auto"/>
          <w:sz w:val="24"/>
          <w:highlight w:val="none"/>
          <w:lang w:val="zh-CN"/>
        </w:rPr>
      </w:pPr>
      <w:r>
        <w:rPr>
          <w:rFonts w:hint="eastAsia" w:ascii="宋体" w:hAnsi="宋体" w:cs="宋体"/>
          <w:color w:val="auto"/>
          <w:sz w:val="24"/>
          <w:highlight w:val="none"/>
          <w:lang w:val="zh-CN"/>
        </w:rPr>
        <w:t xml:space="preserve">□采购过程   </w:t>
      </w:r>
    </w:p>
    <w:p>
      <w:pPr>
        <w:adjustRightInd w:val="0"/>
        <w:snapToGrid w:val="0"/>
        <w:spacing w:line="360" w:lineRule="auto"/>
        <w:rPr>
          <w:rFonts w:hint="eastAsia" w:ascii="宋体" w:hAnsi="宋体" w:cs="宋体"/>
          <w:color w:val="auto"/>
          <w:sz w:val="24"/>
          <w:highlight w:val="none"/>
          <w:lang w:val="zh-CN"/>
        </w:rPr>
      </w:pPr>
      <w:r>
        <w:rPr>
          <w:rFonts w:hint="eastAsia" w:ascii="宋体" w:hAnsi="宋体" w:cs="宋体"/>
          <w:color w:val="auto"/>
          <w:sz w:val="24"/>
          <w:highlight w:val="none"/>
          <w:lang w:val="zh-CN"/>
        </w:rPr>
        <w:t xml:space="preserve">□中标结果   </w:t>
      </w:r>
    </w:p>
    <w:p>
      <w:pPr>
        <w:adjustRightInd w:val="0"/>
        <w:snapToGrid w:val="0"/>
        <w:spacing w:line="360" w:lineRule="auto"/>
        <w:rPr>
          <w:rFonts w:hint="eastAsia" w:ascii="宋体" w:hAnsi="宋体" w:cs="宋体"/>
          <w:bCs/>
          <w:color w:val="auto"/>
          <w:sz w:val="24"/>
          <w:highlight w:val="none"/>
        </w:rPr>
      </w:pPr>
      <w:r>
        <w:rPr>
          <w:rFonts w:hint="eastAsia" w:ascii="宋体" w:hAnsi="宋体" w:cs="宋体"/>
          <w:bCs/>
          <w:color w:val="auto"/>
          <w:sz w:val="24"/>
          <w:highlight w:val="none"/>
        </w:rPr>
        <w:t>三、质疑事项具体内容</w:t>
      </w:r>
    </w:p>
    <w:p>
      <w:pPr>
        <w:adjustRightInd w:val="0"/>
        <w:snapToGrid w:val="0"/>
        <w:spacing w:line="360" w:lineRule="auto"/>
        <w:rPr>
          <w:rFonts w:hint="eastAsia" w:ascii="宋体" w:hAnsi="宋体" w:cs="宋体"/>
          <w:color w:val="auto"/>
          <w:sz w:val="24"/>
          <w:highlight w:val="none"/>
          <w:u w:val="dotted"/>
        </w:rPr>
      </w:pPr>
      <w:r>
        <w:rPr>
          <w:rFonts w:hint="eastAsia" w:ascii="宋体" w:hAnsi="宋体" w:cs="宋体"/>
          <w:color w:val="auto"/>
          <w:sz w:val="24"/>
          <w:highlight w:val="none"/>
        </w:rPr>
        <w:t>质疑事项1：</w:t>
      </w:r>
      <w:r>
        <w:rPr>
          <w:rFonts w:hint="eastAsia" w:ascii="宋体" w:hAnsi="宋体" w:cs="宋体"/>
          <w:color w:val="auto"/>
          <w:sz w:val="24"/>
          <w:highlight w:val="none"/>
          <w:u w:val="dotted"/>
        </w:rPr>
        <w:t xml:space="preserve">                                         </w:t>
      </w:r>
    </w:p>
    <w:p>
      <w:pPr>
        <w:adjustRightInd w:val="0"/>
        <w:snapToGrid w:val="0"/>
        <w:spacing w:line="360" w:lineRule="auto"/>
        <w:rPr>
          <w:rFonts w:hint="eastAsia" w:ascii="宋体" w:hAnsi="宋体" w:cs="宋体"/>
          <w:color w:val="auto"/>
          <w:sz w:val="24"/>
          <w:highlight w:val="none"/>
          <w:u w:val="dotted"/>
        </w:rPr>
      </w:pPr>
      <w:r>
        <w:rPr>
          <w:rFonts w:hint="eastAsia" w:ascii="宋体" w:hAnsi="宋体" w:cs="宋体"/>
          <w:color w:val="auto"/>
          <w:sz w:val="24"/>
          <w:highlight w:val="none"/>
        </w:rPr>
        <w:t>事实依据：</w:t>
      </w:r>
      <w:r>
        <w:rPr>
          <w:rFonts w:hint="eastAsia" w:ascii="宋体" w:hAnsi="宋体" w:cs="宋体"/>
          <w:color w:val="auto"/>
          <w:sz w:val="24"/>
          <w:highlight w:val="none"/>
          <w:u w:val="dotted"/>
        </w:rPr>
        <w:t xml:space="preserve">                                          </w:t>
      </w:r>
    </w:p>
    <w:p>
      <w:pPr>
        <w:adjustRightInd w:val="0"/>
        <w:snapToGrid w:val="0"/>
        <w:spacing w:line="360" w:lineRule="auto"/>
        <w:rPr>
          <w:rFonts w:hint="eastAsia" w:ascii="宋体" w:hAnsi="宋体" w:cs="宋体"/>
          <w:color w:val="auto"/>
          <w:sz w:val="24"/>
          <w:highlight w:val="none"/>
        </w:rPr>
      </w:pPr>
      <w:r>
        <w:rPr>
          <w:rFonts w:hint="eastAsia" w:ascii="宋体" w:hAnsi="宋体" w:cs="宋体"/>
          <w:color w:val="auto"/>
          <w:sz w:val="24"/>
          <w:highlight w:val="none"/>
          <w:u w:val="dotted"/>
        </w:rPr>
        <w:t xml:space="preserve">                                                       </w:t>
      </w:r>
    </w:p>
    <w:p>
      <w:pPr>
        <w:adjustRightInd w:val="0"/>
        <w:snapToGrid w:val="0"/>
        <w:spacing w:line="360" w:lineRule="auto"/>
        <w:rPr>
          <w:rFonts w:hint="eastAsia" w:ascii="宋体" w:hAnsi="宋体" w:cs="宋体"/>
          <w:color w:val="auto"/>
          <w:sz w:val="24"/>
          <w:highlight w:val="none"/>
          <w:u w:val="dotted"/>
        </w:rPr>
      </w:pPr>
      <w:r>
        <w:rPr>
          <w:rFonts w:hint="eastAsia" w:ascii="宋体" w:hAnsi="宋体" w:cs="宋体"/>
          <w:color w:val="auto"/>
          <w:sz w:val="24"/>
          <w:highlight w:val="none"/>
        </w:rPr>
        <w:t>法律依据：</w:t>
      </w:r>
      <w:r>
        <w:rPr>
          <w:rFonts w:hint="eastAsia" w:ascii="宋体" w:hAnsi="宋体" w:cs="宋体"/>
          <w:color w:val="auto"/>
          <w:sz w:val="24"/>
          <w:highlight w:val="none"/>
          <w:u w:val="dotted"/>
        </w:rPr>
        <w:t xml:space="preserve">                                          </w:t>
      </w:r>
    </w:p>
    <w:p>
      <w:pPr>
        <w:adjustRightInd w:val="0"/>
        <w:snapToGrid w:val="0"/>
        <w:spacing w:line="360" w:lineRule="auto"/>
        <w:rPr>
          <w:rFonts w:hint="eastAsia" w:ascii="宋体" w:hAnsi="宋体" w:cs="宋体"/>
          <w:color w:val="auto"/>
          <w:sz w:val="24"/>
          <w:highlight w:val="none"/>
          <w:u w:val="dotted"/>
        </w:rPr>
      </w:pPr>
      <w:r>
        <w:rPr>
          <w:rFonts w:hint="eastAsia" w:ascii="宋体" w:hAnsi="宋体" w:cs="宋体"/>
          <w:color w:val="auto"/>
          <w:sz w:val="24"/>
          <w:highlight w:val="none"/>
          <w:u w:val="dotted"/>
        </w:rPr>
        <w:t xml:space="preserve">                                                     </w:t>
      </w:r>
    </w:p>
    <w:p>
      <w:pPr>
        <w:adjustRightInd w:val="0"/>
        <w:snapToGrid w:val="0"/>
        <w:spacing w:line="360" w:lineRule="auto"/>
        <w:rPr>
          <w:rFonts w:hint="eastAsia" w:ascii="宋体" w:hAnsi="宋体" w:cs="宋体"/>
          <w:color w:val="auto"/>
          <w:sz w:val="24"/>
          <w:highlight w:val="none"/>
          <w:u w:val="dotted"/>
        </w:rPr>
      </w:pPr>
      <w:r>
        <w:rPr>
          <w:rFonts w:hint="eastAsia" w:ascii="宋体" w:hAnsi="宋体" w:cs="宋体"/>
          <w:color w:val="auto"/>
          <w:sz w:val="24"/>
          <w:highlight w:val="none"/>
        </w:rPr>
        <w:t>质疑事项2</w:t>
      </w:r>
    </w:p>
    <w:p>
      <w:pPr>
        <w:adjustRightInd w:val="0"/>
        <w:snapToGrid w:val="0"/>
        <w:spacing w:line="360" w:lineRule="auto"/>
        <w:rPr>
          <w:rFonts w:hint="eastAsia" w:ascii="宋体" w:hAnsi="宋体" w:cs="宋体"/>
          <w:color w:val="auto"/>
          <w:sz w:val="24"/>
          <w:highlight w:val="none"/>
        </w:rPr>
      </w:pPr>
      <w:r>
        <w:rPr>
          <w:rFonts w:hint="eastAsia" w:ascii="宋体" w:hAnsi="宋体" w:cs="宋体"/>
          <w:color w:val="auto"/>
          <w:sz w:val="24"/>
          <w:highlight w:val="none"/>
        </w:rPr>
        <w:t>……</w:t>
      </w:r>
    </w:p>
    <w:p>
      <w:pPr>
        <w:adjustRightInd w:val="0"/>
        <w:snapToGrid w:val="0"/>
        <w:spacing w:line="360" w:lineRule="auto"/>
        <w:rPr>
          <w:rFonts w:hint="eastAsia" w:ascii="宋体" w:hAnsi="宋体" w:cs="宋体"/>
          <w:bCs/>
          <w:color w:val="auto"/>
          <w:sz w:val="24"/>
          <w:highlight w:val="none"/>
        </w:rPr>
      </w:pPr>
      <w:r>
        <w:rPr>
          <w:rFonts w:hint="eastAsia" w:ascii="宋体" w:hAnsi="宋体" w:cs="宋体"/>
          <w:bCs/>
          <w:color w:val="auto"/>
          <w:sz w:val="24"/>
          <w:highlight w:val="none"/>
        </w:rPr>
        <w:t>四、与质疑事项相关的质疑请求</w:t>
      </w:r>
    </w:p>
    <w:p>
      <w:pPr>
        <w:adjustRightInd w:val="0"/>
        <w:snapToGrid w:val="0"/>
        <w:spacing w:line="360" w:lineRule="auto"/>
        <w:rPr>
          <w:rFonts w:hint="eastAsia" w:ascii="宋体" w:hAnsi="宋体" w:cs="宋体"/>
          <w:color w:val="auto"/>
          <w:sz w:val="24"/>
          <w:highlight w:val="none"/>
          <w:u w:val="dotted"/>
        </w:rPr>
      </w:pPr>
      <w:r>
        <w:rPr>
          <w:rFonts w:hint="eastAsia" w:ascii="宋体" w:hAnsi="宋体" w:cs="宋体"/>
          <w:color w:val="auto"/>
          <w:sz w:val="24"/>
          <w:highlight w:val="none"/>
        </w:rPr>
        <w:t>请求：</w:t>
      </w:r>
      <w:r>
        <w:rPr>
          <w:rFonts w:hint="eastAsia" w:ascii="宋体" w:hAnsi="宋体" w:cs="宋体"/>
          <w:color w:val="auto"/>
          <w:sz w:val="24"/>
          <w:highlight w:val="none"/>
          <w:u w:val="dotted"/>
        </w:rPr>
        <w:t xml:space="preserve">                                               </w:t>
      </w:r>
    </w:p>
    <w:p>
      <w:pPr>
        <w:rPr>
          <w:rFonts w:hint="eastAsia" w:ascii="宋体" w:hAnsi="宋体" w:cs="宋体"/>
          <w:color w:val="auto"/>
          <w:sz w:val="24"/>
          <w:highlight w:val="none"/>
        </w:rPr>
      </w:pPr>
      <w:r>
        <w:rPr>
          <w:rFonts w:hint="eastAsia" w:ascii="宋体" w:hAnsi="宋体" w:cs="宋体"/>
          <w:color w:val="auto"/>
          <w:sz w:val="24"/>
          <w:highlight w:val="none"/>
        </w:rPr>
        <w:t xml:space="preserve">签字(签章)：                   公章：                      </w:t>
      </w:r>
    </w:p>
    <w:p>
      <w:pPr>
        <w:ind w:firstLine="6240" w:firstLineChars="2600"/>
        <w:rPr>
          <w:rFonts w:hint="eastAsia" w:ascii="宋体" w:hAnsi="宋体" w:cs="宋体"/>
          <w:color w:val="auto"/>
          <w:sz w:val="24"/>
          <w:highlight w:val="none"/>
        </w:rPr>
      </w:pPr>
      <w:r>
        <w:rPr>
          <w:rFonts w:hint="eastAsia" w:ascii="宋体" w:hAnsi="宋体" w:cs="宋体"/>
          <w:color w:val="auto"/>
          <w:sz w:val="24"/>
          <w:highlight w:val="none"/>
        </w:rPr>
        <w:t xml:space="preserve">日期：    </w:t>
      </w:r>
    </w:p>
    <w:p>
      <w:pPr>
        <w:rPr>
          <w:rFonts w:hint="eastAsia" w:ascii="宋体" w:hAnsi="宋体" w:cs="宋体"/>
          <w:b/>
          <w:color w:val="auto"/>
          <w:sz w:val="24"/>
          <w:highlight w:val="none"/>
        </w:rPr>
      </w:pPr>
    </w:p>
    <w:p>
      <w:pPr>
        <w:spacing w:line="360" w:lineRule="auto"/>
        <w:rPr>
          <w:rFonts w:hint="eastAsia" w:ascii="宋体" w:hAnsi="宋体" w:cs="宋体"/>
          <w:b/>
          <w:color w:val="auto"/>
          <w:sz w:val="24"/>
          <w:highlight w:val="none"/>
        </w:rPr>
      </w:pPr>
      <w:r>
        <w:rPr>
          <w:rFonts w:hint="eastAsia" w:ascii="宋体" w:hAnsi="宋体" w:cs="宋体"/>
          <w:b/>
          <w:color w:val="auto"/>
          <w:sz w:val="24"/>
          <w:highlight w:val="none"/>
        </w:rPr>
        <w:t>质疑函制作说明：</w:t>
      </w:r>
    </w:p>
    <w:p>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1.供应商提出质疑时，应提交质疑函和必要的证明材料。</w:t>
      </w:r>
    </w:p>
    <w:p>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2.质疑供应商若委托代理人进行质疑的，质疑函应按要求列明“授权代表”的有关内容，并在附件中提交由质疑</w:t>
      </w:r>
      <w:r>
        <w:rPr>
          <w:rFonts w:hint="eastAsia" w:ascii="宋体" w:hAnsi="宋体" w:cs="宋体"/>
          <w:color w:val="auto"/>
          <w:kern w:val="0"/>
          <w:szCs w:val="21"/>
          <w:highlight w:val="none"/>
        </w:rPr>
        <w:t>供应商签署的授权委托书。授权委托书应载明代理人的姓名或者名称、代理事项、具体权限、期限和相关事项。</w:t>
      </w:r>
    </w:p>
    <w:p>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3.质疑供应商若对项目的某一分包进行质疑，质疑函中应列明具体分包号。</w:t>
      </w:r>
    </w:p>
    <w:p>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4.质疑函的质疑事项应具体、明确，并有必要的事实依据和法律依据。</w:t>
      </w:r>
    </w:p>
    <w:p>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5.质疑函的质疑请求应与质疑事项相关。</w:t>
      </w:r>
    </w:p>
    <w:p>
      <w:pPr>
        <w:widowControl/>
        <w:spacing w:line="360" w:lineRule="auto"/>
        <w:ind w:firstLine="420" w:firstLineChars="200"/>
        <w:jc w:val="left"/>
        <w:rPr>
          <w:rFonts w:hint="eastAsia" w:ascii="宋体" w:hAnsi="宋体" w:cs="宋体"/>
          <w:color w:val="auto"/>
          <w:sz w:val="28"/>
          <w:szCs w:val="28"/>
          <w:highlight w:val="none"/>
        </w:rPr>
      </w:pPr>
      <w:r>
        <w:rPr>
          <w:rFonts w:hint="eastAsia" w:ascii="宋体" w:hAnsi="宋体" w:cs="宋体"/>
          <w:color w:val="auto"/>
          <w:szCs w:val="21"/>
          <w:highlight w:val="none"/>
        </w:rPr>
        <w:t>6.质疑供应商为自然人的，质疑函应由本人签字；质疑供应商为法人或者其他组织的，质疑函应由法定代表人、主要负责人，或者其授权代表签字或者盖章，并加盖公章。</w:t>
      </w:r>
    </w:p>
    <w:p>
      <w:pPr>
        <w:pStyle w:val="4"/>
        <w:jc w:val="center"/>
        <w:rPr>
          <w:rFonts w:hint="eastAsia" w:ascii="宋体" w:hAnsi="宋体" w:eastAsia="宋体" w:cs="宋体"/>
          <w:b w:val="0"/>
          <w:bCs w:val="0"/>
          <w:color w:val="auto"/>
          <w:highlight w:val="none"/>
        </w:rPr>
      </w:pPr>
      <w:bookmarkStart w:id="346" w:name="_Toc11085"/>
      <w:bookmarkStart w:id="347" w:name="_Toc31115"/>
    </w:p>
    <w:p>
      <w:pPr>
        <w:pStyle w:val="4"/>
        <w:jc w:val="center"/>
        <w:rPr>
          <w:rFonts w:hint="eastAsia" w:ascii="宋体" w:hAnsi="宋体" w:eastAsia="宋体" w:cs="宋体"/>
          <w:b w:val="0"/>
          <w:bCs w:val="0"/>
          <w:color w:val="auto"/>
          <w:highlight w:val="none"/>
        </w:rPr>
      </w:pPr>
    </w:p>
    <w:p>
      <w:pPr>
        <w:pStyle w:val="4"/>
        <w:jc w:val="center"/>
        <w:rPr>
          <w:rFonts w:hint="eastAsia" w:ascii="宋体" w:hAnsi="宋体" w:eastAsia="宋体" w:cs="宋体"/>
          <w:b w:val="0"/>
          <w:bCs w:val="0"/>
          <w:color w:val="auto"/>
          <w:highlight w:val="none"/>
        </w:rPr>
      </w:pPr>
    </w:p>
    <w:p>
      <w:pPr>
        <w:pStyle w:val="4"/>
        <w:jc w:val="center"/>
        <w:rPr>
          <w:rFonts w:hint="eastAsia" w:ascii="宋体" w:hAnsi="宋体" w:eastAsia="宋体" w:cs="宋体"/>
          <w:b w:val="0"/>
          <w:bCs w:val="0"/>
          <w:color w:val="auto"/>
          <w:highlight w:val="none"/>
        </w:rPr>
      </w:pPr>
    </w:p>
    <w:p>
      <w:pPr>
        <w:rPr>
          <w:rFonts w:hint="eastAsia" w:ascii="宋体" w:hAnsi="宋体" w:cs="宋体"/>
          <w:color w:val="auto"/>
          <w:highlight w:val="none"/>
        </w:rPr>
      </w:pPr>
    </w:p>
    <w:p>
      <w:pPr>
        <w:pStyle w:val="17"/>
        <w:rPr>
          <w:rFonts w:hint="eastAsia" w:ascii="宋体" w:hAnsi="宋体" w:cs="宋体"/>
          <w:color w:val="auto"/>
          <w:highlight w:val="none"/>
        </w:rPr>
      </w:pPr>
    </w:p>
    <w:p>
      <w:pPr>
        <w:pStyle w:val="17"/>
        <w:rPr>
          <w:rFonts w:hint="eastAsia" w:ascii="宋体" w:hAnsi="宋体" w:cs="宋体"/>
          <w:color w:val="auto"/>
          <w:highlight w:val="none"/>
        </w:rPr>
      </w:pPr>
    </w:p>
    <w:p>
      <w:pPr>
        <w:pStyle w:val="17"/>
        <w:rPr>
          <w:rFonts w:hint="eastAsia" w:ascii="宋体" w:hAnsi="宋体" w:cs="宋体"/>
          <w:color w:val="auto"/>
          <w:highlight w:val="none"/>
        </w:rPr>
      </w:pPr>
    </w:p>
    <w:p>
      <w:pPr>
        <w:pStyle w:val="17"/>
        <w:rPr>
          <w:rFonts w:hint="eastAsia" w:ascii="宋体" w:hAnsi="宋体" w:cs="宋体"/>
          <w:color w:val="auto"/>
          <w:highlight w:val="none"/>
        </w:rPr>
      </w:pPr>
    </w:p>
    <w:p>
      <w:pPr>
        <w:pStyle w:val="17"/>
        <w:rPr>
          <w:rFonts w:hint="eastAsia" w:ascii="宋体" w:hAnsi="宋体" w:cs="宋体"/>
          <w:color w:val="auto"/>
          <w:highlight w:val="none"/>
        </w:rPr>
      </w:pPr>
    </w:p>
    <w:p>
      <w:pPr>
        <w:pStyle w:val="17"/>
        <w:rPr>
          <w:rFonts w:hint="eastAsia" w:ascii="宋体" w:hAnsi="宋体" w:cs="宋体"/>
          <w:color w:val="auto"/>
          <w:highlight w:val="none"/>
        </w:rPr>
      </w:pPr>
    </w:p>
    <w:p>
      <w:pPr>
        <w:pStyle w:val="17"/>
        <w:rPr>
          <w:rFonts w:hint="eastAsia" w:ascii="宋体" w:hAnsi="宋体" w:cs="宋体"/>
          <w:color w:val="auto"/>
          <w:highlight w:val="none"/>
        </w:rPr>
      </w:pPr>
    </w:p>
    <w:p>
      <w:pPr>
        <w:pStyle w:val="17"/>
        <w:rPr>
          <w:rFonts w:hint="eastAsia" w:ascii="宋体" w:hAnsi="宋体" w:cs="宋体"/>
          <w:color w:val="auto"/>
          <w:highlight w:val="none"/>
        </w:rPr>
      </w:pPr>
    </w:p>
    <w:p>
      <w:pPr>
        <w:pStyle w:val="17"/>
        <w:rPr>
          <w:rFonts w:hint="eastAsia" w:ascii="宋体" w:hAnsi="宋体" w:cs="宋体"/>
          <w:color w:val="auto"/>
          <w:highlight w:val="none"/>
        </w:rPr>
      </w:pPr>
    </w:p>
    <w:p>
      <w:pPr>
        <w:pStyle w:val="17"/>
        <w:rPr>
          <w:rFonts w:hint="eastAsia" w:ascii="宋体" w:hAnsi="宋体" w:cs="宋体"/>
          <w:color w:val="auto"/>
          <w:highlight w:val="none"/>
        </w:rPr>
      </w:pPr>
    </w:p>
    <w:p>
      <w:pPr>
        <w:pStyle w:val="17"/>
        <w:rPr>
          <w:rFonts w:hint="eastAsia" w:ascii="宋体" w:hAnsi="宋体" w:cs="宋体"/>
          <w:color w:val="auto"/>
          <w:highlight w:val="none"/>
        </w:rPr>
      </w:pPr>
    </w:p>
    <w:p>
      <w:pPr>
        <w:pStyle w:val="17"/>
        <w:rPr>
          <w:rFonts w:hint="eastAsia" w:ascii="宋体" w:hAnsi="宋体" w:cs="宋体"/>
          <w:color w:val="auto"/>
          <w:highlight w:val="none"/>
        </w:rPr>
      </w:pPr>
    </w:p>
    <w:p>
      <w:pPr>
        <w:pStyle w:val="17"/>
        <w:rPr>
          <w:rFonts w:hint="eastAsia" w:ascii="宋体" w:hAnsi="宋体" w:cs="宋体"/>
          <w:color w:val="auto"/>
          <w:highlight w:val="none"/>
        </w:rPr>
      </w:pPr>
    </w:p>
    <w:p>
      <w:pPr>
        <w:pStyle w:val="17"/>
        <w:rPr>
          <w:rFonts w:hint="eastAsia" w:ascii="宋体" w:hAnsi="宋体" w:cs="宋体"/>
          <w:color w:val="auto"/>
          <w:highlight w:val="none"/>
        </w:rPr>
      </w:pPr>
    </w:p>
    <w:p>
      <w:pPr>
        <w:pStyle w:val="17"/>
        <w:rPr>
          <w:rFonts w:hint="eastAsia" w:ascii="宋体" w:hAnsi="宋体" w:cs="宋体"/>
          <w:color w:val="auto"/>
          <w:highlight w:val="none"/>
        </w:rPr>
      </w:pPr>
    </w:p>
    <w:p>
      <w:pPr>
        <w:pStyle w:val="4"/>
        <w:jc w:val="center"/>
        <w:rPr>
          <w:rFonts w:hint="eastAsia" w:ascii="宋体" w:hAnsi="宋体" w:eastAsia="宋体" w:cs="宋体"/>
          <w:b w:val="0"/>
          <w:bCs w:val="0"/>
          <w:color w:val="auto"/>
          <w:highlight w:val="none"/>
        </w:rPr>
      </w:pPr>
      <w:bookmarkStart w:id="348" w:name="_Toc6950"/>
      <w:bookmarkStart w:id="349" w:name="_Toc11120"/>
      <w:bookmarkStart w:id="350" w:name="_Toc22163"/>
      <w:r>
        <w:rPr>
          <w:rFonts w:hint="eastAsia" w:ascii="宋体" w:hAnsi="宋体" w:eastAsia="宋体" w:cs="宋体"/>
          <w:b w:val="0"/>
          <w:bCs w:val="0"/>
          <w:color w:val="auto"/>
          <w:highlight w:val="none"/>
        </w:rPr>
        <w:t>第二节 投诉书（格式）</w:t>
      </w:r>
      <w:bookmarkEnd w:id="346"/>
      <w:bookmarkEnd w:id="347"/>
      <w:bookmarkEnd w:id="348"/>
      <w:bookmarkEnd w:id="349"/>
      <w:bookmarkEnd w:id="350"/>
    </w:p>
    <w:p>
      <w:pPr>
        <w:jc w:val="center"/>
        <w:rPr>
          <w:rFonts w:hint="eastAsia" w:ascii="宋体" w:hAnsi="宋体" w:cs="宋体"/>
          <w:b/>
          <w:color w:val="auto"/>
          <w:sz w:val="44"/>
          <w:szCs w:val="44"/>
          <w:highlight w:val="none"/>
        </w:rPr>
      </w:pPr>
      <w:r>
        <w:rPr>
          <w:rFonts w:hint="eastAsia" w:ascii="宋体" w:hAnsi="宋体" w:cs="宋体"/>
          <w:b/>
          <w:color w:val="auto"/>
          <w:sz w:val="30"/>
          <w:szCs w:val="30"/>
          <w:highlight w:val="none"/>
        </w:rPr>
        <w:t>投诉书</w:t>
      </w:r>
    </w:p>
    <w:p>
      <w:pPr>
        <w:spacing w:line="360" w:lineRule="auto"/>
        <w:rPr>
          <w:rFonts w:hint="eastAsia" w:ascii="宋体" w:hAnsi="宋体" w:cs="宋体"/>
          <w:color w:val="auto"/>
          <w:sz w:val="24"/>
          <w:highlight w:val="none"/>
        </w:rPr>
      </w:pPr>
      <w:r>
        <w:rPr>
          <w:rFonts w:hint="eastAsia" w:ascii="宋体" w:hAnsi="宋体" w:cs="宋体"/>
          <w:color w:val="auto"/>
          <w:sz w:val="24"/>
          <w:highlight w:val="none"/>
        </w:rPr>
        <w:t>一、投诉相关主体基本情况</w:t>
      </w:r>
    </w:p>
    <w:p>
      <w:pPr>
        <w:spacing w:line="360" w:lineRule="auto"/>
        <w:rPr>
          <w:rFonts w:hint="eastAsia" w:ascii="宋体" w:hAnsi="宋体" w:cs="宋体"/>
          <w:color w:val="auto"/>
          <w:sz w:val="24"/>
          <w:highlight w:val="none"/>
          <w:u w:val="dotted"/>
        </w:rPr>
      </w:pPr>
      <w:r>
        <w:rPr>
          <w:rFonts w:hint="eastAsia" w:ascii="宋体" w:hAnsi="宋体" w:cs="宋体"/>
          <w:color w:val="auto"/>
          <w:sz w:val="24"/>
          <w:highlight w:val="none"/>
        </w:rPr>
        <w:t>投诉人：</w:t>
      </w:r>
      <w:r>
        <w:rPr>
          <w:rFonts w:hint="eastAsia" w:ascii="宋体" w:hAnsi="宋体" w:cs="宋体"/>
          <w:color w:val="auto"/>
          <w:sz w:val="24"/>
          <w:highlight w:val="none"/>
          <w:u w:val="dotted"/>
        </w:rPr>
        <w:t xml:space="preserve">                                               </w:t>
      </w:r>
    </w:p>
    <w:p>
      <w:pPr>
        <w:spacing w:line="360" w:lineRule="auto"/>
        <w:rPr>
          <w:rFonts w:hint="eastAsia" w:ascii="宋体" w:hAnsi="宋体" w:cs="宋体"/>
          <w:color w:val="auto"/>
          <w:sz w:val="24"/>
          <w:highlight w:val="none"/>
          <w:u w:val="single"/>
        </w:rPr>
      </w:pPr>
      <w:r>
        <w:rPr>
          <w:rFonts w:hint="eastAsia" w:ascii="宋体" w:hAnsi="宋体" w:cs="宋体"/>
          <w:color w:val="auto"/>
          <w:sz w:val="24"/>
          <w:highlight w:val="none"/>
        </w:rPr>
        <w:t>地     址：</w:t>
      </w:r>
      <w:r>
        <w:rPr>
          <w:rFonts w:hint="eastAsia" w:ascii="宋体" w:hAnsi="宋体" w:cs="宋体"/>
          <w:color w:val="auto"/>
          <w:sz w:val="24"/>
          <w:highlight w:val="none"/>
          <w:u w:val="dotted"/>
        </w:rPr>
        <w:t xml:space="preserve">                             </w:t>
      </w:r>
      <w:r>
        <w:rPr>
          <w:rFonts w:hint="eastAsia" w:ascii="宋体" w:hAnsi="宋体" w:cs="宋体"/>
          <w:color w:val="auto"/>
          <w:sz w:val="24"/>
          <w:highlight w:val="none"/>
        </w:rPr>
        <w:t>邮编：</w:t>
      </w:r>
      <w:r>
        <w:rPr>
          <w:rFonts w:hint="eastAsia" w:ascii="宋体" w:hAnsi="宋体" w:cs="宋体"/>
          <w:color w:val="auto"/>
          <w:sz w:val="24"/>
          <w:highlight w:val="none"/>
          <w:u w:val="dotted"/>
        </w:rPr>
        <w:t xml:space="preserve">         </w:t>
      </w:r>
    </w:p>
    <w:p>
      <w:pPr>
        <w:tabs>
          <w:tab w:val="left" w:pos="6510"/>
        </w:tabs>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t>法定代表人/主要负责人：</w:t>
      </w:r>
      <w:r>
        <w:rPr>
          <w:rFonts w:hint="eastAsia" w:ascii="宋体" w:hAnsi="宋体" w:cs="宋体"/>
          <w:color w:val="auto"/>
          <w:sz w:val="24"/>
          <w:highlight w:val="none"/>
          <w:u w:val="dotted"/>
        </w:rPr>
        <w:t xml:space="preserve">                                   </w:t>
      </w:r>
      <w:r>
        <w:rPr>
          <w:rFonts w:hint="eastAsia" w:ascii="宋体" w:hAnsi="宋体" w:cs="宋体"/>
          <w:color w:val="auto"/>
          <w:sz w:val="24"/>
          <w:highlight w:val="none"/>
        </w:rPr>
        <w:t xml:space="preserve">  </w:t>
      </w:r>
    </w:p>
    <w:p>
      <w:pPr>
        <w:tabs>
          <w:tab w:val="left" w:pos="6510"/>
        </w:tabs>
        <w:spacing w:line="360" w:lineRule="auto"/>
        <w:rPr>
          <w:rFonts w:hint="eastAsia" w:ascii="宋体" w:hAnsi="宋体" w:cs="宋体"/>
          <w:color w:val="auto"/>
          <w:sz w:val="24"/>
          <w:highlight w:val="none"/>
          <w:u w:val="dotted"/>
        </w:rPr>
      </w:pPr>
      <w:r>
        <w:rPr>
          <w:rFonts w:hint="eastAsia" w:ascii="宋体" w:hAnsi="宋体" w:cs="宋体"/>
          <w:color w:val="auto"/>
          <w:sz w:val="24"/>
          <w:highlight w:val="none"/>
        </w:rPr>
        <w:t>联系电话：</w:t>
      </w:r>
      <w:r>
        <w:rPr>
          <w:rFonts w:hint="eastAsia" w:ascii="宋体" w:hAnsi="宋体" w:cs="宋体"/>
          <w:color w:val="auto"/>
          <w:sz w:val="24"/>
          <w:highlight w:val="none"/>
          <w:u w:val="dotted"/>
        </w:rPr>
        <w:t xml:space="preserve">                                             </w:t>
      </w:r>
    </w:p>
    <w:p>
      <w:pPr>
        <w:spacing w:line="360" w:lineRule="auto"/>
        <w:rPr>
          <w:rFonts w:hint="eastAsia" w:ascii="宋体" w:hAnsi="宋体" w:cs="宋体"/>
          <w:color w:val="auto"/>
          <w:sz w:val="24"/>
          <w:highlight w:val="none"/>
          <w:u w:val="dotted"/>
        </w:rPr>
      </w:pPr>
      <w:r>
        <w:rPr>
          <w:rFonts w:hint="eastAsia" w:ascii="宋体" w:hAnsi="宋体" w:cs="宋体"/>
          <w:color w:val="auto"/>
          <w:sz w:val="24"/>
          <w:highlight w:val="none"/>
        </w:rPr>
        <w:t>授权代表：</w:t>
      </w:r>
      <w:r>
        <w:rPr>
          <w:rFonts w:hint="eastAsia" w:ascii="宋体" w:hAnsi="宋体" w:cs="宋体"/>
          <w:color w:val="auto"/>
          <w:sz w:val="24"/>
          <w:highlight w:val="none"/>
          <w:u w:val="dotted"/>
        </w:rPr>
        <w:t xml:space="preserve">             </w:t>
      </w:r>
      <w:r>
        <w:rPr>
          <w:rFonts w:hint="eastAsia" w:ascii="宋体" w:hAnsi="宋体" w:cs="宋体"/>
          <w:color w:val="auto"/>
          <w:sz w:val="24"/>
          <w:highlight w:val="none"/>
        </w:rPr>
        <w:t>联系电话</w:t>
      </w:r>
      <w:r>
        <w:rPr>
          <w:rFonts w:hint="eastAsia" w:ascii="宋体" w:hAnsi="宋体" w:cs="宋体"/>
          <w:color w:val="auto"/>
          <w:sz w:val="24"/>
          <w:highlight w:val="none"/>
          <w:u w:val="dotted"/>
        </w:rPr>
        <w:t xml:space="preserve">：                  </w:t>
      </w:r>
    </w:p>
    <w:p>
      <w:pPr>
        <w:spacing w:line="360" w:lineRule="auto"/>
        <w:rPr>
          <w:rFonts w:hint="eastAsia" w:ascii="宋体" w:hAnsi="宋体" w:cs="宋体"/>
          <w:color w:val="auto"/>
          <w:sz w:val="24"/>
          <w:highlight w:val="none"/>
          <w:u w:val="dotted"/>
        </w:rPr>
      </w:pPr>
      <w:r>
        <w:rPr>
          <w:rFonts w:hint="eastAsia" w:ascii="宋体" w:hAnsi="宋体" w:cs="宋体"/>
          <w:color w:val="auto"/>
          <w:sz w:val="24"/>
          <w:highlight w:val="none"/>
        </w:rPr>
        <w:t>地     址：</w:t>
      </w:r>
      <w:r>
        <w:rPr>
          <w:rFonts w:hint="eastAsia" w:ascii="宋体" w:hAnsi="宋体" w:cs="宋体"/>
          <w:color w:val="auto"/>
          <w:sz w:val="24"/>
          <w:highlight w:val="none"/>
          <w:u w:val="dotted"/>
        </w:rPr>
        <w:t xml:space="preserve">                             </w:t>
      </w:r>
      <w:r>
        <w:rPr>
          <w:rFonts w:hint="eastAsia" w:ascii="宋体" w:hAnsi="宋体" w:cs="宋体"/>
          <w:color w:val="auto"/>
          <w:sz w:val="24"/>
          <w:highlight w:val="none"/>
        </w:rPr>
        <w:t>邮编：</w:t>
      </w:r>
      <w:r>
        <w:rPr>
          <w:rFonts w:hint="eastAsia" w:ascii="宋体" w:hAnsi="宋体" w:cs="宋体"/>
          <w:color w:val="auto"/>
          <w:sz w:val="24"/>
          <w:highlight w:val="none"/>
          <w:u w:val="dotted"/>
        </w:rPr>
        <w:t xml:space="preserve">             </w:t>
      </w:r>
    </w:p>
    <w:p>
      <w:pPr>
        <w:spacing w:line="360" w:lineRule="auto"/>
        <w:rPr>
          <w:rFonts w:hint="eastAsia" w:ascii="宋体" w:hAnsi="宋体" w:cs="宋体"/>
          <w:color w:val="auto"/>
          <w:sz w:val="24"/>
          <w:highlight w:val="none"/>
          <w:u w:val="single"/>
        </w:rPr>
      </w:pPr>
      <w:r>
        <w:rPr>
          <w:rFonts w:hint="eastAsia" w:ascii="宋体" w:hAnsi="宋体" w:cs="宋体"/>
          <w:color w:val="auto"/>
          <w:sz w:val="24"/>
          <w:highlight w:val="none"/>
        </w:rPr>
        <w:t>被投诉人1：</w:t>
      </w:r>
      <w:r>
        <w:rPr>
          <w:rFonts w:hint="eastAsia" w:ascii="宋体" w:hAnsi="宋体" w:cs="宋体"/>
          <w:color w:val="auto"/>
          <w:sz w:val="24"/>
          <w:highlight w:val="none"/>
          <w:u w:val="dotted"/>
        </w:rPr>
        <w:t xml:space="preserve">                                                </w:t>
      </w:r>
    </w:p>
    <w:p>
      <w:pPr>
        <w:spacing w:line="360" w:lineRule="auto"/>
        <w:rPr>
          <w:rFonts w:hint="eastAsia" w:ascii="宋体" w:hAnsi="宋体" w:cs="宋体"/>
          <w:color w:val="auto"/>
          <w:sz w:val="24"/>
          <w:highlight w:val="none"/>
          <w:u w:val="single"/>
        </w:rPr>
      </w:pPr>
      <w:r>
        <w:rPr>
          <w:rFonts w:hint="eastAsia" w:ascii="宋体" w:hAnsi="宋体" w:cs="宋体"/>
          <w:color w:val="auto"/>
          <w:sz w:val="24"/>
          <w:highlight w:val="none"/>
        </w:rPr>
        <w:t>地     址：</w:t>
      </w:r>
      <w:r>
        <w:rPr>
          <w:rFonts w:hint="eastAsia" w:ascii="宋体" w:hAnsi="宋体" w:cs="宋体"/>
          <w:color w:val="auto"/>
          <w:sz w:val="24"/>
          <w:highlight w:val="none"/>
          <w:u w:val="dotted"/>
        </w:rPr>
        <w:t xml:space="preserve">                             </w:t>
      </w:r>
      <w:r>
        <w:rPr>
          <w:rFonts w:hint="eastAsia" w:ascii="宋体" w:hAnsi="宋体" w:cs="宋体"/>
          <w:color w:val="auto"/>
          <w:sz w:val="24"/>
          <w:highlight w:val="none"/>
        </w:rPr>
        <w:t>邮编：</w:t>
      </w:r>
      <w:r>
        <w:rPr>
          <w:rFonts w:hint="eastAsia" w:ascii="宋体" w:hAnsi="宋体" w:cs="宋体"/>
          <w:color w:val="auto"/>
          <w:sz w:val="24"/>
          <w:highlight w:val="none"/>
          <w:u w:val="dotted"/>
        </w:rPr>
        <w:t xml:space="preserve">             </w:t>
      </w:r>
    </w:p>
    <w:p>
      <w:pPr>
        <w:spacing w:line="360" w:lineRule="auto"/>
        <w:rPr>
          <w:rFonts w:hint="eastAsia" w:ascii="宋体" w:hAnsi="宋体" w:cs="宋体"/>
          <w:color w:val="auto"/>
          <w:sz w:val="24"/>
          <w:highlight w:val="none"/>
          <w:u w:val="single"/>
        </w:rPr>
      </w:pPr>
      <w:r>
        <w:rPr>
          <w:rFonts w:hint="eastAsia" w:ascii="宋体" w:hAnsi="宋体" w:cs="宋体"/>
          <w:color w:val="auto"/>
          <w:sz w:val="24"/>
          <w:highlight w:val="none"/>
        </w:rPr>
        <w:t>联系人：</w:t>
      </w:r>
      <w:r>
        <w:rPr>
          <w:rFonts w:hint="eastAsia" w:ascii="宋体" w:hAnsi="宋体" w:cs="宋体"/>
          <w:color w:val="auto"/>
          <w:sz w:val="24"/>
          <w:highlight w:val="none"/>
          <w:u w:val="dotted"/>
        </w:rPr>
        <w:t xml:space="preserve">               </w:t>
      </w:r>
      <w:r>
        <w:rPr>
          <w:rFonts w:hint="eastAsia" w:ascii="宋体" w:hAnsi="宋体" w:cs="宋体"/>
          <w:color w:val="auto"/>
          <w:sz w:val="24"/>
          <w:highlight w:val="none"/>
        </w:rPr>
        <w:t>联系电话：</w:t>
      </w:r>
      <w:r>
        <w:rPr>
          <w:rFonts w:hint="eastAsia" w:ascii="宋体" w:hAnsi="宋体" w:cs="宋体"/>
          <w:color w:val="auto"/>
          <w:sz w:val="24"/>
          <w:highlight w:val="none"/>
          <w:u w:val="dotted"/>
        </w:rPr>
        <w:t xml:space="preserve">                           </w:t>
      </w:r>
    </w:p>
    <w:p>
      <w:pPr>
        <w:spacing w:line="360" w:lineRule="auto"/>
        <w:rPr>
          <w:rFonts w:hint="eastAsia" w:ascii="宋体" w:hAnsi="宋体" w:cs="宋体"/>
          <w:color w:val="auto"/>
          <w:sz w:val="24"/>
          <w:highlight w:val="none"/>
        </w:rPr>
      </w:pPr>
      <w:r>
        <w:rPr>
          <w:rFonts w:hint="eastAsia" w:ascii="宋体" w:hAnsi="宋体" w:cs="宋体"/>
          <w:color w:val="auto"/>
          <w:sz w:val="24"/>
          <w:highlight w:val="none"/>
        </w:rPr>
        <w:t>被投诉人2</w:t>
      </w:r>
    </w:p>
    <w:p>
      <w:pPr>
        <w:spacing w:line="360" w:lineRule="auto"/>
        <w:rPr>
          <w:rFonts w:hint="eastAsia" w:ascii="宋体" w:hAnsi="宋体" w:cs="宋体"/>
          <w:color w:val="auto"/>
          <w:sz w:val="24"/>
          <w:highlight w:val="none"/>
          <w:u w:val="dotted"/>
        </w:rPr>
      </w:pPr>
      <w:r>
        <w:rPr>
          <w:rFonts w:hint="eastAsia" w:ascii="宋体" w:hAnsi="宋体" w:cs="宋体"/>
          <w:color w:val="auto"/>
          <w:sz w:val="24"/>
          <w:highlight w:val="none"/>
        </w:rPr>
        <w:t>……</w:t>
      </w:r>
    </w:p>
    <w:p>
      <w:pPr>
        <w:spacing w:line="360" w:lineRule="auto"/>
        <w:rPr>
          <w:rFonts w:hint="eastAsia" w:ascii="宋体" w:hAnsi="宋体" w:cs="宋体"/>
          <w:color w:val="auto"/>
          <w:sz w:val="24"/>
          <w:highlight w:val="none"/>
          <w:u w:val="single"/>
        </w:rPr>
      </w:pPr>
      <w:r>
        <w:rPr>
          <w:rFonts w:hint="eastAsia" w:ascii="宋体" w:hAnsi="宋体" w:cs="宋体"/>
          <w:color w:val="auto"/>
          <w:sz w:val="24"/>
          <w:highlight w:val="none"/>
        </w:rPr>
        <w:t>相关供应商：</w:t>
      </w:r>
      <w:r>
        <w:rPr>
          <w:rFonts w:hint="eastAsia" w:ascii="宋体" w:hAnsi="宋体" w:cs="宋体"/>
          <w:color w:val="auto"/>
          <w:sz w:val="24"/>
          <w:highlight w:val="none"/>
          <w:u w:val="dotted"/>
        </w:rPr>
        <w:t xml:space="preserve">                                              </w:t>
      </w:r>
    </w:p>
    <w:p>
      <w:pPr>
        <w:spacing w:line="360" w:lineRule="auto"/>
        <w:rPr>
          <w:rFonts w:hint="eastAsia" w:ascii="宋体" w:hAnsi="宋体" w:cs="宋体"/>
          <w:color w:val="auto"/>
          <w:sz w:val="24"/>
          <w:highlight w:val="none"/>
          <w:u w:val="single"/>
        </w:rPr>
      </w:pPr>
      <w:r>
        <w:rPr>
          <w:rFonts w:hint="eastAsia" w:ascii="宋体" w:hAnsi="宋体" w:cs="宋体"/>
          <w:color w:val="auto"/>
          <w:sz w:val="24"/>
          <w:highlight w:val="none"/>
        </w:rPr>
        <w:t>地     址：</w:t>
      </w:r>
      <w:r>
        <w:rPr>
          <w:rFonts w:hint="eastAsia" w:ascii="宋体" w:hAnsi="宋体" w:cs="宋体"/>
          <w:color w:val="auto"/>
          <w:sz w:val="24"/>
          <w:highlight w:val="none"/>
          <w:u w:val="dotted"/>
        </w:rPr>
        <w:t xml:space="preserve">                             </w:t>
      </w:r>
      <w:r>
        <w:rPr>
          <w:rFonts w:hint="eastAsia" w:ascii="宋体" w:hAnsi="宋体" w:cs="宋体"/>
          <w:color w:val="auto"/>
          <w:sz w:val="24"/>
          <w:highlight w:val="none"/>
        </w:rPr>
        <w:t>邮编：</w:t>
      </w:r>
      <w:r>
        <w:rPr>
          <w:rFonts w:hint="eastAsia" w:ascii="宋体" w:hAnsi="宋体" w:cs="宋体"/>
          <w:color w:val="auto"/>
          <w:sz w:val="24"/>
          <w:highlight w:val="none"/>
          <w:u w:val="dotted"/>
        </w:rPr>
        <w:t xml:space="preserve">             </w:t>
      </w:r>
    </w:p>
    <w:p>
      <w:pPr>
        <w:spacing w:line="360" w:lineRule="auto"/>
        <w:rPr>
          <w:rFonts w:hint="eastAsia" w:ascii="宋体" w:hAnsi="宋体" w:cs="宋体"/>
          <w:color w:val="auto"/>
          <w:sz w:val="24"/>
          <w:highlight w:val="none"/>
        </w:rPr>
      </w:pPr>
      <w:r>
        <w:rPr>
          <w:rFonts w:hint="eastAsia" w:ascii="宋体" w:hAnsi="宋体" w:cs="宋体"/>
          <w:color w:val="auto"/>
          <w:sz w:val="24"/>
          <w:highlight w:val="none"/>
        </w:rPr>
        <w:t>联系人：</w:t>
      </w:r>
      <w:r>
        <w:rPr>
          <w:rFonts w:hint="eastAsia" w:ascii="宋体" w:hAnsi="宋体" w:cs="宋体"/>
          <w:color w:val="auto"/>
          <w:sz w:val="24"/>
          <w:highlight w:val="none"/>
          <w:u w:val="dotted"/>
        </w:rPr>
        <w:t xml:space="preserve">               </w:t>
      </w:r>
      <w:r>
        <w:rPr>
          <w:rFonts w:hint="eastAsia" w:ascii="宋体" w:hAnsi="宋体" w:cs="宋体"/>
          <w:color w:val="auto"/>
          <w:sz w:val="24"/>
          <w:highlight w:val="none"/>
        </w:rPr>
        <w:t>联系电话：</w:t>
      </w:r>
      <w:r>
        <w:rPr>
          <w:rFonts w:hint="eastAsia" w:ascii="宋体" w:hAnsi="宋体" w:cs="宋体"/>
          <w:color w:val="auto"/>
          <w:sz w:val="24"/>
          <w:highlight w:val="none"/>
          <w:u w:val="dotted"/>
        </w:rPr>
        <w:t xml:space="preserve">                         </w:t>
      </w:r>
    </w:p>
    <w:p>
      <w:pPr>
        <w:spacing w:line="360" w:lineRule="auto"/>
        <w:rPr>
          <w:rFonts w:hint="eastAsia" w:ascii="宋体" w:hAnsi="宋体" w:cs="宋体"/>
          <w:color w:val="auto"/>
          <w:sz w:val="24"/>
          <w:highlight w:val="none"/>
        </w:rPr>
      </w:pPr>
      <w:r>
        <w:rPr>
          <w:rFonts w:hint="eastAsia" w:ascii="宋体" w:hAnsi="宋体" w:cs="宋体"/>
          <w:color w:val="auto"/>
          <w:sz w:val="24"/>
          <w:highlight w:val="none"/>
        </w:rPr>
        <w:t>二、投诉项目基本情况</w:t>
      </w:r>
    </w:p>
    <w:p>
      <w:pPr>
        <w:spacing w:line="360" w:lineRule="auto"/>
        <w:rPr>
          <w:rFonts w:hint="eastAsia" w:ascii="宋体" w:hAnsi="宋体" w:cs="宋体"/>
          <w:color w:val="auto"/>
          <w:sz w:val="24"/>
          <w:highlight w:val="none"/>
          <w:u w:val="dotted"/>
        </w:rPr>
      </w:pPr>
      <w:r>
        <w:rPr>
          <w:rFonts w:hint="eastAsia" w:ascii="宋体" w:hAnsi="宋体" w:cs="宋体"/>
          <w:color w:val="auto"/>
          <w:sz w:val="24"/>
          <w:highlight w:val="none"/>
        </w:rPr>
        <w:t>采购项目名称：</w:t>
      </w:r>
      <w:r>
        <w:rPr>
          <w:rFonts w:hint="eastAsia" w:ascii="宋体" w:hAnsi="宋体" w:cs="宋体"/>
          <w:color w:val="auto"/>
          <w:sz w:val="24"/>
          <w:highlight w:val="none"/>
          <w:u w:val="dotted"/>
        </w:rPr>
        <w:t xml:space="preserve">  </w:t>
      </w:r>
      <w:bookmarkStart w:id="351" w:name="PO_3000001867_PM002_12"/>
      <w:r>
        <w:rPr>
          <w:rFonts w:hint="eastAsia" w:ascii="宋体" w:hAnsi="宋体" w:cs="宋体"/>
          <w:color w:val="auto"/>
          <w:sz w:val="24"/>
          <w:highlight w:val="none"/>
          <w:u w:val="dotted"/>
        </w:rPr>
        <w:t xml:space="preserve">                    </w:t>
      </w:r>
      <w:bookmarkEnd w:id="351"/>
      <w:r>
        <w:rPr>
          <w:rFonts w:hint="eastAsia" w:ascii="宋体" w:hAnsi="宋体" w:cs="宋体"/>
          <w:color w:val="auto"/>
          <w:sz w:val="24"/>
          <w:highlight w:val="none"/>
          <w:u w:val="dotted"/>
        </w:rPr>
        <w:t xml:space="preserve">  </w:t>
      </w:r>
    </w:p>
    <w:p>
      <w:pPr>
        <w:spacing w:line="360" w:lineRule="auto"/>
        <w:rPr>
          <w:rFonts w:hint="eastAsia" w:ascii="宋体" w:hAnsi="宋体" w:cs="宋体"/>
          <w:color w:val="auto"/>
          <w:sz w:val="24"/>
          <w:highlight w:val="none"/>
          <w:u w:val="single"/>
        </w:rPr>
      </w:pPr>
      <w:r>
        <w:rPr>
          <w:rFonts w:hint="eastAsia" w:ascii="宋体" w:hAnsi="宋体" w:cs="宋体"/>
          <w:color w:val="auto"/>
          <w:sz w:val="24"/>
          <w:highlight w:val="none"/>
        </w:rPr>
        <w:t>采购项目编号：</w:t>
      </w:r>
      <w:r>
        <w:rPr>
          <w:rFonts w:hint="eastAsia" w:ascii="宋体" w:hAnsi="宋体" w:cs="宋体"/>
          <w:color w:val="auto"/>
          <w:sz w:val="24"/>
          <w:highlight w:val="none"/>
          <w:u w:val="dotted"/>
        </w:rPr>
        <w:t xml:space="preserve">  </w:t>
      </w:r>
      <w:bookmarkStart w:id="352" w:name="PO_3000001867_PM001_9"/>
      <w:r>
        <w:rPr>
          <w:rFonts w:hint="eastAsia" w:ascii="宋体" w:hAnsi="宋体" w:cs="宋体"/>
          <w:color w:val="auto"/>
          <w:sz w:val="24"/>
          <w:highlight w:val="none"/>
          <w:u w:val="dotted"/>
        </w:rPr>
        <w:t xml:space="preserve">                    </w:t>
      </w:r>
      <w:bookmarkEnd w:id="352"/>
      <w:r>
        <w:rPr>
          <w:rFonts w:hint="eastAsia" w:ascii="宋体" w:hAnsi="宋体" w:cs="宋体"/>
          <w:color w:val="auto"/>
          <w:sz w:val="24"/>
          <w:highlight w:val="none"/>
          <w:u w:val="dotted"/>
        </w:rPr>
        <w:t xml:space="preserve"> </w:t>
      </w:r>
      <w:r>
        <w:rPr>
          <w:rFonts w:hint="eastAsia" w:ascii="宋体" w:hAnsi="宋体" w:cs="宋体"/>
          <w:color w:val="auto"/>
          <w:sz w:val="24"/>
          <w:highlight w:val="none"/>
        </w:rPr>
        <w:t>包号：</w:t>
      </w:r>
      <w:r>
        <w:rPr>
          <w:rFonts w:hint="eastAsia" w:ascii="宋体" w:hAnsi="宋体" w:cs="宋体"/>
          <w:color w:val="auto"/>
          <w:sz w:val="24"/>
          <w:highlight w:val="none"/>
          <w:u w:val="dotted"/>
        </w:rPr>
        <w:t xml:space="preserve">              </w:t>
      </w:r>
    </w:p>
    <w:p>
      <w:pPr>
        <w:spacing w:line="360" w:lineRule="auto"/>
        <w:rPr>
          <w:rFonts w:hint="eastAsia" w:ascii="宋体" w:hAnsi="宋体" w:cs="宋体"/>
          <w:color w:val="auto"/>
          <w:sz w:val="24"/>
          <w:highlight w:val="none"/>
        </w:rPr>
      </w:pPr>
      <w:r>
        <w:rPr>
          <w:rFonts w:hint="eastAsia" w:ascii="宋体" w:hAnsi="宋体" w:cs="宋体"/>
          <w:color w:val="auto"/>
          <w:sz w:val="24"/>
          <w:highlight w:val="none"/>
        </w:rPr>
        <w:t>采购人名称：</w:t>
      </w:r>
      <w:r>
        <w:rPr>
          <w:rFonts w:hint="eastAsia" w:ascii="宋体" w:hAnsi="宋体" w:cs="宋体"/>
          <w:color w:val="auto"/>
          <w:sz w:val="24"/>
          <w:highlight w:val="none"/>
          <w:u w:val="dotted"/>
        </w:rPr>
        <w:t xml:space="preserve">  </w:t>
      </w:r>
      <w:bookmarkStart w:id="353" w:name="PO_3000001867_PM026_6"/>
      <w:r>
        <w:rPr>
          <w:rFonts w:hint="eastAsia" w:ascii="宋体" w:hAnsi="宋体" w:cs="宋体"/>
          <w:color w:val="auto"/>
          <w:sz w:val="24"/>
          <w:highlight w:val="none"/>
          <w:u w:val="dotted"/>
        </w:rPr>
        <w:t xml:space="preserve">                    </w:t>
      </w:r>
      <w:bookmarkEnd w:id="353"/>
      <w:r>
        <w:rPr>
          <w:rFonts w:hint="eastAsia" w:ascii="宋体" w:hAnsi="宋体" w:cs="宋体"/>
          <w:color w:val="auto"/>
          <w:sz w:val="24"/>
          <w:highlight w:val="none"/>
          <w:u w:val="dotted"/>
        </w:rPr>
        <w:t xml:space="preserve">  </w:t>
      </w:r>
    </w:p>
    <w:p>
      <w:pPr>
        <w:spacing w:line="360" w:lineRule="auto"/>
        <w:rPr>
          <w:rFonts w:hint="eastAsia" w:ascii="宋体" w:hAnsi="宋体" w:cs="宋体"/>
          <w:color w:val="auto"/>
          <w:sz w:val="24"/>
          <w:highlight w:val="none"/>
          <w:u w:val="single"/>
        </w:rPr>
      </w:pPr>
      <w:r>
        <w:rPr>
          <w:rFonts w:hint="eastAsia" w:ascii="宋体" w:hAnsi="宋体" w:cs="宋体"/>
          <w:color w:val="auto"/>
          <w:sz w:val="24"/>
          <w:highlight w:val="none"/>
        </w:rPr>
        <w:t>代理机构名称：</w:t>
      </w:r>
      <w:r>
        <w:rPr>
          <w:rFonts w:hint="eastAsia" w:ascii="宋体" w:hAnsi="宋体" w:cs="宋体"/>
          <w:color w:val="auto"/>
          <w:sz w:val="24"/>
          <w:highlight w:val="none"/>
          <w:u w:val="dotted"/>
        </w:rPr>
        <w:t xml:space="preserve">                                         </w:t>
      </w:r>
    </w:p>
    <w:p>
      <w:pPr>
        <w:spacing w:line="360" w:lineRule="auto"/>
        <w:rPr>
          <w:rFonts w:hint="eastAsia" w:ascii="宋体" w:hAnsi="宋体" w:cs="宋体"/>
          <w:color w:val="auto"/>
          <w:sz w:val="24"/>
          <w:highlight w:val="none"/>
          <w:u w:val="dotted"/>
        </w:rPr>
      </w:pPr>
      <w:r>
        <w:rPr>
          <w:rFonts w:hint="eastAsia" w:ascii="宋体" w:hAnsi="宋体" w:cs="宋体"/>
          <w:color w:val="auto"/>
          <w:sz w:val="24"/>
          <w:highlight w:val="none"/>
        </w:rPr>
        <w:t>采购文件公告:</w:t>
      </w:r>
      <w:r>
        <w:rPr>
          <w:rFonts w:hint="eastAsia" w:ascii="宋体" w:hAnsi="宋体" w:cs="宋体"/>
          <w:color w:val="auto"/>
          <w:sz w:val="24"/>
          <w:highlight w:val="none"/>
          <w:u w:val="dotted"/>
        </w:rPr>
        <w:t xml:space="preserve">是/否 </w:t>
      </w:r>
      <w:r>
        <w:rPr>
          <w:rFonts w:hint="eastAsia" w:ascii="宋体" w:hAnsi="宋体" w:cs="宋体"/>
          <w:color w:val="auto"/>
          <w:sz w:val="24"/>
          <w:highlight w:val="none"/>
        </w:rPr>
        <w:t>公告期限：</w:t>
      </w:r>
      <w:r>
        <w:rPr>
          <w:rFonts w:hint="eastAsia" w:ascii="宋体" w:hAnsi="宋体" w:cs="宋体"/>
          <w:color w:val="auto"/>
          <w:sz w:val="24"/>
          <w:highlight w:val="none"/>
          <w:u w:val="dotted"/>
        </w:rPr>
        <w:t xml:space="preserve">                                 </w:t>
      </w:r>
    </w:p>
    <w:p>
      <w:pPr>
        <w:spacing w:line="360" w:lineRule="auto"/>
        <w:rPr>
          <w:rFonts w:hint="eastAsia" w:ascii="宋体" w:hAnsi="宋体" w:cs="宋体"/>
          <w:color w:val="auto"/>
          <w:sz w:val="24"/>
          <w:highlight w:val="none"/>
          <w:u w:val="single"/>
        </w:rPr>
      </w:pPr>
      <w:r>
        <w:rPr>
          <w:rFonts w:hint="eastAsia" w:ascii="宋体" w:hAnsi="宋体" w:cs="宋体"/>
          <w:color w:val="auto"/>
          <w:sz w:val="24"/>
          <w:highlight w:val="none"/>
        </w:rPr>
        <w:t>采购结果公告:</w:t>
      </w:r>
      <w:r>
        <w:rPr>
          <w:rFonts w:hint="eastAsia" w:ascii="宋体" w:hAnsi="宋体" w:cs="宋体"/>
          <w:color w:val="auto"/>
          <w:sz w:val="24"/>
          <w:highlight w:val="none"/>
          <w:u w:val="dotted"/>
        </w:rPr>
        <w:t xml:space="preserve">是/否 </w:t>
      </w:r>
      <w:r>
        <w:rPr>
          <w:rFonts w:hint="eastAsia" w:ascii="宋体" w:hAnsi="宋体" w:cs="宋体"/>
          <w:color w:val="auto"/>
          <w:sz w:val="24"/>
          <w:highlight w:val="none"/>
        </w:rPr>
        <w:t>公告期限：</w:t>
      </w:r>
      <w:r>
        <w:rPr>
          <w:rFonts w:hint="eastAsia" w:ascii="宋体" w:hAnsi="宋体" w:cs="宋体"/>
          <w:color w:val="auto"/>
          <w:sz w:val="24"/>
          <w:highlight w:val="none"/>
          <w:u w:val="dotted"/>
        </w:rPr>
        <w:t xml:space="preserve">                        </w:t>
      </w:r>
    </w:p>
    <w:p>
      <w:pPr>
        <w:spacing w:line="360" w:lineRule="auto"/>
        <w:rPr>
          <w:rFonts w:hint="eastAsia" w:ascii="宋体" w:hAnsi="宋体" w:cs="宋体"/>
          <w:color w:val="auto"/>
          <w:sz w:val="24"/>
          <w:highlight w:val="none"/>
        </w:rPr>
      </w:pPr>
      <w:r>
        <w:rPr>
          <w:rFonts w:hint="eastAsia" w:ascii="宋体" w:hAnsi="宋体" w:cs="宋体"/>
          <w:color w:val="auto"/>
          <w:sz w:val="24"/>
          <w:highlight w:val="none"/>
        </w:rPr>
        <w:t>三、质疑基本情况</w:t>
      </w:r>
    </w:p>
    <w:p>
      <w:pPr>
        <w:spacing w:line="360" w:lineRule="auto"/>
        <w:ind w:firstLine="480" w:firstLineChars="200"/>
        <w:rPr>
          <w:rFonts w:hint="eastAsia" w:ascii="宋体" w:hAnsi="宋体" w:cs="宋体"/>
          <w:color w:val="auto"/>
          <w:sz w:val="24"/>
          <w:highlight w:val="none"/>
          <w:u w:val="dotted"/>
        </w:rPr>
      </w:pPr>
      <w:r>
        <w:rPr>
          <w:rFonts w:hint="eastAsia" w:ascii="宋体" w:hAnsi="宋体" w:cs="宋体"/>
          <w:color w:val="auto"/>
          <w:sz w:val="24"/>
          <w:highlight w:val="none"/>
        </w:rPr>
        <w:t>投诉人于</w:t>
      </w:r>
      <w:r>
        <w:rPr>
          <w:rFonts w:hint="eastAsia" w:ascii="宋体" w:hAnsi="宋体" w:cs="宋体"/>
          <w:color w:val="auto"/>
          <w:sz w:val="24"/>
          <w:highlight w:val="none"/>
          <w:u w:val="dotted"/>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dotted"/>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dotted"/>
        </w:rPr>
        <w:t xml:space="preserve">  </w:t>
      </w:r>
      <w:r>
        <w:rPr>
          <w:rFonts w:hint="eastAsia" w:ascii="宋体" w:hAnsi="宋体" w:cs="宋体"/>
          <w:color w:val="auto"/>
          <w:sz w:val="24"/>
          <w:highlight w:val="none"/>
        </w:rPr>
        <w:t>日，向</w:t>
      </w:r>
      <w:r>
        <w:rPr>
          <w:rFonts w:hint="eastAsia" w:ascii="宋体" w:hAnsi="宋体" w:cs="宋体"/>
          <w:color w:val="auto"/>
          <w:sz w:val="24"/>
          <w:highlight w:val="none"/>
          <w:u w:val="dotted"/>
        </w:rPr>
        <w:t xml:space="preserve">                   </w:t>
      </w:r>
      <w:r>
        <w:rPr>
          <w:rFonts w:hint="eastAsia" w:ascii="宋体" w:hAnsi="宋体" w:cs="宋体"/>
          <w:color w:val="auto"/>
          <w:sz w:val="24"/>
          <w:highlight w:val="none"/>
        </w:rPr>
        <w:t>提出质疑，质疑事项为：</w:t>
      </w:r>
      <w:r>
        <w:rPr>
          <w:rFonts w:hint="eastAsia" w:ascii="宋体" w:hAnsi="宋体" w:cs="宋体"/>
          <w:color w:val="auto"/>
          <w:sz w:val="24"/>
          <w:highlight w:val="none"/>
          <w:u w:val="dotted"/>
        </w:rPr>
        <w:t xml:space="preserve">                                </w:t>
      </w:r>
    </w:p>
    <w:p>
      <w:pPr>
        <w:spacing w:line="360" w:lineRule="auto"/>
        <w:rPr>
          <w:rFonts w:hint="eastAsia" w:ascii="宋体" w:hAnsi="宋体" w:cs="宋体"/>
          <w:color w:val="auto"/>
          <w:sz w:val="24"/>
          <w:highlight w:val="none"/>
          <w:u w:val="dotted"/>
        </w:rPr>
      </w:pPr>
      <w:r>
        <w:rPr>
          <w:rFonts w:hint="eastAsia" w:ascii="宋体" w:hAnsi="宋体" w:cs="宋体"/>
          <w:color w:val="auto"/>
          <w:sz w:val="24"/>
          <w:highlight w:val="none"/>
          <w:u w:val="dotted"/>
        </w:rPr>
        <w:t xml:space="preserve">                                                     </w:t>
      </w:r>
      <w:r>
        <w:rPr>
          <w:rFonts w:hint="eastAsia" w:ascii="宋体" w:hAnsi="宋体" w:cs="宋体"/>
          <w:color w:val="auto"/>
          <w:sz w:val="24"/>
          <w:highlight w:val="none"/>
        </w:rPr>
        <w:t xml:space="preserve">  </w:t>
      </w:r>
    </w:p>
    <w:p>
      <w:pPr>
        <w:spacing w:line="360" w:lineRule="auto"/>
        <w:ind w:firstLine="360" w:firstLineChars="150"/>
        <w:rPr>
          <w:rFonts w:hint="eastAsia" w:ascii="宋体" w:hAnsi="宋体" w:cs="宋体"/>
          <w:color w:val="auto"/>
          <w:sz w:val="24"/>
          <w:highlight w:val="none"/>
        </w:rPr>
      </w:pPr>
      <w:r>
        <w:rPr>
          <w:rFonts w:hint="eastAsia" w:ascii="宋体" w:hAnsi="宋体" w:cs="宋体"/>
          <w:color w:val="auto"/>
          <w:sz w:val="24"/>
          <w:highlight w:val="none"/>
          <w:u w:val="dotted"/>
        </w:rPr>
        <w:t>采购人/采购代理机构</w:t>
      </w:r>
      <w:r>
        <w:rPr>
          <w:rFonts w:hint="eastAsia" w:ascii="宋体" w:hAnsi="宋体" w:cs="宋体"/>
          <w:color w:val="auto"/>
          <w:sz w:val="24"/>
          <w:highlight w:val="none"/>
        </w:rPr>
        <w:t>于</w:t>
      </w:r>
      <w:r>
        <w:rPr>
          <w:rFonts w:hint="eastAsia" w:ascii="宋体" w:hAnsi="宋体" w:cs="宋体"/>
          <w:color w:val="auto"/>
          <w:sz w:val="24"/>
          <w:highlight w:val="none"/>
          <w:u w:val="dotted"/>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dotted"/>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dotted"/>
        </w:rPr>
        <w:t xml:space="preserve">   </w:t>
      </w:r>
      <w:r>
        <w:rPr>
          <w:rFonts w:hint="eastAsia" w:ascii="宋体" w:hAnsi="宋体" w:cs="宋体"/>
          <w:color w:val="auto"/>
          <w:sz w:val="24"/>
          <w:highlight w:val="none"/>
        </w:rPr>
        <w:t>日，就质疑事项作出了答复/没有在法定期限内作出答复。</w:t>
      </w:r>
    </w:p>
    <w:p>
      <w:pPr>
        <w:spacing w:line="360" w:lineRule="auto"/>
        <w:rPr>
          <w:rFonts w:hint="eastAsia" w:ascii="宋体" w:hAnsi="宋体" w:cs="宋体"/>
          <w:color w:val="auto"/>
          <w:sz w:val="24"/>
          <w:highlight w:val="none"/>
        </w:rPr>
      </w:pPr>
      <w:r>
        <w:rPr>
          <w:rFonts w:hint="eastAsia" w:ascii="宋体" w:hAnsi="宋体" w:cs="宋体"/>
          <w:color w:val="auto"/>
          <w:sz w:val="24"/>
          <w:highlight w:val="none"/>
        </w:rPr>
        <w:t>四、投诉事项具体内容</w:t>
      </w:r>
    </w:p>
    <w:p>
      <w:pPr>
        <w:spacing w:line="360" w:lineRule="auto"/>
        <w:rPr>
          <w:rFonts w:hint="eastAsia" w:ascii="宋体" w:hAnsi="宋体" w:cs="宋体"/>
          <w:color w:val="auto"/>
          <w:sz w:val="24"/>
          <w:highlight w:val="none"/>
          <w:u w:val="single"/>
        </w:rPr>
      </w:pPr>
      <w:r>
        <w:rPr>
          <w:rFonts w:hint="eastAsia" w:ascii="宋体" w:hAnsi="宋体" w:cs="宋体"/>
          <w:color w:val="auto"/>
          <w:sz w:val="24"/>
          <w:highlight w:val="none"/>
        </w:rPr>
        <w:t>投诉事项 1：</w:t>
      </w:r>
      <w:r>
        <w:rPr>
          <w:rFonts w:hint="eastAsia" w:ascii="宋体" w:hAnsi="宋体" w:cs="宋体"/>
          <w:color w:val="auto"/>
          <w:sz w:val="24"/>
          <w:highlight w:val="none"/>
          <w:u w:val="dotted"/>
        </w:rPr>
        <w:t xml:space="preserve">                                       </w:t>
      </w:r>
    </w:p>
    <w:p>
      <w:pPr>
        <w:spacing w:line="360" w:lineRule="auto"/>
        <w:rPr>
          <w:rFonts w:hint="eastAsia" w:ascii="宋体" w:hAnsi="宋体" w:cs="宋体"/>
          <w:color w:val="auto"/>
          <w:sz w:val="24"/>
          <w:highlight w:val="none"/>
        </w:rPr>
      </w:pPr>
      <w:r>
        <w:rPr>
          <w:rFonts w:hint="eastAsia" w:ascii="宋体" w:hAnsi="宋体" w:cs="宋体"/>
          <w:color w:val="auto"/>
          <w:sz w:val="24"/>
          <w:highlight w:val="none"/>
        </w:rPr>
        <w:t>事实依据：</w:t>
      </w:r>
      <w:r>
        <w:rPr>
          <w:rFonts w:hint="eastAsia" w:ascii="宋体" w:hAnsi="宋体" w:cs="宋体"/>
          <w:color w:val="auto"/>
          <w:sz w:val="24"/>
          <w:highlight w:val="none"/>
          <w:u w:val="dotted"/>
        </w:rPr>
        <w:t xml:space="preserve">                                         </w:t>
      </w:r>
    </w:p>
    <w:p>
      <w:pPr>
        <w:spacing w:line="360" w:lineRule="auto"/>
        <w:rPr>
          <w:rFonts w:hint="eastAsia" w:ascii="宋体" w:hAnsi="宋体" w:cs="宋体"/>
          <w:color w:val="auto"/>
          <w:sz w:val="24"/>
          <w:highlight w:val="none"/>
          <w:u w:val="dotted"/>
        </w:rPr>
      </w:pPr>
      <w:r>
        <w:rPr>
          <w:rFonts w:hint="eastAsia" w:ascii="宋体" w:hAnsi="宋体" w:cs="宋体"/>
          <w:color w:val="auto"/>
          <w:sz w:val="24"/>
          <w:highlight w:val="none"/>
          <w:u w:val="dotted"/>
        </w:rPr>
        <w:t xml:space="preserve">                                                      </w:t>
      </w:r>
    </w:p>
    <w:p>
      <w:pPr>
        <w:spacing w:line="360" w:lineRule="auto"/>
        <w:rPr>
          <w:rFonts w:hint="eastAsia" w:ascii="宋体" w:hAnsi="宋体" w:cs="宋体"/>
          <w:color w:val="auto"/>
          <w:sz w:val="24"/>
          <w:highlight w:val="none"/>
          <w:u w:val="single"/>
        </w:rPr>
      </w:pPr>
      <w:r>
        <w:rPr>
          <w:rFonts w:hint="eastAsia" w:ascii="宋体" w:hAnsi="宋体" w:cs="宋体"/>
          <w:color w:val="auto"/>
          <w:sz w:val="24"/>
          <w:highlight w:val="none"/>
        </w:rPr>
        <w:t>法律依据：</w:t>
      </w:r>
      <w:r>
        <w:rPr>
          <w:rFonts w:hint="eastAsia" w:ascii="宋体" w:hAnsi="宋体" w:cs="宋体"/>
          <w:color w:val="auto"/>
          <w:sz w:val="24"/>
          <w:highlight w:val="none"/>
          <w:u w:val="dotted"/>
        </w:rPr>
        <w:t xml:space="preserve">                                          </w:t>
      </w:r>
    </w:p>
    <w:p>
      <w:pPr>
        <w:spacing w:line="360" w:lineRule="auto"/>
        <w:rPr>
          <w:rFonts w:hint="eastAsia" w:ascii="宋体" w:hAnsi="宋体" w:cs="宋体"/>
          <w:color w:val="auto"/>
          <w:sz w:val="24"/>
          <w:highlight w:val="none"/>
          <w:u w:val="dotted"/>
        </w:rPr>
      </w:pPr>
      <w:r>
        <w:rPr>
          <w:rFonts w:hint="eastAsia" w:ascii="宋体" w:hAnsi="宋体" w:cs="宋体"/>
          <w:color w:val="auto"/>
          <w:sz w:val="24"/>
          <w:highlight w:val="none"/>
          <w:u w:val="dotted"/>
        </w:rPr>
        <w:t xml:space="preserve">                                                      </w:t>
      </w:r>
    </w:p>
    <w:p>
      <w:pPr>
        <w:spacing w:line="360" w:lineRule="auto"/>
        <w:rPr>
          <w:rFonts w:hint="eastAsia" w:ascii="宋体" w:hAnsi="宋体" w:cs="宋体"/>
          <w:color w:val="auto"/>
          <w:sz w:val="24"/>
          <w:highlight w:val="none"/>
        </w:rPr>
      </w:pPr>
      <w:r>
        <w:rPr>
          <w:rFonts w:hint="eastAsia" w:ascii="宋体" w:hAnsi="宋体" w:cs="宋体"/>
          <w:color w:val="auto"/>
          <w:sz w:val="24"/>
          <w:highlight w:val="none"/>
        </w:rPr>
        <w:t>投诉事项2</w:t>
      </w:r>
    </w:p>
    <w:p>
      <w:pPr>
        <w:spacing w:line="360" w:lineRule="auto"/>
        <w:rPr>
          <w:rFonts w:hint="eastAsia" w:ascii="宋体" w:hAnsi="宋体" w:cs="宋体"/>
          <w:color w:val="auto"/>
          <w:sz w:val="24"/>
          <w:highlight w:val="none"/>
          <w:u w:val="dotted"/>
        </w:rPr>
      </w:pPr>
      <w:r>
        <w:rPr>
          <w:rFonts w:hint="eastAsia" w:ascii="宋体" w:hAnsi="宋体" w:cs="宋体"/>
          <w:color w:val="auto"/>
          <w:sz w:val="24"/>
          <w:highlight w:val="none"/>
        </w:rPr>
        <w:t>……</w:t>
      </w:r>
    </w:p>
    <w:p>
      <w:pPr>
        <w:spacing w:line="360" w:lineRule="auto"/>
        <w:rPr>
          <w:rFonts w:hint="eastAsia" w:ascii="宋体" w:hAnsi="宋体" w:cs="宋体"/>
          <w:color w:val="auto"/>
          <w:sz w:val="24"/>
          <w:highlight w:val="none"/>
        </w:rPr>
      </w:pPr>
      <w:r>
        <w:rPr>
          <w:rFonts w:hint="eastAsia" w:ascii="宋体" w:hAnsi="宋体" w:cs="宋体"/>
          <w:color w:val="auto"/>
          <w:sz w:val="24"/>
          <w:highlight w:val="none"/>
        </w:rPr>
        <w:t>五、与投诉事项相关的投诉请求</w:t>
      </w:r>
    </w:p>
    <w:p>
      <w:pPr>
        <w:spacing w:line="360" w:lineRule="auto"/>
        <w:rPr>
          <w:rFonts w:hint="eastAsia" w:ascii="宋体" w:hAnsi="宋体" w:cs="宋体"/>
          <w:color w:val="auto"/>
          <w:sz w:val="24"/>
          <w:highlight w:val="none"/>
        </w:rPr>
      </w:pPr>
      <w:r>
        <w:rPr>
          <w:rFonts w:hint="eastAsia" w:ascii="宋体" w:hAnsi="宋体" w:cs="宋体"/>
          <w:color w:val="auto"/>
          <w:sz w:val="24"/>
          <w:highlight w:val="none"/>
        </w:rPr>
        <w:t>请求：</w:t>
      </w:r>
      <w:r>
        <w:rPr>
          <w:rFonts w:hint="eastAsia" w:ascii="宋体" w:hAnsi="宋体" w:cs="宋体"/>
          <w:color w:val="auto"/>
          <w:sz w:val="24"/>
          <w:highlight w:val="none"/>
          <w:u w:val="dotted"/>
        </w:rPr>
        <w:t xml:space="preserve">                                              </w:t>
      </w:r>
      <w:r>
        <w:rPr>
          <w:rFonts w:hint="eastAsia" w:ascii="宋体" w:hAnsi="宋体" w:cs="宋体"/>
          <w:color w:val="auto"/>
          <w:sz w:val="24"/>
          <w:highlight w:val="none"/>
        </w:rPr>
        <w:t xml:space="preserve"> </w:t>
      </w:r>
    </w:p>
    <w:p>
      <w:pPr>
        <w:spacing w:line="360" w:lineRule="auto"/>
        <w:rPr>
          <w:rFonts w:hint="eastAsia" w:ascii="宋体" w:hAnsi="宋体" w:cs="宋体"/>
          <w:color w:val="auto"/>
          <w:sz w:val="24"/>
          <w:highlight w:val="none"/>
          <w:u w:val="single"/>
        </w:rPr>
      </w:pPr>
      <w:r>
        <w:rPr>
          <w:rFonts w:hint="eastAsia" w:ascii="宋体" w:hAnsi="宋体" w:cs="宋体"/>
          <w:color w:val="auto"/>
          <w:sz w:val="24"/>
          <w:highlight w:val="none"/>
        </w:rPr>
        <w:t xml:space="preserve">                                                                                                    </w:t>
      </w:r>
    </w:p>
    <w:p>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签字(签章)：                   公章：                      </w:t>
      </w:r>
    </w:p>
    <w:p>
      <w:pPr>
        <w:spacing w:line="360" w:lineRule="auto"/>
        <w:ind w:firstLine="6960" w:firstLineChars="2900"/>
        <w:rPr>
          <w:rFonts w:hint="eastAsia" w:ascii="宋体" w:hAnsi="宋体" w:cs="宋体"/>
          <w:color w:val="auto"/>
          <w:sz w:val="24"/>
          <w:highlight w:val="none"/>
        </w:rPr>
      </w:pPr>
      <w:r>
        <w:rPr>
          <w:rFonts w:hint="eastAsia" w:ascii="宋体" w:hAnsi="宋体" w:cs="宋体"/>
          <w:color w:val="auto"/>
          <w:sz w:val="24"/>
          <w:highlight w:val="none"/>
        </w:rPr>
        <w:t xml:space="preserve">日期：    </w:t>
      </w:r>
    </w:p>
    <w:p>
      <w:pPr>
        <w:spacing w:line="360" w:lineRule="auto"/>
        <w:rPr>
          <w:rFonts w:hint="eastAsia" w:ascii="宋体" w:hAnsi="宋体" w:cs="宋体"/>
          <w:b/>
          <w:color w:val="auto"/>
          <w:sz w:val="24"/>
          <w:highlight w:val="none"/>
        </w:rPr>
      </w:pPr>
    </w:p>
    <w:p>
      <w:pPr>
        <w:spacing w:line="360" w:lineRule="auto"/>
        <w:rPr>
          <w:rFonts w:hint="eastAsia" w:ascii="宋体" w:hAnsi="宋体" w:cs="宋体"/>
          <w:b/>
          <w:color w:val="auto"/>
          <w:sz w:val="24"/>
          <w:highlight w:val="none"/>
        </w:rPr>
      </w:pPr>
      <w:r>
        <w:rPr>
          <w:rFonts w:hint="eastAsia" w:ascii="宋体" w:hAnsi="宋体" w:cs="宋体"/>
          <w:b/>
          <w:color w:val="auto"/>
          <w:sz w:val="24"/>
          <w:highlight w:val="none"/>
        </w:rPr>
        <w:t>投诉书制作说明：</w:t>
      </w:r>
    </w:p>
    <w:p>
      <w:pPr>
        <w:widowControl/>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szCs w:val="21"/>
          <w:highlight w:val="none"/>
        </w:rPr>
        <w:t>1.投诉人提起投诉时，应当提交投诉书和必要的证明材料，并按照被投诉人和与投诉事项有关的供应商数量提供投诉书副本。</w:t>
      </w:r>
    </w:p>
    <w:p>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szCs w:val="21"/>
          <w:highlight w:val="none"/>
        </w:rPr>
        <w:t>2.投诉人若委托代理人进行投诉的，投诉书应按照要求列明“授权代表”的有关内容，并在附件中提交由</w:t>
      </w:r>
      <w:r>
        <w:rPr>
          <w:rFonts w:hint="eastAsia" w:ascii="宋体" w:hAnsi="宋体" w:cs="宋体"/>
          <w:color w:val="auto"/>
          <w:kern w:val="0"/>
          <w:szCs w:val="21"/>
          <w:highlight w:val="none"/>
        </w:rPr>
        <w:t>投诉人签署的授权委托书。授权委托书应当载明代理人的姓名或者名称、代理事项、具体权限、期限和相关事项。</w:t>
      </w:r>
    </w:p>
    <w:p>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3.投诉人若对项目的某一分包进行投诉，投诉书应列明具体分包号。</w:t>
      </w:r>
    </w:p>
    <w:p>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4.投诉书应简要列明质疑事项，质疑函、质疑答复等作为附件材料提供。</w:t>
      </w:r>
    </w:p>
    <w:p>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5.投诉书的投诉事项应具体、明确，并有必要的事实依据和法律依据。</w:t>
      </w:r>
    </w:p>
    <w:p>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6.投诉书的投诉请求应与投诉事项相关。</w:t>
      </w:r>
    </w:p>
    <w:p>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szCs w:val="21"/>
          <w:highlight w:val="none"/>
        </w:rPr>
        <w:t>7.投诉人为自然人的，投诉书应当由本人签字；投诉人为法人或者其他组织的，投诉书应当由法定代表人、主要负责人，或者其授权代表签字或者盖章，并加盖公章。</w:t>
      </w:r>
    </w:p>
    <w:p>
      <w:pPr>
        <w:snapToGrid w:val="0"/>
        <w:spacing w:before="50" w:after="120" w:afterLines="50" w:line="360" w:lineRule="auto"/>
        <w:ind w:firstLine="420" w:firstLineChars="200"/>
        <w:jc w:val="left"/>
        <w:rPr>
          <w:rFonts w:hint="eastAsia" w:ascii="宋体" w:hAnsi="宋体" w:cs="宋体"/>
          <w:color w:val="auto"/>
          <w:szCs w:val="21"/>
          <w:highlight w:val="none"/>
        </w:rPr>
      </w:pPr>
    </w:p>
    <w:p>
      <w:pPr>
        <w:rPr>
          <w:rFonts w:hint="eastAsia" w:ascii="宋体" w:hAnsi="宋体" w:cs="宋体"/>
          <w:color w:val="auto"/>
          <w:highlight w:val="none"/>
        </w:rPr>
      </w:pPr>
    </w:p>
    <w:p>
      <w:pPr>
        <w:spacing w:line="560" w:lineRule="exact"/>
        <w:ind w:firstLine="640" w:firstLineChars="200"/>
        <w:rPr>
          <w:rFonts w:hint="eastAsia" w:ascii="仿宋_GB2312" w:hAnsi="仿宋_GB2312" w:eastAsia="仿宋_GB2312"/>
          <w:color w:val="auto"/>
          <w:sz w:val="32"/>
          <w:szCs w:val="32"/>
          <w:highlight w:val="none"/>
        </w:rPr>
      </w:pPr>
    </w:p>
    <w:p>
      <w:pPr>
        <w:spacing w:line="560" w:lineRule="exact"/>
        <w:ind w:firstLine="640" w:firstLineChars="200"/>
        <w:rPr>
          <w:rFonts w:hint="eastAsia" w:ascii="仿宋_GB2312" w:hAnsi="仿宋_GB2312" w:eastAsia="仿宋_GB2312"/>
          <w:color w:val="auto"/>
          <w:sz w:val="32"/>
          <w:szCs w:val="32"/>
          <w:highlight w:val="none"/>
        </w:rPr>
      </w:pPr>
    </w:p>
    <w:p>
      <w:pPr>
        <w:spacing w:line="560" w:lineRule="exact"/>
        <w:ind w:firstLine="640" w:firstLineChars="200"/>
        <w:rPr>
          <w:rFonts w:hint="eastAsia" w:ascii="仿宋_GB2312" w:hAnsi="仿宋_GB2312" w:eastAsia="仿宋_GB2312"/>
          <w:color w:val="auto"/>
          <w:sz w:val="32"/>
          <w:szCs w:val="32"/>
          <w:highlight w:val="none"/>
        </w:rPr>
      </w:pPr>
    </w:p>
    <w:p>
      <w:pPr>
        <w:rPr>
          <w:rFonts w:ascii="仿宋_GB2312" w:eastAsia="仿宋_GB2312"/>
          <w:color w:val="auto"/>
          <w:sz w:val="44"/>
          <w:szCs w:val="44"/>
          <w:highlight w:val="none"/>
        </w:rPr>
      </w:pPr>
    </w:p>
    <w:sectPr>
      <w:headerReference r:id="rId13" w:type="default"/>
      <w:footerReference r:id="rId14" w:type="default"/>
      <w:footerReference r:id="rId15" w:type="even"/>
      <w:pgSz w:w="11906" w:h="16838"/>
      <w:pgMar w:top="2098" w:right="1474" w:bottom="1984" w:left="1587" w:header="851" w:footer="851" w:gutter="0"/>
      <w:pgNumType w:fmt="decimal"/>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Verdana">
    <w:panose1 w:val="020B0604030504040204"/>
    <w:charset w:val="00"/>
    <w:family w:val="swiss"/>
    <w:pitch w:val="default"/>
    <w:sig w:usb0="A10006FF" w:usb1="4000205B" w:usb2="00000010" w:usb3="00000000" w:csb0="2000019F"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monospace">
    <w:altName w:val="微软雅黑"/>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embedRegular r:id="rId1" w:fontKey="{8CA94A7E-8CBF-487B-A967-716CBA8E8DA1}"/>
  </w:font>
  <w:font w:name="仿宋">
    <w:panose1 w:val="02010609060101010101"/>
    <w:charset w:val="86"/>
    <w:family w:val="modern"/>
    <w:pitch w:val="default"/>
    <w:sig w:usb0="800002BF" w:usb1="38CF7CFA" w:usb2="00000016" w:usb3="00000000" w:csb0="00040001" w:csb1="00000000"/>
    <w:embedRegular r:id="rId2" w:fontKey="{D1F90926-54C0-4BFB-AA06-322A17E51599}"/>
  </w:font>
  <w:font w:name="方正小标宋简体">
    <w:panose1 w:val="02000000000000000000"/>
    <w:charset w:val="86"/>
    <w:family w:val="auto"/>
    <w:pitch w:val="default"/>
    <w:sig w:usb0="00000001" w:usb1="08000000" w:usb2="00000000" w:usb3="00000000" w:csb0="00040000" w:csb1="00000000"/>
    <w:embedRegular r:id="rId3" w:fontKey="{62E6E20B-E773-425F-B61B-9BB11EBE214B}"/>
  </w:font>
  <w:font w:name="Wingdings 2">
    <w:panose1 w:val="05020102010507070707"/>
    <w:charset w:val="02"/>
    <w:family w:val="roman"/>
    <w:pitch w:val="default"/>
    <w:sig w:usb0="00000000" w:usb1="00000000" w:usb2="00000000" w:usb3="00000000" w:csb0="80000000" w:csb1="00000000"/>
    <w:embedRegular r:id="rId4" w:fontKey="{DC016769-6F74-42A1-B271-BCB6941CDC2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pStyle w:val="17"/>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rPr>
        <w:rFonts w:eastAsia="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r>
                            <w:fldChar w:fldCharType="begin"/>
                          </w:r>
                          <w:r>
                            <w:instrText xml:space="preserve"> PAGE  \* MERGEFORMAT </w:instrText>
                          </w:r>
                          <w:r>
                            <w:fldChar w:fldCharType="separate"/>
                          </w:r>
                          <w:r>
                            <w:t>199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17"/>
                    </w:pPr>
                    <w:r>
                      <w:fldChar w:fldCharType="begin"/>
                    </w:r>
                    <w:r>
                      <w:instrText xml:space="preserve"> PAGE  \* MERGEFORMAT </w:instrText>
                    </w:r>
                    <w:r>
                      <w:fldChar w:fldCharType="separate"/>
                    </w:r>
                    <w:r>
                      <w:t>199</w:t>
                    </w:r>
                    <w:r>
                      <w:fldChar w:fldCharType="end"/>
                    </w:r>
                  </w:p>
                </w:txbxContent>
              </v:textbox>
            </v:shape>
          </w:pict>
        </mc:Fallback>
      </mc:AlternateContent>
    </w:r>
  </w:p>
  <w:p>
    <w:pPr>
      <w:spacing w:line="176" w:lineRule="auto"/>
      <w:rPr>
        <w:rFonts w:eastAsia="Times New Roman"/>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pPr>
                      <w:pStyle w:val="17"/>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NwEatrdAQAAvwMAAA4AAAAAAAAA&#10;AQAgAAAAHgEAAGRycy9lMm9Eb2MueG1sUEsFBgAAAAAGAAYAWQEAAG0FAAAAAA==&#10;">
              <v:fill on="f" focussize="0,0"/>
              <v:stroke on="f"/>
              <v:imagedata o:title=""/>
              <o:lock v:ext="edit" aspectratio="f"/>
              <v:textbox inset="0mm,0mm,0mm,0mm" style="mso-fit-shape-to-text:t;">
                <w:txbxContent>
                  <w:p/>
                </w:txbxContent>
              </v:textbox>
            </v:shape>
          </w:pict>
        </mc:Fallback>
      </mc:AlternateContent>
    </w:r>
  </w:p>
  <w:p>
    <w:pPr>
      <w:pStyle w:val="1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10"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pPr>
                          <w:r>
                            <w:fldChar w:fldCharType="begin"/>
                          </w:r>
                          <w:r>
                            <w:instrText xml:space="preserve">PAGE   \* MERGEFORMAT</w:instrText>
                          </w:r>
                          <w:r>
                            <w:fldChar w:fldCharType="separate"/>
                          </w:r>
                          <w:r>
                            <w:rPr>
                              <w:lang w:val="zh-CN"/>
                            </w:rPr>
                            <w:t>1</w:t>
                          </w:r>
                          <w: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left;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BA6VsgBAACa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koieMWJ37++eP86/H88J28&#10;yfr0AWpMuwuYmIb3fsDc2Q/ozLQHFW3+IiGCcYQ6XdSVQyIiP1otV6sKQwJj8wXx2dPzECF9kN6S&#10;bDQ04viKqvz4CdKYOqfkas7famPKCI37y4GY2cNy72OP2UrDbpgI7Xx7Qj49Tr6hDhedEvPRobDY&#10;X5qNOBu72TiEqPdd2aJcD8K7Q8ImSm+5wgg7FcaRFXbTeuWd+PNesp5+qc1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GAQOlbIAQAAmgMAAA4AAAAAAAAAAQAgAAAAHgEAAGRycy9lMm9Eb2Mu&#10;eG1sUEsFBgAAAAAGAAYAWQEAAFgFAAAAAA==&#10;">
              <v:fill on="f" focussize="0,0"/>
              <v:stroke on="f"/>
              <v:imagedata o:title=""/>
              <o:lock v:ext="edit" aspectratio="f"/>
              <v:textbox inset="0mm,0mm,0mm,0mm" style="mso-fit-shape-to-text:t;">
                <w:txbxContent>
                  <w:p>
                    <w:pPr>
                      <w:pStyle w:val="17"/>
                    </w:pPr>
                    <w:r>
                      <w:fldChar w:fldCharType="begin"/>
                    </w:r>
                    <w:r>
                      <w:instrText xml:space="preserve">PAGE   \* MERGEFORMAT</w:instrText>
                    </w:r>
                    <w:r>
                      <w:fldChar w:fldCharType="separate"/>
                    </w:r>
                    <w:r>
                      <w:rPr>
                        <w:lang w:val="zh-CN"/>
                      </w:rPr>
                      <w:t>1</w:t>
                    </w:r>
                    <w:r>
                      <w:fldChar w:fldCharType="end"/>
                    </w:r>
                  </w:p>
                </w:txbxContent>
              </v:textbox>
            </v:shape>
          </w:pict>
        </mc:Fallback>
      </mc:AlternateContent>
    </w:r>
  </w:p>
  <w:p>
    <w:pPr>
      <w:pStyle w:val="17"/>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rPr>
        <w:rFonts w:eastAsia="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r>
                            <w:fldChar w:fldCharType="begin"/>
                          </w:r>
                          <w:r>
                            <w:instrText xml:space="preserve"> PAGE  \* MERGEFORMAT </w:instrText>
                          </w:r>
                          <w:r>
                            <w:fldChar w:fldCharType="separate"/>
                          </w:r>
                          <w:r>
                            <w:t>211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pPr>
                      <w:pStyle w:val="17"/>
                    </w:pPr>
                    <w:r>
                      <w:fldChar w:fldCharType="begin"/>
                    </w:r>
                    <w:r>
                      <w:instrText xml:space="preserve"> PAGE  \* MERGEFORMAT </w:instrText>
                    </w:r>
                    <w:r>
                      <w:fldChar w:fldCharType="separate"/>
                    </w:r>
                    <w:r>
                      <w:t>211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rPr>
        <w:rFonts w:hint="eastAsia" w:ascii="宋体" w:hAnsi="宋体"/>
        <w:sz w:val="28"/>
        <w:szCs w:val="28"/>
      </w:rPr>
    </w:pPr>
    <w:r>
      <w:rPr>
        <w:sz w:val="2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r>
                            <w:fldChar w:fldCharType="begin"/>
                          </w:r>
                          <w:r>
                            <w:instrText xml:space="preserve"> PAGE  \* MERGEFORMAT </w:instrText>
                          </w:r>
                          <w:r>
                            <w:fldChar w:fldCharType="separate"/>
                          </w:r>
                          <w:r>
                            <w:t>255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pPr>
                      <w:pStyle w:val="17"/>
                    </w:pPr>
                    <w:r>
                      <w:fldChar w:fldCharType="begin"/>
                    </w:r>
                    <w:r>
                      <w:instrText xml:space="preserve"> PAGE  \* MERGEFORMAT </w:instrText>
                    </w:r>
                    <w:r>
                      <w:fldChar w:fldCharType="separate"/>
                    </w:r>
                    <w:r>
                      <w:t>255</w:t>
                    </w:r>
                    <w:r>
                      <w:fldChar w:fldCharType="end"/>
                    </w:r>
                  </w:p>
                </w:txbxContent>
              </v:textbox>
            </v:shape>
          </w:pict>
        </mc:Fallback>
      </mc:AlternateContent>
    </w:r>
  </w:p>
  <w:p>
    <w:pPr>
      <w:pStyle w:val="17"/>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360" w:firstLine="360"/>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r>
                            <w:fldChar w:fldCharType="begin"/>
                          </w:r>
                          <w:r>
                            <w:instrText xml:space="preserve"> PAGE  \* MERGEFORMAT </w:instrText>
                          </w:r>
                          <w:r>
                            <w:fldChar w:fldCharType="separate"/>
                          </w:r>
                          <w:r>
                            <w:t>256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pPr>
                      <w:pStyle w:val="17"/>
                    </w:pPr>
                    <w:r>
                      <w:fldChar w:fldCharType="begin"/>
                    </w:r>
                    <w:r>
                      <w:instrText xml:space="preserve"> PAGE  \* MERGEFORMAT </w:instrText>
                    </w:r>
                    <w:r>
                      <w:fldChar w:fldCharType="separate"/>
                    </w:r>
                    <w:r>
                      <w:t>256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F136EB"/>
    <w:multiLevelType w:val="singleLevel"/>
    <w:tmpl w:val="B7F136EB"/>
    <w:lvl w:ilvl="0" w:tentative="0">
      <w:start w:val="4"/>
      <w:numFmt w:val="decimal"/>
      <w:lvlText w:val="%1."/>
      <w:lvlJc w:val="left"/>
      <w:pPr>
        <w:tabs>
          <w:tab w:val="left" w:pos="312"/>
        </w:tabs>
      </w:pPr>
    </w:lvl>
  </w:abstractNum>
  <w:abstractNum w:abstractNumId="1">
    <w:nsid w:val="00000001"/>
    <w:multiLevelType w:val="multilevel"/>
    <w:tmpl w:val="00000001"/>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
    <w:nsid w:val="00000002"/>
    <w:multiLevelType w:val="multilevel"/>
    <w:tmpl w:val="00000002"/>
    <w:lvl w:ilvl="0" w:tentative="0">
      <w:start w:val="1"/>
      <w:numFmt w:val="japaneseCounting"/>
      <w:lvlText w:val="（%1）"/>
      <w:lvlJc w:val="left"/>
      <w:pPr>
        <w:ind w:left="1237" w:hanging="765"/>
      </w:pPr>
      <w:rPr>
        <w:rFonts w:hint="default"/>
      </w:rPr>
    </w:lvl>
    <w:lvl w:ilvl="1" w:tentative="0">
      <w:start w:val="1"/>
      <w:numFmt w:val="lowerLetter"/>
      <w:lvlText w:val="%2)"/>
      <w:lvlJc w:val="left"/>
      <w:pPr>
        <w:ind w:left="1312" w:hanging="420"/>
      </w:pPr>
    </w:lvl>
    <w:lvl w:ilvl="2" w:tentative="0">
      <w:start w:val="1"/>
      <w:numFmt w:val="lowerRoman"/>
      <w:lvlText w:val="%3."/>
      <w:lvlJc w:val="right"/>
      <w:pPr>
        <w:ind w:left="1732" w:hanging="420"/>
      </w:pPr>
    </w:lvl>
    <w:lvl w:ilvl="3" w:tentative="0">
      <w:start w:val="1"/>
      <w:numFmt w:val="decimal"/>
      <w:lvlText w:val="%4."/>
      <w:lvlJc w:val="left"/>
      <w:pPr>
        <w:ind w:left="2152" w:hanging="420"/>
      </w:pPr>
    </w:lvl>
    <w:lvl w:ilvl="4" w:tentative="0">
      <w:start w:val="1"/>
      <w:numFmt w:val="lowerLetter"/>
      <w:lvlText w:val="%5)"/>
      <w:lvlJc w:val="left"/>
      <w:pPr>
        <w:ind w:left="2572" w:hanging="420"/>
      </w:pPr>
    </w:lvl>
    <w:lvl w:ilvl="5" w:tentative="0">
      <w:start w:val="1"/>
      <w:numFmt w:val="lowerRoman"/>
      <w:lvlText w:val="%6."/>
      <w:lvlJc w:val="right"/>
      <w:pPr>
        <w:ind w:left="2992" w:hanging="420"/>
      </w:pPr>
    </w:lvl>
    <w:lvl w:ilvl="6" w:tentative="0">
      <w:start w:val="1"/>
      <w:numFmt w:val="decimal"/>
      <w:lvlText w:val="%7."/>
      <w:lvlJc w:val="left"/>
      <w:pPr>
        <w:ind w:left="3412" w:hanging="420"/>
      </w:pPr>
    </w:lvl>
    <w:lvl w:ilvl="7" w:tentative="0">
      <w:start w:val="1"/>
      <w:numFmt w:val="lowerLetter"/>
      <w:lvlText w:val="%8)"/>
      <w:lvlJc w:val="left"/>
      <w:pPr>
        <w:ind w:left="3832" w:hanging="420"/>
      </w:pPr>
    </w:lvl>
    <w:lvl w:ilvl="8" w:tentative="0">
      <w:start w:val="1"/>
      <w:numFmt w:val="lowerRoman"/>
      <w:lvlText w:val="%9."/>
      <w:lvlJc w:val="right"/>
      <w:pPr>
        <w:ind w:left="4252" w:hanging="42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420"/>
  <w:evenAndOddHeaders w:val="1"/>
  <w:drawingGridHorizontalSpacing w:val="105"/>
  <w:drawingGridVerticalSpacing w:val="156"/>
  <w:doNotShadeFormData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1ZWE4ZjgyYmVmM2YwNjI2NWM5MmNhNThhZDQwNTcifQ=="/>
  </w:docVars>
  <w:rsids>
    <w:rsidRoot w:val="00172A27"/>
    <w:rsid w:val="000155B4"/>
    <w:rsid w:val="000521D2"/>
    <w:rsid w:val="00077F0D"/>
    <w:rsid w:val="000B0B63"/>
    <w:rsid w:val="000B3C2D"/>
    <w:rsid w:val="000B5D0B"/>
    <w:rsid w:val="000E4D01"/>
    <w:rsid w:val="000E6FB9"/>
    <w:rsid w:val="001007E6"/>
    <w:rsid w:val="0011378C"/>
    <w:rsid w:val="00152FE4"/>
    <w:rsid w:val="00166007"/>
    <w:rsid w:val="00171680"/>
    <w:rsid w:val="00172A27"/>
    <w:rsid w:val="00174125"/>
    <w:rsid w:val="001B09D4"/>
    <w:rsid w:val="001D18B5"/>
    <w:rsid w:val="00230A4A"/>
    <w:rsid w:val="00281F21"/>
    <w:rsid w:val="0028227A"/>
    <w:rsid w:val="00284F9A"/>
    <w:rsid w:val="0029082B"/>
    <w:rsid w:val="002A10BF"/>
    <w:rsid w:val="002C1149"/>
    <w:rsid w:val="002F69C2"/>
    <w:rsid w:val="00317D11"/>
    <w:rsid w:val="0036299E"/>
    <w:rsid w:val="004363FB"/>
    <w:rsid w:val="0044182D"/>
    <w:rsid w:val="00441A5D"/>
    <w:rsid w:val="004544A8"/>
    <w:rsid w:val="004C4D7A"/>
    <w:rsid w:val="0055375E"/>
    <w:rsid w:val="00575513"/>
    <w:rsid w:val="005C67CE"/>
    <w:rsid w:val="005D48C2"/>
    <w:rsid w:val="005D743B"/>
    <w:rsid w:val="005E19AB"/>
    <w:rsid w:val="006016E9"/>
    <w:rsid w:val="00614B31"/>
    <w:rsid w:val="00642F88"/>
    <w:rsid w:val="0065202F"/>
    <w:rsid w:val="00683C44"/>
    <w:rsid w:val="00686054"/>
    <w:rsid w:val="00695B5C"/>
    <w:rsid w:val="007827ED"/>
    <w:rsid w:val="007C3247"/>
    <w:rsid w:val="007C3CC7"/>
    <w:rsid w:val="007D02E4"/>
    <w:rsid w:val="008251C4"/>
    <w:rsid w:val="008272D6"/>
    <w:rsid w:val="00835856"/>
    <w:rsid w:val="00836540"/>
    <w:rsid w:val="008421DE"/>
    <w:rsid w:val="008962A1"/>
    <w:rsid w:val="00897A01"/>
    <w:rsid w:val="008B2012"/>
    <w:rsid w:val="008F619D"/>
    <w:rsid w:val="00915A4F"/>
    <w:rsid w:val="00937BEF"/>
    <w:rsid w:val="0096287B"/>
    <w:rsid w:val="00962B7D"/>
    <w:rsid w:val="009828CA"/>
    <w:rsid w:val="009926B4"/>
    <w:rsid w:val="009E54DD"/>
    <w:rsid w:val="00A121AF"/>
    <w:rsid w:val="00A4211E"/>
    <w:rsid w:val="00A539AF"/>
    <w:rsid w:val="00A729CB"/>
    <w:rsid w:val="00AA72F6"/>
    <w:rsid w:val="00AC4523"/>
    <w:rsid w:val="00AD6DD0"/>
    <w:rsid w:val="00AD7F91"/>
    <w:rsid w:val="00B14D75"/>
    <w:rsid w:val="00B67E8E"/>
    <w:rsid w:val="00B90B81"/>
    <w:rsid w:val="00C23FE9"/>
    <w:rsid w:val="00C5110E"/>
    <w:rsid w:val="00C7047A"/>
    <w:rsid w:val="00C73134"/>
    <w:rsid w:val="00C96822"/>
    <w:rsid w:val="00CA11D3"/>
    <w:rsid w:val="00CA7644"/>
    <w:rsid w:val="00CD66B8"/>
    <w:rsid w:val="00CE3169"/>
    <w:rsid w:val="00D65B41"/>
    <w:rsid w:val="00D9763E"/>
    <w:rsid w:val="00DC4EC9"/>
    <w:rsid w:val="00E33DCE"/>
    <w:rsid w:val="00E64BAB"/>
    <w:rsid w:val="00E87008"/>
    <w:rsid w:val="00EC39AD"/>
    <w:rsid w:val="00EC65EB"/>
    <w:rsid w:val="00ED7323"/>
    <w:rsid w:val="00F47DD2"/>
    <w:rsid w:val="00F72113"/>
    <w:rsid w:val="00F74988"/>
    <w:rsid w:val="00F76FEB"/>
    <w:rsid w:val="00F77B7C"/>
    <w:rsid w:val="00F77C72"/>
    <w:rsid w:val="00F84F13"/>
    <w:rsid w:val="00FA5E22"/>
    <w:rsid w:val="00FB53FA"/>
    <w:rsid w:val="00FB666B"/>
    <w:rsid w:val="00FD5E59"/>
    <w:rsid w:val="00FD6F65"/>
    <w:rsid w:val="00FF073E"/>
    <w:rsid w:val="00FF4585"/>
    <w:rsid w:val="0107707E"/>
    <w:rsid w:val="010C7DCA"/>
    <w:rsid w:val="01395249"/>
    <w:rsid w:val="01501A81"/>
    <w:rsid w:val="01550BDE"/>
    <w:rsid w:val="01593653"/>
    <w:rsid w:val="0178768B"/>
    <w:rsid w:val="01811186"/>
    <w:rsid w:val="0192398E"/>
    <w:rsid w:val="01A5725D"/>
    <w:rsid w:val="01AF481A"/>
    <w:rsid w:val="01D05436"/>
    <w:rsid w:val="01E834DD"/>
    <w:rsid w:val="01EA438F"/>
    <w:rsid w:val="02031D61"/>
    <w:rsid w:val="021A5B58"/>
    <w:rsid w:val="02291C3C"/>
    <w:rsid w:val="025C0116"/>
    <w:rsid w:val="026B50D9"/>
    <w:rsid w:val="02764B21"/>
    <w:rsid w:val="02B060EE"/>
    <w:rsid w:val="02D36548"/>
    <w:rsid w:val="02E31FD2"/>
    <w:rsid w:val="02F71E58"/>
    <w:rsid w:val="02FE7E66"/>
    <w:rsid w:val="03145506"/>
    <w:rsid w:val="03183E33"/>
    <w:rsid w:val="03227C2F"/>
    <w:rsid w:val="032B10EA"/>
    <w:rsid w:val="03605F71"/>
    <w:rsid w:val="03692201"/>
    <w:rsid w:val="036B2DF9"/>
    <w:rsid w:val="03720738"/>
    <w:rsid w:val="03770D13"/>
    <w:rsid w:val="038A0A18"/>
    <w:rsid w:val="039F299B"/>
    <w:rsid w:val="03AE795E"/>
    <w:rsid w:val="03CE5CF8"/>
    <w:rsid w:val="03FA155C"/>
    <w:rsid w:val="03FF82DC"/>
    <w:rsid w:val="0410290D"/>
    <w:rsid w:val="04284E13"/>
    <w:rsid w:val="044C5900"/>
    <w:rsid w:val="045C19CE"/>
    <w:rsid w:val="046B3DBE"/>
    <w:rsid w:val="04781A0B"/>
    <w:rsid w:val="049C5156"/>
    <w:rsid w:val="049E0759"/>
    <w:rsid w:val="04A27279"/>
    <w:rsid w:val="04E95DFE"/>
    <w:rsid w:val="04ED5B8A"/>
    <w:rsid w:val="05094D59"/>
    <w:rsid w:val="051A2D86"/>
    <w:rsid w:val="051C4E13"/>
    <w:rsid w:val="05240B21"/>
    <w:rsid w:val="05381E09"/>
    <w:rsid w:val="05432019"/>
    <w:rsid w:val="054651B1"/>
    <w:rsid w:val="054C37B6"/>
    <w:rsid w:val="055E7144"/>
    <w:rsid w:val="0560691E"/>
    <w:rsid w:val="05AB05F8"/>
    <w:rsid w:val="05C1044E"/>
    <w:rsid w:val="05D10BE5"/>
    <w:rsid w:val="05D312F2"/>
    <w:rsid w:val="05DC336A"/>
    <w:rsid w:val="05F63235"/>
    <w:rsid w:val="06011662"/>
    <w:rsid w:val="06173413"/>
    <w:rsid w:val="061D52B0"/>
    <w:rsid w:val="062C3E4F"/>
    <w:rsid w:val="063C7836"/>
    <w:rsid w:val="06712BB6"/>
    <w:rsid w:val="067724B4"/>
    <w:rsid w:val="068059CA"/>
    <w:rsid w:val="06886F63"/>
    <w:rsid w:val="06921EC4"/>
    <w:rsid w:val="06C615A2"/>
    <w:rsid w:val="06D268F7"/>
    <w:rsid w:val="06D4416C"/>
    <w:rsid w:val="070D5F42"/>
    <w:rsid w:val="0712630F"/>
    <w:rsid w:val="072408B5"/>
    <w:rsid w:val="07341AD0"/>
    <w:rsid w:val="07736861"/>
    <w:rsid w:val="07834E43"/>
    <w:rsid w:val="079A4A26"/>
    <w:rsid w:val="07B376E6"/>
    <w:rsid w:val="07C54F50"/>
    <w:rsid w:val="07CD098C"/>
    <w:rsid w:val="07E87E18"/>
    <w:rsid w:val="07EF6D6D"/>
    <w:rsid w:val="07EFE5F5"/>
    <w:rsid w:val="081A31D6"/>
    <w:rsid w:val="08225905"/>
    <w:rsid w:val="082E2B4C"/>
    <w:rsid w:val="0836281F"/>
    <w:rsid w:val="084D5698"/>
    <w:rsid w:val="087610DE"/>
    <w:rsid w:val="087E00E7"/>
    <w:rsid w:val="08823A34"/>
    <w:rsid w:val="088A7F1B"/>
    <w:rsid w:val="088C063F"/>
    <w:rsid w:val="08B7714B"/>
    <w:rsid w:val="08D44C91"/>
    <w:rsid w:val="08E37B9C"/>
    <w:rsid w:val="08EB1EBE"/>
    <w:rsid w:val="08FE67BC"/>
    <w:rsid w:val="0900512E"/>
    <w:rsid w:val="091B253A"/>
    <w:rsid w:val="095323EF"/>
    <w:rsid w:val="09617865"/>
    <w:rsid w:val="09BC3870"/>
    <w:rsid w:val="09CB08A8"/>
    <w:rsid w:val="09D83C22"/>
    <w:rsid w:val="09DD26C4"/>
    <w:rsid w:val="09EB0206"/>
    <w:rsid w:val="0A207B6A"/>
    <w:rsid w:val="0A212DC4"/>
    <w:rsid w:val="0A321B2F"/>
    <w:rsid w:val="0A3C2FF8"/>
    <w:rsid w:val="0A440EE2"/>
    <w:rsid w:val="0A442FC6"/>
    <w:rsid w:val="0A5C666F"/>
    <w:rsid w:val="0A6C0360"/>
    <w:rsid w:val="0A8050FD"/>
    <w:rsid w:val="0A807BE1"/>
    <w:rsid w:val="0AC02B81"/>
    <w:rsid w:val="0AE85AC8"/>
    <w:rsid w:val="0AEE16B2"/>
    <w:rsid w:val="0B081CCF"/>
    <w:rsid w:val="0B1247E5"/>
    <w:rsid w:val="0B1D0203"/>
    <w:rsid w:val="0B445C63"/>
    <w:rsid w:val="0B4877C7"/>
    <w:rsid w:val="0B4C6367"/>
    <w:rsid w:val="0B5F1B77"/>
    <w:rsid w:val="0B615E83"/>
    <w:rsid w:val="0B6A45AB"/>
    <w:rsid w:val="0B6F4B65"/>
    <w:rsid w:val="0B720E60"/>
    <w:rsid w:val="0BA049E9"/>
    <w:rsid w:val="0BA34615"/>
    <w:rsid w:val="0BBA5BBB"/>
    <w:rsid w:val="0BCA0DDD"/>
    <w:rsid w:val="0BD57933"/>
    <w:rsid w:val="0BEF2F28"/>
    <w:rsid w:val="0BF12E98"/>
    <w:rsid w:val="0C0F1C38"/>
    <w:rsid w:val="0C11795D"/>
    <w:rsid w:val="0C152235"/>
    <w:rsid w:val="0C200799"/>
    <w:rsid w:val="0C270B63"/>
    <w:rsid w:val="0C2B1794"/>
    <w:rsid w:val="0C4F3999"/>
    <w:rsid w:val="0C5F41E2"/>
    <w:rsid w:val="0C6B1F7D"/>
    <w:rsid w:val="0C7D0A60"/>
    <w:rsid w:val="0C9910B8"/>
    <w:rsid w:val="0C9E2876"/>
    <w:rsid w:val="0CA03088"/>
    <w:rsid w:val="0CA22C14"/>
    <w:rsid w:val="0CB36D4D"/>
    <w:rsid w:val="0CD81BE1"/>
    <w:rsid w:val="0D046427"/>
    <w:rsid w:val="0D267643"/>
    <w:rsid w:val="0D357BCB"/>
    <w:rsid w:val="0D48462F"/>
    <w:rsid w:val="0D543AC8"/>
    <w:rsid w:val="0D59797D"/>
    <w:rsid w:val="0D7415AB"/>
    <w:rsid w:val="0D7B1660"/>
    <w:rsid w:val="0D953B86"/>
    <w:rsid w:val="0DB56F4F"/>
    <w:rsid w:val="0DC57C4F"/>
    <w:rsid w:val="0DC84865"/>
    <w:rsid w:val="0DD75714"/>
    <w:rsid w:val="0DDD64A2"/>
    <w:rsid w:val="0DF75B9A"/>
    <w:rsid w:val="0E0228FF"/>
    <w:rsid w:val="0E220612"/>
    <w:rsid w:val="0E317F57"/>
    <w:rsid w:val="0E3B6182"/>
    <w:rsid w:val="0E3E08ED"/>
    <w:rsid w:val="0E623A8D"/>
    <w:rsid w:val="0E685614"/>
    <w:rsid w:val="0E6A6875"/>
    <w:rsid w:val="0E725B97"/>
    <w:rsid w:val="0E7556DE"/>
    <w:rsid w:val="0E7B3256"/>
    <w:rsid w:val="0E8457DE"/>
    <w:rsid w:val="0E8E68FD"/>
    <w:rsid w:val="0E9A6F2A"/>
    <w:rsid w:val="0EC06C2E"/>
    <w:rsid w:val="0EDF64BB"/>
    <w:rsid w:val="0EE86EE5"/>
    <w:rsid w:val="0F00618D"/>
    <w:rsid w:val="0F162A00"/>
    <w:rsid w:val="0F163FB5"/>
    <w:rsid w:val="0F2949AA"/>
    <w:rsid w:val="0F4D74A9"/>
    <w:rsid w:val="0F504514"/>
    <w:rsid w:val="0F563DE2"/>
    <w:rsid w:val="0F6674E4"/>
    <w:rsid w:val="0FB42576"/>
    <w:rsid w:val="0FC73841"/>
    <w:rsid w:val="0FCE757D"/>
    <w:rsid w:val="0FEB5AE1"/>
    <w:rsid w:val="0FEE7837"/>
    <w:rsid w:val="0FFB026F"/>
    <w:rsid w:val="10220FE3"/>
    <w:rsid w:val="10273C7E"/>
    <w:rsid w:val="104A5ED2"/>
    <w:rsid w:val="104D6255"/>
    <w:rsid w:val="1050598C"/>
    <w:rsid w:val="10527D17"/>
    <w:rsid w:val="10541BDE"/>
    <w:rsid w:val="10557F85"/>
    <w:rsid w:val="105A3688"/>
    <w:rsid w:val="10944FD2"/>
    <w:rsid w:val="10965B57"/>
    <w:rsid w:val="10975AA4"/>
    <w:rsid w:val="109945F0"/>
    <w:rsid w:val="10B90CC1"/>
    <w:rsid w:val="10C94545"/>
    <w:rsid w:val="10D6460D"/>
    <w:rsid w:val="10F20D97"/>
    <w:rsid w:val="110962B7"/>
    <w:rsid w:val="11097A4C"/>
    <w:rsid w:val="111F259E"/>
    <w:rsid w:val="111F5232"/>
    <w:rsid w:val="11241962"/>
    <w:rsid w:val="11252F1A"/>
    <w:rsid w:val="112814AC"/>
    <w:rsid w:val="11336BBA"/>
    <w:rsid w:val="1136674A"/>
    <w:rsid w:val="115411CB"/>
    <w:rsid w:val="115F642C"/>
    <w:rsid w:val="116511AC"/>
    <w:rsid w:val="1185746B"/>
    <w:rsid w:val="11905A27"/>
    <w:rsid w:val="119A38B4"/>
    <w:rsid w:val="119A3908"/>
    <w:rsid w:val="11A5685A"/>
    <w:rsid w:val="11AD135C"/>
    <w:rsid w:val="11B778B7"/>
    <w:rsid w:val="11C3225E"/>
    <w:rsid w:val="11C813B5"/>
    <w:rsid w:val="11D04827"/>
    <w:rsid w:val="120255E6"/>
    <w:rsid w:val="12375093"/>
    <w:rsid w:val="123A1002"/>
    <w:rsid w:val="12603305"/>
    <w:rsid w:val="1260352A"/>
    <w:rsid w:val="12607A0E"/>
    <w:rsid w:val="126329B0"/>
    <w:rsid w:val="128F3AA7"/>
    <w:rsid w:val="12AB2457"/>
    <w:rsid w:val="12B25E81"/>
    <w:rsid w:val="12BE7CFB"/>
    <w:rsid w:val="12DA6D03"/>
    <w:rsid w:val="12E21004"/>
    <w:rsid w:val="12EE0C10"/>
    <w:rsid w:val="13340090"/>
    <w:rsid w:val="135D5C87"/>
    <w:rsid w:val="138A09F2"/>
    <w:rsid w:val="13902C50"/>
    <w:rsid w:val="13A7AEC6"/>
    <w:rsid w:val="13C80F42"/>
    <w:rsid w:val="13C8323F"/>
    <w:rsid w:val="13D047EB"/>
    <w:rsid w:val="13DC7CBE"/>
    <w:rsid w:val="13E54EC3"/>
    <w:rsid w:val="13EA55E8"/>
    <w:rsid w:val="13FE54A6"/>
    <w:rsid w:val="13FF799E"/>
    <w:rsid w:val="14193033"/>
    <w:rsid w:val="142D0066"/>
    <w:rsid w:val="14411E19"/>
    <w:rsid w:val="14662EC3"/>
    <w:rsid w:val="146E56A0"/>
    <w:rsid w:val="14AB75AB"/>
    <w:rsid w:val="14B43F9D"/>
    <w:rsid w:val="14C20D51"/>
    <w:rsid w:val="14EE06E6"/>
    <w:rsid w:val="14F0250E"/>
    <w:rsid w:val="14F21311"/>
    <w:rsid w:val="14F670A8"/>
    <w:rsid w:val="14FE0980"/>
    <w:rsid w:val="150E2555"/>
    <w:rsid w:val="15235BEC"/>
    <w:rsid w:val="152D417A"/>
    <w:rsid w:val="152D6383"/>
    <w:rsid w:val="15394457"/>
    <w:rsid w:val="1544580C"/>
    <w:rsid w:val="1555339C"/>
    <w:rsid w:val="155D45D2"/>
    <w:rsid w:val="157C46C9"/>
    <w:rsid w:val="15D17E13"/>
    <w:rsid w:val="15D66ED9"/>
    <w:rsid w:val="15FD5FF7"/>
    <w:rsid w:val="16087D02"/>
    <w:rsid w:val="160C241D"/>
    <w:rsid w:val="16120462"/>
    <w:rsid w:val="161C2C4B"/>
    <w:rsid w:val="16223F94"/>
    <w:rsid w:val="163F775A"/>
    <w:rsid w:val="16580EF6"/>
    <w:rsid w:val="165B71B5"/>
    <w:rsid w:val="166833AC"/>
    <w:rsid w:val="167B3442"/>
    <w:rsid w:val="1681796F"/>
    <w:rsid w:val="168373DC"/>
    <w:rsid w:val="16926D15"/>
    <w:rsid w:val="16B424D3"/>
    <w:rsid w:val="16CA5F4D"/>
    <w:rsid w:val="16D84525"/>
    <w:rsid w:val="16E15577"/>
    <w:rsid w:val="16F639D7"/>
    <w:rsid w:val="16FA5577"/>
    <w:rsid w:val="170A7367"/>
    <w:rsid w:val="171B4C60"/>
    <w:rsid w:val="17287CB1"/>
    <w:rsid w:val="172C4A24"/>
    <w:rsid w:val="17481D0A"/>
    <w:rsid w:val="175221BE"/>
    <w:rsid w:val="17715B9E"/>
    <w:rsid w:val="177532A3"/>
    <w:rsid w:val="178B7049"/>
    <w:rsid w:val="17941226"/>
    <w:rsid w:val="1796247C"/>
    <w:rsid w:val="179B7A41"/>
    <w:rsid w:val="179D0CB1"/>
    <w:rsid w:val="17AE4D37"/>
    <w:rsid w:val="17B745F8"/>
    <w:rsid w:val="17BB2C13"/>
    <w:rsid w:val="17C00D98"/>
    <w:rsid w:val="17DE14ED"/>
    <w:rsid w:val="17F12716"/>
    <w:rsid w:val="180E5F8F"/>
    <w:rsid w:val="183936DE"/>
    <w:rsid w:val="183B1AC3"/>
    <w:rsid w:val="18496F03"/>
    <w:rsid w:val="185300C4"/>
    <w:rsid w:val="18976835"/>
    <w:rsid w:val="18AE77E2"/>
    <w:rsid w:val="18B502D3"/>
    <w:rsid w:val="18FC3F1D"/>
    <w:rsid w:val="19130410"/>
    <w:rsid w:val="1914013F"/>
    <w:rsid w:val="194567F2"/>
    <w:rsid w:val="194B4C86"/>
    <w:rsid w:val="195D708F"/>
    <w:rsid w:val="19651BF8"/>
    <w:rsid w:val="196533B7"/>
    <w:rsid w:val="196D233A"/>
    <w:rsid w:val="199302C7"/>
    <w:rsid w:val="19A773D9"/>
    <w:rsid w:val="19A82E33"/>
    <w:rsid w:val="19B539B2"/>
    <w:rsid w:val="19BB08C0"/>
    <w:rsid w:val="19C0290D"/>
    <w:rsid w:val="19DA7E6E"/>
    <w:rsid w:val="19DC5FA3"/>
    <w:rsid w:val="19FF62E5"/>
    <w:rsid w:val="1A367A00"/>
    <w:rsid w:val="1A3A40FB"/>
    <w:rsid w:val="1A3F7459"/>
    <w:rsid w:val="1A472B8C"/>
    <w:rsid w:val="1A4C19F4"/>
    <w:rsid w:val="1A7647E7"/>
    <w:rsid w:val="1AAB3EF6"/>
    <w:rsid w:val="1AAE1CBA"/>
    <w:rsid w:val="1AB350E2"/>
    <w:rsid w:val="1AC8249E"/>
    <w:rsid w:val="1AD66B48"/>
    <w:rsid w:val="1AE625E7"/>
    <w:rsid w:val="1AF4285D"/>
    <w:rsid w:val="1AFF2755"/>
    <w:rsid w:val="1B217891"/>
    <w:rsid w:val="1B223994"/>
    <w:rsid w:val="1B313C9B"/>
    <w:rsid w:val="1B47EA45"/>
    <w:rsid w:val="1B4924A4"/>
    <w:rsid w:val="1B4B5C4C"/>
    <w:rsid w:val="1B562590"/>
    <w:rsid w:val="1B5F637C"/>
    <w:rsid w:val="1B6A31E8"/>
    <w:rsid w:val="1B6B7ADC"/>
    <w:rsid w:val="1B770817"/>
    <w:rsid w:val="1B80312D"/>
    <w:rsid w:val="1B8730D6"/>
    <w:rsid w:val="1BAD7F87"/>
    <w:rsid w:val="1BCD36A7"/>
    <w:rsid w:val="1BDF4030"/>
    <w:rsid w:val="1BF806F8"/>
    <w:rsid w:val="1BFC4AC7"/>
    <w:rsid w:val="1C0D45FC"/>
    <w:rsid w:val="1C3D1FA6"/>
    <w:rsid w:val="1C4E55E6"/>
    <w:rsid w:val="1C5E230A"/>
    <w:rsid w:val="1C817B9F"/>
    <w:rsid w:val="1C877DEB"/>
    <w:rsid w:val="1CAC6DB0"/>
    <w:rsid w:val="1CBE5341"/>
    <w:rsid w:val="1CBF58D8"/>
    <w:rsid w:val="1CCB3614"/>
    <w:rsid w:val="1CDA65F5"/>
    <w:rsid w:val="1D013FED"/>
    <w:rsid w:val="1D042ECD"/>
    <w:rsid w:val="1D215592"/>
    <w:rsid w:val="1D253EFC"/>
    <w:rsid w:val="1D393A52"/>
    <w:rsid w:val="1D4F0D64"/>
    <w:rsid w:val="1D7352E0"/>
    <w:rsid w:val="1D802009"/>
    <w:rsid w:val="1D8B67E5"/>
    <w:rsid w:val="1D9C6312"/>
    <w:rsid w:val="1DA55579"/>
    <w:rsid w:val="1DA735F8"/>
    <w:rsid w:val="1DAC2A00"/>
    <w:rsid w:val="1DB0515B"/>
    <w:rsid w:val="1DCA61E1"/>
    <w:rsid w:val="1DCE20EE"/>
    <w:rsid w:val="1DCE7511"/>
    <w:rsid w:val="1DDF5C1D"/>
    <w:rsid w:val="1DE1245E"/>
    <w:rsid w:val="1DE627B1"/>
    <w:rsid w:val="1DEA41E8"/>
    <w:rsid w:val="1DF35498"/>
    <w:rsid w:val="1DF655C9"/>
    <w:rsid w:val="1E1278FC"/>
    <w:rsid w:val="1E15011B"/>
    <w:rsid w:val="1E154B6A"/>
    <w:rsid w:val="1E271599"/>
    <w:rsid w:val="1E2E1439"/>
    <w:rsid w:val="1E30165C"/>
    <w:rsid w:val="1E317744"/>
    <w:rsid w:val="1E3C4BBC"/>
    <w:rsid w:val="1E3C702F"/>
    <w:rsid w:val="1E546BED"/>
    <w:rsid w:val="1E6E7D5B"/>
    <w:rsid w:val="1E7D7557"/>
    <w:rsid w:val="1E9B4FE9"/>
    <w:rsid w:val="1EAA4E2B"/>
    <w:rsid w:val="1EAA60BD"/>
    <w:rsid w:val="1EB560FD"/>
    <w:rsid w:val="1EDC6399"/>
    <w:rsid w:val="1F0561DB"/>
    <w:rsid w:val="1F08738A"/>
    <w:rsid w:val="1F183CCC"/>
    <w:rsid w:val="1F1976B5"/>
    <w:rsid w:val="1F3B1562"/>
    <w:rsid w:val="1F5A3C7F"/>
    <w:rsid w:val="1F5D2DC6"/>
    <w:rsid w:val="1F5F7CA0"/>
    <w:rsid w:val="1F645BB6"/>
    <w:rsid w:val="1F686DF4"/>
    <w:rsid w:val="1F69617A"/>
    <w:rsid w:val="1F764475"/>
    <w:rsid w:val="1F775289"/>
    <w:rsid w:val="1F785043"/>
    <w:rsid w:val="1F7C48CD"/>
    <w:rsid w:val="1F823305"/>
    <w:rsid w:val="1F94704E"/>
    <w:rsid w:val="1F9FF65B"/>
    <w:rsid w:val="1FC22195"/>
    <w:rsid w:val="1FC733AF"/>
    <w:rsid w:val="1FCB2989"/>
    <w:rsid w:val="1FD062BB"/>
    <w:rsid w:val="1FDA55C4"/>
    <w:rsid w:val="1FEC4ABC"/>
    <w:rsid w:val="1FF21AB3"/>
    <w:rsid w:val="1FF7E278"/>
    <w:rsid w:val="1FFE2EF3"/>
    <w:rsid w:val="20013348"/>
    <w:rsid w:val="20041FAA"/>
    <w:rsid w:val="20074A2C"/>
    <w:rsid w:val="201D3A32"/>
    <w:rsid w:val="2020766D"/>
    <w:rsid w:val="2043516B"/>
    <w:rsid w:val="20480121"/>
    <w:rsid w:val="204C2871"/>
    <w:rsid w:val="20562900"/>
    <w:rsid w:val="20607ACB"/>
    <w:rsid w:val="207115C6"/>
    <w:rsid w:val="20764E4F"/>
    <w:rsid w:val="208745CC"/>
    <w:rsid w:val="209854B7"/>
    <w:rsid w:val="209871B6"/>
    <w:rsid w:val="209B4FA7"/>
    <w:rsid w:val="20DE4EDE"/>
    <w:rsid w:val="20EC5F2B"/>
    <w:rsid w:val="210D42DB"/>
    <w:rsid w:val="21233C69"/>
    <w:rsid w:val="21235044"/>
    <w:rsid w:val="21250ADE"/>
    <w:rsid w:val="213B1DC8"/>
    <w:rsid w:val="2160233F"/>
    <w:rsid w:val="21731A80"/>
    <w:rsid w:val="21843D65"/>
    <w:rsid w:val="21877BA1"/>
    <w:rsid w:val="21880766"/>
    <w:rsid w:val="21A92A1E"/>
    <w:rsid w:val="21CC3202"/>
    <w:rsid w:val="21D83489"/>
    <w:rsid w:val="21DC73B6"/>
    <w:rsid w:val="21EB11BF"/>
    <w:rsid w:val="21EB7D39"/>
    <w:rsid w:val="21EF6C3A"/>
    <w:rsid w:val="220529E0"/>
    <w:rsid w:val="220F0F5A"/>
    <w:rsid w:val="22381FFC"/>
    <w:rsid w:val="224C1334"/>
    <w:rsid w:val="22571B51"/>
    <w:rsid w:val="22625F2A"/>
    <w:rsid w:val="22635651"/>
    <w:rsid w:val="22636561"/>
    <w:rsid w:val="2270118A"/>
    <w:rsid w:val="22764103"/>
    <w:rsid w:val="22981F9C"/>
    <w:rsid w:val="22A50DD1"/>
    <w:rsid w:val="22B641F1"/>
    <w:rsid w:val="22C67910"/>
    <w:rsid w:val="22C745EF"/>
    <w:rsid w:val="22DA2ABA"/>
    <w:rsid w:val="22E551A7"/>
    <w:rsid w:val="230961F8"/>
    <w:rsid w:val="231B3691"/>
    <w:rsid w:val="233A6FB5"/>
    <w:rsid w:val="2361787B"/>
    <w:rsid w:val="23720081"/>
    <w:rsid w:val="23757308"/>
    <w:rsid w:val="23767606"/>
    <w:rsid w:val="23846033"/>
    <w:rsid w:val="23916F72"/>
    <w:rsid w:val="23B26890"/>
    <w:rsid w:val="23EA4205"/>
    <w:rsid w:val="23F9568A"/>
    <w:rsid w:val="240A5117"/>
    <w:rsid w:val="240B21EF"/>
    <w:rsid w:val="24135628"/>
    <w:rsid w:val="24236C43"/>
    <w:rsid w:val="242C3DBC"/>
    <w:rsid w:val="24443DC5"/>
    <w:rsid w:val="244B0A54"/>
    <w:rsid w:val="24613E12"/>
    <w:rsid w:val="247D4E2F"/>
    <w:rsid w:val="24912949"/>
    <w:rsid w:val="249F7859"/>
    <w:rsid w:val="24C809CC"/>
    <w:rsid w:val="24CC5600"/>
    <w:rsid w:val="24FC5C76"/>
    <w:rsid w:val="250E2F75"/>
    <w:rsid w:val="252E1F46"/>
    <w:rsid w:val="253C38B2"/>
    <w:rsid w:val="25420D70"/>
    <w:rsid w:val="256F340D"/>
    <w:rsid w:val="258B3006"/>
    <w:rsid w:val="2591110D"/>
    <w:rsid w:val="25A974FD"/>
    <w:rsid w:val="25AF5431"/>
    <w:rsid w:val="25C54AD8"/>
    <w:rsid w:val="25CA1D51"/>
    <w:rsid w:val="25D20619"/>
    <w:rsid w:val="26030548"/>
    <w:rsid w:val="261C7DF2"/>
    <w:rsid w:val="2637724E"/>
    <w:rsid w:val="2638286E"/>
    <w:rsid w:val="264D0715"/>
    <w:rsid w:val="26585DBB"/>
    <w:rsid w:val="265912DF"/>
    <w:rsid w:val="26673500"/>
    <w:rsid w:val="268547EA"/>
    <w:rsid w:val="2691571D"/>
    <w:rsid w:val="26933183"/>
    <w:rsid w:val="2697665E"/>
    <w:rsid w:val="269F1713"/>
    <w:rsid w:val="26C23FF5"/>
    <w:rsid w:val="26C82234"/>
    <w:rsid w:val="26D27C2D"/>
    <w:rsid w:val="26E46927"/>
    <w:rsid w:val="26EF1372"/>
    <w:rsid w:val="26EF40E8"/>
    <w:rsid w:val="26F02336"/>
    <w:rsid w:val="26F8053B"/>
    <w:rsid w:val="26FD3074"/>
    <w:rsid w:val="26FD49F4"/>
    <w:rsid w:val="27070CA1"/>
    <w:rsid w:val="271E1594"/>
    <w:rsid w:val="272E1912"/>
    <w:rsid w:val="275335A0"/>
    <w:rsid w:val="27A120BD"/>
    <w:rsid w:val="27A33991"/>
    <w:rsid w:val="27B75AA2"/>
    <w:rsid w:val="27D60126"/>
    <w:rsid w:val="27FD32DC"/>
    <w:rsid w:val="28075FC6"/>
    <w:rsid w:val="280A41A8"/>
    <w:rsid w:val="28397596"/>
    <w:rsid w:val="28707A67"/>
    <w:rsid w:val="2871100B"/>
    <w:rsid w:val="287C3B59"/>
    <w:rsid w:val="288B11F3"/>
    <w:rsid w:val="28943849"/>
    <w:rsid w:val="28A4719A"/>
    <w:rsid w:val="28B53785"/>
    <w:rsid w:val="28B906C0"/>
    <w:rsid w:val="28BB61E6"/>
    <w:rsid w:val="28C80F21"/>
    <w:rsid w:val="28CB21A2"/>
    <w:rsid w:val="28E02ADB"/>
    <w:rsid w:val="28F1279C"/>
    <w:rsid w:val="290A5ABC"/>
    <w:rsid w:val="290B2CB8"/>
    <w:rsid w:val="29304070"/>
    <w:rsid w:val="296B6BBA"/>
    <w:rsid w:val="29713486"/>
    <w:rsid w:val="29751076"/>
    <w:rsid w:val="298E088F"/>
    <w:rsid w:val="29A05EB5"/>
    <w:rsid w:val="29A32B13"/>
    <w:rsid w:val="29D70F50"/>
    <w:rsid w:val="29DA0519"/>
    <w:rsid w:val="29DC4010"/>
    <w:rsid w:val="29DF0BF3"/>
    <w:rsid w:val="29E75D62"/>
    <w:rsid w:val="2A514DFD"/>
    <w:rsid w:val="2A555ABC"/>
    <w:rsid w:val="2A865D6C"/>
    <w:rsid w:val="2A8820F8"/>
    <w:rsid w:val="2A914D3D"/>
    <w:rsid w:val="2A9669CD"/>
    <w:rsid w:val="2A9E47A7"/>
    <w:rsid w:val="2AA51687"/>
    <w:rsid w:val="2AA55C06"/>
    <w:rsid w:val="2AB23A66"/>
    <w:rsid w:val="2AC65D55"/>
    <w:rsid w:val="2ACD4D45"/>
    <w:rsid w:val="2AEC2931"/>
    <w:rsid w:val="2AEC7648"/>
    <w:rsid w:val="2B0B4625"/>
    <w:rsid w:val="2B1270B6"/>
    <w:rsid w:val="2B1E2F19"/>
    <w:rsid w:val="2B221FA8"/>
    <w:rsid w:val="2B2E3021"/>
    <w:rsid w:val="2B3A36BA"/>
    <w:rsid w:val="2B557A29"/>
    <w:rsid w:val="2B617CB7"/>
    <w:rsid w:val="2B9A4BEB"/>
    <w:rsid w:val="2BA054AC"/>
    <w:rsid w:val="2BA5117D"/>
    <w:rsid w:val="2BA660F3"/>
    <w:rsid w:val="2BAC7AA5"/>
    <w:rsid w:val="2BBB474F"/>
    <w:rsid w:val="2BBD0D23"/>
    <w:rsid w:val="2BC2145B"/>
    <w:rsid w:val="2BC55497"/>
    <w:rsid w:val="2BCA7BFE"/>
    <w:rsid w:val="2BD3745D"/>
    <w:rsid w:val="2BDF216D"/>
    <w:rsid w:val="2BFF520A"/>
    <w:rsid w:val="2C0A4D8F"/>
    <w:rsid w:val="2C0F477D"/>
    <w:rsid w:val="2C114EFC"/>
    <w:rsid w:val="2C2D4686"/>
    <w:rsid w:val="2C2F13AE"/>
    <w:rsid w:val="2C522220"/>
    <w:rsid w:val="2C5E1A1C"/>
    <w:rsid w:val="2C655ED9"/>
    <w:rsid w:val="2C67598B"/>
    <w:rsid w:val="2C784EAD"/>
    <w:rsid w:val="2CC226F3"/>
    <w:rsid w:val="2CC65AEC"/>
    <w:rsid w:val="2CCA4130"/>
    <w:rsid w:val="2CD26DA1"/>
    <w:rsid w:val="2CDE3600"/>
    <w:rsid w:val="2CFB1FBE"/>
    <w:rsid w:val="2D0B272F"/>
    <w:rsid w:val="2D1C121E"/>
    <w:rsid w:val="2D221E69"/>
    <w:rsid w:val="2D283F1A"/>
    <w:rsid w:val="2D3E1A80"/>
    <w:rsid w:val="2D55409B"/>
    <w:rsid w:val="2D5979AF"/>
    <w:rsid w:val="2D620D08"/>
    <w:rsid w:val="2D720219"/>
    <w:rsid w:val="2DA74344"/>
    <w:rsid w:val="2DCF12E9"/>
    <w:rsid w:val="2DF83A39"/>
    <w:rsid w:val="2DFD1E6E"/>
    <w:rsid w:val="2E2E5D1F"/>
    <w:rsid w:val="2E3F77CA"/>
    <w:rsid w:val="2E4D58E9"/>
    <w:rsid w:val="2E99793A"/>
    <w:rsid w:val="2EAA1A54"/>
    <w:rsid w:val="2EBE6780"/>
    <w:rsid w:val="2EBF41A3"/>
    <w:rsid w:val="2EC11995"/>
    <w:rsid w:val="2EEB67FF"/>
    <w:rsid w:val="2F40430A"/>
    <w:rsid w:val="2F52109B"/>
    <w:rsid w:val="2F7FF7C8"/>
    <w:rsid w:val="2F973FE0"/>
    <w:rsid w:val="2F9E23BE"/>
    <w:rsid w:val="2FB32043"/>
    <w:rsid w:val="2FDD4010"/>
    <w:rsid w:val="2FFB6AC1"/>
    <w:rsid w:val="30153CEA"/>
    <w:rsid w:val="30176FE2"/>
    <w:rsid w:val="30263E16"/>
    <w:rsid w:val="3031391C"/>
    <w:rsid w:val="306D4AC4"/>
    <w:rsid w:val="30732574"/>
    <w:rsid w:val="3084099C"/>
    <w:rsid w:val="308B2688"/>
    <w:rsid w:val="308B7312"/>
    <w:rsid w:val="3090230A"/>
    <w:rsid w:val="30B304DF"/>
    <w:rsid w:val="30FE57A0"/>
    <w:rsid w:val="310A1AE9"/>
    <w:rsid w:val="31137D5C"/>
    <w:rsid w:val="311F03C8"/>
    <w:rsid w:val="312A2939"/>
    <w:rsid w:val="312E32CE"/>
    <w:rsid w:val="3132522E"/>
    <w:rsid w:val="313A1850"/>
    <w:rsid w:val="31424616"/>
    <w:rsid w:val="31842302"/>
    <w:rsid w:val="318B746D"/>
    <w:rsid w:val="319C161A"/>
    <w:rsid w:val="31C173E9"/>
    <w:rsid w:val="31D2634F"/>
    <w:rsid w:val="31EC5C7C"/>
    <w:rsid w:val="31FF4014"/>
    <w:rsid w:val="32013E16"/>
    <w:rsid w:val="32052280"/>
    <w:rsid w:val="320A152A"/>
    <w:rsid w:val="322166EC"/>
    <w:rsid w:val="32395FEC"/>
    <w:rsid w:val="323D0D8E"/>
    <w:rsid w:val="326C2EC7"/>
    <w:rsid w:val="32A996AE"/>
    <w:rsid w:val="32B729F1"/>
    <w:rsid w:val="32BD79E5"/>
    <w:rsid w:val="32C963C0"/>
    <w:rsid w:val="32D8566D"/>
    <w:rsid w:val="32DD4815"/>
    <w:rsid w:val="32E63CE2"/>
    <w:rsid w:val="3300505F"/>
    <w:rsid w:val="33346287"/>
    <w:rsid w:val="334761B1"/>
    <w:rsid w:val="334A0ACE"/>
    <w:rsid w:val="33543A27"/>
    <w:rsid w:val="337906C2"/>
    <w:rsid w:val="337E4304"/>
    <w:rsid w:val="33816894"/>
    <w:rsid w:val="33866E36"/>
    <w:rsid w:val="338E7B26"/>
    <w:rsid w:val="33AC43F6"/>
    <w:rsid w:val="33BA52E9"/>
    <w:rsid w:val="33C63526"/>
    <w:rsid w:val="33D956B7"/>
    <w:rsid w:val="33E36D2A"/>
    <w:rsid w:val="34200C20"/>
    <w:rsid w:val="34246A76"/>
    <w:rsid w:val="34277FD4"/>
    <w:rsid w:val="343D0B83"/>
    <w:rsid w:val="34500675"/>
    <w:rsid w:val="346121E6"/>
    <w:rsid w:val="3466528F"/>
    <w:rsid w:val="3479242B"/>
    <w:rsid w:val="34802BC6"/>
    <w:rsid w:val="34B41245"/>
    <w:rsid w:val="34B94861"/>
    <w:rsid w:val="34C6455E"/>
    <w:rsid w:val="34CA0B0B"/>
    <w:rsid w:val="34CD7855"/>
    <w:rsid w:val="34E46CB7"/>
    <w:rsid w:val="34F729B8"/>
    <w:rsid w:val="35044A71"/>
    <w:rsid w:val="35110998"/>
    <w:rsid w:val="35207445"/>
    <w:rsid w:val="35212EA4"/>
    <w:rsid w:val="355035EF"/>
    <w:rsid w:val="3563644D"/>
    <w:rsid w:val="356F06AA"/>
    <w:rsid w:val="35782FF5"/>
    <w:rsid w:val="35887450"/>
    <w:rsid w:val="359B7B1C"/>
    <w:rsid w:val="35A67565"/>
    <w:rsid w:val="35B34330"/>
    <w:rsid w:val="35C11231"/>
    <w:rsid w:val="35D90D07"/>
    <w:rsid w:val="363D1E86"/>
    <w:rsid w:val="3646710F"/>
    <w:rsid w:val="364855D2"/>
    <w:rsid w:val="364F42E6"/>
    <w:rsid w:val="36524514"/>
    <w:rsid w:val="369D26E8"/>
    <w:rsid w:val="36A15B55"/>
    <w:rsid w:val="36A7C47C"/>
    <w:rsid w:val="36D54484"/>
    <w:rsid w:val="36D86A2A"/>
    <w:rsid w:val="36DD40C2"/>
    <w:rsid w:val="36E777CD"/>
    <w:rsid w:val="36F87C76"/>
    <w:rsid w:val="37273CB8"/>
    <w:rsid w:val="37450053"/>
    <w:rsid w:val="37573B0D"/>
    <w:rsid w:val="375A79A8"/>
    <w:rsid w:val="377FA488"/>
    <w:rsid w:val="37842594"/>
    <w:rsid w:val="379021A0"/>
    <w:rsid w:val="37C3396C"/>
    <w:rsid w:val="37C520CA"/>
    <w:rsid w:val="37D4032D"/>
    <w:rsid w:val="37DFF77E"/>
    <w:rsid w:val="37E73206"/>
    <w:rsid w:val="37EF0D06"/>
    <w:rsid w:val="37F36087"/>
    <w:rsid w:val="37FD2F69"/>
    <w:rsid w:val="37FE19CD"/>
    <w:rsid w:val="380A746A"/>
    <w:rsid w:val="38173F9E"/>
    <w:rsid w:val="38194E02"/>
    <w:rsid w:val="38470B67"/>
    <w:rsid w:val="384C4558"/>
    <w:rsid w:val="384D39EF"/>
    <w:rsid w:val="387B6E7E"/>
    <w:rsid w:val="38841B11"/>
    <w:rsid w:val="38892885"/>
    <w:rsid w:val="38BD5663"/>
    <w:rsid w:val="38BF7525"/>
    <w:rsid w:val="38C219E4"/>
    <w:rsid w:val="38DB2AC2"/>
    <w:rsid w:val="38E8503C"/>
    <w:rsid w:val="38EF6E17"/>
    <w:rsid w:val="38F726B7"/>
    <w:rsid w:val="391D5BEF"/>
    <w:rsid w:val="391E1E7A"/>
    <w:rsid w:val="3946342C"/>
    <w:rsid w:val="39551659"/>
    <w:rsid w:val="397A2E3B"/>
    <w:rsid w:val="3998131B"/>
    <w:rsid w:val="39992CEE"/>
    <w:rsid w:val="39A34764"/>
    <w:rsid w:val="39A50307"/>
    <w:rsid w:val="39B61A53"/>
    <w:rsid w:val="39CF34AC"/>
    <w:rsid w:val="39D375DA"/>
    <w:rsid w:val="39E855C0"/>
    <w:rsid w:val="39FC665F"/>
    <w:rsid w:val="3A1A77B0"/>
    <w:rsid w:val="3A2428FE"/>
    <w:rsid w:val="3A461B40"/>
    <w:rsid w:val="3A8613E7"/>
    <w:rsid w:val="3AA12D62"/>
    <w:rsid w:val="3AB30274"/>
    <w:rsid w:val="3AB331C1"/>
    <w:rsid w:val="3AB62DB5"/>
    <w:rsid w:val="3AC358B0"/>
    <w:rsid w:val="3AD259A1"/>
    <w:rsid w:val="3AD72494"/>
    <w:rsid w:val="3AEF1D20"/>
    <w:rsid w:val="3AF7721E"/>
    <w:rsid w:val="3B080AEA"/>
    <w:rsid w:val="3B0B531C"/>
    <w:rsid w:val="3B2C3654"/>
    <w:rsid w:val="3B494177"/>
    <w:rsid w:val="3B4B7DDB"/>
    <w:rsid w:val="3B537AC4"/>
    <w:rsid w:val="3B545E7B"/>
    <w:rsid w:val="3B5E1E81"/>
    <w:rsid w:val="3B765851"/>
    <w:rsid w:val="3B842131"/>
    <w:rsid w:val="3B9B6E62"/>
    <w:rsid w:val="3BB37766"/>
    <w:rsid w:val="3BB934F6"/>
    <w:rsid w:val="3BC1556D"/>
    <w:rsid w:val="3BD33666"/>
    <w:rsid w:val="3BD454DC"/>
    <w:rsid w:val="3BE4444F"/>
    <w:rsid w:val="3BF63A35"/>
    <w:rsid w:val="3C01043E"/>
    <w:rsid w:val="3C0A20E8"/>
    <w:rsid w:val="3C116F0F"/>
    <w:rsid w:val="3C2A1DBE"/>
    <w:rsid w:val="3C746B9E"/>
    <w:rsid w:val="3C7833CF"/>
    <w:rsid w:val="3C7A5BC5"/>
    <w:rsid w:val="3C7D23CD"/>
    <w:rsid w:val="3CAA4196"/>
    <w:rsid w:val="3CC8123B"/>
    <w:rsid w:val="3CDA605D"/>
    <w:rsid w:val="3CDB70DE"/>
    <w:rsid w:val="3CE24225"/>
    <w:rsid w:val="3CEA3D38"/>
    <w:rsid w:val="3D045EE6"/>
    <w:rsid w:val="3D304261"/>
    <w:rsid w:val="3D4A58EF"/>
    <w:rsid w:val="3D6C00EB"/>
    <w:rsid w:val="3D6D58F5"/>
    <w:rsid w:val="3D702C5A"/>
    <w:rsid w:val="3D7F5B7C"/>
    <w:rsid w:val="3D9321D8"/>
    <w:rsid w:val="3DA3607C"/>
    <w:rsid w:val="3DA74000"/>
    <w:rsid w:val="3DBB238D"/>
    <w:rsid w:val="3DCD6D3F"/>
    <w:rsid w:val="3DD651E6"/>
    <w:rsid w:val="3DE92899"/>
    <w:rsid w:val="3DE96E40"/>
    <w:rsid w:val="3DF07E49"/>
    <w:rsid w:val="3DF31AE4"/>
    <w:rsid w:val="3DFA1107"/>
    <w:rsid w:val="3E18158D"/>
    <w:rsid w:val="3E1932D9"/>
    <w:rsid w:val="3E32264F"/>
    <w:rsid w:val="3E4660FB"/>
    <w:rsid w:val="3E486D6F"/>
    <w:rsid w:val="3E4A178F"/>
    <w:rsid w:val="3E6C67AA"/>
    <w:rsid w:val="3E8863A1"/>
    <w:rsid w:val="3E9475F0"/>
    <w:rsid w:val="3EB8671E"/>
    <w:rsid w:val="3EE4146B"/>
    <w:rsid w:val="3EF26A86"/>
    <w:rsid w:val="3F1124A1"/>
    <w:rsid w:val="3F183B30"/>
    <w:rsid w:val="3F261A88"/>
    <w:rsid w:val="3F500F4E"/>
    <w:rsid w:val="3F7FF4CE"/>
    <w:rsid w:val="3F972FF1"/>
    <w:rsid w:val="3FA40ECD"/>
    <w:rsid w:val="3FB36D69"/>
    <w:rsid w:val="3FD01DB5"/>
    <w:rsid w:val="3FD96380"/>
    <w:rsid w:val="3FDC09DA"/>
    <w:rsid w:val="40144798"/>
    <w:rsid w:val="40160064"/>
    <w:rsid w:val="40181D19"/>
    <w:rsid w:val="40187A98"/>
    <w:rsid w:val="403D2738"/>
    <w:rsid w:val="40701293"/>
    <w:rsid w:val="40853C31"/>
    <w:rsid w:val="40AB610F"/>
    <w:rsid w:val="40B30DC3"/>
    <w:rsid w:val="40BC6BE2"/>
    <w:rsid w:val="40C26D6E"/>
    <w:rsid w:val="40D36688"/>
    <w:rsid w:val="40D93C52"/>
    <w:rsid w:val="40E829D4"/>
    <w:rsid w:val="40FE2B05"/>
    <w:rsid w:val="410A1FE6"/>
    <w:rsid w:val="411C4354"/>
    <w:rsid w:val="411C5557"/>
    <w:rsid w:val="417C1E33"/>
    <w:rsid w:val="41987C6E"/>
    <w:rsid w:val="419E29B4"/>
    <w:rsid w:val="41A40853"/>
    <w:rsid w:val="41A6671D"/>
    <w:rsid w:val="41AF6602"/>
    <w:rsid w:val="41D875F1"/>
    <w:rsid w:val="41E16D96"/>
    <w:rsid w:val="41EA2E34"/>
    <w:rsid w:val="41EB37AC"/>
    <w:rsid w:val="41F6765C"/>
    <w:rsid w:val="41F7233C"/>
    <w:rsid w:val="41FA23F0"/>
    <w:rsid w:val="41FE06F6"/>
    <w:rsid w:val="421A17F2"/>
    <w:rsid w:val="421A61AF"/>
    <w:rsid w:val="422229DB"/>
    <w:rsid w:val="42265F98"/>
    <w:rsid w:val="42546990"/>
    <w:rsid w:val="427D578B"/>
    <w:rsid w:val="428A7E0C"/>
    <w:rsid w:val="42AE119E"/>
    <w:rsid w:val="42B83507"/>
    <w:rsid w:val="42C74678"/>
    <w:rsid w:val="42CC74D0"/>
    <w:rsid w:val="42D5354C"/>
    <w:rsid w:val="42E5235A"/>
    <w:rsid w:val="42F560B0"/>
    <w:rsid w:val="430A310A"/>
    <w:rsid w:val="43284021"/>
    <w:rsid w:val="433169DA"/>
    <w:rsid w:val="433D3B02"/>
    <w:rsid w:val="43446933"/>
    <w:rsid w:val="43507E89"/>
    <w:rsid w:val="43757F79"/>
    <w:rsid w:val="43942ED3"/>
    <w:rsid w:val="43AA237A"/>
    <w:rsid w:val="43B474C5"/>
    <w:rsid w:val="43B839EB"/>
    <w:rsid w:val="43B864F2"/>
    <w:rsid w:val="441B66A3"/>
    <w:rsid w:val="442A4C48"/>
    <w:rsid w:val="442B4BD8"/>
    <w:rsid w:val="443D2366"/>
    <w:rsid w:val="443E18A1"/>
    <w:rsid w:val="44445A2C"/>
    <w:rsid w:val="444B0DE1"/>
    <w:rsid w:val="44507A88"/>
    <w:rsid w:val="44531B51"/>
    <w:rsid w:val="4453331F"/>
    <w:rsid w:val="445C7561"/>
    <w:rsid w:val="445E0880"/>
    <w:rsid w:val="448B3642"/>
    <w:rsid w:val="449053BE"/>
    <w:rsid w:val="44987445"/>
    <w:rsid w:val="44A358F9"/>
    <w:rsid w:val="44A665F1"/>
    <w:rsid w:val="44C52CE8"/>
    <w:rsid w:val="44D247AA"/>
    <w:rsid w:val="44D73878"/>
    <w:rsid w:val="44DE04F2"/>
    <w:rsid w:val="44EB382A"/>
    <w:rsid w:val="45081623"/>
    <w:rsid w:val="45262197"/>
    <w:rsid w:val="45327257"/>
    <w:rsid w:val="453D1D4A"/>
    <w:rsid w:val="454315E6"/>
    <w:rsid w:val="45577096"/>
    <w:rsid w:val="45780994"/>
    <w:rsid w:val="458A2D71"/>
    <w:rsid w:val="45903135"/>
    <w:rsid w:val="45B53A84"/>
    <w:rsid w:val="45D77EA2"/>
    <w:rsid w:val="46000FF6"/>
    <w:rsid w:val="4612E865"/>
    <w:rsid w:val="461E4E80"/>
    <w:rsid w:val="46284338"/>
    <w:rsid w:val="468872F7"/>
    <w:rsid w:val="46CA2BEE"/>
    <w:rsid w:val="46CF5F95"/>
    <w:rsid w:val="46D16F6D"/>
    <w:rsid w:val="46EB41EB"/>
    <w:rsid w:val="46EB42D7"/>
    <w:rsid w:val="46F52EA6"/>
    <w:rsid w:val="470073ED"/>
    <w:rsid w:val="471014C8"/>
    <w:rsid w:val="471F62BB"/>
    <w:rsid w:val="47285810"/>
    <w:rsid w:val="472A0F4D"/>
    <w:rsid w:val="47405AA9"/>
    <w:rsid w:val="474D7DEA"/>
    <w:rsid w:val="474E2ED8"/>
    <w:rsid w:val="475105C7"/>
    <w:rsid w:val="47583182"/>
    <w:rsid w:val="4790180B"/>
    <w:rsid w:val="479E2B56"/>
    <w:rsid w:val="47A518C0"/>
    <w:rsid w:val="47CB6406"/>
    <w:rsid w:val="47D02884"/>
    <w:rsid w:val="47EE7337"/>
    <w:rsid w:val="47F43FCB"/>
    <w:rsid w:val="47FF4255"/>
    <w:rsid w:val="482051F9"/>
    <w:rsid w:val="482F435B"/>
    <w:rsid w:val="48347E0B"/>
    <w:rsid w:val="4838434B"/>
    <w:rsid w:val="48496422"/>
    <w:rsid w:val="484E328B"/>
    <w:rsid w:val="48556125"/>
    <w:rsid w:val="48651E07"/>
    <w:rsid w:val="486754DF"/>
    <w:rsid w:val="48794B6C"/>
    <w:rsid w:val="487D485E"/>
    <w:rsid w:val="48BE6D0F"/>
    <w:rsid w:val="48C37200"/>
    <w:rsid w:val="48DD1B46"/>
    <w:rsid w:val="48E14E2D"/>
    <w:rsid w:val="48E852E0"/>
    <w:rsid w:val="491BCCDF"/>
    <w:rsid w:val="493017B1"/>
    <w:rsid w:val="49333D90"/>
    <w:rsid w:val="49350A4B"/>
    <w:rsid w:val="49552362"/>
    <w:rsid w:val="497A1012"/>
    <w:rsid w:val="497F1FE8"/>
    <w:rsid w:val="499D1389"/>
    <w:rsid w:val="49A86381"/>
    <w:rsid w:val="49AA0897"/>
    <w:rsid w:val="49B7064A"/>
    <w:rsid w:val="49B72A9C"/>
    <w:rsid w:val="49B842F4"/>
    <w:rsid w:val="49D51486"/>
    <w:rsid w:val="4A003FE9"/>
    <w:rsid w:val="4A032E3A"/>
    <w:rsid w:val="4A392BEC"/>
    <w:rsid w:val="4A4F2914"/>
    <w:rsid w:val="4A550BDA"/>
    <w:rsid w:val="4A7F2BE9"/>
    <w:rsid w:val="4A8156A7"/>
    <w:rsid w:val="4AAE0696"/>
    <w:rsid w:val="4AAE6DC8"/>
    <w:rsid w:val="4AB04D80"/>
    <w:rsid w:val="4ACD503A"/>
    <w:rsid w:val="4AE921A2"/>
    <w:rsid w:val="4AEF2B33"/>
    <w:rsid w:val="4AFC3310"/>
    <w:rsid w:val="4AFD1C26"/>
    <w:rsid w:val="4B01052D"/>
    <w:rsid w:val="4B0C115E"/>
    <w:rsid w:val="4B150627"/>
    <w:rsid w:val="4B176459"/>
    <w:rsid w:val="4B1F1850"/>
    <w:rsid w:val="4B2F3D6F"/>
    <w:rsid w:val="4B332EC2"/>
    <w:rsid w:val="4B3B666B"/>
    <w:rsid w:val="4B40126C"/>
    <w:rsid w:val="4B63653E"/>
    <w:rsid w:val="4B6D1D16"/>
    <w:rsid w:val="4B6D2F19"/>
    <w:rsid w:val="4B6E35D1"/>
    <w:rsid w:val="4B742735"/>
    <w:rsid w:val="4B800572"/>
    <w:rsid w:val="4B8137A8"/>
    <w:rsid w:val="4B9933E5"/>
    <w:rsid w:val="4B9D4F2C"/>
    <w:rsid w:val="4BB56A52"/>
    <w:rsid w:val="4BC41084"/>
    <w:rsid w:val="4BCD7D0B"/>
    <w:rsid w:val="4BED65CD"/>
    <w:rsid w:val="4C0257E7"/>
    <w:rsid w:val="4C0A72B9"/>
    <w:rsid w:val="4C1B0573"/>
    <w:rsid w:val="4C2D72F8"/>
    <w:rsid w:val="4C502F9B"/>
    <w:rsid w:val="4C787E88"/>
    <w:rsid w:val="4C7D6434"/>
    <w:rsid w:val="4C9A2375"/>
    <w:rsid w:val="4CAA0711"/>
    <w:rsid w:val="4CAC2D49"/>
    <w:rsid w:val="4CC009AD"/>
    <w:rsid w:val="4CE408EE"/>
    <w:rsid w:val="4CF00CD6"/>
    <w:rsid w:val="4D2910C1"/>
    <w:rsid w:val="4D2F64A5"/>
    <w:rsid w:val="4D3E44BC"/>
    <w:rsid w:val="4D461ADC"/>
    <w:rsid w:val="4D63319B"/>
    <w:rsid w:val="4D747821"/>
    <w:rsid w:val="4DA360E7"/>
    <w:rsid w:val="4DB7190B"/>
    <w:rsid w:val="4DC64783"/>
    <w:rsid w:val="4DCA45A2"/>
    <w:rsid w:val="4DD931AD"/>
    <w:rsid w:val="4DE90D34"/>
    <w:rsid w:val="4DEE54A7"/>
    <w:rsid w:val="4DFD14CB"/>
    <w:rsid w:val="4E0400B7"/>
    <w:rsid w:val="4E04490D"/>
    <w:rsid w:val="4E11518C"/>
    <w:rsid w:val="4E1753BE"/>
    <w:rsid w:val="4E183614"/>
    <w:rsid w:val="4E2A34C8"/>
    <w:rsid w:val="4E372DD7"/>
    <w:rsid w:val="4E3A1A62"/>
    <w:rsid w:val="4E3D5780"/>
    <w:rsid w:val="4E4B6991"/>
    <w:rsid w:val="4E5B12A7"/>
    <w:rsid w:val="4E6E5085"/>
    <w:rsid w:val="4E710C6F"/>
    <w:rsid w:val="4E7255AE"/>
    <w:rsid w:val="4E813A80"/>
    <w:rsid w:val="4E8E75EE"/>
    <w:rsid w:val="4EA474EE"/>
    <w:rsid w:val="4EAB5F49"/>
    <w:rsid w:val="4EB05C06"/>
    <w:rsid w:val="4EB147BA"/>
    <w:rsid w:val="4EB64A0E"/>
    <w:rsid w:val="4EC42650"/>
    <w:rsid w:val="4EC8490A"/>
    <w:rsid w:val="4EDA586A"/>
    <w:rsid w:val="4EE01C53"/>
    <w:rsid w:val="4EE56B91"/>
    <w:rsid w:val="4EE97817"/>
    <w:rsid w:val="4EEF746A"/>
    <w:rsid w:val="4F0E1D21"/>
    <w:rsid w:val="4F205805"/>
    <w:rsid w:val="4F275C0C"/>
    <w:rsid w:val="4F4617CE"/>
    <w:rsid w:val="4F477BE7"/>
    <w:rsid w:val="4F600861"/>
    <w:rsid w:val="4F7785D1"/>
    <w:rsid w:val="4F7C0D5D"/>
    <w:rsid w:val="4FCA0339"/>
    <w:rsid w:val="4FD5018E"/>
    <w:rsid w:val="4FDA1A9F"/>
    <w:rsid w:val="4FDD1582"/>
    <w:rsid w:val="4FDF5CAB"/>
    <w:rsid w:val="4FF942BB"/>
    <w:rsid w:val="4FFE4A87"/>
    <w:rsid w:val="4FFF435B"/>
    <w:rsid w:val="501D0414"/>
    <w:rsid w:val="5020420C"/>
    <w:rsid w:val="502445CE"/>
    <w:rsid w:val="50250358"/>
    <w:rsid w:val="503016DC"/>
    <w:rsid w:val="503E7D2D"/>
    <w:rsid w:val="50420089"/>
    <w:rsid w:val="504769A9"/>
    <w:rsid w:val="504D23D4"/>
    <w:rsid w:val="505518B5"/>
    <w:rsid w:val="50571643"/>
    <w:rsid w:val="505952AE"/>
    <w:rsid w:val="506C6CEC"/>
    <w:rsid w:val="508F6609"/>
    <w:rsid w:val="5091599D"/>
    <w:rsid w:val="50AC17BB"/>
    <w:rsid w:val="50B34D82"/>
    <w:rsid w:val="50B8238B"/>
    <w:rsid w:val="50B96E0E"/>
    <w:rsid w:val="50BE6BFD"/>
    <w:rsid w:val="50BF793C"/>
    <w:rsid w:val="50C546E6"/>
    <w:rsid w:val="50F80BA4"/>
    <w:rsid w:val="51137A93"/>
    <w:rsid w:val="51173A03"/>
    <w:rsid w:val="51192CAF"/>
    <w:rsid w:val="51270A60"/>
    <w:rsid w:val="513D08D8"/>
    <w:rsid w:val="51510D2A"/>
    <w:rsid w:val="51597488"/>
    <w:rsid w:val="5177108C"/>
    <w:rsid w:val="51A070FC"/>
    <w:rsid w:val="51B234F8"/>
    <w:rsid w:val="51D06C18"/>
    <w:rsid w:val="51D414AC"/>
    <w:rsid w:val="521555D1"/>
    <w:rsid w:val="521913BA"/>
    <w:rsid w:val="52206C5D"/>
    <w:rsid w:val="522A70ED"/>
    <w:rsid w:val="5255797F"/>
    <w:rsid w:val="525B6CEF"/>
    <w:rsid w:val="52645BD4"/>
    <w:rsid w:val="526A1C3E"/>
    <w:rsid w:val="526D025F"/>
    <w:rsid w:val="52744808"/>
    <w:rsid w:val="52881781"/>
    <w:rsid w:val="529A4FAD"/>
    <w:rsid w:val="52B41D71"/>
    <w:rsid w:val="52DD20EB"/>
    <w:rsid w:val="52E05A44"/>
    <w:rsid w:val="52E8717A"/>
    <w:rsid w:val="52EC1BD1"/>
    <w:rsid w:val="52FB3114"/>
    <w:rsid w:val="5318645A"/>
    <w:rsid w:val="534E733E"/>
    <w:rsid w:val="535168EB"/>
    <w:rsid w:val="535778B4"/>
    <w:rsid w:val="536B390D"/>
    <w:rsid w:val="537F1FA3"/>
    <w:rsid w:val="53AE4460"/>
    <w:rsid w:val="53B31919"/>
    <w:rsid w:val="53B34101"/>
    <w:rsid w:val="53C1077C"/>
    <w:rsid w:val="53C64AE7"/>
    <w:rsid w:val="53C812D9"/>
    <w:rsid w:val="53D02E0F"/>
    <w:rsid w:val="53F75081"/>
    <w:rsid w:val="53F97A4A"/>
    <w:rsid w:val="54071A30"/>
    <w:rsid w:val="541C798F"/>
    <w:rsid w:val="543D1818"/>
    <w:rsid w:val="544C0BBA"/>
    <w:rsid w:val="54747509"/>
    <w:rsid w:val="54A0038E"/>
    <w:rsid w:val="54A2695B"/>
    <w:rsid w:val="54C87E9C"/>
    <w:rsid w:val="54CE2AFA"/>
    <w:rsid w:val="54D508C5"/>
    <w:rsid w:val="54D538DD"/>
    <w:rsid w:val="54DE7155"/>
    <w:rsid w:val="54E12284"/>
    <w:rsid w:val="550603CC"/>
    <w:rsid w:val="55142657"/>
    <w:rsid w:val="55207C15"/>
    <w:rsid w:val="552E1437"/>
    <w:rsid w:val="553C3BFD"/>
    <w:rsid w:val="556B7A9B"/>
    <w:rsid w:val="557810E6"/>
    <w:rsid w:val="557821C2"/>
    <w:rsid w:val="557B441B"/>
    <w:rsid w:val="558E527D"/>
    <w:rsid w:val="55B16B36"/>
    <w:rsid w:val="55C72FB5"/>
    <w:rsid w:val="55CBBB18"/>
    <w:rsid w:val="55CD2D3D"/>
    <w:rsid w:val="55DA5C93"/>
    <w:rsid w:val="55EB2333"/>
    <w:rsid w:val="55FE4202"/>
    <w:rsid w:val="560374FB"/>
    <w:rsid w:val="561453BC"/>
    <w:rsid w:val="56325CFA"/>
    <w:rsid w:val="56387080"/>
    <w:rsid w:val="563A6457"/>
    <w:rsid w:val="56680EAC"/>
    <w:rsid w:val="56885AE2"/>
    <w:rsid w:val="56985A48"/>
    <w:rsid w:val="569B4A27"/>
    <w:rsid w:val="56AC1389"/>
    <w:rsid w:val="56C653B0"/>
    <w:rsid w:val="56D0778D"/>
    <w:rsid w:val="56E532E7"/>
    <w:rsid w:val="56EB1A50"/>
    <w:rsid w:val="56F76F41"/>
    <w:rsid w:val="56FEEA00"/>
    <w:rsid w:val="571274C7"/>
    <w:rsid w:val="571548F1"/>
    <w:rsid w:val="571903F8"/>
    <w:rsid w:val="572F0E3A"/>
    <w:rsid w:val="57390153"/>
    <w:rsid w:val="573A51E1"/>
    <w:rsid w:val="575710D7"/>
    <w:rsid w:val="57601DA1"/>
    <w:rsid w:val="5767551A"/>
    <w:rsid w:val="57680227"/>
    <w:rsid w:val="57784E8F"/>
    <w:rsid w:val="577E684A"/>
    <w:rsid w:val="578D7524"/>
    <w:rsid w:val="578E6BE2"/>
    <w:rsid w:val="57AA8A87"/>
    <w:rsid w:val="57AB6DAF"/>
    <w:rsid w:val="57B37401"/>
    <w:rsid w:val="57C1754D"/>
    <w:rsid w:val="57FC119A"/>
    <w:rsid w:val="58032313"/>
    <w:rsid w:val="58093A6D"/>
    <w:rsid w:val="581B50B1"/>
    <w:rsid w:val="58273B38"/>
    <w:rsid w:val="58407E7B"/>
    <w:rsid w:val="58506E64"/>
    <w:rsid w:val="58676F42"/>
    <w:rsid w:val="586C1DB4"/>
    <w:rsid w:val="58B247DE"/>
    <w:rsid w:val="58C549B8"/>
    <w:rsid w:val="58D0757D"/>
    <w:rsid w:val="590A458C"/>
    <w:rsid w:val="5930003B"/>
    <w:rsid w:val="59301B53"/>
    <w:rsid w:val="595F21D8"/>
    <w:rsid w:val="595F636A"/>
    <w:rsid w:val="597B7110"/>
    <w:rsid w:val="59877A9B"/>
    <w:rsid w:val="598E7F6E"/>
    <w:rsid w:val="5998623D"/>
    <w:rsid w:val="59996D6E"/>
    <w:rsid w:val="59AD7291"/>
    <w:rsid w:val="59B24CDC"/>
    <w:rsid w:val="59C11F78"/>
    <w:rsid w:val="59C654F0"/>
    <w:rsid w:val="59C82235"/>
    <w:rsid w:val="59CC5BC7"/>
    <w:rsid w:val="59D2396D"/>
    <w:rsid w:val="59E94C01"/>
    <w:rsid w:val="59F01099"/>
    <w:rsid w:val="5A0A04CC"/>
    <w:rsid w:val="5A520FEA"/>
    <w:rsid w:val="5A8720A7"/>
    <w:rsid w:val="5A990F55"/>
    <w:rsid w:val="5A9F6E0C"/>
    <w:rsid w:val="5AA2035D"/>
    <w:rsid w:val="5AB17215"/>
    <w:rsid w:val="5AB628C1"/>
    <w:rsid w:val="5AC84955"/>
    <w:rsid w:val="5AD267D5"/>
    <w:rsid w:val="5AEF7A42"/>
    <w:rsid w:val="5AF5778B"/>
    <w:rsid w:val="5B000528"/>
    <w:rsid w:val="5B2C724C"/>
    <w:rsid w:val="5B370563"/>
    <w:rsid w:val="5B396D04"/>
    <w:rsid w:val="5B53063D"/>
    <w:rsid w:val="5B5A4487"/>
    <w:rsid w:val="5B6643C2"/>
    <w:rsid w:val="5B9B8C95"/>
    <w:rsid w:val="5BA06FA6"/>
    <w:rsid w:val="5BA74225"/>
    <w:rsid w:val="5BB3262E"/>
    <w:rsid w:val="5BBF103E"/>
    <w:rsid w:val="5BC577B7"/>
    <w:rsid w:val="5BEE41EF"/>
    <w:rsid w:val="5C2277CD"/>
    <w:rsid w:val="5C235838"/>
    <w:rsid w:val="5C566F61"/>
    <w:rsid w:val="5C68052A"/>
    <w:rsid w:val="5C6A596D"/>
    <w:rsid w:val="5C6F39DA"/>
    <w:rsid w:val="5CB73B83"/>
    <w:rsid w:val="5CBF0C19"/>
    <w:rsid w:val="5CC359F6"/>
    <w:rsid w:val="5CC71F9C"/>
    <w:rsid w:val="5CF64414"/>
    <w:rsid w:val="5D013B08"/>
    <w:rsid w:val="5D0607CD"/>
    <w:rsid w:val="5D287B83"/>
    <w:rsid w:val="5D301FF8"/>
    <w:rsid w:val="5D3648D2"/>
    <w:rsid w:val="5D520BBA"/>
    <w:rsid w:val="5D6E6ADC"/>
    <w:rsid w:val="5D6F3AD6"/>
    <w:rsid w:val="5D7209DD"/>
    <w:rsid w:val="5D7B386B"/>
    <w:rsid w:val="5D866A48"/>
    <w:rsid w:val="5D8F6EFE"/>
    <w:rsid w:val="5D944335"/>
    <w:rsid w:val="5DAA03D6"/>
    <w:rsid w:val="5DC0337C"/>
    <w:rsid w:val="5DE27796"/>
    <w:rsid w:val="5DE3706A"/>
    <w:rsid w:val="5DE44E54"/>
    <w:rsid w:val="5DF254FF"/>
    <w:rsid w:val="5DF44155"/>
    <w:rsid w:val="5E0432C4"/>
    <w:rsid w:val="5E250615"/>
    <w:rsid w:val="5E2F05B0"/>
    <w:rsid w:val="5E63574A"/>
    <w:rsid w:val="5E660EC0"/>
    <w:rsid w:val="5E6709A7"/>
    <w:rsid w:val="5E68168B"/>
    <w:rsid w:val="5E7430FD"/>
    <w:rsid w:val="5E751C59"/>
    <w:rsid w:val="5E77596F"/>
    <w:rsid w:val="5E824AEF"/>
    <w:rsid w:val="5E831EED"/>
    <w:rsid w:val="5EA3463D"/>
    <w:rsid w:val="5EB37B75"/>
    <w:rsid w:val="5EB427B5"/>
    <w:rsid w:val="5ED33EAA"/>
    <w:rsid w:val="5ED625B3"/>
    <w:rsid w:val="5ED99D50"/>
    <w:rsid w:val="5EDCD1A3"/>
    <w:rsid w:val="5EEB596A"/>
    <w:rsid w:val="5F076D9A"/>
    <w:rsid w:val="5F275D50"/>
    <w:rsid w:val="5F315E14"/>
    <w:rsid w:val="5F4A529C"/>
    <w:rsid w:val="5F623E14"/>
    <w:rsid w:val="5F926F9A"/>
    <w:rsid w:val="5F955C7B"/>
    <w:rsid w:val="5F9B402D"/>
    <w:rsid w:val="5FAB74A6"/>
    <w:rsid w:val="5FB706B5"/>
    <w:rsid w:val="5FD3008D"/>
    <w:rsid w:val="5FDC7A97"/>
    <w:rsid w:val="5FF41797"/>
    <w:rsid w:val="600357A2"/>
    <w:rsid w:val="602C301C"/>
    <w:rsid w:val="604C140E"/>
    <w:rsid w:val="6066176E"/>
    <w:rsid w:val="607050C2"/>
    <w:rsid w:val="607B3470"/>
    <w:rsid w:val="60885CA7"/>
    <w:rsid w:val="608D10D0"/>
    <w:rsid w:val="60962B30"/>
    <w:rsid w:val="60A1028A"/>
    <w:rsid w:val="60B92304"/>
    <w:rsid w:val="60D01B21"/>
    <w:rsid w:val="60E26B1A"/>
    <w:rsid w:val="60F64D20"/>
    <w:rsid w:val="61181D7D"/>
    <w:rsid w:val="614076FE"/>
    <w:rsid w:val="61607697"/>
    <w:rsid w:val="61667D19"/>
    <w:rsid w:val="61716CEE"/>
    <w:rsid w:val="61750BC4"/>
    <w:rsid w:val="618B6FAD"/>
    <w:rsid w:val="618F0823"/>
    <w:rsid w:val="619E61FD"/>
    <w:rsid w:val="61AE61CC"/>
    <w:rsid w:val="61C1570C"/>
    <w:rsid w:val="61C379F2"/>
    <w:rsid w:val="61DC6C93"/>
    <w:rsid w:val="61E2093C"/>
    <w:rsid w:val="61E41AF8"/>
    <w:rsid w:val="6217286F"/>
    <w:rsid w:val="62245D48"/>
    <w:rsid w:val="6258410D"/>
    <w:rsid w:val="62586279"/>
    <w:rsid w:val="625A4988"/>
    <w:rsid w:val="62623837"/>
    <w:rsid w:val="627632CC"/>
    <w:rsid w:val="627F1007"/>
    <w:rsid w:val="628362D4"/>
    <w:rsid w:val="62935B2B"/>
    <w:rsid w:val="6298103A"/>
    <w:rsid w:val="62A43808"/>
    <w:rsid w:val="62AC7E14"/>
    <w:rsid w:val="62B0270A"/>
    <w:rsid w:val="62C04E29"/>
    <w:rsid w:val="62DD4049"/>
    <w:rsid w:val="62E513E3"/>
    <w:rsid w:val="62EA37E8"/>
    <w:rsid w:val="62F10032"/>
    <w:rsid w:val="62FDCDC1"/>
    <w:rsid w:val="631430A5"/>
    <w:rsid w:val="631471B4"/>
    <w:rsid w:val="63182B98"/>
    <w:rsid w:val="6327242C"/>
    <w:rsid w:val="633F699C"/>
    <w:rsid w:val="634B1075"/>
    <w:rsid w:val="635B22A4"/>
    <w:rsid w:val="635D7585"/>
    <w:rsid w:val="636571D9"/>
    <w:rsid w:val="63782D18"/>
    <w:rsid w:val="638805D7"/>
    <w:rsid w:val="63894210"/>
    <w:rsid w:val="638C77B8"/>
    <w:rsid w:val="639D7154"/>
    <w:rsid w:val="63C92DB3"/>
    <w:rsid w:val="63CD1390"/>
    <w:rsid w:val="63CF02CC"/>
    <w:rsid w:val="63CF77E6"/>
    <w:rsid w:val="63DC0D46"/>
    <w:rsid w:val="63E67F4B"/>
    <w:rsid w:val="63F315C5"/>
    <w:rsid w:val="63FC1162"/>
    <w:rsid w:val="640613C6"/>
    <w:rsid w:val="644B3B98"/>
    <w:rsid w:val="645E06F7"/>
    <w:rsid w:val="645E34AF"/>
    <w:rsid w:val="646F75EA"/>
    <w:rsid w:val="64753F00"/>
    <w:rsid w:val="647A62FF"/>
    <w:rsid w:val="648C220A"/>
    <w:rsid w:val="649B12A1"/>
    <w:rsid w:val="64A15950"/>
    <w:rsid w:val="64BE6346"/>
    <w:rsid w:val="64BF1228"/>
    <w:rsid w:val="64D66CC8"/>
    <w:rsid w:val="64E262CE"/>
    <w:rsid w:val="64E743F0"/>
    <w:rsid w:val="64F16B2E"/>
    <w:rsid w:val="65146547"/>
    <w:rsid w:val="651A104E"/>
    <w:rsid w:val="654B47DB"/>
    <w:rsid w:val="656657CF"/>
    <w:rsid w:val="6597539C"/>
    <w:rsid w:val="659B426E"/>
    <w:rsid w:val="65C36AC7"/>
    <w:rsid w:val="65C91E0B"/>
    <w:rsid w:val="65CF2E25"/>
    <w:rsid w:val="65D92236"/>
    <w:rsid w:val="65EE3015"/>
    <w:rsid w:val="65F51D11"/>
    <w:rsid w:val="65F82725"/>
    <w:rsid w:val="65F86AFE"/>
    <w:rsid w:val="66041355"/>
    <w:rsid w:val="66233DC3"/>
    <w:rsid w:val="662D4923"/>
    <w:rsid w:val="662F4420"/>
    <w:rsid w:val="66466EBB"/>
    <w:rsid w:val="66484D90"/>
    <w:rsid w:val="6653169A"/>
    <w:rsid w:val="665A7035"/>
    <w:rsid w:val="66796114"/>
    <w:rsid w:val="669F437B"/>
    <w:rsid w:val="66A2184D"/>
    <w:rsid w:val="66B67037"/>
    <w:rsid w:val="66B76B59"/>
    <w:rsid w:val="66D8362F"/>
    <w:rsid w:val="66FB1891"/>
    <w:rsid w:val="66FE2C0C"/>
    <w:rsid w:val="66FF5AE6"/>
    <w:rsid w:val="670C2E34"/>
    <w:rsid w:val="67261D48"/>
    <w:rsid w:val="67444946"/>
    <w:rsid w:val="674F19AC"/>
    <w:rsid w:val="676B07FC"/>
    <w:rsid w:val="677966C6"/>
    <w:rsid w:val="677A2258"/>
    <w:rsid w:val="67984605"/>
    <w:rsid w:val="679B221B"/>
    <w:rsid w:val="679F7FA8"/>
    <w:rsid w:val="67BF24B9"/>
    <w:rsid w:val="67C95B61"/>
    <w:rsid w:val="67D231F7"/>
    <w:rsid w:val="67EF5A6D"/>
    <w:rsid w:val="67F854FE"/>
    <w:rsid w:val="68091429"/>
    <w:rsid w:val="681F457E"/>
    <w:rsid w:val="68261404"/>
    <w:rsid w:val="682C6F90"/>
    <w:rsid w:val="68356C86"/>
    <w:rsid w:val="683A437C"/>
    <w:rsid w:val="68651DE7"/>
    <w:rsid w:val="68BFA5FD"/>
    <w:rsid w:val="68C82D6C"/>
    <w:rsid w:val="68E30937"/>
    <w:rsid w:val="68E50A6D"/>
    <w:rsid w:val="68E6641A"/>
    <w:rsid w:val="68FB795E"/>
    <w:rsid w:val="69041F26"/>
    <w:rsid w:val="691E4E61"/>
    <w:rsid w:val="69314333"/>
    <w:rsid w:val="69477723"/>
    <w:rsid w:val="69507FA1"/>
    <w:rsid w:val="69601EB7"/>
    <w:rsid w:val="69A16C2A"/>
    <w:rsid w:val="69A26180"/>
    <w:rsid w:val="69A452A3"/>
    <w:rsid w:val="69A5644B"/>
    <w:rsid w:val="69D84D1F"/>
    <w:rsid w:val="6A02676B"/>
    <w:rsid w:val="6A126AEE"/>
    <w:rsid w:val="6A177455"/>
    <w:rsid w:val="6A1E7827"/>
    <w:rsid w:val="6A2A0880"/>
    <w:rsid w:val="6A4478CC"/>
    <w:rsid w:val="6A4675D7"/>
    <w:rsid w:val="6A4D0118"/>
    <w:rsid w:val="6A526233"/>
    <w:rsid w:val="6A5D01A4"/>
    <w:rsid w:val="6A616D6F"/>
    <w:rsid w:val="6A660125"/>
    <w:rsid w:val="6A6A1A6D"/>
    <w:rsid w:val="6A6A777B"/>
    <w:rsid w:val="6A6F1098"/>
    <w:rsid w:val="6A8B67B2"/>
    <w:rsid w:val="6A906554"/>
    <w:rsid w:val="6A981362"/>
    <w:rsid w:val="6AA50870"/>
    <w:rsid w:val="6AA54025"/>
    <w:rsid w:val="6AA6753E"/>
    <w:rsid w:val="6AAE3BD5"/>
    <w:rsid w:val="6ABC7B79"/>
    <w:rsid w:val="6AD4435E"/>
    <w:rsid w:val="6ADF0F99"/>
    <w:rsid w:val="6AE3164C"/>
    <w:rsid w:val="6AE33E8E"/>
    <w:rsid w:val="6AEE1F0F"/>
    <w:rsid w:val="6B061D23"/>
    <w:rsid w:val="6B10503D"/>
    <w:rsid w:val="6B1C3EC6"/>
    <w:rsid w:val="6B254CAF"/>
    <w:rsid w:val="6B3611FB"/>
    <w:rsid w:val="6B511079"/>
    <w:rsid w:val="6B557B0C"/>
    <w:rsid w:val="6B572E46"/>
    <w:rsid w:val="6B685075"/>
    <w:rsid w:val="6BC54253"/>
    <w:rsid w:val="6BC613A3"/>
    <w:rsid w:val="6BE46AA6"/>
    <w:rsid w:val="6BF230D7"/>
    <w:rsid w:val="6BF92A4A"/>
    <w:rsid w:val="6C574393"/>
    <w:rsid w:val="6C5759A1"/>
    <w:rsid w:val="6C5925AB"/>
    <w:rsid w:val="6C6A4B6B"/>
    <w:rsid w:val="6C8D1652"/>
    <w:rsid w:val="6C952436"/>
    <w:rsid w:val="6C987241"/>
    <w:rsid w:val="6C9949B1"/>
    <w:rsid w:val="6CA6001D"/>
    <w:rsid w:val="6CAB6174"/>
    <w:rsid w:val="6CF37C96"/>
    <w:rsid w:val="6D017311"/>
    <w:rsid w:val="6D022B5D"/>
    <w:rsid w:val="6D134749"/>
    <w:rsid w:val="6D1549E4"/>
    <w:rsid w:val="6D154D50"/>
    <w:rsid w:val="6D245803"/>
    <w:rsid w:val="6D2B7402"/>
    <w:rsid w:val="6D2D2D5B"/>
    <w:rsid w:val="6D3A2750"/>
    <w:rsid w:val="6D484BCE"/>
    <w:rsid w:val="6D516C33"/>
    <w:rsid w:val="6D5E513B"/>
    <w:rsid w:val="6D8668BF"/>
    <w:rsid w:val="6D8C711B"/>
    <w:rsid w:val="6DA10849"/>
    <w:rsid w:val="6DAD4F96"/>
    <w:rsid w:val="6DBE3C1C"/>
    <w:rsid w:val="6DC66A8A"/>
    <w:rsid w:val="6DCB2DFD"/>
    <w:rsid w:val="6DD570F2"/>
    <w:rsid w:val="6DF32740"/>
    <w:rsid w:val="6DF608C8"/>
    <w:rsid w:val="6E07289A"/>
    <w:rsid w:val="6E1049BB"/>
    <w:rsid w:val="6E2F6877"/>
    <w:rsid w:val="6E4C33CE"/>
    <w:rsid w:val="6E521293"/>
    <w:rsid w:val="6E7F1B73"/>
    <w:rsid w:val="6E852A85"/>
    <w:rsid w:val="6E8C1058"/>
    <w:rsid w:val="6EB847CA"/>
    <w:rsid w:val="6EBF3631"/>
    <w:rsid w:val="6ED104F7"/>
    <w:rsid w:val="6EED40B8"/>
    <w:rsid w:val="6EF105B8"/>
    <w:rsid w:val="6F064DD8"/>
    <w:rsid w:val="6F13061C"/>
    <w:rsid w:val="6F1503F3"/>
    <w:rsid w:val="6F3816F9"/>
    <w:rsid w:val="6F3F0578"/>
    <w:rsid w:val="6F4C2C03"/>
    <w:rsid w:val="6F510285"/>
    <w:rsid w:val="6F55700D"/>
    <w:rsid w:val="6F6942A7"/>
    <w:rsid w:val="6F701892"/>
    <w:rsid w:val="6F7C4544"/>
    <w:rsid w:val="6F9140A8"/>
    <w:rsid w:val="6F9615F0"/>
    <w:rsid w:val="6FF86F86"/>
    <w:rsid w:val="6FFAC214"/>
    <w:rsid w:val="7019558D"/>
    <w:rsid w:val="7021432F"/>
    <w:rsid w:val="7029039C"/>
    <w:rsid w:val="7044637C"/>
    <w:rsid w:val="70500F50"/>
    <w:rsid w:val="705F20B5"/>
    <w:rsid w:val="70650B18"/>
    <w:rsid w:val="70853245"/>
    <w:rsid w:val="7096329C"/>
    <w:rsid w:val="70E4037A"/>
    <w:rsid w:val="70E87DC5"/>
    <w:rsid w:val="70FB519D"/>
    <w:rsid w:val="7100002B"/>
    <w:rsid w:val="71095B4B"/>
    <w:rsid w:val="711546E4"/>
    <w:rsid w:val="71330CDE"/>
    <w:rsid w:val="7142022B"/>
    <w:rsid w:val="714D127C"/>
    <w:rsid w:val="71666473"/>
    <w:rsid w:val="71B73AB7"/>
    <w:rsid w:val="71BE59CD"/>
    <w:rsid w:val="71CF1396"/>
    <w:rsid w:val="71D61D26"/>
    <w:rsid w:val="71DD6943"/>
    <w:rsid w:val="71E126E7"/>
    <w:rsid w:val="71FF94E4"/>
    <w:rsid w:val="72016C79"/>
    <w:rsid w:val="72320B0A"/>
    <w:rsid w:val="726117EB"/>
    <w:rsid w:val="7273017D"/>
    <w:rsid w:val="7280291B"/>
    <w:rsid w:val="7283567E"/>
    <w:rsid w:val="728D3540"/>
    <w:rsid w:val="729C3858"/>
    <w:rsid w:val="72A647BC"/>
    <w:rsid w:val="72A76976"/>
    <w:rsid w:val="72B132EC"/>
    <w:rsid w:val="72C23135"/>
    <w:rsid w:val="72C836D4"/>
    <w:rsid w:val="72DF6D9B"/>
    <w:rsid w:val="731955B0"/>
    <w:rsid w:val="73216B98"/>
    <w:rsid w:val="732C01B5"/>
    <w:rsid w:val="732E6D46"/>
    <w:rsid w:val="733D44DB"/>
    <w:rsid w:val="734B71CE"/>
    <w:rsid w:val="73543548"/>
    <w:rsid w:val="737C4A84"/>
    <w:rsid w:val="7397616E"/>
    <w:rsid w:val="73B9077F"/>
    <w:rsid w:val="73DC5D2B"/>
    <w:rsid w:val="73FFD5C4"/>
    <w:rsid w:val="7418018A"/>
    <w:rsid w:val="74223F7C"/>
    <w:rsid w:val="742B1A06"/>
    <w:rsid w:val="74323124"/>
    <w:rsid w:val="744A2B6B"/>
    <w:rsid w:val="74546524"/>
    <w:rsid w:val="746A214D"/>
    <w:rsid w:val="74BD796F"/>
    <w:rsid w:val="74D26794"/>
    <w:rsid w:val="74F47A21"/>
    <w:rsid w:val="75086ADE"/>
    <w:rsid w:val="7511518E"/>
    <w:rsid w:val="7540614A"/>
    <w:rsid w:val="7587489F"/>
    <w:rsid w:val="75BA5482"/>
    <w:rsid w:val="75C24164"/>
    <w:rsid w:val="75C716AF"/>
    <w:rsid w:val="75EBBA79"/>
    <w:rsid w:val="7609076D"/>
    <w:rsid w:val="76204F57"/>
    <w:rsid w:val="7626390E"/>
    <w:rsid w:val="764959E1"/>
    <w:rsid w:val="76585B46"/>
    <w:rsid w:val="768825B8"/>
    <w:rsid w:val="768D2C9B"/>
    <w:rsid w:val="768E1616"/>
    <w:rsid w:val="768E20BA"/>
    <w:rsid w:val="76B8473A"/>
    <w:rsid w:val="76BD56C3"/>
    <w:rsid w:val="76C8243D"/>
    <w:rsid w:val="76D86260"/>
    <w:rsid w:val="76DD1CA4"/>
    <w:rsid w:val="76ED5F8C"/>
    <w:rsid w:val="77103714"/>
    <w:rsid w:val="77205BA2"/>
    <w:rsid w:val="7732288E"/>
    <w:rsid w:val="77442F62"/>
    <w:rsid w:val="774C00C2"/>
    <w:rsid w:val="77516B93"/>
    <w:rsid w:val="776C2427"/>
    <w:rsid w:val="7770141D"/>
    <w:rsid w:val="778E413F"/>
    <w:rsid w:val="77D2720E"/>
    <w:rsid w:val="77E656B0"/>
    <w:rsid w:val="77F16938"/>
    <w:rsid w:val="77F24A1D"/>
    <w:rsid w:val="77F5F097"/>
    <w:rsid w:val="77FB68EA"/>
    <w:rsid w:val="78006D3F"/>
    <w:rsid w:val="782B0C40"/>
    <w:rsid w:val="783054A1"/>
    <w:rsid w:val="783B7D77"/>
    <w:rsid w:val="783D70B7"/>
    <w:rsid w:val="784400DC"/>
    <w:rsid w:val="784455A5"/>
    <w:rsid w:val="785B5CA8"/>
    <w:rsid w:val="786B5B34"/>
    <w:rsid w:val="78757DBE"/>
    <w:rsid w:val="788A0371"/>
    <w:rsid w:val="78BE62B2"/>
    <w:rsid w:val="78C74263"/>
    <w:rsid w:val="78D73D6F"/>
    <w:rsid w:val="79164A90"/>
    <w:rsid w:val="79574BDF"/>
    <w:rsid w:val="795B1D53"/>
    <w:rsid w:val="795F26E2"/>
    <w:rsid w:val="795F6720"/>
    <w:rsid w:val="7967510A"/>
    <w:rsid w:val="796C10F2"/>
    <w:rsid w:val="79737D2F"/>
    <w:rsid w:val="797E1437"/>
    <w:rsid w:val="797F0BB5"/>
    <w:rsid w:val="79884DF6"/>
    <w:rsid w:val="79AD7B13"/>
    <w:rsid w:val="79AF10A0"/>
    <w:rsid w:val="79C838FD"/>
    <w:rsid w:val="79DC5C4C"/>
    <w:rsid w:val="79DD6CCC"/>
    <w:rsid w:val="79FC640A"/>
    <w:rsid w:val="79FE80C3"/>
    <w:rsid w:val="79FFACC4"/>
    <w:rsid w:val="7A262361"/>
    <w:rsid w:val="7A37631C"/>
    <w:rsid w:val="7A48098D"/>
    <w:rsid w:val="7A510AAB"/>
    <w:rsid w:val="7A71345F"/>
    <w:rsid w:val="7A813A3B"/>
    <w:rsid w:val="7A85DC6C"/>
    <w:rsid w:val="7A8A45A8"/>
    <w:rsid w:val="7AA00DEB"/>
    <w:rsid w:val="7AB81A37"/>
    <w:rsid w:val="7AC96BBD"/>
    <w:rsid w:val="7AF1471D"/>
    <w:rsid w:val="7B3379EA"/>
    <w:rsid w:val="7B452CBB"/>
    <w:rsid w:val="7B845E1A"/>
    <w:rsid w:val="7B931077"/>
    <w:rsid w:val="7B9C1533"/>
    <w:rsid w:val="7BA82956"/>
    <w:rsid w:val="7BCD1CE5"/>
    <w:rsid w:val="7BCE4803"/>
    <w:rsid w:val="7BD824F3"/>
    <w:rsid w:val="7BE2114E"/>
    <w:rsid w:val="7BE671F4"/>
    <w:rsid w:val="7BF4681D"/>
    <w:rsid w:val="7BF5CEA7"/>
    <w:rsid w:val="7C02343D"/>
    <w:rsid w:val="7C092E75"/>
    <w:rsid w:val="7C10780F"/>
    <w:rsid w:val="7C2640C9"/>
    <w:rsid w:val="7C2A5CBD"/>
    <w:rsid w:val="7C3E08DF"/>
    <w:rsid w:val="7C4A13EF"/>
    <w:rsid w:val="7C4A6E7C"/>
    <w:rsid w:val="7C6764A2"/>
    <w:rsid w:val="7C744059"/>
    <w:rsid w:val="7C76530D"/>
    <w:rsid w:val="7C911938"/>
    <w:rsid w:val="7CB0557B"/>
    <w:rsid w:val="7CD32459"/>
    <w:rsid w:val="7CE2738E"/>
    <w:rsid w:val="7CE36A9B"/>
    <w:rsid w:val="7CF82DF2"/>
    <w:rsid w:val="7CFAC80D"/>
    <w:rsid w:val="7D080C02"/>
    <w:rsid w:val="7D0D64C9"/>
    <w:rsid w:val="7D101122"/>
    <w:rsid w:val="7D2963E1"/>
    <w:rsid w:val="7D3BBBCF"/>
    <w:rsid w:val="7D52237B"/>
    <w:rsid w:val="7D571A38"/>
    <w:rsid w:val="7D67B6A1"/>
    <w:rsid w:val="7D79B806"/>
    <w:rsid w:val="7D7C2F2E"/>
    <w:rsid w:val="7D8C77F5"/>
    <w:rsid w:val="7D8F3A55"/>
    <w:rsid w:val="7D930A39"/>
    <w:rsid w:val="7DB3030A"/>
    <w:rsid w:val="7DBC08BC"/>
    <w:rsid w:val="7DBE3A17"/>
    <w:rsid w:val="7DE078D4"/>
    <w:rsid w:val="7DEA3FC2"/>
    <w:rsid w:val="7DED48EA"/>
    <w:rsid w:val="7DFE8B0B"/>
    <w:rsid w:val="7E082EC6"/>
    <w:rsid w:val="7E123CE8"/>
    <w:rsid w:val="7E1F3C97"/>
    <w:rsid w:val="7E3E6C5A"/>
    <w:rsid w:val="7E5F1C7A"/>
    <w:rsid w:val="7E633922"/>
    <w:rsid w:val="7E7229A1"/>
    <w:rsid w:val="7E7B5986"/>
    <w:rsid w:val="7E8B2878"/>
    <w:rsid w:val="7E9F1CB2"/>
    <w:rsid w:val="7EA1013F"/>
    <w:rsid w:val="7EA837BC"/>
    <w:rsid w:val="7EB260E3"/>
    <w:rsid w:val="7EC56ACC"/>
    <w:rsid w:val="7ECE18A3"/>
    <w:rsid w:val="7EF679BC"/>
    <w:rsid w:val="7EF9F6FB"/>
    <w:rsid w:val="7EFD217F"/>
    <w:rsid w:val="7F0F6E3F"/>
    <w:rsid w:val="7F1709A4"/>
    <w:rsid w:val="7F194FF9"/>
    <w:rsid w:val="7F261CDF"/>
    <w:rsid w:val="7F394685"/>
    <w:rsid w:val="7F4734A5"/>
    <w:rsid w:val="7F479F55"/>
    <w:rsid w:val="7F582E59"/>
    <w:rsid w:val="7F63D03D"/>
    <w:rsid w:val="7F6640B4"/>
    <w:rsid w:val="7F6B6EE8"/>
    <w:rsid w:val="7F6D6ECF"/>
    <w:rsid w:val="7F712A0F"/>
    <w:rsid w:val="7F756CC9"/>
    <w:rsid w:val="7F793AE6"/>
    <w:rsid w:val="7F915899"/>
    <w:rsid w:val="7F9F4924"/>
    <w:rsid w:val="7FBF4563"/>
    <w:rsid w:val="7FDF0DD7"/>
    <w:rsid w:val="7FDF53F2"/>
    <w:rsid w:val="7FEAFB12"/>
    <w:rsid w:val="7FF53FDB"/>
    <w:rsid w:val="7FFC5A55"/>
    <w:rsid w:val="7FFF3B7F"/>
    <w:rsid w:val="7FFFC14E"/>
    <w:rsid w:val="89594A4E"/>
    <w:rsid w:val="8FF77A49"/>
    <w:rsid w:val="9B5770A6"/>
    <w:rsid w:val="9DE5B8BE"/>
    <w:rsid w:val="9DED66E1"/>
    <w:rsid w:val="A7FFDC9D"/>
    <w:rsid w:val="ABEB34DF"/>
    <w:rsid w:val="AC528A3A"/>
    <w:rsid w:val="AFFB7EFD"/>
    <w:rsid w:val="B1A0602D"/>
    <w:rsid w:val="BADFD463"/>
    <w:rsid w:val="BEFDC596"/>
    <w:rsid w:val="C1DF49EB"/>
    <w:rsid w:val="C52E53A5"/>
    <w:rsid w:val="CFE7F8F6"/>
    <w:rsid w:val="D6F54084"/>
    <w:rsid w:val="DCDF40DA"/>
    <w:rsid w:val="DDD76DDA"/>
    <w:rsid w:val="DEBFECC5"/>
    <w:rsid w:val="E4FBB683"/>
    <w:rsid w:val="E6FFB973"/>
    <w:rsid w:val="E7FF6423"/>
    <w:rsid w:val="ED8BA5B5"/>
    <w:rsid w:val="EF7BAF2E"/>
    <w:rsid w:val="EF9EE842"/>
    <w:rsid w:val="F3EF18CD"/>
    <w:rsid w:val="F56E340D"/>
    <w:rsid w:val="F6B91181"/>
    <w:rsid w:val="F776E64F"/>
    <w:rsid w:val="F7AFB875"/>
    <w:rsid w:val="F7AFEF57"/>
    <w:rsid w:val="F9676802"/>
    <w:rsid w:val="F9EF7FEA"/>
    <w:rsid w:val="FAED0143"/>
    <w:rsid w:val="FAFF7DFB"/>
    <w:rsid w:val="FBB3E8EB"/>
    <w:rsid w:val="FBDBD7A8"/>
    <w:rsid w:val="FD3CCA76"/>
    <w:rsid w:val="FD7E69A9"/>
    <w:rsid w:val="FEC3C739"/>
    <w:rsid w:val="FECF733E"/>
    <w:rsid w:val="FEDF26A6"/>
    <w:rsid w:val="FEFEA313"/>
    <w:rsid w:val="FF9B9CFC"/>
    <w:rsid w:val="FFBF6489"/>
    <w:rsid w:val="FFBFCF9F"/>
    <w:rsid w:val="FFD9076D"/>
    <w:rsid w:val="FFDF5A78"/>
    <w:rsid w:val="FFDF63CB"/>
    <w:rsid w:val="FFEFBB05"/>
    <w:rsid w:val="FFF7DE47"/>
    <w:rsid w:val="FFFB7CC8"/>
    <w:rsid w:val="FFFECDEB"/>
    <w:rsid w:val="FFFF53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39"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0"/>
    <w:pPr>
      <w:spacing w:before="100" w:beforeAutospacing="1" w:after="100" w:afterAutospacing="1"/>
      <w:jc w:val="left"/>
      <w:outlineLvl w:val="0"/>
    </w:pPr>
    <w:rPr>
      <w:rFonts w:hint="eastAsia" w:ascii="宋体" w:hAnsi="宋体"/>
      <w:b/>
      <w:kern w:val="44"/>
      <w:sz w:val="48"/>
      <w:szCs w:val="48"/>
    </w:rPr>
  </w:style>
  <w:style w:type="paragraph" w:styleId="4">
    <w:name w:val="heading 2"/>
    <w:basedOn w:val="1"/>
    <w:next w:val="1"/>
    <w:autoRedefine/>
    <w:qFormat/>
    <w:uiPriority w:val="0"/>
    <w:pPr>
      <w:keepNext/>
      <w:keepLines/>
      <w:spacing w:before="260" w:after="260" w:line="413" w:lineRule="auto"/>
      <w:outlineLvl w:val="1"/>
    </w:pPr>
    <w:rPr>
      <w:rFonts w:ascii="Arial" w:hAnsi="Arial" w:eastAsia="黑体"/>
      <w:b/>
      <w:bCs/>
      <w:sz w:val="32"/>
      <w:szCs w:val="32"/>
    </w:rPr>
  </w:style>
  <w:style w:type="paragraph" w:styleId="5">
    <w:name w:val="heading 3"/>
    <w:basedOn w:val="1"/>
    <w:next w:val="1"/>
    <w:autoRedefine/>
    <w:qFormat/>
    <w:uiPriority w:val="0"/>
    <w:pPr>
      <w:keepNext/>
      <w:keepLines/>
      <w:spacing w:line="600" w:lineRule="exact"/>
      <w:ind w:firstLine="643" w:firstLineChars="200"/>
      <w:outlineLvl w:val="2"/>
    </w:pPr>
    <w:rPr>
      <w:b/>
      <w:bCs/>
      <w:sz w:val="32"/>
      <w:szCs w:val="32"/>
    </w:rPr>
  </w:style>
  <w:style w:type="paragraph" w:styleId="6">
    <w:name w:val="heading 4"/>
    <w:basedOn w:val="1"/>
    <w:next w:val="1"/>
    <w:autoRedefine/>
    <w:qFormat/>
    <w:uiPriority w:val="0"/>
    <w:pPr>
      <w:tabs>
        <w:tab w:val="left" w:pos="2155"/>
      </w:tabs>
      <w:adjustRightInd w:val="0"/>
      <w:spacing w:before="120" w:line="360" w:lineRule="auto"/>
      <w:ind w:left="2155" w:hanging="1078"/>
      <w:textAlignment w:val="baseline"/>
      <w:outlineLvl w:val="3"/>
    </w:pPr>
    <w:rPr>
      <w:rFonts w:ascii="Arial" w:eastAsia="黑体"/>
      <w:kern w:val="0"/>
      <w:sz w:val="28"/>
      <w:szCs w:val="20"/>
    </w:rPr>
  </w:style>
  <w:style w:type="paragraph" w:styleId="7">
    <w:name w:val="heading 5"/>
    <w:basedOn w:val="1"/>
    <w:next w:val="8"/>
    <w:autoRedefine/>
    <w:qFormat/>
    <w:uiPriority w:val="0"/>
    <w:pPr>
      <w:keepNext/>
      <w:keepLines/>
      <w:spacing w:before="280" w:after="290" w:line="376" w:lineRule="auto"/>
      <w:outlineLvl w:val="4"/>
    </w:pPr>
    <w:rPr>
      <w:b/>
      <w:bCs/>
      <w:sz w:val="28"/>
      <w:szCs w:val="28"/>
    </w:rPr>
  </w:style>
  <w:style w:type="character" w:default="1" w:styleId="29">
    <w:name w:val="Default Paragraph Font"/>
    <w:autoRedefine/>
    <w:semiHidden/>
    <w:unhideWhenUsed/>
    <w:qFormat/>
    <w:uiPriority w:val="1"/>
  </w:style>
  <w:style w:type="table" w:default="1" w:styleId="2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0"/>
    <w:pPr>
      <w:spacing w:after="120"/>
    </w:pPr>
  </w:style>
  <w:style w:type="paragraph" w:styleId="8">
    <w:name w:val="Normal Indent"/>
    <w:basedOn w:val="1"/>
    <w:autoRedefine/>
    <w:qFormat/>
    <w:uiPriority w:val="0"/>
    <w:pPr>
      <w:ind w:firstLine="420"/>
    </w:pPr>
    <w:rPr>
      <w:szCs w:val="20"/>
    </w:rPr>
  </w:style>
  <w:style w:type="paragraph" w:styleId="9">
    <w:name w:val="toc 7"/>
    <w:basedOn w:val="1"/>
    <w:next w:val="1"/>
    <w:autoRedefine/>
    <w:qFormat/>
    <w:uiPriority w:val="39"/>
    <w:pPr>
      <w:tabs>
        <w:tab w:val="right" w:leader="dot" w:pos="9185"/>
      </w:tabs>
      <w:spacing w:line="312" w:lineRule="atLeast"/>
      <w:ind w:left="2520"/>
    </w:pPr>
    <w:rPr>
      <w:rFonts w:ascii="Verdana" w:hAnsi="Verdana"/>
      <w:kern w:val="0"/>
      <w:szCs w:val="20"/>
    </w:rPr>
  </w:style>
  <w:style w:type="paragraph" w:styleId="10">
    <w:name w:val="index 8"/>
    <w:basedOn w:val="1"/>
    <w:next w:val="1"/>
    <w:autoRedefine/>
    <w:qFormat/>
    <w:uiPriority w:val="0"/>
    <w:pPr>
      <w:ind w:left="2940"/>
    </w:pPr>
  </w:style>
  <w:style w:type="paragraph" w:styleId="11">
    <w:name w:val="annotation text"/>
    <w:basedOn w:val="1"/>
    <w:link w:val="75"/>
    <w:autoRedefine/>
    <w:qFormat/>
    <w:uiPriority w:val="0"/>
    <w:pPr>
      <w:jc w:val="left"/>
    </w:pPr>
  </w:style>
  <w:style w:type="paragraph" w:styleId="12">
    <w:name w:val="Body Text Indent"/>
    <w:basedOn w:val="1"/>
    <w:autoRedefine/>
    <w:qFormat/>
    <w:uiPriority w:val="0"/>
    <w:pPr>
      <w:spacing w:line="200" w:lineRule="exact"/>
      <w:ind w:firstLine="301"/>
    </w:pPr>
    <w:rPr>
      <w:rFonts w:ascii="宋体" w:hAnsi="Courier New"/>
      <w:spacing w:val="-4"/>
      <w:sz w:val="18"/>
      <w:szCs w:val="20"/>
    </w:rPr>
  </w:style>
  <w:style w:type="paragraph" w:styleId="13">
    <w:name w:val="toc 3"/>
    <w:basedOn w:val="1"/>
    <w:next w:val="1"/>
    <w:autoRedefine/>
    <w:qFormat/>
    <w:uiPriority w:val="0"/>
    <w:pPr>
      <w:jc w:val="left"/>
    </w:pPr>
    <w:rPr>
      <w:rFonts w:ascii="Calibri" w:hAnsi="Calibri"/>
      <w:smallCaps/>
      <w:sz w:val="22"/>
      <w:szCs w:val="22"/>
    </w:rPr>
  </w:style>
  <w:style w:type="paragraph" w:styleId="14">
    <w:name w:val="Plain Text"/>
    <w:basedOn w:val="1"/>
    <w:next w:val="10"/>
    <w:autoRedefine/>
    <w:qFormat/>
    <w:uiPriority w:val="0"/>
    <w:rPr>
      <w:rFonts w:ascii="宋体" w:hAnsi="Courier New"/>
      <w:szCs w:val="20"/>
    </w:rPr>
  </w:style>
  <w:style w:type="paragraph" w:styleId="15">
    <w:name w:val="Date"/>
    <w:basedOn w:val="1"/>
    <w:next w:val="1"/>
    <w:autoRedefine/>
    <w:qFormat/>
    <w:uiPriority w:val="0"/>
    <w:pPr>
      <w:ind w:left="100" w:leftChars="2500"/>
    </w:pPr>
    <w:rPr>
      <w:rFonts w:ascii="宋体" w:hAnsi="宋体"/>
      <w:kern w:val="0"/>
    </w:rPr>
  </w:style>
  <w:style w:type="paragraph" w:styleId="16">
    <w:name w:val="Balloon Text"/>
    <w:basedOn w:val="1"/>
    <w:link w:val="44"/>
    <w:autoRedefine/>
    <w:qFormat/>
    <w:uiPriority w:val="0"/>
    <w:rPr>
      <w:sz w:val="18"/>
      <w:szCs w:val="18"/>
    </w:rPr>
  </w:style>
  <w:style w:type="paragraph" w:styleId="17">
    <w:name w:val="footer"/>
    <w:basedOn w:val="1"/>
    <w:autoRedefine/>
    <w:qFormat/>
    <w:uiPriority w:val="0"/>
    <w:pPr>
      <w:tabs>
        <w:tab w:val="center" w:pos="4153"/>
        <w:tab w:val="right" w:pos="8306"/>
      </w:tabs>
      <w:snapToGrid w:val="0"/>
      <w:jc w:val="left"/>
    </w:pPr>
    <w:rPr>
      <w:sz w:val="18"/>
      <w:szCs w:val="18"/>
    </w:rPr>
  </w:style>
  <w:style w:type="paragraph" w:styleId="18">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qFormat/>
    <w:uiPriority w:val="0"/>
    <w:pPr>
      <w:spacing w:before="360" w:after="360"/>
      <w:jc w:val="left"/>
    </w:pPr>
    <w:rPr>
      <w:rFonts w:ascii="Calibri" w:hAnsi="Calibri"/>
      <w:b/>
      <w:bCs/>
      <w:caps/>
      <w:sz w:val="22"/>
      <w:szCs w:val="22"/>
      <w:u w:val="single"/>
    </w:rPr>
  </w:style>
  <w:style w:type="paragraph" w:styleId="20">
    <w:name w:val="List"/>
    <w:basedOn w:val="1"/>
    <w:autoRedefine/>
    <w:qFormat/>
    <w:uiPriority w:val="0"/>
    <w:pPr>
      <w:ind w:left="200" w:hanging="200" w:hangingChars="200"/>
    </w:pPr>
    <w:rPr>
      <w:sz w:val="28"/>
    </w:rPr>
  </w:style>
  <w:style w:type="paragraph" w:styleId="21">
    <w:name w:val="toc 2"/>
    <w:basedOn w:val="1"/>
    <w:next w:val="1"/>
    <w:autoRedefine/>
    <w:qFormat/>
    <w:uiPriority w:val="0"/>
    <w:pPr>
      <w:jc w:val="left"/>
    </w:pPr>
    <w:rPr>
      <w:rFonts w:ascii="Calibri" w:hAnsi="Calibri"/>
      <w:b/>
      <w:bCs/>
      <w:smallCaps/>
      <w:sz w:val="22"/>
      <w:szCs w:val="22"/>
    </w:rPr>
  </w:style>
  <w:style w:type="paragraph" w:styleId="22">
    <w:name w:val="Body Text 2"/>
    <w:basedOn w:val="1"/>
    <w:next w:val="2"/>
    <w:autoRedefine/>
    <w:qFormat/>
    <w:uiPriority w:val="0"/>
    <w:pPr>
      <w:spacing w:after="120" w:line="480" w:lineRule="auto"/>
    </w:pPr>
    <w:rPr>
      <w:kern w:val="0"/>
      <w:sz w:val="20"/>
    </w:rPr>
  </w:style>
  <w:style w:type="paragraph" w:styleId="23">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24">
    <w:name w:val="Title"/>
    <w:basedOn w:val="1"/>
    <w:next w:val="1"/>
    <w:autoRedefine/>
    <w:qFormat/>
    <w:uiPriority w:val="10"/>
    <w:pPr>
      <w:spacing w:before="240" w:after="60"/>
      <w:jc w:val="center"/>
      <w:outlineLvl w:val="0"/>
    </w:pPr>
    <w:rPr>
      <w:rFonts w:ascii="Cambria" w:hAnsi="Cambria"/>
      <w:b/>
      <w:bCs/>
      <w:sz w:val="32"/>
      <w:szCs w:val="32"/>
    </w:rPr>
  </w:style>
  <w:style w:type="paragraph" w:styleId="25">
    <w:name w:val="annotation subject"/>
    <w:basedOn w:val="11"/>
    <w:next w:val="11"/>
    <w:link w:val="76"/>
    <w:autoRedefine/>
    <w:qFormat/>
    <w:uiPriority w:val="0"/>
    <w:rPr>
      <w:b/>
      <w:bCs/>
    </w:rPr>
  </w:style>
  <w:style w:type="paragraph" w:styleId="26">
    <w:name w:val="Body Text First Indent 2"/>
    <w:basedOn w:val="1"/>
    <w:autoRedefine/>
    <w:qFormat/>
    <w:uiPriority w:val="0"/>
    <w:pPr>
      <w:spacing w:after="120"/>
      <w:ind w:left="420" w:leftChars="200" w:firstLine="420" w:firstLineChars="200"/>
    </w:pPr>
  </w:style>
  <w:style w:type="table" w:styleId="28">
    <w:name w:val="Table Grid"/>
    <w:basedOn w:val="2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autoRedefine/>
    <w:qFormat/>
    <w:uiPriority w:val="0"/>
    <w:rPr>
      <w:rFonts w:ascii="Times New Roman" w:hAnsi="Times New Roman" w:eastAsia="宋体" w:cs="Times New Roman"/>
      <w:b/>
      <w:bCs/>
    </w:rPr>
  </w:style>
  <w:style w:type="character" w:styleId="31">
    <w:name w:val="page number"/>
    <w:autoRedefine/>
    <w:qFormat/>
    <w:uiPriority w:val="0"/>
    <w:rPr>
      <w:rFonts w:ascii="Times New Roman" w:hAnsi="Times New Roman" w:eastAsia="宋体" w:cs="Times New Roman"/>
    </w:rPr>
  </w:style>
  <w:style w:type="character" w:styleId="32">
    <w:name w:val="FollowedHyperlink"/>
    <w:autoRedefine/>
    <w:qFormat/>
    <w:uiPriority w:val="0"/>
    <w:rPr>
      <w:rFonts w:hint="eastAsia" w:ascii="微软雅黑" w:hAnsi="微软雅黑" w:eastAsia="微软雅黑" w:cs="微软雅黑"/>
      <w:color w:val="02396F"/>
      <w:u w:val="single"/>
    </w:rPr>
  </w:style>
  <w:style w:type="character" w:styleId="33">
    <w:name w:val="Emphasis"/>
    <w:autoRedefine/>
    <w:qFormat/>
    <w:uiPriority w:val="0"/>
    <w:rPr>
      <w:rFonts w:ascii="Times New Roman" w:hAnsi="Times New Roman" w:eastAsia="宋体" w:cs="Times New Roman"/>
      <w:b/>
      <w:bCs/>
    </w:rPr>
  </w:style>
  <w:style w:type="character" w:styleId="34">
    <w:name w:val="HTML Definition"/>
    <w:autoRedefine/>
    <w:qFormat/>
    <w:uiPriority w:val="0"/>
    <w:rPr>
      <w:rFonts w:ascii="Times New Roman" w:hAnsi="Times New Roman" w:eastAsia="宋体" w:cs="Times New Roman"/>
    </w:rPr>
  </w:style>
  <w:style w:type="character" w:styleId="35">
    <w:name w:val="HTML Typewriter"/>
    <w:autoRedefine/>
    <w:qFormat/>
    <w:uiPriority w:val="0"/>
    <w:rPr>
      <w:rFonts w:hint="default" w:ascii="monospace" w:hAnsi="monospace" w:eastAsia="monospace" w:cs="monospace"/>
      <w:sz w:val="20"/>
    </w:rPr>
  </w:style>
  <w:style w:type="character" w:styleId="36">
    <w:name w:val="HTML Acronym"/>
    <w:autoRedefine/>
    <w:qFormat/>
    <w:uiPriority w:val="0"/>
    <w:rPr>
      <w:rFonts w:ascii="Times New Roman" w:hAnsi="Times New Roman" w:eastAsia="宋体" w:cs="Times New Roman"/>
      <w:vanish/>
    </w:rPr>
  </w:style>
  <w:style w:type="character" w:styleId="37">
    <w:name w:val="HTML Variable"/>
    <w:autoRedefine/>
    <w:qFormat/>
    <w:uiPriority w:val="0"/>
    <w:rPr>
      <w:rFonts w:ascii="Times New Roman" w:hAnsi="Times New Roman" w:eastAsia="宋体" w:cs="Times New Roman"/>
    </w:rPr>
  </w:style>
  <w:style w:type="character" w:styleId="38">
    <w:name w:val="Hyperlink"/>
    <w:autoRedefine/>
    <w:qFormat/>
    <w:uiPriority w:val="0"/>
    <w:rPr>
      <w:rFonts w:ascii="Times New Roman" w:hAnsi="Times New Roman" w:eastAsia="宋体" w:cs="Times New Roman"/>
      <w:color w:val="0000FF"/>
      <w:u w:val="single"/>
    </w:rPr>
  </w:style>
  <w:style w:type="character" w:styleId="39">
    <w:name w:val="HTML Code"/>
    <w:autoRedefine/>
    <w:qFormat/>
    <w:uiPriority w:val="0"/>
    <w:rPr>
      <w:rFonts w:hint="default" w:ascii="monospace" w:hAnsi="monospace" w:eastAsia="monospace" w:cs="monospace"/>
      <w:sz w:val="20"/>
    </w:rPr>
  </w:style>
  <w:style w:type="character" w:styleId="40">
    <w:name w:val="annotation reference"/>
    <w:autoRedefine/>
    <w:qFormat/>
    <w:uiPriority w:val="0"/>
    <w:rPr>
      <w:sz w:val="21"/>
      <w:szCs w:val="21"/>
    </w:rPr>
  </w:style>
  <w:style w:type="character" w:styleId="41">
    <w:name w:val="HTML Cite"/>
    <w:autoRedefine/>
    <w:qFormat/>
    <w:uiPriority w:val="0"/>
    <w:rPr>
      <w:rFonts w:ascii="Times New Roman" w:hAnsi="Times New Roman" w:eastAsia="宋体" w:cs="Times New Roman"/>
    </w:rPr>
  </w:style>
  <w:style w:type="character" w:styleId="42">
    <w:name w:val="HTML Keyboard"/>
    <w:autoRedefine/>
    <w:qFormat/>
    <w:uiPriority w:val="0"/>
    <w:rPr>
      <w:rFonts w:hint="default" w:ascii="monospace" w:hAnsi="monospace" w:eastAsia="monospace" w:cs="monospace"/>
      <w:sz w:val="20"/>
    </w:rPr>
  </w:style>
  <w:style w:type="character" w:styleId="43">
    <w:name w:val="HTML Sample"/>
    <w:basedOn w:val="29"/>
    <w:autoRedefine/>
    <w:qFormat/>
    <w:uiPriority w:val="0"/>
    <w:rPr>
      <w:rFonts w:ascii="Courier New" w:hAnsi="Courier New" w:eastAsia="宋体" w:cs="Times New Roman"/>
    </w:rPr>
  </w:style>
  <w:style w:type="character" w:customStyle="1" w:styleId="44">
    <w:name w:val="批注框文本 字符"/>
    <w:link w:val="16"/>
    <w:autoRedefine/>
    <w:qFormat/>
    <w:uiPriority w:val="0"/>
    <w:rPr>
      <w:rFonts w:ascii="Times New Roman" w:hAnsi="Times New Roman" w:eastAsia="宋体" w:cs="Times New Roman"/>
      <w:kern w:val="2"/>
      <w:sz w:val="18"/>
      <w:szCs w:val="18"/>
    </w:rPr>
  </w:style>
  <w:style w:type="paragraph" w:styleId="45">
    <w:name w:val="List Paragraph"/>
    <w:basedOn w:val="1"/>
    <w:autoRedefine/>
    <w:qFormat/>
    <w:uiPriority w:val="0"/>
    <w:pPr>
      <w:ind w:firstLine="420" w:firstLineChars="200"/>
    </w:pPr>
  </w:style>
  <w:style w:type="character" w:customStyle="1" w:styleId="46">
    <w:name w:val="正文文本 (26) + 间距 0 pt"/>
    <w:autoRedefine/>
    <w:qFormat/>
    <w:uiPriority w:val="0"/>
    <w:rPr>
      <w:rFonts w:ascii="宋体" w:hAnsi="宋体" w:eastAsia="宋体" w:cs="宋体"/>
      <w:color w:val="000000"/>
      <w:spacing w:val="0"/>
      <w:w w:val="100"/>
      <w:position w:val="0"/>
      <w:sz w:val="22"/>
      <w:szCs w:val="22"/>
      <w:u w:val="none"/>
      <w:lang w:val="zh-CN" w:eastAsia="zh-CN" w:bidi="zh-CN"/>
    </w:rPr>
  </w:style>
  <w:style w:type="paragraph" w:customStyle="1" w:styleId="47">
    <w:name w:val="正文2"/>
    <w:basedOn w:val="1"/>
    <w:autoRedefine/>
    <w:qFormat/>
    <w:uiPriority w:val="0"/>
    <w:pPr>
      <w:adjustRightInd w:val="0"/>
      <w:spacing w:before="156" w:line="360" w:lineRule="auto"/>
      <w:ind w:firstLine="510" w:firstLineChars="200"/>
    </w:pPr>
    <w:rPr>
      <w:sz w:val="24"/>
      <w:szCs w:val="20"/>
    </w:rPr>
  </w:style>
  <w:style w:type="paragraph" w:customStyle="1" w:styleId="48">
    <w:name w:val="Table Text"/>
    <w:autoRedefine/>
    <w:qFormat/>
    <w:uiPriority w:val="0"/>
    <w:pPr>
      <w:widowControl w:val="0"/>
      <w:spacing w:after="160" w:line="278" w:lineRule="auto"/>
      <w:jc w:val="both"/>
    </w:pPr>
    <w:rPr>
      <w:rFonts w:ascii="宋体" w:hAnsi="宋体" w:eastAsia="宋体" w:cs="宋体"/>
      <w:kern w:val="2"/>
      <w:lang w:val="en-US" w:eastAsia="en-US" w:bidi="ar-SA"/>
    </w:rPr>
  </w:style>
  <w:style w:type="character" w:customStyle="1" w:styleId="49">
    <w:name w:val="页眉 Char"/>
    <w:autoRedefine/>
    <w:qFormat/>
    <w:uiPriority w:val="0"/>
    <w:rPr>
      <w:rFonts w:ascii="Times New Roman" w:hAnsi="Times New Roman" w:eastAsia="宋体" w:cs="Times New Roman"/>
      <w:kern w:val="2"/>
      <w:sz w:val="18"/>
      <w:szCs w:val="18"/>
    </w:rPr>
  </w:style>
  <w:style w:type="character" w:customStyle="1" w:styleId="50">
    <w:name w:val="页脚 Char"/>
    <w:autoRedefine/>
    <w:qFormat/>
    <w:uiPriority w:val="0"/>
    <w:rPr>
      <w:rFonts w:ascii="Times New Roman" w:hAnsi="Times New Roman" w:eastAsia="宋体" w:cs="Times New Roman"/>
      <w:kern w:val="2"/>
      <w:sz w:val="18"/>
      <w:szCs w:val="18"/>
    </w:rPr>
  </w:style>
  <w:style w:type="character" w:customStyle="1" w:styleId="51">
    <w:name w:val="cfdate"/>
    <w:autoRedefine/>
    <w:qFormat/>
    <w:uiPriority w:val="0"/>
    <w:rPr>
      <w:rFonts w:ascii="Times New Roman" w:hAnsi="Times New Roman" w:eastAsia="宋体" w:cs="Times New Roman"/>
      <w:color w:val="333333"/>
      <w:sz w:val="18"/>
      <w:szCs w:val="18"/>
    </w:rPr>
  </w:style>
  <w:style w:type="character" w:customStyle="1" w:styleId="52">
    <w:name w:val="prev"/>
    <w:autoRedefine/>
    <w:qFormat/>
    <w:uiPriority w:val="0"/>
    <w:rPr>
      <w:rFonts w:hint="eastAsia" w:ascii="微软雅黑" w:hAnsi="微软雅黑" w:eastAsia="微软雅黑" w:cs="微软雅黑"/>
      <w:sz w:val="21"/>
      <w:szCs w:val="21"/>
    </w:rPr>
  </w:style>
  <w:style w:type="character" w:customStyle="1" w:styleId="53">
    <w:name w:val="prev1"/>
    <w:autoRedefine/>
    <w:qFormat/>
    <w:uiPriority w:val="0"/>
    <w:rPr>
      <w:rFonts w:ascii="Times New Roman" w:hAnsi="Times New Roman" w:eastAsia="宋体" w:cs="Times New Roman"/>
      <w:color w:val="888888"/>
    </w:rPr>
  </w:style>
  <w:style w:type="character" w:customStyle="1" w:styleId="54">
    <w:name w:val="redfilenumber"/>
    <w:autoRedefine/>
    <w:qFormat/>
    <w:uiPriority w:val="0"/>
    <w:rPr>
      <w:rFonts w:ascii="Times New Roman" w:hAnsi="Times New Roman" w:eastAsia="宋体" w:cs="Times New Roman"/>
      <w:color w:val="BA2636"/>
      <w:sz w:val="18"/>
      <w:szCs w:val="18"/>
    </w:rPr>
  </w:style>
  <w:style w:type="character" w:customStyle="1" w:styleId="55">
    <w:name w:val="next1"/>
    <w:autoRedefine/>
    <w:qFormat/>
    <w:uiPriority w:val="0"/>
    <w:rPr>
      <w:rFonts w:ascii="Times New Roman" w:hAnsi="Times New Roman" w:eastAsia="宋体" w:cs="Times New Roman"/>
      <w:color w:val="888888"/>
    </w:rPr>
  </w:style>
  <w:style w:type="character" w:customStyle="1" w:styleId="56">
    <w:name w:val="next"/>
    <w:autoRedefine/>
    <w:qFormat/>
    <w:uiPriority w:val="0"/>
    <w:rPr>
      <w:rFonts w:ascii="微软雅黑" w:hAnsi="微软雅黑" w:eastAsia="微软雅黑" w:cs="微软雅黑"/>
      <w:sz w:val="21"/>
      <w:szCs w:val="21"/>
    </w:rPr>
  </w:style>
  <w:style w:type="character" w:customStyle="1" w:styleId="57">
    <w:name w:val="displayarti"/>
    <w:autoRedefine/>
    <w:qFormat/>
    <w:uiPriority w:val="0"/>
    <w:rPr>
      <w:rFonts w:ascii="Times New Roman" w:hAnsi="Times New Roman" w:eastAsia="宋体" w:cs="Times New Roman"/>
      <w:color w:val="FFFFFF"/>
      <w:shd w:val="clear" w:color="auto" w:fill="A00000"/>
    </w:rPr>
  </w:style>
  <w:style w:type="character" w:customStyle="1" w:styleId="58">
    <w:name w:val="redfilefwwh"/>
    <w:autoRedefine/>
    <w:qFormat/>
    <w:uiPriority w:val="0"/>
    <w:rPr>
      <w:rFonts w:ascii="Times New Roman" w:hAnsi="Times New Roman" w:eastAsia="宋体" w:cs="Times New Roman"/>
      <w:color w:val="BA2636"/>
      <w:sz w:val="18"/>
      <w:szCs w:val="18"/>
    </w:rPr>
  </w:style>
  <w:style w:type="character" w:customStyle="1" w:styleId="59">
    <w:name w:val="qxdate"/>
    <w:autoRedefine/>
    <w:qFormat/>
    <w:uiPriority w:val="0"/>
    <w:rPr>
      <w:rFonts w:ascii="Times New Roman" w:hAnsi="Times New Roman" w:eastAsia="宋体" w:cs="Times New Roman"/>
      <w:color w:val="333333"/>
      <w:sz w:val="18"/>
      <w:szCs w:val="18"/>
    </w:rPr>
  </w:style>
  <w:style w:type="character" w:customStyle="1" w:styleId="60">
    <w:name w:val="gjfg"/>
    <w:autoRedefine/>
    <w:qFormat/>
    <w:uiPriority w:val="0"/>
    <w:rPr>
      <w:rFonts w:ascii="Times New Roman" w:hAnsi="Times New Roman" w:eastAsia="宋体" w:cs="Times New Roman"/>
    </w:rPr>
  </w:style>
  <w:style w:type="paragraph" w:customStyle="1" w:styleId="61">
    <w:name w:val="正文缩进1"/>
    <w:basedOn w:val="1"/>
    <w:next w:val="12"/>
    <w:autoRedefine/>
    <w:qFormat/>
    <w:uiPriority w:val="0"/>
    <w:pPr>
      <w:autoSpaceDE w:val="0"/>
      <w:autoSpaceDN w:val="0"/>
      <w:adjustRightInd w:val="0"/>
      <w:snapToGrid w:val="0"/>
      <w:spacing w:after="120" w:line="360" w:lineRule="auto"/>
      <w:ind w:left="420" w:leftChars="200" w:firstLine="480" w:firstLineChars="200"/>
    </w:pPr>
    <w:rPr>
      <w:sz w:val="24"/>
      <w:szCs w:val="21"/>
    </w:rPr>
  </w:style>
  <w:style w:type="paragraph" w:customStyle="1" w:styleId="62">
    <w:name w:val="样式 标题 2 + 宋体"/>
    <w:basedOn w:val="4"/>
    <w:autoRedefine/>
    <w:qFormat/>
    <w:uiPriority w:val="0"/>
    <w:rPr>
      <w:rFonts w:ascii="宋体" w:hAnsi="宋体" w:eastAsia="宋体"/>
      <w:sz w:val="30"/>
    </w:rPr>
  </w:style>
  <w:style w:type="paragraph" w:customStyle="1" w:styleId="63">
    <w:name w:val="p15"/>
    <w:basedOn w:val="1"/>
    <w:autoRedefine/>
    <w:qFormat/>
    <w:uiPriority w:val="0"/>
    <w:pPr>
      <w:widowControl/>
    </w:pPr>
    <w:rPr>
      <w:rFonts w:ascii="宋体" w:hAnsi="宋体" w:cs="宋体"/>
      <w:kern w:val="0"/>
      <w:szCs w:val="21"/>
    </w:rPr>
  </w:style>
  <w:style w:type="paragraph" w:customStyle="1" w:styleId="64">
    <w:name w:val="样式5"/>
    <w:basedOn w:val="1"/>
    <w:autoRedefine/>
    <w:qFormat/>
    <w:uiPriority w:val="0"/>
    <w:pPr>
      <w:adjustRightInd w:val="0"/>
      <w:spacing w:line="440" w:lineRule="exact"/>
      <w:ind w:left="2" w:firstLine="480" w:firstLineChars="200"/>
    </w:pPr>
    <w:rPr>
      <w:rFonts w:ascii="仿宋_GB2312" w:hAnsi="仿宋" w:eastAsia="仿宋_GB2312"/>
      <w:sz w:val="24"/>
    </w:rPr>
  </w:style>
  <w:style w:type="paragraph" w:customStyle="1" w:styleId="65">
    <w:name w:val="Body text|1"/>
    <w:basedOn w:val="1"/>
    <w:autoRedefine/>
    <w:qFormat/>
    <w:uiPriority w:val="0"/>
    <w:pPr>
      <w:spacing w:after="40" w:line="439" w:lineRule="auto"/>
      <w:ind w:firstLine="400"/>
    </w:pPr>
    <w:rPr>
      <w:rFonts w:ascii="宋体" w:hAnsi="宋体" w:cs="宋体"/>
      <w:sz w:val="22"/>
      <w:szCs w:val="22"/>
      <w:lang w:val="zh-TW" w:eastAsia="zh-TW" w:bidi="zh-TW"/>
    </w:rPr>
  </w:style>
  <w:style w:type="character" w:customStyle="1" w:styleId="66">
    <w:name w:val="font11"/>
    <w:autoRedefine/>
    <w:qFormat/>
    <w:uiPriority w:val="0"/>
    <w:rPr>
      <w:rFonts w:hint="eastAsia" w:ascii="宋体" w:hAnsi="宋体" w:eastAsia="宋体" w:cs="宋体"/>
      <w:color w:val="000000"/>
      <w:sz w:val="20"/>
      <w:szCs w:val="20"/>
      <w:u w:val="none"/>
    </w:rPr>
  </w:style>
  <w:style w:type="character" w:customStyle="1" w:styleId="67">
    <w:name w:val="hover1"/>
    <w:autoRedefine/>
    <w:qFormat/>
    <w:uiPriority w:val="0"/>
    <w:rPr>
      <w:rFonts w:ascii="Times New Roman" w:hAnsi="Times New Roman" w:eastAsia="宋体" w:cs="Times New Roman"/>
      <w:color w:val="2590EB"/>
    </w:rPr>
  </w:style>
  <w:style w:type="character" w:customStyle="1" w:styleId="68">
    <w:name w:val="hover2"/>
    <w:autoRedefine/>
    <w:qFormat/>
    <w:uiPriority w:val="0"/>
    <w:rPr>
      <w:rFonts w:ascii="Times New Roman" w:hAnsi="Times New Roman" w:eastAsia="宋体" w:cs="Times New Roman"/>
    </w:rPr>
  </w:style>
  <w:style w:type="character" w:customStyle="1" w:styleId="69">
    <w:name w:val="hover3"/>
    <w:autoRedefine/>
    <w:qFormat/>
    <w:uiPriority w:val="0"/>
    <w:rPr>
      <w:rFonts w:ascii="Times New Roman" w:hAnsi="Times New Roman" w:eastAsia="宋体" w:cs="Times New Roman"/>
      <w:color w:val="2590EB"/>
    </w:rPr>
  </w:style>
  <w:style w:type="character" w:customStyle="1" w:styleId="70">
    <w:name w:val="mini-outputtext1"/>
    <w:autoRedefine/>
    <w:qFormat/>
    <w:uiPriority w:val="0"/>
    <w:rPr>
      <w:rFonts w:ascii="Times New Roman" w:hAnsi="Times New Roman" w:eastAsia="宋体" w:cs="Times New Roman"/>
    </w:rPr>
  </w:style>
  <w:style w:type="table" w:customStyle="1" w:styleId="71">
    <w:name w:val="Table Normal"/>
    <w:autoRedefine/>
    <w:qFormat/>
    <w:uiPriority w:val="0"/>
    <w:tblPr>
      <w:tblCellMar>
        <w:top w:w="0" w:type="dxa"/>
        <w:left w:w="0" w:type="dxa"/>
        <w:bottom w:w="0" w:type="dxa"/>
        <w:right w:w="0" w:type="dxa"/>
      </w:tblCellMar>
    </w:tblPr>
  </w:style>
  <w:style w:type="character" w:customStyle="1" w:styleId="72">
    <w:name w:val="font21"/>
    <w:basedOn w:val="29"/>
    <w:autoRedefine/>
    <w:qFormat/>
    <w:uiPriority w:val="0"/>
    <w:rPr>
      <w:rFonts w:hint="eastAsia" w:ascii="宋体" w:hAnsi="宋体" w:eastAsia="宋体" w:cs="宋体"/>
      <w:color w:val="000000"/>
      <w:sz w:val="20"/>
      <w:szCs w:val="20"/>
      <w:u w:val="none"/>
    </w:rPr>
  </w:style>
  <w:style w:type="paragraph" w:customStyle="1" w:styleId="73">
    <w:name w:val="修订1"/>
    <w:autoRedefine/>
    <w:hidden/>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74">
    <w:name w:val="修订2"/>
    <w:autoRedefine/>
    <w:hidden/>
    <w:unhideWhenUsed/>
    <w:qFormat/>
    <w:uiPriority w:val="99"/>
    <w:rPr>
      <w:rFonts w:ascii="Times New Roman" w:hAnsi="Times New Roman" w:eastAsia="宋体" w:cs="Times New Roman"/>
      <w:kern w:val="2"/>
      <w:sz w:val="21"/>
      <w:szCs w:val="24"/>
      <w:lang w:val="en-US" w:eastAsia="zh-CN" w:bidi="ar-SA"/>
    </w:rPr>
  </w:style>
  <w:style w:type="character" w:customStyle="1" w:styleId="75">
    <w:name w:val="批注文字 字符"/>
    <w:basedOn w:val="29"/>
    <w:link w:val="11"/>
    <w:autoRedefine/>
    <w:qFormat/>
    <w:uiPriority w:val="0"/>
    <w:rPr>
      <w:kern w:val="2"/>
      <w:sz w:val="21"/>
      <w:szCs w:val="24"/>
    </w:rPr>
  </w:style>
  <w:style w:type="character" w:customStyle="1" w:styleId="76">
    <w:name w:val="批注主题 字符"/>
    <w:basedOn w:val="75"/>
    <w:link w:val="25"/>
    <w:autoRedefine/>
    <w:qFormat/>
    <w:uiPriority w:val="0"/>
    <w:rPr>
      <w:b/>
      <w:bCs/>
      <w:kern w:val="2"/>
      <w:sz w:val="21"/>
      <w:szCs w:val="24"/>
    </w:rPr>
  </w:style>
  <w:style w:type="paragraph" w:customStyle="1" w:styleId="77">
    <w:name w:val="Default"/>
    <w:basedOn w:val="24"/>
    <w:autoRedefine/>
    <w:qFormat/>
    <w:uiPriority w:val="0"/>
    <w:pPr>
      <w:widowControl w:val="0"/>
      <w:autoSpaceDE w:val="0"/>
      <w:autoSpaceDN w:val="0"/>
      <w:adjustRightInd w:val="0"/>
      <w:spacing w:after="160" w:line="278" w:lineRule="auto"/>
    </w:pPr>
    <w:rPr>
      <w:rFonts w:ascii="宋体" w:hAnsi="Times New Roman" w:eastAsia="宋体" w:cs="宋体"/>
      <w:color w:val="000000"/>
      <w:sz w:val="24"/>
      <w:szCs w:val="24"/>
      <w:lang w:val="en-US" w:eastAsia="zh-CN" w:bidi="ar-SA"/>
    </w:rPr>
  </w:style>
  <w:style w:type="paragraph" w:customStyle="1" w:styleId="78">
    <w:name w:val="Revision"/>
    <w:autoRedefine/>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jpeg"/><Relationship Id="rId16" Type="http://schemas.openxmlformats.org/officeDocument/2006/relationships/theme" Target="theme/theme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header" Target="header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cc</Company>
  <Pages>162</Pages>
  <Words>41483</Words>
  <Characters>48576</Characters>
  <Lines>1080</Lines>
  <Paragraphs>304</Paragraphs>
  <TotalTime>161</TotalTime>
  <ScaleCrop>false</ScaleCrop>
  <LinksUpToDate>false</LinksUpToDate>
  <CharactersWithSpaces>50004</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2026-02-08T22:58:00Z</dcterms:created>
  <dc:creator>cc</dc:creator>
  <cp:lastModifiedBy>zh</cp:lastModifiedBy>
  <cp:lastPrinted>2026-03-10T09:22:00Z</cp:lastPrinted>
  <dcterms:modified xsi:type="dcterms:W3CDTF">2026-09-01T08:40:53Z</dcterms:modified>
  <dc:title>关于在全区质量技术监督系统开展电子邮件公文传输的通知</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4874141767264CA38B7CA89F32EE51B1_13</vt:lpwstr>
  </property>
  <property fmtid="{D5CDD505-2E9C-101B-9397-08002B2CF9AE}" pid="4" name="KSOTemplateDocerSaveRecord">
    <vt:lpwstr>eyJoZGlkIjoiNjNhNDFiYzA1NWQ1YWQzMWJiODI5YTVmMzNmOGFkNGEiLCJ1c2VySWQiOiIzMzU2NDU4NTIifQ==</vt:lpwstr>
  </property>
</Properties>
</file>