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1ECD7">
      <w:pPr>
        <w:keepNext/>
        <w:keepLines/>
        <w:spacing w:before="340" w:after="330"/>
        <w:jc w:val="center"/>
        <w:outlineLvl w:val="0"/>
        <w:rPr>
          <w:rFonts w:ascii="Times New Roman" w:hAnsi="Times New Roman" w:eastAsia="宋体" w:cs="Times New Roman"/>
          <w:b/>
          <w:bCs/>
          <w:kern w:val="44"/>
          <w:sz w:val="44"/>
          <w:szCs w:val="44"/>
          <w:lang w:val="zh-CN"/>
        </w:rPr>
      </w:pPr>
      <w:r>
        <w:rPr>
          <w:rFonts w:hint="eastAsia" w:ascii="Cambria" w:hAnsi="Cambria" w:eastAsia="宋体" w:cs="Times New Roman"/>
          <w:b/>
          <w:kern w:val="44"/>
          <w:sz w:val="32"/>
          <w:szCs w:val="32"/>
          <w:lang w:val="zh-CN"/>
        </w:rPr>
        <w:t>采购需求</w:t>
      </w:r>
    </w:p>
    <w:p w14:paraId="0CFDEB2E">
      <w:pPr>
        <w:spacing w:line="420" w:lineRule="exact"/>
        <w:jc w:val="left"/>
        <w:rPr>
          <w:rFonts w:ascii="宋体" w:hAnsi="宋体" w:eastAsia="宋体" w:cs="宋体"/>
          <w:szCs w:val="24"/>
        </w:rPr>
      </w:pPr>
      <w:r>
        <w:rPr>
          <w:rFonts w:hint="eastAsia" w:ascii="宋体" w:hAnsi="宋体" w:eastAsia="宋体" w:cs="宋体"/>
          <w:szCs w:val="21"/>
        </w:rPr>
        <w:t>说明：</w:t>
      </w:r>
    </w:p>
    <w:p w14:paraId="1CBAD0AC">
      <w:pPr>
        <w:spacing w:line="420" w:lineRule="exact"/>
        <w:ind w:firstLine="420" w:firstLineChars="200"/>
        <w:jc w:val="left"/>
        <w:rPr>
          <w:rFonts w:ascii="宋体" w:hAnsi="宋体" w:eastAsia="宋体" w:cs="宋体"/>
          <w:szCs w:val="21"/>
        </w:rPr>
      </w:pPr>
      <w:r>
        <w:rPr>
          <w:rFonts w:hint="eastAsia" w:ascii="宋体" w:hAnsi="宋体" w:eastAsia="宋体" w:cs="宋体"/>
          <w:szCs w:val="24"/>
        </w:rPr>
        <w:t>1.为落实政府采购政策需满足的要求：</w:t>
      </w:r>
    </w:p>
    <w:p w14:paraId="02FD22A5">
      <w:pPr>
        <w:spacing w:line="420" w:lineRule="exact"/>
        <w:ind w:firstLine="420" w:firstLineChars="200"/>
        <w:jc w:val="left"/>
        <w:rPr>
          <w:rFonts w:ascii="宋体" w:hAnsi="宋体" w:eastAsia="宋体" w:cs="宋体"/>
          <w:szCs w:val="21"/>
        </w:rPr>
      </w:pPr>
      <w:r>
        <w:rPr>
          <w:rFonts w:hint="eastAsia" w:ascii="宋体" w:hAnsi="宋体" w:eastAsia="宋体" w:cs="宋体"/>
          <w:szCs w:val="21"/>
        </w:rPr>
        <w:t>（1）本竞争性谈判文件所称中小企业必须符合《政府采购促进中小企业发展管理办法》（财库〔2020〕46号）的规定。</w:t>
      </w:r>
    </w:p>
    <w:p w14:paraId="7301431E">
      <w:pPr>
        <w:spacing w:line="420" w:lineRule="exact"/>
        <w:ind w:firstLine="420" w:firstLineChars="200"/>
        <w:rPr>
          <w:rFonts w:ascii="宋体" w:hAnsi="宋体" w:eastAsia="宋体" w:cs="宋体"/>
          <w:szCs w:val="21"/>
        </w:rPr>
      </w:pPr>
      <w:r>
        <w:rPr>
          <w:rFonts w:hint="eastAsia" w:ascii="宋体" w:hAnsi="宋体" w:eastAsia="宋体" w:cs="宋体"/>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w:t>
      </w:r>
      <w:r>
        <w:rPr>
          <w:rFonts w:hint="eastAsia" w:ascii="宋体" w:hAnsi="宋体" w:eastAsia="宋体" w:cs="宋体"/>
          <w:b/>
          <w:bCs/>
          <w:szCs w:val="21"/>
        </w:rPr>
        <w:t>供应商必须在响应文件中提供所竞标产品有效期内的节能产品认证证书复印件（加盖供应商公章），否则响应文件作无效处理</w:t>
      </w:r>
      <w:r>
        <w:rPr>
          <w:rFonts w:hint="eastAsia" w:ascii="宋体" w:hAnsi="宋体" w:eastAsia="宋体" w:cs="宋体"/>
          <w:szCs w:val="21"/>
        </w:rPr>
        <w:t>。如本项目包含的配套货物属于品目清单内非标注“★”的产品时，应优先采购，具体详见“第四章 评审程序、评审方法和成交标准”。</w:t>
      </w:r>
    </w:p>
    <w:p w14:paraId="5C9D1113">
      <w:pPr>
        <w:spacing w:line="420" w:lineRule="exact"/>
        <w:ind w:firstLine="420" w:firstLineChars="200"/>
        <w:rPr>
          <w:rFonts w:ascii="宋体" w:hAnsi="宋体" w:eastAsia="宋体" w:cs="Times New Roman"/>
          <w:i/>
          <w:iCs/>
          <w:szCs w:val="21"/>
        </w:rPr>
      </w:pPr>
      <w:r>
        <w:rPr>
          <w:rFonts w:hint="eastAsia" w:ascii="宋体" w:hAnsi="宋体" w:eastAsia="宋体" w:cs="宋体"/>
          <w:szCs w:val="21"/>
        </w:rPr>
        <w:t>2.</w:t>
      </w:r>
      <w:r>
        <w:rPr>
          <w:rFonts w:ascii="宋体" w:hAnsi="宋体" w:eastAsia="宋体" w:cs="宋体"/>
          <w:b/>
          <w:bCs/>
          <w:szCs w:val="21"/>
        </w:rPr>
        <w:t>采购需求中带“▲”的条款</w:t>
      </w:r>
      <w:r>
        <w:rPr>
          <w:rFonts w:hint="eastAsia" w:ascii="宋体" w:hAnsi="宋体" w:eastAsia="宋体" w:cs="宋体"/>
          <w:b/>
          <w:bCs/>
          <w:szCs w:val="21"/>
        </w:rPr>
        <w:t>为实质性条款，不满足</w:t>
      </w:r>
      <w:r>
        <w:rPr>
          <w:rFonts w:ascii="宋体" w:hAnsi="宋体" w:eastAsia="宋体" w:cs="宋体"/>
          <w:b/>
          <w:bCs/>
          <w:szCs w:val="21"/>
        </w:rPr>
        <w:t>作无效响应处理。</w:t>
      </w:r>
    </w:p>
    <w:p w14:paraId="46E32FBC">
      <w:pPr>
        <w:spacing w:line="420" w:lineRule="exact"/>
        <w:ind w:firstLine="420" w:firstLineChars="200"/>
        <w:jc w:val="left"/>
        <w:rPr>
          <w:rFonts w:ascii="宋体" w:hAnsi="宋体" w:eastAsia="宋体" w:cs="宋体"/>
          <w:szCs w:val="21"/>
        </w:rPr>
      </w:pPr>
      <w:r>
        <w:rPr>
          <w:rFonts w:hint="eastAsia" w:ascii="宋体" w:hAnsi="宋体" w:eastAsia="宋体" w:cs="宋体"/>
          <w:szCs w:val="21"/>
        </w:rPr>
        <w:t>3.采购需求中出现的品牌、型号或者制造商仅起参考作用，不属于指定品牌、型号或者制造商的情形。供应商可参照或者选用其他相当的品牌、型号或者制造商替代，但选用的竞标产品技术参数及配置必须满足采购要求。</w:t>
      </w:r>
    </w:p>
    <w:p w14:paraId="640EC6C2">
      <w:pPr>
        <w:spacing w:line="420" w:lineRule="exact"/>
        <w:ind w:firstLine="420" w:firstLineChars="200"/>
        <w:jc w:val="left"/>
        <w:rPr>
          <w:rFonts w:ascii="宋体" w:hAnsi="宋体" w:eastAsia="宋体" w:cs="宋体"/>
          <w:szCs w:val="21"/>
        </w:rPr>
      </w:pPr>
      <w:r>
        <w:rPr>
          <w:rFonts w:hint="eastAsia" w:ascii="宋体" w:hAnsi="宋体" w:eastAsia="宋体" w:cs="宋体"/>
          <w:szCs w:val="21"/>
        </w:rPr>
        <w:t>4.供应商必须对响应文件中提供的证明材料和资质文件真实性负责，如出现虚假应标情况，供应商除了应接受有关部门的处罚外，还应依据《中华人民共和国民法典》的相关条款来进行赔偿。</w:t>
      </w:r>
    </w:p>
    <w:p w14:paraId="5DDAB63A">
      <w:pPr>
        <w:spacing w:line="420" w:lineRule="exact"/>
        <w:ind w:firstLine="420" w:firstLineChars="200"/>
        <w:jc w:val="left"/>
        <w:rPr>
          <w:rFonts w:ascii="宋体" w:hAnsi="宋体" w:eastAsia="宋体" w:cs="宋体"/>
          <w:szCs w:val="22"/>
        </w:rPr>
      </w:pPr>
      <w:r>
        <w:rPr>
          <w:rFonts w:hint="eastAsia" w:ascii="宋体" w:hAnsi="宋体" w:eastAsia="宋体" w:cs="宋体"/>
          <w:szCs w:val="22"/>
        </w:rPr>
        <w:t>5.</w:t>
      </w:r>
      <w:r>
        <w:rPr>
          <w:rFonts w:hint="eastAsia" w:ascii="宋体" w:hAnsi="宋体" w:eastAsia="宋体" w:cs="宋体"/>
          <w:szCs w:val="21"/>
        </w:rPr>
        <w:t>供应商</w:t>
      </w:r>
      <w:r>
        <w:rPr>
          <w:rFonts w:hint="eastAsia" w:ascii="宋体" w:hAnsi="宋体" w:eastAsia="宋体" w:cs="宋体"/>
          <w:szCs w:val="22"/>
        </w:rPr>
        <w:t>应对竞标内容所涉及的专利承担法律责任，并负责保护采购人的利益不受任何损害。一切由于文字、商标、技术和软件专利授权引起的法律裁决、诉讼和赔偿费用均由成交供应商负责。</w:t>
      </w:r>
    </w:p>
    <w:p w14:paraId="396C0865">
      <w:pPr>
        <w:spacing w:line="420" w:lineRule="exact"/>
        <w:ind w:firstLine="420" w:firstLineChars="200"/>
        <w:jc w:val="left"/>
        <w:rPr>
          <w:rFonts w:ascii="宋体" w:hAnsi="宋体" w:eastAsia="宋体" w:cs="宋体"/>
          <w:b/>
          <w:bCs/>
          <w:szCs w:val="22"/>
          <w:u w:val="single"/>
        </w:rPr>
      </w:pPr>
      <w:r>
        <w:rPr>
          <w:rFonts w:hint="eastAsia" w:ascii="宋体" w:hAnsi="宋体" w:eastAsia="宋体" w:cs="宋体"/>
          <w:szCs w:val="22"/>
        </w:rPr>
        <w:t>6.</w:t>
      </w:r>
      <w:bookmarkStart w:id="0" w:name="PO_3000001871_PM050"/>
      <w:r>
        <w:rPr>
          <w:rFonts w:hint="eastAsia" w:ascii="宋体" w:hAnsi="宋体" w:eastAsia="宋体" w:cs="宋体"/>
          <w:szCs w:val="22"/>
        </w:rPr>
        <w:t>需求一览表中的采购标的对应的中小企业划分标准所属行业名称为：</w:t>
      </w:r>
      <w:r>
        <w:rPr>
          <w:rFonts w:hint="eastAsia" w:ascii="宋体" w:hAnsi="宋体" w:eastAsia="宋体" w:cs="宋体"/>
          <w:b/>
          <w:bCs/>
          <w:szCs w:val="22"/>
          <w:u w:val="single"/>
        </w:rPr>
        <w:t>工业；</w:t>
      </w:r>
    </w:p>
    <w:p w14:paraId="2A7CA79F">
      <w:pPr>
        <w:widowControl w:val="0"/>
        <w:tabs>
          <w:tab w:val="center" w:pos="4153"/>
          <w:tab w:val="right" w:pos="8306"/>
        </w:tabs>
        <w:snapToGrid w:val="0"/>
        <w:jc w:val="left"/>
        <w:rPr>
          <w:rFonts w:ascii="宋体" w:hAnsi="宋体" w:eastAsia="宋体" w:cs="宋体"/>
          <w:i/>
          <w:iCs/>
          <w:kern w:val="0"/>
          <w:sz w:val="18"/>
          <w:szCs w:val="18"/>
          <w:u w:val="single"/>
          <w:lang w:val="en-US" w:eastAsia="zh-CN" w:bidi="ar-SA"/>
        </w:rPr>
      </w:pPr>
    </w:p>
    <w:bookmarkEnd w:id="0"/>
    <w:tbl>
      <w:tblPr>
        <w:tblStyle w:val="2"/>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83"/>
        <w:gridCol w:w="1185"/>
        <w:gridCol w:w="600"/>
        <w:gridCol w:w="7441"/>
      </w:tblGrid>
      <w:tr w14:paraId="49C6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5" w:hRule="atLeast"/>
          <w:jc w:val="center"/>
        </w:trPr>
        <w:tc>
          <w:tcPr>
            <w:tcW w:w="9809" w:type="dxa"/>
            <w:gridSpan w:val="4"/>
            <w:vAlign w:val="center"/>
          </w:tcPr>
          <w:p w14:paraId="3691FA6C">
            <w:pPr>
              <w:widowControl/>
              <w:tabs>
                <w:tab w:val="left" w:pos="796"/>
              </w:tabs>
              <w:adjustRightInd w:val="0"/>
              <w:snapToGrid w:val="0"/>
              <w:spacing w:line="360" w:lineRule="exact"/>
              <w:jc w:val="left"/>
              <w:textAlignment w:val="center"/>
              <w:rPr>
                <w:rFonts w:ascii="宋体" w:hAnsi="宋体" w:eastAsia="宋体" w:cs="宋体"/>
                <w:b/>
                <w:bCs/>
                <w:szCs w:val="21"/>
              </w:rPr>
            </w:pPr>
            <w:bookmarkStart w:id="1" w:name="PO_TDCUS_ITEM_PB_REQ_FILE_1_1"/>
            <w:r>
              <w:rPr>
                <w:rFonts w:hint="eastAsia" w:ascii="宋体" w:hAnsi="宋体" w:eastAsia="宋体" w:cs="宋体"/>
                <w:b/>
                <w:bCs/>
                <w:szCs w:val="21"/>
              </w:rPr>
              <w:t>一、需求一览表</w:t>
            </w:r>
          </w:p>
        </w:tc>
      </w:tr>
      <w:tr w14:paraId="1FB95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92" w:hRule="atLeast"/>
          <w:jc w:val="center"/>
        </w:trPr>
        <w:tc>
          <w:tcPr>
            <w:tcW w:w="583" w:type="dxa"/>
            <w:vAlign w:val="center"/>
          </w:tcPr>
          <w:p w14:paraId="127F81EC">
            <w:pPr>
              <w:widowControl/>
              <w:adjustRightInd w:val="0"/>
              <w:snapToGrid w:val="0"/>
              <w:spacing w:line="360" w:lineRule="exact"/>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序号</w:t>
            </w:r>
          </w:p>
        </w:tc>
        <w:tc>
          <w:tcPr>
            <w:tcW w:w="1185" w:type="dxa"/>
            <w:vAlign w:val="center"/>
          </w:tcPr>
          <w:p w14:paraId="7C91CDBD">
            <w:pPr>
              <w:widowControl/>
              <w:adjustRightInd w:val="0"/>
              <w:snapToGrid w:val="0"/>
              <w:spacing w:line="360" w:lineRule="exact"/>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标的名称</w:t>
            </w:r>
          </w:p>
        </w:tc>
        <w:tc>
          <w:tcPr>
            <w:tcW w:w="600" w:type="dxa"/>
            <w:vAlign w:val="center"/>
          </w:tcPr>
          <w:p w14:paraId="50E52F4C">
            <w:pPr>
              <w:widowControl/>
              <w:adjustRightInd w:val="0"/>
              <w:snapToGrid w:val="0"/>
              <w:spacing w:line="360" w:lineRule="exact"/>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数量</w:t>
            </w:r>
          </w:p>
        </w:tc>
        <w:tc>
          <w:tcPr>
            <w:tcW w:w="7441" w:type="dxa"/>
            <w:vAlign w:val="center"/>
          </w:tcPr>
          <w:p w14:paraId="214A2722">
            <w:pPr>
              <w:widowControl/>
              <w:adjustRightInd w:val="0"/>
              <w:snapToGrid w:val="0"/>
              <w:spacing w:line="360" w:lineRule="exact"/>
              <w:jc w:val="center"/>
              <w:textAlignment w:val="center"/>
              <w:rPr>
                <w:rFonts w:ascii="宋体" w:hAnsi="宋体" w:eastAsia="宋体" w:cs="宋体"/>
                <w:b/>
                <w:bCs/>
                <w:kern w:val="0"/>
                <w:szCs w:val="21"/>
                <w:lang w:bidi="ar"/>
              </w:rPr>
            </w:pPr>
            <w:r>
              <w:rPr>
                <w:rFonts w:hint="eastAsia" w:ascii="宋体" w:hAnsi="宋体" w:eastAsia="宋体" w:cs="宋体"/>
                <w:b/>
                <w:bCs/>
                <w:kern w:val="0"/>
                <w:szCs w:val="21"/>
                <w:lang w:bidi="ar"/>
              </w:rPr>
              <w:t>技术参数及配置</w:t>
            </w:r>
          </w:p>
        </w:tc>
      </w:tr>
      <w:tr w14:paraId="5CFD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12B8E12C">
            <w:pPr>
              <w:spacing w:line="360" w:lineRule="auto"/>
              <w:jc w:val="center"/>
              <w:rPr>
                <w:rFonts w:ascii="宋体" w:hAnsi="宋体" w:eastAsia="宋体" w:cs="宋体"/>
                <w:szCs w:val="21"/>
              </w:rPr>
            </w:pPr>
            <w:r>
              <w:rPr>
                <w:rFonts w:hint="eastAsia" w:ascii="宋体" w:hAnsi="宋体" w:eastAsia="宋体" w:cs="宋体"/>
                <w:szCs w:val="21"/>
              </w:rPr>
              <w:t>1</w:t>
            </w:r>
          </w:p>
        </w:tc>
        <w:tc>
          <w:tcPr>
            <w:tcW w:w="1185" w:type="dxa"/>
            <w:vAlign w:val="center"/>
          </w:tcPr>
          <w:p w14:paraId="2C181323">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lang w:bidi="ar"/>
              </w:rPr>
              <w:t>电感耦合等离子体光谱仪</w:t>
            </w:r>
          </w:p>
        </w:tc>
        <w:tc>
          <w:tcPr>
            <w:tcW w:w="600" w:type="dxa"/>
            <w:noWrap/>
            <w:vAlign w:val="center"/>
          </w:tcPr>
          <w:p w14:paraId="3D51173D">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61DFFD10">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1.检测器：</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▲1.1带高效半导体制冷的固体检测器，在光谱仪波长范围内具有连续像素，能任意选择波长，且具有天然的防溢出功能设计；</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1.2 检测单元：≥4,000,000个检测单元，读取速度≥2MHz；</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1.3像素分辨率：≤0.003nm；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1.4 检测器制冷系统：为获得最低的检测器暗电流，采用高效三级半导体制冷；工作温度：≤-45℃，到达工作温度的时间：≤5分钟。</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2.光学系统：恒温驱气型中阶梯分光系统</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2.1单色器：中阶梯光栅和棱镜二维色散系统，高能量，为保证仪器测试的稳定性，光栅和棱镜等内光路部件位置固定不动，在光谱仪全波长范围内一次曝光同时测定所有元素；</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▲2.2 光室：带精密光室恒温38℃±0.1℃，可使用氩气或氮气进行光室吹扫，测定＜200nm谱线时驱气量＜3L/min；</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2.3波长范围：波长范围167-850nm或更宽，全波长覆盖，可测Al167.079nm，P178.2nm，B182.6nm,Na818.326nm；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2.4光学分辨率（FHW）：As189.042nm半峰宽&lt;0.007nm， Ca393.366nm半峰宽&lt;0.017nm，Ba614.172半峰宽&lt;0.024nm, K766.490nm半峰宽&lt;0.035nm（分辨率和检出限指标须在相同条件获得）；</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2.5 为保证光学系统的稳定性和最佳的光通量，焦距≤300mm。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3.等离子体：</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3.1等离子体观察方式：炬管垂直放置，双向观测，在一次分析中同时给出水平和垂直观测的结果；</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3.2 RF发生器：固态发生器，直接耦合、自动调谐，变频，无匹配箱设计，等离子体线圈具有聚四氟乙烯保护层设计，防腐蚀，免维护；</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3.3 频率：≤27.12MHZ；</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3.4 RF功率范围750W-1350W；</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3.5气路控制：配置3路高精度质量流量计，由ICPOES软件直接控制，包括冷却气、辅助气、雾化气。精度0.01L/min；</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▲3.6尾焰处理技术：采用锥内反吹氩气技术，避免使用空气切割等技术对紫外区谱线灵敏度造成损失，如使用氮气或氩气等气体切割，为节省成本，消耗量需小于3L/min。</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4.进样系统：</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▲4.1炬管：采用无需手动连接等离子气，辅助气气路的卡口式炬管设计，以方便日常更换维护且避免多次维护导致的漏气现象；可配置多种口径中心管的分体式石英炬管，用以降低炬管的后期使用成本；</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4.2雾化器：高效同心雾化器；</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4.3雾化室：旋流雾化室；</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4.4废液安全在线自动监控：有废液传感器，能对仪器状态进行实时自动的监控，保障数据准确及仪器使用安全；</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4.5蠕动泵：12滚轮3通道蠕动泵。</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5.分析软件：</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5.1 基于网络化连接与控制的多任务、多用途操作平台. 符合电子记录与电子签名的要求，具有登录口令保护，多级操作权限设置和网络安全管理，具有历史记录和电子签名、自动备份等功能；</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5.2 软件操作方便、直观，具有定性、半定量、定量分析功能；</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▲5.3具有同时记录所有元素谱线的“摄谱”功能；</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5.4 具有元素间干扰校正技术和实时背景扣除等不少于三种干扰校正技术；</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5.5 仪器诊断软件和网络通讯，数据再处理功能；</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5.6兼容多种仪器控制，与ICP-MS,HR-ICP-MS,NSX, Quad-ICP-MS等8种仪器使用同一软件控制平台，能有效减少培训成本；</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5.7软件模块化的设计为仪器和辅助插件整合在单独的工作流程中提供了一个灵活的框架。除了仪器插件，软件还为自动进样器、自动稀释器系统配有集成插件；</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5.8支持Excel，XML,CSV数据导出,可直接与LIMS系统对接。</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 xml:space="preserve">6.分析性能： </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6.1分析速度： 可实现1.5min内测试超过180条谱线，而且每条测量谱线的积分时间≥10秒，重复3次，冲洗时间≥20秒；</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6.2样品消耗量：＜2ml，测定大于60个元素；</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6.3谱线灵活性：可对分析元素的任何一条谱线进行定性、半定量和定量分析，便于分析研究；</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6.4 测定谱线的线性动态范围：≥106（以Mn257.6nm 来测定，相关系数≥0.9996）；</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6.5内标校正：同时的内标校正，即内标元素和测量元素必须同时曝光；</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6.6精密度：测定1ppm或10ppm多元素混合标准溶液，重复测定十次的RSD≤0.5%；</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6.7稳定性：测定1ppm或10ppm多元素混合标准溶液，不使用内标校正，连续测定4小时的长时间稳定性RSD＜1.0%；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7.配置清单：</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7.1.电感耦合等离子体发射光谱仪主机1套</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7.2.冷却循环水机1台</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7.3.同心雾化器1个</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7.4.垂直矩管1根</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7.5.双向炬管 2根</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7.6.分析软件1套</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7.7.配套废液泵管5套</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7.8.配套进样泵管5套</w:t>
            </w:r>
          </w:p>
        </w:tc>
      </w:tr>
      <w:tr w14:paraId="04FD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36FFD572">
            <w:pPr>
              <w:spacing w:line="360" w:lineRule="auto"/>
              <w:jc w:val="center"/>
              <w:rPr>
                <w:rFonts w:ascii="宋体" w:hAnsi="宋体" w:eastAsia="宋体" w:cs="宋体"/>
                <w:szCs w:val="21"/>
              </w:rPr>
            </w:pPr>
            <w:r>
              <w:rPr>
                <w:rFonts w:hint="eastAsia" w:ascii="宋体" w:hAnsi="宋体" w:eastAsia="宋体" w:cs="宋体"/>
                <w:szCs w:val="21"/>
              </w:rPr>
              <w:t>2</w:t>
            </w:r>
          </w:p>
        </w:tc>
        <w:tc>
          <w:tcPr>
            <w:tcW w:w="1185" w:type="dxa"/>
            <w:vAlign w:val="center"/>
          </w:tcPr>
          <w:p w14:paraId="2EA368E5">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lang w:bidi="ar"/>
              </w:rPr>
              <w:t>超高效液相色谱仪</w:t>
            </w:r>
          </w:p>
        </w:tc>
        <w:tc>
          <w:tcPr>
            <w:tcW w:w="600" w:type="dxa"/>
            <w:noWrap/>
            <w:vAlign w:val="center"/>
          </w:tcPr>
          <w:p w14:paraId="7E716970">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08A3F528">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1.系统技术规格:</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1.1超高压二元泵</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▲1.1.1串联式双泵二元高压混合梯度系统，通过溶剂选择阀切换，可选择A、B和C、D两组溶液中各一种作为系统流动相；</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▲1.1.2二元高压混合梯度泵，内置在线自动脱气功能，泵A/B二元通道分别具有独立的脱气通道；脱气通道数2；（响应文件提供设备图片证明）</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1.1.3流量范围：0.010-2.0 mL/min，支持二元梯度方法编辑；</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▲1.1.4最大耐压20000psi；（响应文件提供软件截图证明）</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1.1.5 具备自动溶剂压缩系数计算与补偿功能；</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1.1.6 配备溶剂填充泵和空气排空切换阀，通过软件可以进行自动溶剂填充和空气排出；</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1.1.7 配备密封圈清洗功能，有效延长柱塞杆、高压密封圈寿命；</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▲1.1.8混合器体积（50ul），最小延迟体积（100ul）；</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1.2超高压自动进样器</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1.2.1 基于拉环式进样流路技术，支持自动进样器满环、部分环、微升三种进样模式；</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▲1.2.2 进样针采用针内针结构，具备顶空压力辅助功能，保证低残留；</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1.2.3 进样体积：1-100ul（标配100ul进样环），1-20ul（选配20ul进样环）</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1.2.4进样重复性：＜0.3%RSD；</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1.2.5最大样品容量：2*48位1.5ml样品瓶；或2*96位多孔板；</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1.2.6具备程序进样功能，包括自动洗针程序，取样及进样速率设定等；</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1.3色谱柱温箱</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1.3.1柱温箱具备制冷、加热双向控温功能</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1.3.2 温控范围：4℃~90℃范围内可设</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▲1.3.3内置6通道网络路由器接口，用于色谱系统组网；</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1.4 DAD检测器</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1.4.1 基于液芯波导的微体积流通池技术；</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1.4.2 波长范围：190-500nm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1.4.3 波长准确度：±1nm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1.4.4 波长分辨率：≤1nm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▲1.4.5 采样频率：最大达100 Hz（响应文件提供软件截图证明）</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1.4.6 流通池光程10mm，内部体积800nL</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1.5 软件及工作站</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1.5.1 工作站软件 配备中文液相色谱工作站软件，能控制液相色谱系统，内置数据处理与报告编辑功能。同时支持网络化部署。</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1.5.2设备和软件具备与质谱、全自动样品前处理联用接口，未来可扩展。</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2.仪器配置:</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2.1二元高压混合梯度泵</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2.2超高效自动进样器</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2.3超高效DAD检测器</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2.4超高效柱温箱&amp;单柱</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2.5溶剂托盘</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2.6色谱数据系统</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2.7台式色谱工作站硬件</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2.8图文输出设备</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2.9 UHPLC C18 液相色谱柱</w:t>
            </w:r>
          </w:p>
        </w:tc>
      </w:tr>
      <w:tr w14:paraId="7000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785D9FE5">
            <w:pPr>
              <w:spacing w:line="360" w:lineRule="auto"/>
              <w:jc w:val="center"/>
              <w:rPr>
                <w:rFonts w:ascii="宋体" w:hAnsi="宋体" w:eastAsia="宋体" w:cs="宋体"/>
                <w:szCs w:val="21"/>
              </w:rPr>
            </w:pPr>
            <w:r>
              <w:rPr>
                <w:rFonts w:hint="eastAsia" w:ascii="宋体" w:hAnsi="宋体" w:eastAsia="宋体" w:cs="宋体"/>
                <w:szCs w:val="21"/>
              </w:rPr>
              <w:t>3</w:t>
            </w:r>
          </w:p>
        </w:tc>
        <w:tc>
          <w:tcPr>
            <w:tcW w:w="1185" w:type="dxa"/>
            <w:vAlign w:val="center"/>
          </w:tcPr>
          <w:p w14:paraId="4C8BA269">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lang w:bidi="ar"/>
              </w:rPr>
              <w:t>离心机</w:t>
            </w:r>
          </w:p>
        </w:tc>
        <w:tc>
          <w:tcPr>
            <w:tcW w:w="600" w:type="dxa"/>
            <w:noWrap/>
            <w:vAlign w:val="center"/>
          </w:tcPr>
          <w:p w14:paraId="0F9E973B">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16BDE4D3">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1.最大容量：4×750mL</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2.最高转速：21000r/min</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3.最大相对离心力：40000×g</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4.转速精度：±10r/min</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5.无氟制冷压缩机组及环保制冷剂R404a</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6.温控范围：-20℃-+40℃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7.温控调节精度：±1℃</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8.配置清单</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 xml:space="preserve">8.1主机1台 </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 xml:space="preserve">8.2 6×250ml角转子 </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8.3 6×3×50ml适配器</w:t>
            </w:r>
          </w:p>
        </w:tc>
      </w:tr>
      <w:tr w14:paraId="147F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4C564E0A">
            <w:pPr>
              <w:spacing w:line="360" w:lineRule="auto"/>
              <w:jc w:val="center"/>
              <w:rPr>
                <w:rFonts w:ascii="宋体" w:hAnsi="宋体" w:eastAsia="宋体" w:cs="宋体"/>
                <w:szCs w:val="21"/>
              </w:rPr>
            </w:pPr>
            <w:r>
              <w:rPr>
                <w:rFonts w:hint="eastAsia" w:ascii="宋体" w:hAnsi="宋体" w:eastAsia="宋体" w:cs="宋体"/>
                <w:szCs w:val="21"/>
              </w:rPr>
              <w:t>4</w:t>
            </w:r>
          </w:p>
        </w:tc>
        <w:tc>
          <w:tcPr>
            <w:tcW w:w="1185" w:type="dxa"/>
            <w:vAlign w:val="center"/>
          </w:tcPr>
          <w:p w14:paraId="01806887">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lang w:bidi="ar"/>
              </w:rPr>
              <w:t>刀式研磨仪</w:t>
            </w:r>
          </w:p>
        </w:tc>
        <w:tc>
          <w:tcPr>
            <w:tcW w:w="600" w:type="dxa"/>
            <w:noWrap/>
            <w:vAlign w:val="center"/>
          </w:tcPr>
          <w:p w14:paraId="0CFC7F13">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6D52E65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1.进样尺寸:＜40mm，</w:t>
            </w:r>
          </w:p>
          <w:p w14:paraId="52337CF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2.最终出样尺寸：＜250μm；</w:t>
            </w:r>
          </w:p>
          <w:p w14:paraId="5BA956D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3.样品处理量:150--700ml（研磨容器1L）； </w:t>
            </w:r>
          </w:p>
          <w:p w14:paraId="153196E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4.电机转速：1000-10000rpm，数字显示，连续可调（助推模式转速可达16000rpm）；</w:t>
            </w:r>
          </w:p>
          <w:p w14:paraId="4C064D4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5.研磨时间设置:00:00-59:59，数字显示，连续可调；</w:t>
            </w:r>
          </w:p>
          <w:p w14:paraId="39439E5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6.转刀：二叶刀头，刀片不在同一水平面，保持一定的间距高度，并且具有韧面和钝面之分，分别可用于大块样品的粗粉碎或者精细粉碎；</w:t>
            </w:r>
          </w:p>
          <w:p w14:paraId="0D07B07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7.转刀直径：不小于119mm，刀头外围线速度：不小于62m/s；</w:t>
            </w:r>
          </w:p>
          <w:p w14:paraId="4D8C308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8.研磨容器材质：PP材质、PC材质、不锈钢材质三种材质；</w:t>
            </w:r>
          </w:p>
          <w:p w14:paraId="483D4A69">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9.顶盖类型：标准顶盖、重力顶盖、带溢流渠重力顶盖三种类型；10.转刀类型及材质：两叶平刃、两叶锯齿、四叶平刃、四叶锯齿四种类型、转刀具有不锈钢、钛制两种材质；</w:t>
            </w:r>
          </w:p>
          <w:p w14:paraId="39E1B099">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11.仪器具有LED触摸显示屏和按键双控制，按键和触摸屏具有联动功能，程序可存储10组常用参数，方便快速调取使用；</w:t>
            </w:r>
          </w:p>
          <w:p w14:paraId="2D60CAE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12.仪器可选配上盖保护罩自动翻转功能；</w:t>
            </w:r>
          </w:p>
          <w:p w14:paraId="58E463A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13.具有间歇模式、反转模式、点击模式和助推模式，均可在控制面板上直接操作；</w:t>
            </w:r>
          </w:p>
          <w:p w14:paraId="6906C8F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14.仪器配件均可进行高温高压灭菌或者防重金属污染制样；</w:t>
            </w:r>
          </w:p>
          <w:p w14:paraId="77677CF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15.电机功率：2kw；</w:t>
            </w:r>
          </w:p>
          <w:p w14:paraId="20E580B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16.主机保修期：≥3年，仪器终生维修；</w:t>
            </w:r>
          </w:p>
          <w:p w14:paraId="2EFE3A2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17.免费安装调试至仪器可正常运行，仪器安装调试后进行现场免费培训</w:t>
            </w:r>
          </w:p>
          <w:p w14:paraId="4735589C">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18.配置清单</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刀式研磨仪主机1台，耐热压研磨容器2个，不锈钢转刀2把，标准顶盖2个。</w:t>
            </w:r>
          </w:p>
        </w:tc>
      </w:tr>
      <w:tr w14:paraId="7063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757A073D">
            <w:pPr>
              <w:spacing w:line="360" w:lineRule="auto"/>
              <w:jc w:val="center"/>
              <w:rPr>
                <w:rFonts w:ascii="宋体" w:hAnsi="宋体" w:eastAsia="宋体" w:cs="宋体"/>
                <w:szCs w:val="21"/>
              </w:rPr>
            </w:pPr>
            <w:r>
              <w:rPr>
                <w:rFonts w:hint="eastAsia" w:ascii="宋体" w:hAnsi="宋体" w:eastAsia="宋体" w:cs="宋体"/>
                <w:szCs w:val="21"/>
              </w:rPr>
              <w:t>5</w:t>
            </w:r>
          </w:p>
        </w:tc>
        <w:tc>
          <w:tcPr>
            <w:tcW w:w="1185" w:type="dxa"/>
            <w:vAlign w:val="center"/>
          </w:tcPr>
          <w:p w14:paraId="1AF982DB">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lang w:bidi="ar"/>
              </w:rPr>
              <w:t>台式高速冷冻离心机</w:t>
            </w:r>
          </w:p>
        </w:tc>
        <w:tc>
          <w:tcPr>
            <w:tcW w:w="600" w:type="dxa"/>
            <w:noWrap/>
            <w:vAlign w:val="center"/>
          </w:tcPr>
          <w:p w14:paraId="5717B126">
            <w:pPr>
              <w:spacing w:line="360" w:lineRule="auto"/>
              <w:jc w:val="center"/>
              <w:rPr>
                <w:rFonts w:ascii="宋体" w:hAnsi="宋体" w:eastAsia="宋体" w:cs="宋体"/>
                <w:szCs w:val="21"/>
              </w:rPr>
            </w:pPr>
            <w:r>
              <w:rPr>
                <w:rFonts w:hint="eastAsia" w:ascii="宋体" w:hAnsi="宋体" w:eastAsia="宋体" w:cs="宋体"/>
                <w:szCs w:val="21"/>
              </w:rPr>
              <w:t>2台</w:t>
            </w:r>
          </w:p>
        </w:tc>
        <w:tc>
          <w:tcPr>
            <w:tcW w:w="7441" w:type="dxa"/>
            <w:noWrap/>
            <w:vAlign w:val="center"/>
          </w:tcPr>
          <w:p w14:paraId="78A5AF92">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▲1.1微机控制旋钮和触摸面板，LCD数码显示，交流变频无刷电机，免维护无碳粉污染，适用220V电源；（响应文件提供微机控制旋钮和触摸面板实物图）</w:t>
            </w:r>
          </w:p>
          <w:p w14:paraId="46E1A15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▲1.2离心机主界面要求含有≥2个快捷程序按键，≥8个常用程序按键，可快速运行常用程序；后台可存储≥50个常用程序，支持快速预览程序参数；</w:t>
            </w:r>
            <w:r>
              <w:rPr>
                <w:rFonts w:hint="eastAsia" w:ascii="Calibri" w:hAnsi="Calibri" w:eastAsia="宋体" w:cs="Times New Roman"/>
                <w:szCs w:val="22"/>
              </w:rPr>
              <w:t>（响应文件提供软件程序按键数量实物图）</w:t>
            </w:r>
          </w:p>
          <w:p w14:paraId="5A50EFE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1.3要求离心机设有转子失衡自动识别、转速异常、门盖保护、故障代码显示、电子安全门锁等保护功能；</w:t>
            </w:r>
          </w:p>
          <w:p w14:paraId="45B3BD3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▲1.4主机最大转速：≥18000rpm，最大离心力≥22640×g；</w:t>
            </w:r>
          </w:p>
          <w:p w14:paraId="29B4168D">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1.5离心定时范围至少涵盖：30秒—99小时59分59秒；</w:t>
            </w:r>
          </w:p>
          <w:p w14:paraId="09B981F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1.6离心噪声小于60dB(A)；</w:t>
            </w:r>
          </w:p>
          <w:p w14:paraId="7152B6A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1.7最快升速时间为≤20秒，最快降速时间为≤15秒，具有≥10档加/减速控制；</w:t>
            </w:r>
          </w:p>
          <w:p w14:paraId="2406CCE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1.8自动计算RCF值；</w:t>
            </w:r>
          </w:p>
          <w:p w14:paraId="2F873F66">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1.9转子最大容量：24X1.5/2.0ml,10x5.0ml；</w:t>
            </w:r>
          </w:p>
          <w:p w14:paraId="0C4FD06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▲1.10转速精度：±2r/min；</w:t>
            </w:r>
          </w:p>
          <w:p w14:paraId="0E464DE8">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▲1.11转子盖采用快速锁紧技术，不接受螺纹式转子盖，旋转1/4圆周即可快速轻松的开盖或锁紧；</w:t>
            </w:r>
          </w:p>
          <w:p w14:paraId="0C910743">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▲1.12转子寿命记录：离心机可记录每款转子使用次数，并进行安全提醒，转子要求采用7系铝合金材料；</w:t>
            </w:r>
          </w:p>
          <w:p w14:paraId="1205390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1.13具备记忆功能快捷键，可快速进行常用程序；</w:t>
            </w:r>
          </w:p>
          <w:p w14:paraId="62A80FD3">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1.14具备三种定速计时功能：启动计时，到达指定转速计时，定时启动指定转速；</w:t>
            </w:r>
          </w:p>
          <w:p w14:paraId="6E63357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1.15具备自动转子失衡识别功能；</w:t>
            </w:r>
          </w:p>
          <w:p w14:paraId="53E2568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▲1.16离心机机盖电子锁紧，快速开关，具备紧急开盖功能，离心结束盖子自动开启；</w:t>
            </w:r>
          </w:p>
          <w:p w14:paraId="216BA24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1.17具备软刹车功能，防止离心重悬发生；</w:t>
            </w:r>
          </w:p>
          <w:p w14:paraId="6EB31B82">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▲1.18离心机温度设置范围至少涵盖：-20-40℃；</w:t>
            </w:r>
          </w:p>
          <w:p w14:paraId="7BDAE02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1.19具有持续制冷功能，离心结束后仍可保持设定温度；</w:t>
            </w:r>
          </w:p>
          <w:p w14:paraId="4BC64E8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1.20具有快速预冷功能；</w:t>
            </w:r>
          </w:p>
          <w:p w14:paraId="47FC32A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1.21自动待机功能，停止使用后自动待机；</w:t>
            </w:r>
          </w:p>
          <w:p w14:paraId="66CBCB40">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1.22具备自动校正功能：可以随时开启或者关闭自动校正功能，校正转速和时间，确保实验结果的重复性。</w:t>
            </w:r>
          </w:p>
          <w:p w14:paraId="32B7B72D">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2.配置</w:t>
            </w:r>
          </w:p>
          <w:p w14:paraId="2D257F5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2.1 主机1台；</w:t>
            </w:r>
          </w:p>
          <w:p w14:paraId="7A7DAC0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2.2  24X1.5/2.0ml角转子（最高转速≥15060r/min，最大相对离心力≥21300×g）；</w:t>
            </w:r>
          </w:p>
          <w:p w14:paraId="0ED6041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2.3  10X5.0ml角转子（最高转速≥15060r/min，最大相对离心力≥21300×g）；</w:t>
            </w:r>
          </w:p>
          <w:p w14:paraId="50F5CF5B">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▲3.质保期≥2年</w:t>
            </w:r>
          </w:p>
        </w:tc>
      </w:tr>
      <w:tr w14:paraId="3187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5D60F00B">
            <w:pPr>
              <w:spacing w:line="360" w:lineRule="auto"/>
              <w:jc w:val="center"/>
              <w:rPr>
                <w:rFonts w:ascii="宋体" w:hAnsi="宋体" w:eastAsia="宋体" w:cs="宋体"/>
                <w:szCs w:val="21"/>
              </w:rPr>
            </w:pPr>
            <w:r>
              <w:rPr>
                <w:rFonts w:hint="eastAsia" w:ascii="宋体" w:hAnsi="宋体" w:eastAsia="宋体" w:cs="宋体"/>
                <w:szCs w:val="21"/>
              </w:rPr>
              <w:t>6</w:t>
            </w:r>
          </w:p>
        </w:tc>
        <w:tc>
          <w:tcPr>
            <w:tcW w:w="1185" w:type="dxa"/>
            <w:vAlign w:val="center"/>
          </w:tcPr>
          <w:p w14:paraId="05DA7119">
            <w:pPr>
              <w:widowControl/>
              <w:spacing w:line="360" w:lineRule="auto"/>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电子天平</w:t>
            </w:r>
          </w:p>
        </w:tc>
        <w:tc>
          <w:tcPr>
            <w:tcW w:w="600" w:type="dxa"/>
            <w:noWrap/>
            <w:vAlign w:val="center"/>
          </w:tcPr>
          <w:p w14:paraId="2FD62626">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51F47BA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1.可读性：0.1mg</w:t>
            </w:r>
          </w:p>
          <w:p w14:paraId="50422CB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2.最大秤量：220g</w:t>
            </w:r>
          </w:p>
          <w:p w14:paraId="0FB79E3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3.灵敏度漂移：0.5 mg</w:t>
            </w:r>
          </w:p>
          <w:p w14:paraId="2082607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4.重复性：0.08 mg</w:t>
            </w:r>
          </w:p>
          <w:p w14:paraId="7C660E00">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5.线性误差：0.06 mg</w:t>
            </w:r>
          </w:p>
          <w:p w14:paraId="1FF6E85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6.稳定时间：2 s</w:t>
            </w:r>
          </w:p>
          <w:p w14:paraId="3FE5C659">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7.秤盘直径：90 mm</w:t>
            </w:r>
          </w:p>
          <w:p w14:paraId="311247F3">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8.防风罩有效高度：238 mm</w:t>
            </w:r>
          </w:p>
        </w:tc>
      </w:tr>
      <w:tr w14:paraId="0C73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3D847F97">
            <w:pPr>
              <w:spacing w:line="360" w:lineRule="auto"/>
              <w:jc w:val="center"/>
              <w:rPr>
                <w:rFonts w:ascii="宋体" w:hAnsi="宋体" w:eastAsia="宋体" w:cs="宋体"/>
                <w:szCs w:val="21"/>
              </w:rPr>
            </w:pPr>
            <w:r>
              <w:rPr>
                <w:rFonts w:hint="eastAsia" w:ascii="宋体" w:hAnsi="宋体" w:eastAsia="宋体" w:cs="宋体"/>
                <w:szCs w:val="21"/>
              </w:rPr>
              <w:t>7</w:t>
            </w:r>
          </w:p>
        </w:tc>
        <w:tc>
          <w:tcPr>
            <w:tcW w:w="1185" w:type="dxa"/>
            <w:vAlign w:val="center"/>
          </w:tcPr>
          <w:p w14:paraId="06AA064D">
            <w:pPr>
              <w:widowControl/>
              <w:spacing w:line="360" w:lineRule="auto"/>
              <w:jc w:val="center"/>
              <w:textAlignment w:val="center"/>
              <w:rPr>
                <w:rFonts w:ascii="宋体" w:hAnsi="宋体" w:eastAsia="宋体" w:cs="宋体"/>
                <w:szCs w:val="21"/>
              </w:rPr>
            </w:pPr>
            <w:r>
              <w:rPr>
                <w:rFonts w:hint="eastAsia" w:ascii="宋体" w:hAnsi="宋体" w:eastAsia="宋体" w:cs="宋体"/>
                <w:kern w:val="0"/>
                <w:szCs w:val="21"/>
                <w:lang w:bidi="ar"/>
              </w:rPr>
              <w:t>手持式X射线荧光光谱仪</w:t>
            </w:r>
          </w:p>
        </w:tc>
        <w:tc>
          <w:tcPr>
            <w:tcW w:w="600" w:type="dxa"/>
            <w:noWrap/>
            <w:vAlign w:val="center"/>
          </w:tcPr>
          <w:p w14:paraId="247EE1B0">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08E801C5">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1.分析对象：土壤、污泥、沉积物、矿物、固废等；满足标准《土壤和沉积物 无机元素的测定 能量色散X射线荧光光谱法》（DB61/T 1580-2022）；  GB 36600-2018《土壤环境质量 建设用地土壤污染风险管控标准》常用于该标准中45项基本项目(如As、Cd、Cr、Cu、Pb、Hg、Ni等)的现场快速筛查。</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2.分析元素范围： 从Mg到U，可测元素包括：Mg（镁）、Al（铝）、Si（硅）、P（磷）、S（硫）、K（钾）、Ca（钙）、Ti（钛）、V（钒）、Cr（铬）、Mn（锰）、Fe（铁）、Co（钴）、Ni（镍）、Cu（铜）、Zn（锌）、As（砷）、Se（硒）、Rb（铷）、TI（铊）、Sr（锶）、Y（钇）、Zr（镐）、Nb（铌）、Mo（钼）、Ru（钌）、Rh（铑）、Pd（钯）、Ag（银）、Cd（镉）、Sn（锡）、Sb（锑）、Hf（铪）、Ta（钽）、W（钨）、Re（铼）、Au（金）、Hg（汞）、Pb（铅）、Bi（铋）、Th（钍）、U（铀）、La（镧）、Ce（铈）、Pr（镨）、Nd（钕）等45种元素以上；</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3.仪器重量：含电池不大于1.6kg；</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4.仪器体积：约27.6cm╳24.5cm╳8.2cm</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5.使用环境：温度：-20℃～50℃；湿度：0～90%;海拔高度：小于5000m;</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6.含量检测范围：0.0001%～99.99%；</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7.探测器：电制冷Fast-SDD探测器；能量分辨率≤126eV，采用电制冷，无需长时间及频繁等待制冷；（供货时提供能量分辨率的国家认可的第三方检测机构出具的检测报告）</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8.数字多道：低噪声高性能4096道数字脉冲处理器;</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9.X射线激发源：一体化射线源，Ag靶，管电压0～50KV可调，管电流0～200uA可调; （供货时提供管电压可调的经国家认可的第三方检测机构出具的检测报告）</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10.微计算机系统：工业级4核1.8GHz CPU、内置2GB内存、24GB数据存储器，可存储约300000条谱图数据。</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11.具有不低于4.5寸电容触控一体高清彩色液晶显示屏、显示分辨率：854×480，带摇杆按键，可以通过触控屏或者摇杆操作软件；</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12.开机时间：从开机到进入测试界面时间不超过15s。</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13.操作系统：内置工业级Linux操作系统，非Windows和Android系统，无染毒隐患和数据安全风险，简体中文操作界面；</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14.USB数据接口：两个USB接口，可以直接插U盘拷贝谱图和数据至电脑，也可以通过USB-OTG连接电脑；</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15.无线接口：内置WiFi和蓝牙，无需外接模块即可实现无线数据传输；</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16.远程控制和数据传输：可以通过WiFi连接Android手机和电脑，实现仪器远程控制和数据共享，也可以通过USB-OTG连接电脑，实现仪器离机远程操作，可以通过蓝牙连接便携式打印机打印数据。</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17.相机系统：内置高清的1个样品摄像头和1个环境摄像头，可拍摄样品图像，图片可以随报告输出；</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18.滤波系统：内置单通道准直和滤波器；</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19.校准系统：外置自动校准；</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20.气压校正系统：内置气压补偿校正模块，软件可根据气压值自行校正测试结果；</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 xml:space="preserve">21.分析软件：内置土壤重金属分析软件，可创建EXCEL、CSV 或 PDF 等格式专业报告，报告内容包括检测结果、单位LOGO、样品图像、操作人员、日期、测试对象等信息，用户可以自定义报告模板；软件具有一键测试功能，测试时间可自定义、自动计时检测；测试结果可显示ppm或%；具有用户模式和专家模式，软件支持后续升级； </w:t>
            </w:r>
          </w:p>
          <w:p w14:paraId="17694E98">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color w:val="auto"/>
                <w:sz w:val="21"/>
                <w:szCs w:val="21"/>
                <w:u w:val="none"/>
                <w:lang w:bidi="ar"/>
              </w:rPr>
              <w:t>22.电池：电池带电量显示，且具有热插拔功能，可不关机直接插拔更换电池，拔掉电池后仪器待机时间不低于5分钟。</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23.电池可持续工作时间约16-20小时，保证用户作业的连续性；仪器手柄带电量显示，工作时可以在手柄和屏幕上直接观察电池电量；（供货时提供电池持续工作时间的经国家认可的第三方检测机构出具的检测报告）</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24.仪器散热：仪器壳体有大面积金属，可以及时将内部热量导出，保证仪器的热稳定性。</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25.安全保护：具有密码保护功能，防止非授权人员操作仪器；头部配置的传感器可自动识别样品，空测时自动禁止激发X射线；</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26.声光安全警示：仪器具有三态LED状态显示和声响提示，上电和待机时显示为绿色，X射线激发时，橙色状态指示灯呼吸闪烁，故障时红灯闪烁，测试启动和测试结束时有声响提示；</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27.盐雾测试达到9级，防水防尘达到IP54。（供货时提供经国家认可的第三方检测机构出具的检测报告）</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28.产品清单</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28.1仪器主机1台</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 xml:space="preserve">28.2分析软件1套 </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 xml:space="preserve">28.3产品说明书1本 </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 xml:space="preserve">28.4防水、防尘、防震手提箱1个 </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 xml:space="preserve">28.5可充电锂电池2个 </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28.6锂电池充电器（双插位座充，12VDC/3A）1个</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28.7电源适配器1个</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 xml:space="preserve">28.8数据 U 盘（32GB） 1个 </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28.9校准片1个</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28.10测试保护膜（耐高温保护膜）5个</w:t>
            </w:r>
            <w:r>
              <w:rPr>
                <w:rFonts w:hint="eastAsia" w:ascii="宋体" w:hAnsi="宋体" w:eastAsia="宋体" w:cs="宋体"/>
                <w:color w:val="auto"/>
                <w:sz w:val="21"/>
                <w:szCs w:val="21"/>
                <w:u w:val="none"/>
                <w:lang w:bidi="ar"/>
              </w:rPr>
              <w:br w:type="textWrapping"/>
            </w:r>
            <w:r>
              <w:rPr>
                <w:rFonts w:hint="eastAsia" w:ascii="宋体" w:hAnsi="宋体" w:eastAsia="宋体" w:cs="宋体"/>
                <w:color w:val="auto"/>
                <w:sz w:val="21"/>
                <w:szCs w:val="21"/>
                <w:u w:val="none"/>
                <w:lang w:bidi="ar"/>
              </w:rPr>
              <w:t>28.11手腕带1条</w:t>
            </w:r>
          </w:p>
        </w:tc>
      </w:tr>
      <w:tr w14:paraId="5983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1E91B5A0">
            <w:pPr>
              <w:spacing w:line="360" w:lineRule="auto"/>
              <w:jc w:val="center"/>
              <w:rPr>
                <w:rFonts w:ascii="宋体" w:hAnsi="宋体" w:eastAsia="宋体" w:cs="宋体"/>
                <w:szCs w:val="21"/>
              </w:rPr>
            </w:pPr>
            <w:r>
              <w:rPr>
                <w:rFonts w:hint="eastAsia" w:ascii="宋体" w:hAnsi="宋体" w:eastAsia="宋体" w:cs="宋体"/>
                <w:szCs w:val="21"/>
              </w:rPr>
              <w:t>8</w:t>
            </w:r>
          </w:p>
        </w:tc>
        <w:tc>
          <w:tcPr>
            <w:tcW w:w="1185" w:type="dxa"/>
            <w:vAlign w:val="center"/>
          </w:tcPr>
          <w:p w14:paraId="61B8DD7F">
            <w:pPr>
              <w:widowControl/>
              <w:spacing w:line="360" w:lineRule="auto"/>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屋顶及覆盖材料制品外部对火反应试验装置</w:t>
            </w:r>
          </w:p>
        </w:tc>
        <w:tc>
          <w:tcPr>
            <w:tcW w:w="600" w:type="dxa"/>
            <w:noWrap/>
            <w:vAlign w:val="center"/>
          </w:tcPr>
          <w:p w14:paraId="21F4CEC8">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5F1C8926">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一、引用标准：</w:t>
            </w:r>
          </w:p>
          <w:p w14:paraId="26A741EF">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1.GB/T30735-2014《屋顶及屋顶覆盖制品外部对火反应试验方法》方法A</w:t>
            </w:r>
          </w:p>
          <w:p w14:paraId="464699D2">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二、主要性能参数：</w:t>
            </w:r>
          </w:p>
          <w:p w14:paraId="5A22E324">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1.试验装置主要由可移动电动升降平台、试验滴落物收集台、试样支架、试样角度调节装置、填充刨花的金属框、火源A的自动点火器及控制系统等组成。</w:t>
            </w:r>
          </w:p>
          <w:p w14:paraId="2AA5ADF2">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2.配备可移动电动升降平台，可对试样支架进行高度调节，降低高度可方便用户安装试样及防止火源A。</w:t>
            </w:r>
          </w:p>
          <w:p w14:paraId="69F92299">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3.配备试验滴落物收集台，可对试验燃烧过程中产生的滴落物进行收集。</w:t>
            </w:r>
          </w:p>
          <w:p w14:paraId="75BFF3DB">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4.配备试样角度调节装置，满足标准要求的不同坡度进行试验。</w:t>
            </w:r>
          </w:p>
          <w:p w14:paraId="15C55148">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5.配备填充刨花的金属框，采用304不锈钢制作，丝径为3mm，外形尺寸符合标准的要求。</w:t>
            </w:r>
          </w:p>
          <w:p w14:paraId="5D986D27">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6.配备火源A的自动点火装置，燃烧器为一个四边倒角的矩形金属管制成，金属管上开有均匀布置的小孔，采用丙烷气或天然气进行供应，采用低压脉冲点火器将燃气点燃，通过本燃烧器自动对火源A的刨花进行点燃，无需人工手持点火，方便试验人员操作。</w:t>
            </w:r>
          </w:p>
          <w:p w14:paraId="22A89641">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7.控制系统：采用触摸屏操作，可扩展性强，控制系统稳定。采用控制程序应可实现上位机软件可自动对火源A进行点火，且在10s内完成；具有计时功能，用于对开始试验计时、传播到达不同位置计时，试验数据可存储、导出及历史数据查询等功能。</w:t>
            </w:r>
          </w:p>
          <w:p w14:paraId="6AC28347">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8.设备供电：AC220V、50Hz，功率：≥1kW。</w:t>
            </w:r>
          </w:p>
        </w:tc>
      </w:tr>
      <w:tr w14:paraId="2DBB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1B30F98F">
            <w:pPr>
              <w:spacing w:line="360" w:lineRule="auto"/>
              <w:jc w:val="center"/>
              <w:rPr>
                <w:rFonts w:ascii="宋体" w:hAnsi="宋体" w:eastAsia="宋体" w:cs="宋体"/>
                <w:szCs w:val="21"/>
              </w:rPr>
            </w:pPr>
            <w:r>
              <w:rPr>
                <w:rFonts w:hint="eastAsia" w:ascii="宋体" w:hAnsi="宋体" w:eastAsia="宋体" w:cs="宋体"/>
                <w:szCs w:val="21"/>
              </w:rPr>
              <w:t>9</w:t>
            </w:r>
          </w:p>
        </w:tc>
        <w:tc>
          <w:tcPr>
            <w:tcW w:w="1185" w:type="dxa"/>
            <w:vAlign w:val="center"/>
          </w:tcPr>
          <w:p w14:paraId="3DFE95A4">
            <w:pPr>
              <w:widowControl/>
              <w:spacing w:line="360" w:lineRule="auto"/>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可见光透返射比及遮阳系数检定系统</w:t>
            </w:r>
          </w:p>
        </w:tc>
        <w:tc>
          <w:tcPr>
            <w:tcW w:w="600" w:type="dxa"/>
            <w:noWrap/>
            <w:vAlign w:val="center"/>
          </w:tcPr>
          <w:p w14:paraId="79DC6637">
            <w:pPr>
              <w:spacing w:line="360" w:lineRule="auto"/>
              <w:jc w:val="center"/>
              <w:rPr>
                <w:rFonts w:ascii="宋体" w:hAnsi="宋体" w:eastAsia="宋体" w:cs="宋体"/>
                <w:szCs w:val="21"/>
              </w:rPr>
            </w:pPr>
            <w:r>
              <w:rPr>
                <w:rFonts w:hint="eastAsia" w:ascii="宋体" w:hAnsi="宋体" w:eastAsia="宋体" w:cs="宋体"/>
                <w:szCs w:val="21"/>
              </w:rPr>
              <w:t>1套</w:t>
            </w:r>
          </w:p>
        </w:tc>
        <w:tc>
          <w:tcPr>
            <w:tcW w:w="7441" w:type="dxa"/>
            <w:noWrap/>
            <w:vAlign w:val="center"/>
          </w:tcPr>
          <w:p w14:paraId="53D047E5">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1.适用标准：GB/T 2680-2021《建筑玻璃可见光透射比、太阳光直接透射比、太阳能总透射比、紫外线透射比及有关窗玻璃参数的测定》中条款3.1、3.2、3.3、3.4、3.5、3.6、3.9、3.9、3.10、3.11。</w:t>
            </w:r>
          </w:p>
          <w:p w14:paraId="1BBD1088">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 xml:space="preserve">2.量程：0%-100%                                  </w:t>
            </w:r>
          </w:p>
          <w:p w14:paraId="2F4ACA6B">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3.测量波长范围：250-2800nm</w:t>
            </w:r>
          </w:p>
          <w:p w14:paraId="4E79E06D">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 xml:space="preserve">4.波长计算使用范围：300-2500nm                  </w:t>
            </w:r>
          </w:p>
          <w:p w14:paraId="1F1B14B2">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 xml:space="preserve">5.波长准确度：±0.5nm（UV/VIS）±4nm（NIR）     </w:t>
            </w:r>
          </w:p>
          <w:p w14:paraId="7153AB9E">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6.波长重复性：±0.5nm（UV/VIS）±4nm（NIR）</w:t>
            </w:r>
          </w:p>
          <w:p w14:paraId="6CB82A7B">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 xml:space="preserve">7.光源：仪器用氘灯和钨灯.                         </w:t>
            </w:r>
          </w:p>
          <w:p w14:paraId="3EE377A0">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8.光线角度：5°角（反射）0°角（透射）</w:t>
            </w:r>
          </w:p>
          <w:p w14:paraId="19FD8093">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 xml:space="preserve">9.供电电源：220V AC 50Hz  功率：500w            </w:t>
            </w:r>
          </w:p>
          <w:p w14:paraId="4D7626C0">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 xml:space="preserve">10.设备外形尺寸：约800×600×280mm </w:t>
            </w:r>
          </w:p>
          <w:p w14:paraId="382787F2">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11.试验环境：温度15-25℃ 湿度39-80%RH</w:t>
            </w:r>
          </w:p>
        </w:tc>
      </w:tr>
      <w:tr w14:paraId="7712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43F14DB2">
            <w:pPr>
              <w:spacing w:line="360" w:lineRule="auto"/>
              <w:jc w:val="center"/>
              <w:rPr>
                <w:rFonts w:ascii="宋体" w:hAnsi="宋体" w:eastAsia="宋体" w:cs="宋体"/>
                <w:szCs w:val="21"/>
              </w:rPr>
            </w:pPr>
            <w:r>
              <w:rPr>
                <w:rFonts w:hint="eastAsia" w:ascii="宋体" w:hAnsi="宋体" w:eastAsia="宋体" w:cs="宋体"/>
                <w:szCs w:val="21"/>
              </w:rPr>
              <w:t>10</w:t>
            </w:r>
          </w:p>
        </w:tc>
        <w:tc>
          <w:tcPr>
            <w:tcW w:w="1185" w:type="dxa"/>
            <w:vAlign w:val="center"/>
          </w:tcPr>
          <w:p w14:paraId="5D8A42D1">
            <w:pPr>
              <w:widowControl/>
              <w:spacing w:line="360" w:lineRule="auto"/>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电子万能试验机</w:t>
            </w:r>
          </w:p>
        </w:tc>
        <w:tc>
          <w:tcPr>
            <w:tcW w:w="600" w:type="dxa"/>
            <w:noWrap/>
            <w:vAlign w:val="center"/>
          </w:tcPr>
          <w:p w14:paraId="3FFD0870">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6E691012">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1.适用标准：GB/T 15763.2-2025 附录G,</w:t>
            </w:r>
          </w:p>
          <w:p w14:paraId="64E3836D">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2、最大试验力 200KN</w:t>
            </w:r>
          </w:p>
          <w:p w14:paraId="26104925">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3.主机尺寸：单空间约950*980*2300mm</w:t>
            </w:r>
          </w:p>
          <w:p w14:paraId="34B81908">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4.双空间约：950*980*2300mm</w:t>
            </w:r>
          </w:p>
          <w:p w14:paraId="2E4F9D68">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5.电源：380V/50Hz/3.5kW</w:t>
            </w:r>
          </w:p>
          <w:p w14:paraId="32E70FA2">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6.主机重量：约1200KG</w:t>
            </w:r>
          </w:p>
          <w:p w14:paraId="77F6210D">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7.不含夹具有效行程H1 双空间：1071mm；含夹具有效拉伸行程H 双空间：570mm；含夹具有效压缩行程 双空间：570mm</w:t>
            </w:r>
          </w:p>
          <w:p w14:paraId="22C9D6F0">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8.有效测试宽度：W500mm</w:t>
            </w:r>
          </w:p>
          <w:p w14:paraId="6151ACB7">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9.标配压盘最大直径：150mm</w:t>
            </w:r>
          </w:p>
          <w:p w14:paraId="1E2BD0D8">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10.丝杆规格：6310位移速率调节范围 0.001～200mm/min</w:t>
            </w:r>
          </w:p>
          <w:p w14:paraId="560D73B9">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11.位移速率控制精度：为设定值的±1%以内</w:t>
            </w:r>
          </w:p>
          <w:p w14:paraId="4BCB4CFE">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12.变形、力控速率调节范围：0.005～5%FS/s</w:t>
            </w:r>
          </w:p>
          <w:p w14:paraId="6B164BDE">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13.变形、力控速率控制精度 速率＜0.05%FS/s时，为设定值的±1%以内</w:t>
            </w:r>
          </w:p>
          <w:p w14:paraId="3B04A6B4">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14.速率≥0.05%FS/s时，为设定值的±0.5%以内</w:t>
            </w:r>
          </w:p>
          <w:p w14:paraId="449193A8">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15.中文版本试验软件 一套；</w:t>
            </w:r>
          </w:p>
          <w:p w14:paraId="57575B9A">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16.全智能移动手控盒 一个；</w:t>
            </w:r>
          </w:p>
          <w:p w14:paraId="5F544DAF">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17.控制主机及输出设备一套；</w:t>
            </w:r>
          </w:p>
          <w:p w14:paraId="7A545AA1">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18.四点弯曲：弯心半径R25长度365mm、支辊半径R25长365mm、跨距大于200mm；一套；</w:t>
            </w:r>
          </w:p>
        </w:tc>
      </w:tr>
      <w:tr w14:paraId="59B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3FE518E2">
            <w:pPr>
              <w:spacing w:line="360" w:lineRule="auto"/>
              <w:jc w:val="center"/>
              <w:rPr>
                <w:rFonts w:ascii="宋体" w:hAnsi="宋体" w:eastAsia="宋体" w:cs="宋体"/>
                <w:szCs w:val="21"/>
              </w:rPr>
            </w:pPr>
            <w:r>
              <w:rPr>
                <w:rFonts w:hint="eastAsia" w:ascii="宋体" w:hAnsi="宋体" w:eastAsia="宋体" w:cs="宋体"/>
                <w:szCs w:val="21"/>
              </w:rPr>
              <w:t>11</w:t>
            </w:r>
          </w:p>
        </w:tc>
        <w:tc>
          <w:tcPr>
            <w:tcW w:w="1185" w:type="dxa"/>
            <w:vAlign w:val="center"/>
          </w:tcPr>
          <w:p w14:paraId="6B21DBA7">
            <w:pPr>
              <w:widowControl/>
              <w:spacing w:line="360" w:lineRule="auto"/>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水蒸气透过率测试系统</w:t>
            </w:r>
          </w:p>
        </w:tc>
        <w:tc>
          <w:tcPr>
            <w:tcW w:w="600" w:type="dxa"/>
            <w:noWrap/>
            <w:vAlign w:val="center"/>
          </w:tcPr>
          <w:p w14:paraId="5C4296AF">
            <w:pPr>
              <w:spacing w:line="360" w:lineRule="auto"/>
              <w:jc w:val="center"/>
              <w:rPr>
                <w:rFonts w:ascii="宋体" w:hAnsi="宋体" w:eastAsia="宋体" w:cs="宋体"/>
                <w:szCs w:val="21"/>
              </w:rPr>
            </w:pPr>
            <w:r>
              <w:rPr>
                <w:rFonts w:hint="eastAsia" w:ascii="宋体" w:hAnsi="宋体" w:eastAsia="宋体" w:cs="宋体"/>
                <w:szCs w:val="21"/>
              </w:rPr>
              <w:t>1套</w:t>
            </w:r>
          </w:p>
        </w:tc>
        <w:tc>
          <w:tcPr>
            <w:tcW w:w="7441" w:type="dxa"/>
            <w:noWrap/>
            <w:vAlign w:val="center"/>
          </w:tcPr>
          <w:p w14:paraId="30521B9E">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1.功能：适用于土工布、毛毡、保温毡、厚片状防水保温建材、各种塑料薄膜、纸板、纺织品等的水蒸气透过率性能测试。</w:t>
            </w:r>
          </w:p>
          <w:p w14:paraId="0408603C">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2.满足国标GB/T 1037-2021 《塑料薄膜与薄片水蒸气透过性能测定 杯式增重与减重法》、GB/T 17146-2015《建筑材料及其制品水蒸气透过性能试验方法》、GB/T 21332-2025《硬质泡沫塑料 水蒸气透过性能的测定》等标准的测试要求；</w:t>
            </w:r>
          </w:p>
          <w:p w14:paraId="517DB109">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3.增重法与减重法双法集成，可全自动测试，可在操作软件内随时便捷切换选择试验模式；</w:t>
            </w:r>
          </w:p>
          <w:p w14:paraId="349D384F">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4.▲侧开盖一体结构式设计，便于透湿杯取放和样品观察（响应文件提供侧开盖实拍图）；</w:t>
            </w:r>
          </w:p>
          <w:p w14:paraId="20B32D93">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5.配置一键式自动水箱注水功能，通过液位视窗实时监测水箱液位，补水自动化，无需人工频繁加水。（响应文件提供产品技术资料或彩页功能描述和液位视窗实拍图）；</w:t>
            </w:r>
          </w:p>
          <w:p w14:paraId="436B74AC">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6.气动封腔结构，实现天平称量仓和试验舱的完全分离，避免高温、高湿对天平的影响；</w:t>
            </w:r>
          </w:p>
          <w:p w14:paraId="2A134FC3">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7.天平满足测试方法标准要求的间隔称重，具有气缸升降旋转式自动间歇称重机构，天平清零、校准和称量前自动停风停气，满足了连续称重和不连续称重不同模式的需求。；</w:t>
            </w:r>
          </w:p>
          <w:p w14:paraId="7ED61FD0">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8.试验腔容积≥45L ，可满足不同高度容器测试。</w:t>
            </w:r>
          </w:p>
          <w:p w14:paraId="3D6C2BC0">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9.测试工位≥6 个透湿杯，数据独立；</w:t>
            </w:r>
          </w:p>
          <w:p w14:paraId="4864B100">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10.▲机身搭载10寸以上触控屏，方便操作，可脱离计算机独立运行（响应文件提供触屏实物图片）</w:t>
            </w:r>
          </w:p>
          <w:p w14:paraId="3D4FF8AD">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11.设备年度校验模式采用整机校验，即对整套系统进行校验；</w:t>
            </w:r>
          </w:p>
          <w:p w14:paraId="43F692B3">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12.全自动测试，无需人工干预，数据自动保存。</w:t>
            </w:r>
          </w:p>
          <w:p w14:paraId="1CF46FA6">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13.平台化软件设计，可控制多台主机，数据集中管理。</w:t>
            </w:r>
          </w:p>
          <w:p w14:paraId="431EBB8C">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14.测试范围：至少覆盖0.1～10000g/(m</w:t>
            </w:r>
            <w:r>
              <w:rPr>
                <w:rFonts w:ascii="宋体" w:hAnsi="宋体" w:eastAsia="宋体" w:cs="宋体"/>
                <w:color w:val="auto"/>
                <w:sz w:val="21"/>
                <w:szCs w:val="21"/>
                <w:u w:val="none"/>
                <w:vertAlign w:val="superscript"/>
                <w:lang w:bidi="ar"/>
              </w:rPr>
              <w:t>2</w:t>
            </w:r>
            <w:r>
              <w:rPr>
                <w:rFonts w:hint="eastAsia" w:ascii="宋体" w:hAnsi="宋体" w:eastAsia="宋体" w:cs="宋体"/>
                <w:color w:val="auto"/>
                <w:sz w:val="21"/>
                <w:szCs w:val="21"/>
                <w:u w:val="none"/>
                <w:lang w:bidi="ar"/>
              </w:rPr>
              <w:t>·day)（减重法）；0.1～2500g/(m</w:t>
            </w:r>
            <w:r>
              <w:rPr>
                <w:rFonts w:ascii="宋体" w:hAnsi="宋体" w:eastAsia="宋体" w:cs="宋体"/>
                <w:color w:val="auto"/>
                <w:sz w:val="21"/>
                <w:szCs w:val="21"/>
                <w:u w:val="none"/>
                <w:vertAlign w:val="superscript"/>
                <w:lang w:bidi="ar"/>
              </w:rPr>
              <w:t>2</w:t>
            </w:r>
            <w:r>
              <w:rPr>
                <w:rFonts w:hint="eastAsia" w:ascii="宋体" w:hAnsi="宋体" w:eastAsia="宋体" w:cs="宋体"/>
                <w:color w:val="auto"/>
                <w:sz w:val="21"/>
                <w:szCs w:val="21"/>
                <w:u w:val="none"/>
                <w:lang w:bidi="ar"/>
              </w:rPr>
              <w:t>·day)（增重法）；</w:t>
            </w:r>
          </w:p>
          <w:p w14:paraId="4AA5A8F2">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15.天平量程：≥220g；</w:t>
            </w:r>
          </w:p>
          <w:p w14:paraId="37882974">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16.天平分辨率：0.1mg；</w:t>
            </w:r>
          </w:p>
          <w:p w14:paraId="75DC03A5">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17.▲测试温度：10℃～50℃，温度波动：±0.2℃，所有测试腔处于同一温控系统内，测试环境一致不分体，保证整体温度均匀和稳定，避免外界环境影响（响应文件提供测试腔的实物图片）</w:t>
            </w:r>
          </w:p>
          <w:p w14:paraId="197C7D42">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18.▲湿度范围：10～90%±2%RH，采用腔体式无雾加湿系统，无需内置加湿器。满足长时间连续测试需要；不接受设备使用干燥剂吸湿等湿度控制方法（响应文件提供干燥装置实拍图片证明）</w:t>
            </w:r>
          </w:p>
          <w:p w14:paraId="0328B125">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19.风速：0.02~0.3m/s 、0.5~2.5m/s，中心立体式吹扫设计，透湿杯上方风速一致。</w:t>
            </w:r>
          </w:p>
          <w:p w14:paraId="25126300">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20.测试厚度范围 ：0mm～25mm（必须包含25mm厚度）；</w:t>
            </w:r>
          </w:p>
          <w:p w14:paraId="22787DC8">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21.测试面积：50cm²；</w:t>
            </w:r>
          </w:p>
          <w:p w14:paraId="49949101">
            <w:pPr>
              <w:widowControl/>
              <w:spacing w:line="360" w:lineRule="auto"/>
              <w:jc w:val="left"/>
              <w:textAlignment w:val="center"/>
              <w:rPr>
                <w:rFonts w:ascii="宋体" w:hAnsi="宋体" w:eastAsia="宋体" w:cs="宋体"/>
                <w:color w:val="auto"/>
                <w:sz w:val="21"/>
                <w:szCs w:val="21"/>
                <w:lang w:bidi="ar"/>
              </w:rPr>
            </w:pPr>
            <w:r>
              <w:rPr>
                <w:rFonts w:hint="eastAsia" w:ascii="宋体" w:hAnsi="宋体" w:eastAsia="宋体" w:cs="宋体"/>
                <w:color w:val="auto"/>
                <w:sz w:val="21"/>
                <w:szCs w:val="21"/>
                <w:u w:val="none"/>
                <w:lang w:bidi="ar"/>
              </w:rPr>
              <w:t>22.配置要求：主机、电子天平、空气干燥装置、过滤减压阀、精密透湿杯（6个）、透湿杯拆卸工具、电源线、Φ8 mm聚氨酯管；</w:t>
            </w:r>
          </w:p>
        </w:tc>
      </w:tr>
      <w:tr w14:paraId="0182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008DB160">
            <w:pPr>
              <w:spacing w:line="360" w:lineRule="auto"/>
              <w:jc w:val="center"/>
              <w:rPr>
                <w:rFonts w:ascii="宋体" w:hAnsi="宋体" w:eastAsia="宋体" w:cs="宋体"/>
                <w:szCs w:val="21"/>
              </w:rPr>
            </w:pPr>
            <w:r>
              <w:rPr>
                <w:rFonts w:hint="eastAsia" w:ascii="宋体" w:hAnsi="宋体" w:eastAsia="宋体" w:cs="宋体"/>
                <w:szCs w:val="21"/>
              </w:rPr>
              <w:t>12</w:t>
            </w:r>
          </w:p>
        </w:tc>
        <w:tc>
          <w:tcPr>
            <w:tcW w:w="1185" w:type="dxa"/>
            <w:vAlign w:val="center"/>
          </w:tcPr>
          <w:p w14:paraId="61BDD74A">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单根电线电缆垂直燃烧试验机</w:t>
            </w:r>
          </w:p>
        </w:tc>
        <w:tc>
          <w:tcPr>
            <w:tcW w:w="600" w:type="dxa"/>
            <w:noWrap/>
            <w:vAlign w:val="center"/>
          </w:tcPr>
          <w:p w14:paraId="71AB5ED9">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1442C95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单根垂直试验装置适用于GB/T18380.（11-12）—2022《电缆和光缆在火焰条件下的燃烧试验 • 单根绝缘电线电缆火焰垂直蔓延试验》标准、用于电线或电缆在敷设条件下阻止火焰蔓延的能力参数的获得与判定。根据试样的规格选择供火时间，最后完成供火以后根据判定要求来评价实验结果。</w:t>
            </w:r>
          </w:p>
          <w:p w14:paraId="47454F9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标准：GB/T 18380.（11-12）—2022；IEC 60332-1～2-2015。</w:t>
            </w:r>
          </w:p>
          <w:p w14:paraId="7B1BEA50">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技术参数：</w:t>
            </w:r>
          </w:p>
          <w:p w14:paraId="17A3D560">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1.SUS304不锈钢控制箱、通风橱、金属罩为一体式</w:t>
            </w:r>
          </w:p>
          <w:p w14:paraId="51CCCE8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2.金属罩尺寸：约300mm×450mm×1200mm正面敞开，顶部和底部封闭；</w:t>
            </w:r>
          </w:p>
          <w:p w14:paraId="53374F5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4.燃烧室容积：≥1m³；</w:t>
            </w:r>
          </w:p>
          <w:p w14:paraId="6AF82D8D">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5.喷灯：标称功率≥1kw；</w:t>
            </w:r>
          </w:p>
          <w:p w14:paraId="077C2916">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6.控制方式：触摸屏控制，屏内设定试验燃烧时间，火焰温度校准</w:t>
            </w:r>
          </w:p>
          <w:p w14:paraId="7C19C2B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7.时可控制燃烧时间并显示温度值；</w:t>
            </w:r>
          </w:p>
          <w:p w14:paraId="5F1B411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8.点火装置：点火为自动高压点火；</w:t>
            </w:r>
          </w:p>
          <w:p w14:paraId="0B7218C3">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9.流量计：空气转子流量计1.5～15L/min可调、丙烷转子流量计</w:t>
            </w:r>
          </w:p>
          <w:p w14:paraId="3D8534D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10.0.1～1L/min可调各一个；</w:t>
            </w:r>
          </w:p>
          <w:p w14:paraId="4C540786">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11.顶部安装有单独控制的排气扇一个；</w:t>
            </w:r>
          </w:p>
          <w:p w14:paraId="5EF84A76">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12.火焰检测装置：φ0.5K型进口热电偶一只，电解铜块外径φ9mm</w:t>
            </w:r>
          </w:p>
          <w:p w14:paraId="6528A5B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13.质量10g±0.05g一个，温度和时间显示装置一套。</w:t>
            </w:r>
          </w:p>
          <w:p w14:paraId="21440D6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规格：</w:t>
            </w:r>
          </w:p>
          <w:p w14:paraId="6EA1E8E8">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1.外形尺寸：约1300mm(L)×750mm(W)×2000mm(H)；                </w:t>
            </w:r>
          </w:p>
          <w:p w14:paraId="3B19358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2.电源：AC220V，50/60Hz, 2A；</w:t>
            </w:r>
          </w:p>
          <w:p w14:paraId="60648A53">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3.气源：丙烷、干燥压缩空气。</w:t>
            </w:r>
          </w:p>
        </w:tc>
      </w:tr>
      <w:tr w14:paraId="2518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731FB8BD">
            <w:pPr>
              <w:spacing w:line="360" w:lineRule="auto"/>
              <w:jc w:val="center"/>
              <w:rPr>
                <w:rFonts w:ascii="宋体" w:hAnsi="宋体" w:eastAsia="宋体" w:cs="宋体"/>
                <w:szCs w:val="21"/>
              </w:rPr>
            </w:pPr>
            <w:r>
              <w:rPr>
                <w:rFonts w:hint="eastAsia" w:ascii="宋体" w:hAnsi="宋体" w:eastAsia="宋体" w:cs="宋体"/>
                <w:szCs w:val="21"/>
              </w:rPr>
              <w:t>13</w:t>
            </w:r>
          </w:p>
        </w:tc>
        <w:tc>
          <w:tcPr>
            <w:tcW w:w="1185" w:type="dxa"/>
            <w:vAlign w:val="center"/>
          </w:tcPr>
          <w:p w14:paraId="0EC30329">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恒温水箱</w:t>
            </w:r>
          </w:p>
        </w:tc>
        <w:tc>
          <w:tcPr>
            <w:tcW w:w="600" w:type="dxa"/>
            <w:noWrap/>
            <w:vAlign w:val="center"/>
          </w:tcPr>
          <w:p w14:paraId="6FD7A260">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2D98D35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1.工作尺寸：约800*1000*1000mm </w:t>
            </w:r>
          </w:p>
          <w:p w14:paraId="605465D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2.水温范围：RT+10~95℃ </w:t>
            </w:r>
          </w:p>
          <w:p w14:paraId="623083B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3.水温波动度：±0.5℃ </w:t>
            </w:r>
          </w:p>
          <w:p w14:paraId="0DD9800F">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4.水温均匀度：±2℃</w:t>
            </w:r>
          </w:p>
        </w:tc>
      </w:tr>
      <w:tr w14:paraId="26F0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43244611">
            <w:pPr>
              <w:spacing w:line="360" w:lineRule="auto"/>
              <w:jc w:val="center"/>
              <w:rPr>
                <w:rFonts w:ascii="宋体" w:hAnsi="宋体" w:eastAsia="宋体" w:cs="宋体"/>
                <w:szCs w:val="21"/>
              </w:rPr>
            </w:pPr>
            <w:r>
              <w:rPr>
                <w:rFonts w:hint="eastAsia" w:ascii="宋体" w:hAnsi="宋体" w:eastAsia="宋体" w:cs="宋体"/>
                <w:szCs w:val="21"/>
              </w:rPr>
              <w:t>14</w:t>
            </w:r>
          </w:p>
        </w:tc>
        <w:tc>
          <w:tcPr>
            <w:tcW w:w="1185" w:type="dxa"/>
            <w:vAlign w:val="center"/>
          </w:tcPr>
          <w:p w14:paraId="45C7A156">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真空干燥箱</w:t>
            </w:r>
          </w:p>
        </w:tc>
        <w:tc>
          <w:tcPr>
            <w:tcW w:w="600" w:type="dxa"/>
            <w:noWrap/>
            <w:vAlign w:val="center"/>
          </w:tcPr>
          <w:p w14:paraId="0297CF53">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34DEBFD9">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1.真空度范围：0-100pa</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2.真空度精度：±1pa</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3.工作环境温度：5℃～40℃</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4.输入功率：1600W</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5.内胆尺寸（W*D*H）：约450*450*450mm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6.外形尺寸（W*D*H）：约630*670*760mm</w:t>
            </w:r>
          </w:p>
        </w:tc>
      </w:tr>
      <w:tr w14:paraId="0CF7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7" w:hRule="atLeast"/>
          <w:jc w:val="center"/>
        </w:trPr>
        <w:tc>
          <w:tcPr>
            <w:tcW w:w="583" w:type="dxa"/>
            <w:noWrap/>
            <w:vAlign w:val="center"/>
          </w:tcPr>
          <w:p w14:paraId="3EB2463B">
            <w:pPr>
              <w:spacing w:line="360" w:lineRule="auto"/>
              <w:jc w:val="center"/>
              <w:rPr>
                <w:rFonts w:ascii="宋体" w:hAnsi="宋体" w:eastAsia="宋体" w:cs="宋体"/>
                <w:szCs w:val="21"/>
              </w:rPr>
            </w:pPr>
            <w:r>
              <w:rPr>
                <w:rFonts w:hint="eastAsia" w:ascii="宋体" w:hAnsi="宋体" w:eastAsia="宋体" w:cs="宋体"/>
                <w:szCs w:val="21"/>
              </w:rPr>
              <w:t>15</w:t>
            </w:r>
          </w:p>
        </w:tc>
        <w:tc>
          <w:tcPr>
            <w:tcW w:w="1185" w:type="dxa"/>
            <w:vAlign w:val="center"/>
          </w:tcPr>
          <w:p w14:paraId="6F0EDB00">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电动冲芯机</w:t>
            </w:r>
          </w:p>
        </w:tc>
        <w:tc>
          <w:tcPr>
            <w:tcW w:w="600" w:type="dxa"/>
            <w:noWrap/>
            <w:vAlign w:val="center"/>
          </w:tcPr>
          <w:p w14:paraId="0BDE372F">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64CEC9CC">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1.冲芯直径：≤100mm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2.冲芯长度：80mm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3.额定吨位：≤3吨</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4.外形尺寸（长*宽*高）：约540*350*850mm</w:t>
            </w:r>
          </w:p>
        </w:tc>
      </w:tr>
      <w:tr w14:paraId="4589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16C68A12">
            <w:pPr>
              <w:spacing w:line="360" w:lineRule="auto"/>
              <w:jc w:val="center"/>
              <w:rPr>
                <w:rFonts w:ascii="宋体" w:hAnsi="宋体" w:eastAsia="宋体" w:cs="宋体"/>
                <w:szCs w:val="21"/>
              </w:rPr>
            </w:pPr>
            <w:r>
              <w:rPr>
                <w:rFonts w:hint="eastAsia" w:ascii="宋体" w:hAnsi="宋体" w:eastAsia="宋体" w:cs="宋体"/>
                <w:szCs w:val="21"/>
              </w:rPr>
              <w:t>16</w:t>
            </w:r>
          </w:p>
        </w:tc>
        <w:tc>
          <w:tcPr>
            <w:tcW w:w="1185" w:type="dxa"/>
            <w:vAlign w:val="center"/>
          </w:tcPr>
          <w:p w14:paraId="08E9262C">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电动切片对剖机</w:t>
            </w:r>
          </w:p>
        </w:tc>
        <w:tc>
          <w:tcPr>
            <w:tcW w:w="600" w:type="dxa"/>
            <w:noWrap/>
            <w:vAlign w:val="center"/>
          </w:tcPr>
          <w:p w14:paraId="12739C8D">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397C37E5">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1.最大样品直径：140mm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2.最小样品直径：20mm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3.切片厚度：0.3-2.0mm任意设定</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4.切片数量：任意设定</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5.刀架移动距离：0-650mm可设定</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6.纵切最大切片长度：200mm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7.横切最大切片直径：200mm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8.切片速度：1-25mm/s可设定</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9.样品台最大升降高度：100mm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10.样品台升降速度：1-15mm/s可设定</w:t>
            </w:r>
          </w:p>
        </w:tc>
      </w:tr>
      <w:tr w14:paraId="3658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66049CF1">
            <w:pPr>
              <w:spacing w:line="360" w:lineRule="auto"/>
              <w:jc w:val="center"/>
              <w:rPr>
                <w:rFonts w:ascii="宋体" w:hAnsi="宋体" w:eastAsia="宋体" w:cs="宋体"/>
                <w:szCs w:val="21"/>
              </w:rPr>
            </w:pPr>
            <w:r>
              <w:rPr>
                <w:rFonts w:hint="eastAsia" w:ascii="宋体" w:hAnsi="宋体" w:eastAsia="宋体" w:cs="宋体"/>
                <w:szCs w:val="21"/>
              </w:rPr>
              <w:t>17</w:t>
            </w:r>
          </w:p>
        </w:tc>
        <w:tc>
          <w:tcPr>
            <w:tcW w:w="1185" w:type="dxa"/>
            <w:vAlign w:val="center"/>
          </w:tcPr>
          <w:p w14:paraId="19DCFAF0">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削片机</w:t>
            </w:r>
          </w:p>
        </w:tc>
        <w:tc>
          <w:tcPr>
            <w:tcW w:w="600" w:type="dxa"/>
            <w:noWrap/>
            <w:vAlign w:val="center"/>
          </w:tcPr>
          <w:p w14:paraId="59EF6AFE">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4CC28CBA">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1.进料口宽度：100mm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2.进料辊宽度：95mm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3.削片速度：88mm/s</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4.电机功率：300W</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5.最大进料厚度：20mm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6.削片厚度：0.6~12mm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 xml:space="preserve">7.削片精度：±0.2mm </w:t>
            </w:r>
          </w:p>
        </w:tc>
      </w:tr>
      <w:tr w14:paraId="1DD1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4880D517">
            <w:pPr>
              <w:spacing w:line="360" w:lineRule="auto"/>
              <w:jc w:val="center"/>
              <w:rPr>
                <w:rFonts w:ascii="宋体" w:hAnsi="宋体" w:eastAsia="宋体" w:cs="宋体"/>
                <w:szCs w:val="21"/>
              </w:rPr>
            </w:pPr>
            <w:r>
              <w:rPr>
                <w:rFonts w:hint="eastAsia" w:ascii="宋体" w:hAnsi="宋体" w:eastAsia="宋体" w:cs="宋体"/>
                <w:szCs w:val="21"/>
              </w:rPr>
              <w:t>18</w:t>
            </w:r>
          </w:p>
        </w:tc>
        <w:tc>
          <w:tcPr>
            <w:tcW w:w="1185" w:type="dxa"/>
            <w:vAlign w:val="center"/>
          </w:tcPr>
          <w:p w14:paraId="6011FB5A">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分析天平</w:t>
            </w:r>
          </w:p>
        </w:tc>
        <w:tc>
          <w:tcPr>
            <w:tcW w:w="600" w:type="dxa"/>
            <w:noWrap/>
            <w:vAlign w:val="center"/>
          </w:tcPr>
          <w:p w14:paraId="1F2D225A">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6973E91F">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1.范围：0.01-220g</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2.实际分度值：0.0001g</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3.重复性误差：0.0001g</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4.线性温差：0.0002g</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5.稳定时间：≤6s</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6.秤盘尺寸：φ80mm</w:t>
            </w:r>
          </w:p>
        </w:tc>
      </w:tr>
      <w:tr w14:paraId="1CDB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583" w:type="dxa"/>
            <w:noWrap/>
            <w:vAlign w:val="center"/>
          </w:tcPr>
          <w:p w14:paraId="26E9D439">
            <w:pPr>
              <w:spacing w:line="360" w:lineRule="auto"/>
              <w:jc w:val="center"/>
              <w:rPr>
                <w:rFonts w:ascii="宋体" w:hAnsi="宋体" w:eastAsia="宋体" w:cs="宋体"/>
                <w:szCs w:val="21"/>
              </w:rPr>
            </w:pPr>
            <w:r>
              <w:rPr>
                <w:rFonts w:hint="eastAsia" w:ascii="宋体" w:hAnsi="宋体" w:eastAsia="宋体" w:cs="宋体"/>
                <w:szCs w:val="21"/>
              </w:rPr>
              <w:t>19</w:t>
            </w:r>
          </w:p>
        </w:tc>
        <w:tc>
          <w:tcPr>
            <w:tcW w:w="1185" w:type="dxa"/>
            <w:vAlign w:val="center"/>
          </w:tcPr>
          <w:p w14:paraId="79661C0A">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恒温水浴箱</w:t>
            </w:r>
          </w:p>
        </w:tc>
        <w:tc>
          <w:tcPr>
            <w:tcW w:w="600" w:type="dxa"/>
            <w:noWrap/>
            <w:vAlign w:val="center"/>
          </w:tcPr>
          <w:p w14:paraId="55C2B1E0">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17E1137D">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1.尺寸：约1650×670×1300(mm)</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2.最大加热率：8KW</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3.温度范围：室温~100℃</w:t>
            </w:r>
          </w:p>
        </w:tc>
      </w:tr>
      <w:tr w14:paraId="66F7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4527E4E2">
            <w:pPr>
              <w:spacing w:line="360" w:lineRule="auto"/>
              <w:jc w:val="center"/>
              <w:rPr>
                <w:rFonts w:ascii="宋体" w:hAnsi="宋体" w:eastAsia="宋体" w:cs="宋体"/>
                <w:szCs w:val="21"/>
              </w:rPr>
            </w:pPr>
            <w:r>
              <w:rPr>
                <w:rFonts w:hint="eastAsia" w:ascii="宋体" w:hAnsi="宋体" w:eastAsia="宋体" w:cs="宋体"/>
                <w:szCs w:val="21"/>
              </w:rPr>
              <w:t>20</w:t>
            </w:r>
          </w:p>
        </w:tc>
        <w:tc>
          <w:tcPr>
            <w:tcW w:w="1185" w:type="dxa"/>
            <w:vAlign w:val="center"/>
          </w:tcPr>
          <w:p w14:paraId="41104183">
            <w:pPr>
              <w:widowControl/>
              <w:spacing w:line="360" w:lineRule="auto"/>
              <w:jc w:val="left"/>
              <w:textAlignment w:val="center"/>
              <w:rPr>
                <w:rFonts w:ascii="宋体" w:hAnsi="宋体" w:eastAsia="宋体" w:cs="宋体"/>
                <w:szCs w:val="21"/>
              </w:rPr>
            </w:pPr>
            <w:r>
              <w:rPr>
                <w:rFonts w:hint="eastAsia" w:ascii="宋体" w:hAnsi="宋体" w:eastAsia="宋体" w:cs="宋体"/>
                <w:kern w:val="0"/>
                <w:szCs w:val="21"/>
                <w:lang w:bidi="ar"/>
              </w:rPr>
              <w:t>电子拉力试验机（单柱数显）</w:t>
            </w:r>
          </w:p>
        </w:tc>
        <w:tc>
          <w:tcPr>
            <w:tcW w:w="600" w:type="dxa"/>
            <w:noWrap/>
            <w:vAlign w:val="center"/>
          </w:tcPr>
          <w:p w14:paraId="091D62AB">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754745CB">
            <w:pPr>
              <w:widowControl/>
              <w:spacing w:line="360" w:lineRule="auto"/>
              <w:jc w:val="left"/>
              <w:textAlignment w:val="center"/>
              <w:rPr>
                <w:rFonts w:ascii="宋体" w:hAnsi="宋体" w:eastAsia="宋体" w:cs="宋体"/>
                <w:kern w:val="0"/>
                <w:szCs w:val="21"/>
                <w:lang w:bidi="en-US"/>
              </w:rPr>
            </w:pPr>
            <w:r>
              <w:rPr>
                <w:rFonts w:hint="eastAsia" w:ascii="宋体" w:hAnsi="宋体" w:eastAsia="宋体" w:cs="宋体"/>
                <w:kern w:val="0"/>
                <w:szCs w:val="21"/>
                <w:lang w:bidi="ar"/>
              </w:rPr>
              <w:t>1.最大试验力：500N</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 xml:space="preserve">2.电源：～220 ±10% V / 50 Hz； </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3.湿度:30 % -- 85 %；</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 xml:space="preserve">4.仪表保险丝：1A  </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5.拉伸速度：0~500mm/min</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6.夹持器最大行程：800mm</w:t>
            </w:r>
          </w:p>
        </w:tc>
      </w:tr>
      <w:tr w14:paraId="5971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6576D47C">
            <w:pPr>
              <w:spacing w:line="360" w:lineRule="auto"/>
              <w:jc w:val="center"/>
              <w:rPr>
                <w:rFonts w:ascii="宋体" w:hAnsi="宋体" w:eastAsia="宋体" w:cs="宋体"/>
                <w:szCs w:val="21"/>
              </w:rPr>
            </w:pPr>
            <w:r>
              <w:rPr>
                <w:rFonts w:hint="eastAsia" w:ascii="宋体" w:hAnsi="宋体" w:eastAsia="宋体" w:cs="宋体"/>
                <w:szCs w:val="21"/>
              </w:rPr>
              <w:t>21</w:t>
            </w:r>
          </w:p>
        </w:tc>
        <w:tc>
          <w:tcPr>
            <w:tcW w:w="1185" w:type="dxa"/>
            <w:vAlign w:val="center"/>
          </w:tcPr>
          <w:p w14:paraId="7D295A32">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电动自行车反电动势电感试验机</w:t>
            </w:r>
          </w:p>
        </w:tc>
        <w:tc>
          <w:tcPr>
            <w:tcW w:w="600" w:type="dxa"/>
            <w:noWrap/>
            <w:vAlign w:val="center"/>
          </w:tcPr>
          <w:p w14:paraId="5755FFBB">
            <w:pPr>
              <w:spacing w:line="360" w:lineRule="auto"/>
              <w:jc w:val="center"/>
              <w:rPr>
                <w:rFonts w:ascii="宋体" w:hAnsi="宋体" w:eastAsia="宋体" w:cs="宋体"/>
                <w:szCs w:val="21"/>
              </w:rPr>
            </w:pPr>
            <w:r>
              <w:rPr>
                <w:rFonts w:hint="eastAsia" w:ascii="宋体" w:hAnsi="宋体" w:eastAsia="宋体" w:cs="宋体"/>
                <w:szCs w:val="21"/>
              </w:rPr>
              <w:t>1台</w:t>
            </w:r>
          </w:p>
        </w:tc>
        <w:tc>
          <w:tcPr>
            <w:tcW w:w="7441" w:type="dxa"/>
            <w:noWrap/>
            <w:vAlign w:val="center"/>
          </w:tcPr>
          <w:p w14:paraId="0AF9EBA6">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一、机械结构： </w:t>
            </w:r>
          </w:p>
          <w:p w14:paraId="7FAA9FE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1.使用爪盘固定电动自行车电机。</w:t>
            </w:r>
          </w:p>
          <w:p w14:paraId="52F8849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2.夹具采用双轴移动。</w:t>
            </w:r>
          </w:p>
          <w:p w14:paraId="209FD66D">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3.整体台架安全稳定，具有防卷入措施。</w:t>
            </w:r>
          </w:p>
          <w:p w14:paraId="71CD091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4.全套设备集成在台架上。</w:t>
            </w:r>
          </w:p>
          <w:p w14:paraId="4E626C4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5.具有急停和复位按键。</w:t>
            </w:r>
          </w:p>
          <w:p w14:paraId="46E24C3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二、测控系统要求： </w:t>
            </w:r>
          </w:p>
          <w:p w14:paraId="4E01C2F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1.电气控制：</w:t>
            </w:r>
          </w:p>
          <w:p w14:paraId="4609AE4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1）控制方式：PLC 人机界面。</w:t>
            </w:r>
          </w:p>
          <w:p w14:paraId="381A77A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2）伺服电机带动电动自行车电机旋转分为两种模式：</w:t>
            </w:r>
          </w:p>
          <w:p w14:paraId="106E6C6D">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3）模式一：根据设置的转速旋转。</w:t>
            </w:r>
          </w:p>
          <w:p w14:paraId="54F5FBC9">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4）模式二：根据设置特定机械角度旋转。</w:t>
            </w:r>
          </w:p>
          <w:p w14:paraId="426D176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5）根据设置特定角度旋转时旋转角度精确度需达到 0.01°机械角度。</w:t>
            </w:r>
          </w:p>
          <w:p w14:paraId="132043D0">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6）根据设置的转速旋转时：电感精度：1%FS；转速：10-900r/min可调；伺服控制：电感测试角度由伺服电机控制，提高测试精度。</w:t>
            </w:r>
          </w:p>
          <w:p w14:paraId="3145641D">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系统化自动试验，接入被测相线后，内部电路自动切换，无需频繁手动接线；高精度 LCR 数字电桥。</w:t>
            </w:r>
          </w:p>
          <w:p w14:paraId="6BE43A5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7）自动记录每组电感值并且完成计算。</w:t>
            </w:r>
          </w:p>
          <w:p w14:paraId="4146436D">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三、显示控制：</w:t>
            </w:r>
          </w:p>
          <w:p w14:paraId="21DCBF49">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模式一：</w:t>
            </w:r>
          </w:p>
          <w:p w14:paraId="3216050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1）根据设置的转速旋转。</w:t>
            </w:r>
          </w:p>
          <w:p w14:paraId="54A5BE6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2）根据设置的转速旋转时，转速需可到达到 900r/min，转速精度需达到 1r/min。</w:t>
            </w:r>
          </w:p>
          <w:p w14:paraId="7CDE6F4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模式二：</w:t>
            </w:r>
          </w:p>
          <w:p w14:paraId="0E04016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1）根据设置特定机械角度旋转</w:t>
            </w:r>
          </w:p>
          <w:p w14:paraId="01CBB88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2）根据设置特定角度旋转时，旋转角度精确度需达到 0.01°。</w:t>
            </w:r>
          </w:p>
          <w:p w14:paraId="17C1ADC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3）自动记录每组电感值并且完成计算。</w:t>
            </w:r>
          </w:p>
          <w:p w14:paraId="7D4B565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显示控制：</w:t>
            </w:r>
          </w:p>
          <w:p w14:paraId="30632B2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1）可设定电机极对数，根据极对数和电角度计算出所需旋转的机械角度。</w:t>
            </w:r>
          </w:p>
          <w:p w14:paraId="749B85D2">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2）可设定电角度，电角度默认 30°，必要时可修改。</w:t>
            </w:r>
          </w:p>
          <w:p w14:paraId="01EC68E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3）可设定模式一的旋转转速。</w:t>
            </w:r>
          </w:p>
          <w:p w14:paraId="668F252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4）模式二的控制方式为点动控制，每点击一次启动，伺服电机旋转一次特定机械角度。</w:t>
            </w:r>
          </w:p>
          <w:p w14:paraId="4EB656A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四、电压模块参数：</w:t>
            </w:r>
          </w:p>
          <w:p w14:paraId="6CDCE7C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1.精度等级：0.2%，线性精度优于0.1%，万分之一分辨率。</w:t>
            </w:r>
          </w:p>
          <w:p w14:paraId="5F053748">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2.电压采集范围：1-100V，采集精度：0.2%。</w:t>
            </w:r>
          </w:p>
          <w:p w14:paraId="6EF673C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3.电流量程：10mA、100mA、500mA、1A、5AAC。</w:t>
            </w:r>
          </w:p>
          <w:p w14:paraId="4834D886">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4.电压量程：10V、100V、250V、400V、500VAC。</w:t>
            </w:r>
          </w:p>
          <w:p w14:paraId="096B33C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5.电压输入阻抗：2KΩ/V。</w:t>
            </w:r>
          </w:p>
          <w:p w14:paraId="734F7D42">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6.频率响应：30HZ～3KHZ。</w:t>
            </w:r>
          </w:p>
          <w:p w14:paraId="4C88DE1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7.工作温度：-20℃～70℃。</w:t>
            </w:r>
          </w:p>
          <w:p w14:paraId="0CE5A778">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五、电感测试仪参数</w:t>
            </w:r>
          </w:p>
          <w:p w14:paraId="05E756D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1.测试参数：L-Q、C-D、R-Q |Z|-Q。</w:t>
            </w:r>
          </w:p>
          <w:p w14:paraId="4F3CBFD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2.准确度：0.1%。</w:t>
            </w:r>
          </w:p>
        </w:tc>
      </w:tr>
      <w:tr w14:paraId="5B1E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52" w:hRule="atLeast"/>
          <w:jc w:val="center"/>
        </w:trPr>
        <w:tc>
          <w:tcPr>
            <w:tcW w:w="583" w:type="dxa"/>
            <w:noWrap/>
            <w:vAlign w:val="center"/>
          </w:tcPr>
          <w:p w14:paraId="18EFE837">
            <w:pPr>
              <w:spacing w:line="360" w:lineRule="auto"/>
              <w:jc w:val="center"/>
              <w:rPr>
                <w:rFonts w:ascii="宋体" w:hAnsi="宋体" w:eastAsia="宋体" w:cs="宋体"/>
                <w:szCs w:val="21"/>
              </w:rPr>
            </w:pPr>
            <w:r>
              <w:rPr>
                <w:rFonts w:hint="eastAsia" w:ascii="宋体" w:hAnsi="宋体" w:eastAsia="宋体" w:cs="宋体"/>
                <w:szCs w:val="21"/>
              </w:rPr>
              <w:t>22</w:t>
            </w:r>
          </w:p>
        </w:tc>
        <w:tc>
          <w:tcPr>
            <w:tcW w:w="1185" w:type="dxa"/>
            <w:vAlign w:val="center"/>
          </w:tcPr>
          <w:p w14:paraId="70B9C08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尺寸测试平台</w:t>
            </w:r>
          </w:p>
        </w:tc>
        <w:tc>
          <w:tcPr>
            <w:tcW w:w="600" w:type="dxa"/>
            <w:noWrap/>
            <w:vAlign w:val="center"/>
          </w:tcPr>
          <w:p w14:paraId="129C3705">
            <w:pPr>
              <w:spacing w:line="360" w:lineRule="auto"/>
              <w:jc w:val="center"/>
              <w:rPr>
                <w:rFonts w:ascii="宋体" w:hAnsi="宋体" w:eastAsia="宋体" w:cs="宋体"/>
                <w:szCs w:val="21"/>
              </w:rPr>
            </w:pPr>
            <w:r>
              <w:rPr>
                <w:rFonts w:hint="eastAsia" w:ascii="宋体" w:hAnsi="宋体" w:eastAsia="宋体" w:cs="宋体"/>
                <w:szCs w:val="21"/>
              </w:rPr>
              <w:t>1套</w:t>
            </w:r>
          </w:p>
        </w:tc>
        <w:tc>
          <w:tcPr>
            <w:tcW w:w="7441" w:type="dxa"/>
            <w:noWrap/>
            <w:vAlign w:val="center"/>
          </w:tcPr>
          <w:p w14:paraId="4AD9304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一、整体要求： </w:t>
            </w:r>
          </w:p>
          <w:p w14:paraId="10F49E4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1.装置符合 GB17761-2024 整车测量有关标准，可用于检测电动自行车尺寸是否符合标准限值</w:t>
            </w:r>
          </w:p>
          <w:p w14:paraId="328A4F8C">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要求；</w:t>
            </w:r>
          </w:p>
          <w:p w14:paraId="0583076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2.试验装置组成：本装置是由型材框架、直线导轨、自行车支撑固定平台、电气柜和软件控制系统等部分组合而成。</w:t>
            </w:r>
          </w:p>
          <w:p w14:paraId="0B525ED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二、基本规格及技术参数： </w:t>
            </w:r>
          </w:p>
          <w:p w14:paraId="7F2843E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1.触摸屏能实时显示长度、宽度和高度尺寸；</w:t>
            </w:r>
          </w:p>
          <w:p w14:paraId="0C7A84D8">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2.可操作触摸屏记录按钮分别记录整车各部位尺寸；</w:t>
            </w:r>
          </w:p>
          <w:p w14:paraId="013B57A2">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3.定位采用十字激光水平仪自动安平，超范围能报警提示；</w:t>
            </w:r>
          </w:p>
          <w:p w14:paraId="26AE98D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4.宽度方向采用高精度上银双导轨；</w:t>
            </w:r>
          </w:p>
          <w:p w14:paraId="6806B03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5.测试系统能自动读取显示测量结果； </w:t>
            </w:r>
          </w:p>
          <w:p w14:paraId="47C3A49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6.测量范围长度： 2000mm，高度 1500mm，宽度 1000mm；</w:t>
            </w:r>
          </w:p>
          <w:p w14:paraId="19E9184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7.测量：（采用激光传感器 4 个）精度 1mm</w:t>
            </w:r>
          </w:p>
          <w:p w14:paraId="6DDA42BF">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8.底板尺寸约：长 2300mm×宽 1200mm×厚 5mm；</w:t>
            </w:r>
          </w:p>
          <w:p w14:paraId="2FC0D01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9.功率≥200W。</w:t>
            </w:r>
          </w:p>
          <w:p w14:paraId="120FD9FD">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10.设备两边贴上钢直尺。</w:t>
            </w:r>
          </w:p>
          <w:p w14:paraId="5C1AA383">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11.手动测量需要两柱子搁车子旁边 放置好后 用测试测量柱子之间的距离</w:t>
            </w:r>
          </w:p>
        </w:tc>
      </w:tr>
      <w:tr w14:paraId="6942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9" w:hRule="atLeast"/>
          <w:jc w:val="center"/>
        </w:trPr>
        <w:tc>
          <w:tcPr>
            <w:tcW w:w="583" w:type="dxa"/>
            <w:noWrap/>
            <w:vAlign w:val="center"/>
          </w:tcPr>
          <w:p w14:paraId="31710F01">
            <w:pPr>
              <w:spacing w:line="360" w:lineRule="auto"/>
              <w:jc w:val="center"/>
              <w:rPr>
                <w:rFonts w:ascii="宋体" w:hAnsi="宋体" w:eastAsia="宋体" w:cs="宋体"/>
                <w:szCs w:val="21"/>
              </w:rPr>
            </w:pPr>
            <w:r>
              <w:rPr>
                <w:rFonts w:hint="eastAsia" w:ascii="宋体" w:hAnsi="宋体" w:eastAsia="宋体" w:cs="宋体"/>
                <w:szCs w:val="21"/>
              </w:rPr>
              <w:t>23</w:t>
            </w:r>
          </w:p>
        </w:tc>
        <w:tc>
          <w:tcPr>
            <w:tcW w:w="1185" w:type="dxa"/>
            <w:vAlign w:val="center"/>
          </w:tcPr>
          <w:p w14:paraId="13FDC4E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行车车速装置</w:t>
            </w:r>
          </w:p>
        </w:tc>
        <w:tc>
          <w:tcPr>
            <w:tcW w:w="600" w:type="dxa"/>
            <w:noWrap/>
            <w:vAlign w:val="center"/>
          </w:tcPr>
          <w:p w14:paraId="268CD90F">
            <w:pPr>
              <w:spacing w:line="360" w:lineRule="auto"/>
              <w:jc w:val="center"/>
              <w:rPr>
                <w:rFonts w:ascii="宋体" w:hAnsi="宋体" w:eastAsia="宋体" w:cs="宋体"/>
                <w:szCs w:val="21"/>
              </w:rPr>
            </w:pPr>
            <w:r>
              <w:rPr>
                <w:rFonts w:hint="eastAsia" w:ascii="宋体" w:hAnsi="宋体" w:eastAsia="宋体" w:cs="宋体"/>
                <w:szCs w:val="21"/>
              </w:rPr>
              <w:t>1套</w:t>
            </w:r>
          </w:p>
        </w:tc>
        <w:tc>
          <w:tcPr>
            <w:tcW w:w="7441" w:type="dxa"/>
            <w:noWrap/>
            <w:vAlign w:val="center"/>
          </w:tcPr>
          <w:p w14:paraId="19349A64">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1.测速系统 </w:t>
            </w:r>
          </w:p>
          <w:p w14:paraId="47642C58">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1.1测速方式：双光幕触发计时测速（起点、终点双光幕联动，记录通过时间差）</w:t>
            </w:r>
          </w:p>
          <w:p w14:paraId="5D6842B8">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1.2基准测速距离：2m（触摸屏可修正）</w:t>
            </w:r>
          </w:p>
          <w:p w14:paraId="0B166A4E">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1.3测速范围：0.1~50 km/h,测速精度 1%</w:t>
            </w:r>
          </w:p>
          <w:p w14:paraId="724BCBA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1.4测速精度：±1%（基于计时精度及距离校准精度）</w:t>
            </w:r>
          </w:p>
          <w:p w14:paraId="07C352C3">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1.5光幕参数：长度 520mm，光束间距 20mm，响应时间≤1ms</w:t>
            </w:r>
          </w:p>
          <w:p w14:paraId="11738078">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2.测量系统 </w:t>
            </w:r>
          </w:p>
          <w:p w14:paraId="014EB672">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2.1计时精度：≤1ms（PLC 内置高精度定时器）</w:t>
            </w:r>
          </w:p>
          <w:p w14:paraId="4F6C3233">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2.2距离修正精度：±0.001m（触摸屏手动输入修正）</w:t>
            </w:r>
          </w:p>
          <w:p w14:paraId="3F35C099">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2.3数据采集通道：≥2 通道（同步采集双光幕触发信号、计时数据）</w:t>
            </w:r>
          </w:p>
          <w:p w14:paraId="230016FB">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2.4速度计算：自动按“速度=距离/时间”运算，支持 m/s、km/h 双单位切换</w:t>
            </w:r>
          </w:p>
          <w:p w14:paraId="304323E1">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3.控制系统 </w:t>
            </w:r>
          </w:p>
          <w:p w14:paraId="0500DC4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 xml:space="preserve"> 3.1控制模式：自动测速（光幕触发自动计时计算）、手动复位、手动距离修正</w:t>
            </w:r>
          </w:p>
          <w:p w14:paraId="02C1DBB5">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3.2计时范围：0~30s（覆盖最大测速场景，超时自动复位）</w:t>
            </w:r>
          </w:p>
          <w:p w14:paraId="7798C147">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3.3操作方式：触摸屏+PLC 联动控制，界面简洁易操作</w:t>
            </w:r>
          </w:p>
          <w:p w14:paraId="4D78700A">
            <w:pPr>
              <w:widowControl/>
              <w:spacing w:line="360" w:lineRule="auto"/>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3.4实时显示：速度值（保留 2 位小数）、测速距离、计时时间、设备运行状态</w:t>
            </w:r>
          </w:p>
        </w:tc>
      </w:tr>
      <w:tr w14:paraId="3290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5" w:hRule="atLeast"/>
          <w:jc w:val="center"/>
        </w:trPr>
        <w:tc>
          <w:tcPr>
            <w:tcW w:w="9809" w:type="dxa"/>
            <w:gridSpan w:val="4"/>
            <w:noWrap/>
            <w:vAlign w:val="center"/>
          </w:tcPr>
          <w:p w14:paraId="64FB2025">
            <w:pPr>
              <w:widowControl/>
              <w:adjustRightInd w:val="0"/>
              <w:snapToGrid w:val="0"/>
              <w:spacing w:line="360" w:lineRule="auto"/>
              <w:textAlignment w:val="center"/>
              <w:rPr>
                <w:rFonts w:ascii="宋体" w:hAnsi="宋体" w:eastAsia="宋体" w:cs="宋体"/>
                <w:szCs w:val="21"/>
              </w:rPr>
            </w:pPr>
            <w:r>
              <w:rPr>
                <w:rFonts w:hint="eastAsia" w:ascii="宋体" w:hAnsi="宋体" w:eastAsia="宋体" w:cs="宋体"/>
                <w:b/>
                <w:bCs/>
                <w:szCs w:val="21"/>
              </w:rPr>
              <w:t>二、商务要求</w:t>
            </w:r>
          </w:p>
        </w:tc>
      </w:tr>
      <w:tr w14:paraId="2E3A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3" w:hRule="atLeast"/>
          <w:jc w:val="center"/>
        </w:trPr>
        <w:tc>
          <w:tcPr>
            <w:tcW w:w="1768" w:type="dxa"/>
            <w:gridSpan w:val="2"/>
            <w:noWrap/>
            <w:vAlign w:val="center"/>
          </w:tcPr>
          <w:p w14:paraId="30FBB4C0">
            <w:pPr>
              <w:widowControl/>
              <w:spacing w:line="360" w:lineRule="auto"/>
              <w:ind w:firstLine="0" w:firstLineChars="0"/>
              <w:jc w:val="center"/>
              <w:rPr>
                <w:rFonts w:ascii="宋体" w:hAnsi="宋体" w:eastAsia="宋体" w:cs="宋体"/>
                <w:b/>
                <w:bCs/>
                <w:color w:val="auto"/>
                <w:kern w:val="2"/>
                <w:sz w:val="24"/>
                <w:szCs w:val="21"/>
                <w:lang w:val="en-US" w:eastAsia="zh-CN" w:bidi="ar-SA"/>
              </w:rPr>
            </w:pPr>
            <w:r>
              <w:rPr>
                <w:rFonts w:hint="eastAsia" w:ascii="宋体" w:hAnsi="宋体" w:eastAsia="宋体" w:cs="宋体"/>
                <w:b/>
                <w:bCs/>
                <w:color w:val="auto"/>
                <w:kern w:val="2"/>
                <w:sz w:val="21"/>
                <w:szCs w:val="21"/>
                <w:lang w:val="en-US" w:eastAsia="zh-CN" w:bidi="ar-SA"/>
              </w:rPr>
              <w:t>签订合同时间</w:t>
            </w:r>
          </w:p>
        </w:tc>
        <w:tc>
          <w:tcPr>
            <w:tcW w:w="8041" w:type="dxa"/>
            <w:gridSpan w:val="2"/>
            <w:noWrap/>
            <w:vAlign w:val="center"/>
          </w:tcPr>
          <w:p w14:paraId="6FC69BAC">
            <w:pPr>
              <w:spacing w:line="360" w:lineRule="auto"/>
              <w:rPr>
                <w:rFonts w:ascii="宋体" w:hAnsi="宋体" w:eastAsia="宋体" w:cs="宋体"/>
                <w:szCs w:val="21"/>
              </w:rPr>
            </w:pPr>
            <w:r>
              <w:rPr>
                <w:rFonts w:hint="eastAsia" w:ascii="宋体" w:hAnsi="宋体" w:eastAsia="宋体" w:cs="宋体"/>
                <w:kern w:val="0"/>
                <w:szCs w:val="21"/>
              </w:rPr>
              <w:t>合同签订期：自成交通知书发出之日起25日内。</w:t>
            </w:r>
          </w:p>
        </w:tc>
      </w:tr>
      <w:tr w14:paraId="0EEB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3" w:hRule="atLeast"/>
          <w:jc w:val="center"/>
        </w:trPr>
        <w:tc>
          <w:tcPr>
            <w:tcW w:w="1768" w:type="dxa"/>
            <w:gridSpan w:val="2"/>
            <w:noWrap/>
            <w:vAlign w:val="center"/>
          </w:tcPr>
          <w:p w14:paraId="66D7DE9C">
            <w:pPr>
              <w:spacing w:line="360" w:lineRule="auto"/>
              <w:jc w:val="center"/>
              <w:rPr>
                <w:rFonts w:ascii="宋体" w:hAnsi="宋体" w:eastAsia="宋体" w:cs="宋体"/>
                <w:b/>
                <w:bCs/>
                <w:szCs w:val="21"/>
              </w:rPr>
            </w:pPr>
            <w:r>
              <w:rPr>
                <w:rFonts w:hint="eastAsia" w:ascii="宋体" w:hAnsi="宋体" w:eastAsia="宋体" w:cs="宋体"/>
                <w:b/>
                <w:szCs w:val="21"/>
              </w:rPr>
              <w:t>交货时间及地点</w:t>
            </w:r>
          </w:p>
        </w:tc>
        <w:tc>
          <w:tcPr>
            <w:tcW w:w="8041" w:type="dxa"/>
            <w:gridSpan w:val="2"/>
            <w:noWrap/>
            <w:vAlign w:val="center"/>
          </w:tcPr>
          <w:p w14:paraId="378A3ECF">
            <w:pPr>
              <w:widowControl w:val="0"/>
              <w:spacing w:line="360" w:lineRule="auto"/>
              <w:ind w:firstLine="0" w:firstLineChars="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1.交货时间：签订合同30天内供货完毕并经验收合格。</w:t>
            </w:r>
          </w:p>
          <w:p w14:paraId="15C54FEF">
            <w:pPr>
              <w:widowControl w:val="0"/>
              <w:spacing w:line="360" w:lineRule="auto"/>
              <w:ind w:firstLine="0" w:firstLineChars="0"/>
              <w:jc w:val="both"/>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2.交货地点：采购人指定地点。</w:t>
            </w:r>
          </w:p>
        </w:tc>
      </w:tr>
      <w:tr w14:paraId="520D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3" w:hRule="atLeast"/>
          <w:jc w:val="center"/>
        </w:trPr>
        <w:tc>
          <w:tcPr>
            <w:tcW w:w="1768" w:type="dxa"/>
            <w:gridSpan w:val="2"/>
            <w:noWrap/>
            <w:vAlign w:val="center"/>
          </w:tcPr>
          <w:p w14:paraId="4F6FBD23">
            <w:pPr>
              <w:spacing w:line="360" w:lineRule="auto"/>
              <w:jc w:val="center"/>
              <w:rPr>
                <w:rFonts w:ascii="宋体" w:hAnsi="宋体" w:eastAsia="宋体" w:cs="宋体"/>
                <w:b/>
                <w:bCs/>
                <w:szCs w:val="21"/>
              </w:rPr>
            </w:pPr>
            <w:r>
              <w:rPr>
                <w:rFonts w:hint="eastAsia" w:ascii="宋体" w:hAnsi="宋体" w:eastAsia="宋体" w:cs="宋体"/>
                <w:b/>
                <w:bCs/>
                <w:szCs w:val="21"/>
              </w:rPr>
              <w:t>报价要求</w:t>
            </w:r>
          </w:p>
        </w:tc>
        <w:tc>
          <w:tcPr>
            <w:tcW w:w="8041" w:type="dxa"/>
            <w:gridSpan w:val="2"/>
            <w:noWrap/>
            <w:vAlign w:val="center"/>
          </w:tcPr>
          <w:p w14:paraId="1980D985">
            <w:pPr>
              <w:spacing w:line="360" w:lineRule="auto"/>
              <w:jc w:val="left"/>
              <w:rPr>
                <w:rFonts w:ascii="宋体" w:hAnsi="宋体" w:eastAsia="宋体" w:cs="宋体"/>
                <w:szCs w:val="21"/>
              </w:rPr>
            </w:pPr>
            <w:r>
              <w:rPr>
                <w:rFonts w:hint="eastAsia" w:ascii="宋体" w:hAnsi="宋体" w:eastAsia="宋体" w:cs="宋体"/>
                <w:szCs w:val="21"/>
              </w:rPr>
              <w:t>竞标报价为采购人指定地点的现场交货价，包括：</w:t>
            </w:r>
          </w:p>
          <w:p w14:paraId="7AA16307">
            <w:pPr>
              <w:spacing w:line="360" w:lineRule="auto"/>
              <w:rPr>
                <w:rFonts w:ascii="宋体" w:hAnsi="宋体" w:eastAsia="宋体" w:cs="宋体"/>
                <w:szCs w:val="21"/>
              </w:rPr>
            </w:pPr>
            <w:r>
              <w:rPr>
                <w:rFonts w:hint="eastAsia" w:ascii="宋体" w:hAnsi="宋体" w:eastAsia="宋体" w:cs="宋体"/>
                <w:szCs w:val="21"/>
              </w:rPr>
              <w:t>1.货物及标准附件、备品备件、专用工具的价格；</w:t>
            </w:r>
          </w:p>
          <w:p w14:paraId="17A0D5C7">
            <w:pPr>
              <w:spacing w:line="360" w:lineRule="auto"/>
              <w:rPr>
                <w:rFonts w:ascii="宋体" w:hAnsi="宋体" w:eastAsia="宋体" w:cs="宋体"/>
                <w:szCs w:val="21"/>
              </w:rPr>
            </w:pPr>
            <w:r>
              <w:rPr>
                <w:rFonts w:hint="eastAsia" w:ascii="宋体" w:hAnsi="宋体" w:eastAsia="宋体" w:cs="宋体"/>
                <w:szCs w:val="21"/>
              </w:rPr>
              <w:t>2.运输、装卸、调试、培训、技术支持、售后服务等费用；</w:t>
            </w:r>
          </w:p>
          <w:p w14:paraId="0D7F753F">
            <w:pPr>
              <w:spacing w:line="360" w:lineRule="auto"/>
              <w:rPr>
                <w:rFonts w:ascii="宋体" w:hAnsi="宋体" w:eastAsia="宋体" w:cs="宋体"/>
                <w:szCs w:val="21"/>
              </w:rPr>
            </w:pPr>
            <w:r>
              <w:rPr>
                <w:rFonts w:hint="eastAsia" w:ascii="宋体" w:hAnsi="宋体" w:eastAsia="宋体" w:cs="宋体"/>
                <w:szCs w:val="21"/>
              </w:rPr>
              <w:t>3.必要的保险费用和各项税费；</w:t>
            </w:r>
          </w:p>
        </w:tc>
      </w:tr>
      <w:tr w14:paraId="1B76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768" w:type="dxa"/>
            <w:gridSpan w:val="2"/>
            <w:noWrap/>
            <w:vAlign w:val="center"/>
          </w:tcPr>
          <w:p w14:paraId="3220A217">
            <w:pPr>
              <w:widowControl/>
              <w:spacing w:line="360" w:lineRule="auto"/>
              <w:ind w:firstLine="0" w:firstLineChars="0"/>
              <w:contextualSpacing/>
              <w:jc w:val="center"/>
              <w:rPr>
                <w:rFonts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付款方式</w:t>
            </w:r>
          </w:p>
        </w:tc>
        <w:tc>
          <w:tcPr>
            <w:tcW w:w="8041" w:type="dxa"/>
            <w:gridSpan w:val="2"/>
            <w:noWrap/>
            <w:vAlign w:val="center"/>
          </w:tcPr>
          <w:p w14:paraId="6EE868E1">
            <w:pPr>
              <w:spacing w:line="360" w:lineRule="auto"/>
              <w:rPr>
                <w:rFonts w:ascii="宋体" w:hAnsi="宋体" w:eastAsia="宋体" w:cs="宋体"/>
                <w:szCs w:val="21"/>
              </w:rPr>
            </w:pPr>
            <w:r>
              <w:rPr>
                <w:rFonts w:hint="eastAsia" w:ascii="宋体" w:hAnsi="宋体" w:eastAsia="宋体" w:cs="宋体"/>
                <w:szCs w:val="21"/>
              </w:rPr>
              <w:t>签订合同后支付预付款（合同金额50%），已到货设备金额超过合同总金额的80%时支付合同进度款（合同金额30%），验收合格后支付尾款（合同金额20%）。付款前，成交供应商应将付款金额的合法、有效增值税专用发票开具给采购人，否则，采购人可以顺延付款。</w:t>
            </w:r>
          </w:p>
        </w:tc>
      </w:tr>
      <w:tr w14:paraId="4C6EB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3" w:hRule="atLeast"/>
          <w:jc w:val="center"/>
        </w:trPr>
        <w:tc>
          <w:tcPr>
            <w:tcW w:w="1768" w:type="dxa"/>
            <w:gridSpan w:val="2"/>
            <w:noWrap/>
            <w:vAlign w:val="center"/>
          </w:tcPr>
          <w:p w14:paraId="01151708">
            <w:pPr>
              <w:snapToGrid w:val="0"/>
              <w:spacing w:line="360" w:lineRule="auto"/>
              <w:jc w:val="center"/>
              <w:rPr>
                <w:rFonts w:ascii="宋体" w:hAnsi="宋体" w:eastAsia="宋体" w:cs="宋体"/>
                <w:b/>
                <w:bCs/>
                <w:szCs w:val="21"/>
              </w:rPr>
            </w:pPr>
            <w:r>
              <w:rPr>
                <w:rFonts w:hint="eastAsia" w:ascii="宋体" w:hAnsi="宋体" w:eastAsia="宋体" w:cs="宋体"/>
                <w:b/>
                <w:bCs/>
                <w:szCs w:val="21"/>
              </w:rPr>
              <w:t>质保期及售后要求</w:t>
            </w:r>
          </w:p>
        </w:tc>
        <w:tc>
          <w:tcPr>
            <w:tcW w:w="8041" w:type="dxa"/>
            <w:gridSpan w:val="2"/>
            <w:noWrap/>
            <w:vAlign w:val="center"/>
          </w:tcPr>
          <w:p w14:paraId="2FABBDBE">
            <w:pPr>
              <w:spacing w:line="360" w:lineRule="auto"/>
              <w:rPr>
                <w:rFonts w:ascii="宋体" w:hAnsi="宋体" w:eastAsia="宋体" w:cs="宋体"/>
                <w:szCs w:val="21"/>
              </w:rPr>
            </w:pPr>
            <w:r>
              <w:rPr>
                <w:rFonts w:hint="eastAsia" w:ascii="宋体" w:hAnsi="宋体" w:eastAsia="宋体" w:cs="宋体"/>
                <w:szCs w:val="21"/>
              </w:rPr>
              <w:t>1.质保期：按国家有关产品“三包”规定执行“三包”，质保期内故障免费上门维修及更换配件。质保期不少于1年；货物采购需求有单独标明售后要求的，按其执行。要求每月定期回访，质保期后提供终身维修服务。</w:t>
            </w:r>
          </w:p>
          <w:p w14:paraId="3F8BA9EB">
            <w:pPr>
              <w:spacing w:line="360" w:lineRule="auto"/>
              <w:rPr>
                <w:rFonts w:ascii="宋体" w:hAnsi="宋体" w:eastAsia="宋体" w:cs="宋体"/>
                <w:szCs w:val="21"/>
              </w:rPr>
            </w:pPr>
            <w:r>
              <w:rPr>
                <w:rFonts w:hint="eastAsia" w:ascii="宋体" w:hAnsi="宋体" w:eastAsia="宋体" w:cs="宋体"/>
                <w:szCs w:val="21"/>
              </w:rPr>
              <w:t>2.售后服务要求：</w:t>
            </w:r>
          </w:p>
          <w:p w14:paraId="57257434">
            <w:pPr>
              <w:spacing w:line="360" w:lineRule="auto"/>
              <w:rPr>
                <w:rFonts w:ascii="宋体" w:hAnsi="宋体" w:eastAsia="宋体" w:cs="宋体"/>
                <w:szCs w:val="21"/>
              </w:rPr>
            </w:pPr>
            <w:r>
              <w:rPr>
                <w:rFonts w:hint="eastAsia" w:ascii="宋体" w:hAnsi="宋体" w:eastAsia="宋体" w:cs="宋体"/>
                <w:szCs w:val="21"/>
              </w:rPr>
              <w:t>（1）售后技术服务包括送货上门、安装调试、现场培训2～3名相关人员至掌握设备操作及日常维护等，竞标报价应包含为实施项目所必须的售后技术服务。分项设备要求产品生产厂家提供技术人员培训的，按其要求执行。</w:t>
            </w:r>
          </w:p>
          <w:p w14:paraId="7F208774">
            <w:pPr>
              <w:spacing w:line="360" w:lineRule="auto"/>
              <w:rPr>
                <w:rFonts w:ascii="宋体" w:hAnsi="宋体" w:eastAsia="宋体" w:cs="宋体"/>
                <w:szCs w:val="21"/>
              </w:rPr>
            </w:pPr>
            <w:r>
              <w:rPr>
                <w:rFonts w:hint="eastAsia" w:ascii="宋体" w:hAnsi="宋体" w:eastAsia="宋体" w:cs="宋体"/>
                <w:szCs w:val="21"/>
              </w:rPr>
              <w:t>（2）设备出现故障后，成交供应商负责需要2小时内做出响应，24小时内派工程师到现场进行故障排除，48小时内故障无法修复的，需要立即提供与原设备技术参数要求相同或高于原设备技术参数要求的备用产品，以保证采购人的正常工作。</w:t>
            </w:r>
          </w:p>
        </w:tc>
      </w:tr>
      <w:tr w14:paraId="3B4E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3" w:hRule="atLeast"/>
          <w:jc w:val="center"/>
        </w:trPr>
        <w:tc>
          <w:tcPr>
            <w:tcW w:w="1768" w:type="dxa"/>
            <w:gridSpan w:val="2"/>
            <w:noWrap/>
            <w:vAlign w:val="center"/>
          </w:tcPr>
          <w:p w14:paraId="77671DA3">
            <w:pPr>
              <w:snapToGrid w:val="0"/>
              <w:spacing w:line="360" w:lineRule="auto"/>
              <w:jc w:val="center"/>
              <w:rPr>
                <w:rFonts w:ascii="宋体" w:hAnsi="宋体" w:eastAsia="宋体" w:cs="宋体"/>
                <w:b/>
                <w:bCs/>
                <w:szCs w:val="21"/>
              </w:rPr>
            </w:pPr>
            <w:r>
              <w:rPr>
                <w:rFonts w:hint="eastAsia" w:ascii="宋体" w:hAnsi="宋体" w:eastAsia="宋体" w:cs="宋体"/>
                <w:b/>
                <w:bCs/>
                <w:szCs w:val="21"/>
              </w:rPr>
              <w:t>验收要求</w:t>
            </w:r>
          </w:p>
        </w:tc>
        <w:tc>
          <w:tcPr>
            <w:tcW w:w="8041" w:type="dxa"/>
            <w:gridSpan w:val="2"/>
            <w:noWrap/>
          </w:tcPr>
          <w:p w14:paraId="1A527638">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1.检查供货范围或服务范围</w:t>
            </w:r>
          </w:p>
          <w:p w14:paraId="4D87792F">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货物类：产品到达现场后，成交供应商应在采购人单位人员在场情况下当面开箱，共同清点、检查外观，作出开箱记录，双方签字确认。成交供应商应保证货物到达采购人所在地完好无损，如有缺漏、损坏，由成交人负责调换、补齐或赔偿。</w:t>
            </w:r>
          </w:p>
          <w:p w14:paraId="472C216F">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2.成交供应商应提供完备的技术或服务资料、装箱单和合格证等，并派遣专业人员进行现场安装调试。验收合格条件如下：</w:t>
            </w:r>
          </w:p>
          <w:p w14:paraId="08097B36">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2.1货物或服务技术参数与竞标文件中技术需求偏离表或证明材料一致，性能或指标达到规定的标准，否则，以实际货物或服务技术参数与竞标文件技术需求偏离表参数或证明材料比较，按如下情况处理：</w:t>
            </w:r>
          </w:p>
          <w:p w14:paraId="0581076C">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1）成交供应商竞标文件技术需求偏离表或证明材料中满足或优于的技术参数，在验收时实际不满足技术参数要求的，视为供货商违约，采购人有权终止合同拒收货物，并追究成交供应商责任，同时报财政部门备案。</w:t>
            </w:r>
          </w:p>
          <w:p w14:paraId="1EF3F5E6">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2）成交供应商竞标文件技术需求偏离表或证明材料中优于的技术参数，在验收时实际仅满足并未优于技术参数要求的，视为供货商违约，采购人有权终止合同拒收货物，并追究成交供应商责任，同时报财政部门备案。</w:t>
            </w:r>
          </w:p>
          <w:p w14:paraId="441BD560">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（3）成交供应商竞标文件技术需求偏离表或证明材料中满足的技术参数，在验收时实际优于技术参数的要求，以满足技术参数的要求验收。</w:t>
            </w:r>
          </w:p>
          <w:p w14:paraId="61CB50A3">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4）成交供应商竞标文件技术需求偏离表或证明材料中优于的技术参数，在验收时实际也优于技术参数的要求，但没有达到技术需求偏离表或证明材料中优于的程度，由采购人与成交供应商协商按是否满足要求验收。</w:t>
            </w:r>
          </w:p>
          <w:p w14:paraId="759670A2">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5）实际货物与竞标货物型号不一致的，验收时不论实际是优于还是满足技术参数的要求，采购人均有权终止合同拒收货物。如影响货物或服务的使用、质量、档次及采购人需求的，还可视为供货商违约，追究成交供应商责任，同时报财政部门备案。</w:t>
            </w:r>
          </w:p>
          <w:p w14:paraId="3231472A">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2.2技术资料、装箱单、合格证等资料齐全。</w:t>
            </w:r>
          </w:p>
          <w:p w14:paraId="61470404">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2.3在测试或试运行期间所出现的问题得到解决，并运行或工作正常。</w:t>
            </w:r>
          </w:p>
          <w:p w14:paraId="5A2888E8">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2.4在规定时间内完成交货及验收，并经采购人确认。</w:t>
            </w:r>
          </w:p>
          <w:p w14:paraId="3C9C2F63">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3.产品或服务在安装调试并试运行符合要求后，还必须负责完成原有所有旧的货架及物流设备及软件系统的重新部署安装、集成、调试并能整体通过测试顺利运行，运行顺畅才作为最终验收。</w:t>
            </w:r>
          </w:p>
          <w:p w14:paraId="0C2A7F0A">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4.成交供应商提供的货物或服务未达到</w:t>
            </w:r>
            <w:r>
              <w:rPr>
                <w:rFonts w:hint="eastAsia" w:ascii="宋体" w:hAnsi="宋体" w:eastAsia="宋体" w:cs="宋体"/>
                <w:kern w:val="0"/>
                <w:szCs w:val="21"/>
                <w:lang w:val="en-US" w:eastAsia="zh-CN" w:bidi="ar"/>
              </w:rPr>
              <w:t>采购</w:t>
            </w:r>
            <w:bookmarkStart w:id="2" w:name="_GoBack"/>
            <w:bookmarkEnd w:id="2"/>
            <w:r>
              <w:rPr>
                <w:rFonts w:hint="eastAsia" w:ascii="宋体" w:hAnsi="宋体" w:eastAsia="宋体" w:cs="宋体"/>
                <w:kern w:val="0"/>
                <w:szCs w:val="21"/>
                <w:lang w:bidi="ar"/>
              </w:rPr>
              <w:t>文件规定要求，且对采购人造成损失的，由成交供应商承担一切责任，并赔偿所造成的损失。</w:t>
            </w:r>
          </w:p>
          <w:p w14:paraId="5CCBFA2E">
            <w:pPr>
              <w:spacing w:line="360" w:lineRule="auto"/>
              <w:rPr>
                <w:rFonts w:ascii="宋体" w:hAnsi="宋体" w:eastAsia="宋体" w:cs="宋体"/>
                <w:kern w:val="0"/>
                <w:szCs w:val="21"/>
                <w:lang w:bidi="ar"/>
              </w:rPr>
            </w:pPr>
            <w:r>
              <w:rPr>
                <w:rFonts w:hint="eastAsia" w:ascii="宋体" w:hAnsi="宋体" w:eastAsia="宋体" w:cs="宋体"/>
                <w:kern w:val="0"/>
                <w:szCs w:val="21"/>
                <w:lang w:bidi="ar"/>
              </w:rPr>
              <w:t>5.采购人需要制造商对成交供应商交付的产品或服务（包括质量、参数等）进行确认的，制造商应予以配合并出具书面意见，相关配合事项由成交供应商与制造商协调。</w:t>
            </w:r>
          </w:p>
          <w:p w14:paraId="17EB2F2F">
            <w:pPr>
              <w:spacing w:line="360" w:lineRule="auto"/>
              <w:rPr>
                <w:rFonts w:ascii="宋体" w:hAnsi="宋体" w:eastAsia="宋体" w:cs="宋体"/>
                <w:szCs w:val="21"/>
              </w:rPr>
            </w:pPr>
            <w:r>
              <w:rPr>
                <w:rFonts w:hint="eastAsia" w:ascii="宋体" w:hAnsi="宋体" w:eastAsia="宋体" w:cs="宋体"/>
                <w:kern w:val="0"/>
                <w:szCs w:val="21"/>
                <w:lang w:bidi="ar"/>
              </w:rPr>
              <w:t>6.产品包装材料归采购人所有。</w:t>
            </w:r>
          </w:p>
        </w:tc>
      </w:tr>
      <w:tr w14:paraId="0DDB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7" w:hRule="atLeast"/>
          <w:jc w:val="center"/>
        </w:trPr>
        <w:tc>
          <w:tcPr>
            <w:tcW w:w="9809" w:type="dxa"/>
            <w:gridSpan w:val="4"/>
            <w:noWrap/>
            <w:vAlign w:val="center"/>
          </w:tcPr>
          <w:p w14:paraId="2EE3883F">
            <w:pPr>
              <w:widowControl/>
              <w:adjustRightInd w:val="0"/>
              <w:snapToGrid w:val="0"/>
              <w:spacing w:line="360" w:lineRule="auto"/>
              <w:jc w:val="left"/>
              <w:textAlignment w:val="center"/>
              <w:rPr>
                <w:rFonts w:ascii="宋体" w:hAnsi="宋体" w:eastAsia="宋体" w:cs="宋体"/>
                <w:szCs w:val="21"/>
              </w:rPr>
            </w:pPr>
            <w:r>
              <w:rPr>
                <w:rFonts w:hint="eastAsia" w:ascii="宋体" w:hAnsi="宋体" w:eastAsia="宋体" w:cs="宋体"/>
                <w:b/>
                <w:bCs/>
                <w:szCs w:val="21"/>
              </w:rPr>
              <w:t>三、其他说明</w:t>
            </w:r>
          </w:p>
        </w:tc>
      </w:tr>
      <w:tr w14:paraId="7E0B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809" w:type="dxa"/>
            <w:gridSpan w:val="4"/>
            <w:noWrap/>
            <w:vAlign w:val="center"/>
          </w:tcPr>
          <w:p w14:paraId="1DE573C1">
            <w:pPr>
              <w:widowControl/>
              <w:tabs>
                <w:tab w:val="left" w:pos="180"/>
                <w:tab w:val="left" w:pos="1620"/>
              </w:tabs>
              <w:spacing w:line="360" w:lineRule="auto"/>
              <w:rPr>
                <w:rFonts w:ascii="宋体" w:hAnsi="宋体" w:eastAsia="宋体" w:cs="宋体"/>
                <w:szCs w:val="21"/>
              </w:rPr>
            </w:pPr>
            <w:r>
              <w:rPr>
                <w:rFonts w:hint="eastAsia" w:ascii="宋体" w:hAnsi="宋体" w:eastAsia="宋体" w:cs="宋体"/>
                <w:szCs w:val="21"/>
              </w:rPr>
              <w:t>1.进口产品说明：</w:t>
            </w:r>
          </w:p>
          <w:p w14:paraId="328E5B57">
            <w:pPr>
              <w:widowControl/>
              <w:tabs>
                <w:tab w:val="left" w:pos="180"/>
                <w:tab w:val="left" w:pos="1620"/>
              </w:tabs>
              <w:spacing w:line="360" w:lineRule="auto"/>
              <w:ind w:firstLine="420" w:firstLineChars="200"/>
              <w:rPr>
                <w:rFonts w:ascii="宋体" w:hAnsi="宋体" w:eastAsia="宋体" w:cs="宋体"/>
                <w:szCs w:val="21"/>
              </w:rPr>
            </w:pPr>
            <w:r>
              <w:rPr>
                <w:rFonts w:hint="eastAsia" w:ascii="宋体" w:hAnsi="宋体" w:eastAsia="宋体" w:cs="宋体"/>
                <w:szCs w:val="21"/>
              </w:rPr>
              <w:t>本项目所涉及的货物不接受进口产品（即通过中国海关报关验放进入中国境内且产自关境外的产品）参与竞标，</w:t>
            </w:r>
            <w:r>
              <w:rPr>
                <w:rFonts w:hint="eastAsia" w:ascii="宋体" w:hAnsi="宋体" w:eastAsia="宋体" w:cs="宋体"/>
                <w:b/>
                <w:szCs w:val="21"/>
              </w:rPr>
              <w:t>如有进口产品参与竞标的作无效竞标处理</w:t>
            </w:r>
            <w:r>
              <w:rPr>
                <w:rFonts w:hint="eastAsia" w:ascii="宋体" w:hAnsi="宋体" w:eastAsia="宋体" w:cs="宋体"/>
                <w:szCs w:val="21"/>
              </w:rPr>
              <w:t>。</w:t>
            </w:r>
          </w:p>
          <w:p w14:paraId="375CECBD">
            <w:pPr>
              <w:widowControl/>
              <w:tabs>
                <w:tab w:val="left" w:pos="180"/>
                <w:tab w:val="left" w:pos="1620"/>
              </w:tabs>
              <w:spacing w:line="360" w:lineRule="auto"/>
              <w:rPr>
                <w:rFonts w:ascii="宋体" w:hAnsi="宋体" w:eastAsia="宋体" w:cs="宋体"/>
                <w:szCs w:val="21"/>
              </w:rPr>
            </w:pPr>
            <w:r>
              <w:rPr>
                <w:rFonts w:ascii="宋体" w:hAnsi="宋体" w:eastAsia="宋体" w:cs="宋体"/>
                <w:szCs w:val="21"/>
              </w:rPr>
              <w:t>2.核心产品：</w:t>
            </w:r>
          </w:p>
          <w:p w14:paraId="7B356F1A">
            <w:pPr>
              <w:widowControl/>
              <w:adjustRightInd w:val="0"/>
              <w:snapToGrid w:val="0"/>
              <w:spacing w:line="360" w:lineRule="auto"/>
              <w:ind w:firstLine="420" w:firstLineChars="200"/>
              <w:jc w:val="left"/>
              <w:textAlignment w:val="center"/>
              <w:rPr>
                <w:rFonts w:ascii="宋体" w:hAnsi="宋体" w:eastAsia="宋体" w:cs="宋体"/>
                <w:b/>
                <w:bCs/>
                <w:szCs w:val="21"/>
              </w:rPr>
            </w:pPr>
            <w:r>
              <w:rPr>
                <w:rFonts w:hint="eastAsia" w:ascii="宋体" w:hAnsi="宋体" w:eastAsia="宋体" w:cs="宋体"/>
                <w:szCs w:val="21"/>
              </w:rPr>
              <w:t>本项目的核心产品为“需求一览表”中第</w:t>
            </w:r>
            <w:r>
              <w:rPr>
                <w:rFonts w:ascii="宋体" w:hAnsi="宋体" w:eastAsia="宋体" w:cs="宋体"/>
                <w:szCs w:val="21"/>
                <w:u w:val="single"/>
              </w:rPr>
              <w:t xml:space="preserve"> </w:t>
            </w:r>
            <w:r>
              <w:rPr>
                <w:rFonts w:hint="eastAsia" w:ascii="宋体" w:hAnsi="宋体" w:eastAsia="宋体" w:cs="宋体"/>
                <w:szCs w:val="21"/>
                <w:u w:val="single"/>
              </w:rPr>
              <w:t>1</w:t>
            </w:r>
            <w:r>
              <w:rPr>
                <w:rFonts w:ascii="宋体" w:hAnsi="宋体" w:eastAsia="宋体" w:cs="宋体"/>
                <w:szCs w:val="21"/>
                <w:u w:val="single"/>
              </w:rPr>
              <w:t xml:space="preserve"> </w:t>
            </w:r>
            <w:r>
              <w:rPr>
                <w:rFonts w:hint="eastAsia" w:ascii="宋体" w:hAnsi="宋体" w:eastAsia="宋体" w:cs="宋体"/>
                <w:szCs w:val="21"/>
              </w:rPr>
              <w:t>项产品：</w:t>
            </w:r>
            <w:r>
              <w:rPr>
                <w:rFonts w:ascii="宋体" w:hAnsi="宋体" w:eastAsia="宋体" w:cs="宋体"/>
                <w:szCs w:val="21"/>
                <w:u w:val="single"/>
              </w:rPr>
              <w:t xml:space="preserve"> </w:t>
            </w:r>
            <w:r>
              <w:rPr>
                <w:rFonts w:hint="eastAsia" w:ascii="宋体" w:hAnsi="宋体" w:eastAsia="宋体" w:cs="宋体"/>
                <w:szCs w:val="21"/>
                <w:u w:val="single"/>
              </w:rPr>
              <w:t>电感耦合等离子体光谱仪</w:t>
            </w:r>
            <w:r>
              <w:rPr>
                <w:rFonts w:ascii="宋体" w:hAnsi="宋体" w:eastAsia="宋体" w:cs="宋体"/>
                <w:szCs w:val="21"/>
                <w:u w:val="single"/>
              </w:rPr>
              <w:t xml:space="preserve"> </w:t>
            </w:r>
            <w:r>
              <w:rPr>
                <w:rFonts w:hint="eastAsia" w:ascii="宋体" w:hAnsi="宋体" w:eastAsia="宋体" w:cs="宋体"/>
                <w:szCs w:val="21"/>
              </w:rPr>
              <w:t>。</w:t>
            </w:r>
          </w:p>
          <w:p w14:paraId="143A3F3B">
            <w:pPr>
              <w:widowControl/>
              <w:adjustRightInd w:val="0"/>
              <w:snapToGrid w:val="0"/>
              <w:spacing w:line="360" w:lineRule="auto"/>
              <w:jc w:val="left"/>
              <w:textAlignment w:val="center"/>
              <w:rPr>
                <w:rFonts w:ascii="宋体" w:hAnsi="宋体" w:eastAsia="宋体" w:cs="宋体"/>
                <w:b/>
                <w:bCs/>
                <w:szCs w:val="21"/>
              </w:rPr>
            </w:pPr>
            <w:r>
              <w:rPr>
                <w:rFonts w:hint="eastAsia" w:ascii="宋体" w:hAnsi="宋体" w:eastAsia="宋体" w:cs="宋体"/>
                <w:szCs w:val="21"/>
              </w:rPr>
              <w:t>3.根据《国务院办公厅关于在政府采购中实施本国产品标准及相关政策的通知》（国办发〔2025〕34号）的规定，</w:t>
            </w:r>
            <w:r>
              <w:rPr>
                <w:rFonts w:hint="eastAsia" w:ascii="宋体" w:hAnsi="宋体" w:eastAsia="宋体" w:cs="宋体"/>
                <w:szCs w:val="21"/>
                <w:shd w:val="clear" w:color="auto" w:fill="FFFFFF"/>
              </w:rPr>
              <w:t>政府采购活动中既有本国产品又有非本国产品参与竞争的，依法对符合政策要求的本国产品给予价格评审优惠，</w:t>
            </w:r>
            <w:r>
              <w:rPr>
                <w:rFonts w:hint="eastAsia" w:ascii="宋体" w:hAnsi="宋体" w:eastAsia="宋体" w:cs="宋体"/>
                <w:b/>
                <w:bCs/>
                <w:szCs w:val="21"/>
              </w:rPr>
              <w:t>具体详见“第四章 评审程序、评审方法和成交标准”</w:t>
            </w:r>
            <w:r>
              <w:rPr>
                <w:rFonts w:hint="eastAsia" w:ascii="宋体" w:hAnsi="宋体" w:eastAsia="宋体" w:cs="宋体"/>
                <w:szCs w:val="21"/>
              </w:rPr>
              <w:t>。产品在中国境内生产的组件成本，按照《中国境内生产的组件成本核算基本规则》（见附件3）计算。</w:t>
            </w:r>
          </w:p>
          <w:p w14:paraId="6A8DA19D">
            <w:pPr>
              <w:widowControl/>
              <w:adjustRightInd w:val="0"/>
              <w:snapToGrid w:val="0"/>
              <w:spacing w:line="360" w:lineRule="auto"/>
              <w:jc w:val="left"/>
              <w:textAlignment w:val="center"/>
              <w:rPr>
                <w:rFonts w:ascii="宋体" w:hAnsi="宋体" w:eastAsia="宋体" w:cs="宋体"/>
                <w:b/>
                <w:bCs/>
                <w:szCs w:val="21"/>
              </w:rPr>
            </w:pPr>
            <w:r>
              <w:rPr>
                <w:rFonts w:hint="eastAsia" w:ascii="宋体" w:hAnsi="宋体" w:eastAsia="宋体" w:cs="宋体"/>
                <w:b/>
                <w:bCs/>
                <w:szCs w:val="21"/>
              </w:rPr>
              <w:t>4.谈判小组根据与供应商谈判情况可能实质性变动的内容：未标注“▲”的内容。</w:t>
            </w:r>
          </w:p>
          <w:p w14:paraId="0AA8299B">
            <w:pPr>
              <w:widowControl/>
              <w:adjustRightInd w:val="0"/>
              <w:snapToGrid w:val="0"/>
              <w:spacing w:line="360" w:lineRule="auto"/>
              <w:jc w:val="left"/>
              <w:textAlignment w:val="center"/>
              <w:rPr>
                <w:rFonts w:ascii="宋体" w:hAnsi="宋体" w:eastAsia="宋体" w:cs="宋体"/>
                <w:szCs w:val="21"/>
              </w:rPr>
            </w:pPr>
            <w:r>
              <w:rPr>
                <w:rFonts w:hint="eastAsia" w:ascii="宋体" w:hAnsi="宋体" w:eastAsia="宋体" w:cs="宋体"/>
                <w:szCs w:val="21"/>
              </w:rPr>
              <w:t>▲5.本需求表中所列相关标准，如失效且无最新或替代标准的，则该项要求作废；如失效但有最新或替代标准的，按最新或替代标准执行。</w:t>
            </w:r>
          </w:p>
        </w:tc>
      </w:tr>
      <w:bookmarkEnd w:id="1"/>
    </w:tbl>
    <w:p w14:paraId="0347B753"/>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F30F10"/>
    <w:rsid w:val="28F30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2026-10-22T12:25:00Z</dcterms:created>
  <dc:creator>欧明聪</dc:creator>
  <cp:lastModifiedBy>欧明聪</cp:lastModifiedBy>
  <dcterms:modified xsi:type="dcterms:W3CDTF">2026-10-22T12:26:05Z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E24F2981E86D422C8BE37341E2718D63_11</vt:lpwstr>
  </property>
  <property fmtid="{D5CDD505-2E9C-101B-9397-08002B2CF9AE}" pid="4" name="KSOTemplateDocerSaveRecord">
    <vt:lpwstr>eyJoZGlkIjoiNmFiYWEwZWY0YjhkOTZjNmY1MTY3ZDU2MWZkYzc3NDAiLCJ1c2VySWQiOiIxNTkyNDk1NTU5In0=</vt:lpwstr>
  </property>
</Properties>
</file>