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5B795A">
      <w:pPr>
        <w:pStyle w:val="3"/>
        <w:jc w:val="center"/>
        <w:outlineLvl w:val="0"/>
        <w:rPr>
          <w:rFonts w:hint="eastAsia" w:hAnsi="宋体" w:cs="宋体"/>
          <w:b/>
          <w:sz w:val="36"/>
        </w:rPr>
      </w:pPr>
      <w:bookmarkStart w:id="0" w:name="OLE_LINK36"/>
      <w:r>
        <w:rPr>
          <w:rFonts w:hint="eastAsia" w:hAnsi="宋体" w:cs="宋体"/>
          <w:b/>
          <w:sz w:val="36"/>
        </w:rPr>
        <w:t>采购需求</w:t>
      </w:r>
    </w:p>
    <w:p w14:paraId="6B356B1B">
      <w:pPr>
        <w:adjustRightInd w:val="0"/>
        <w:spacing w:line="340" w:lineRule="exact"/>
        <w:rPr>
          <w:rFonts w:hint="eastAsia" w:ascii="宋体" w:hAnsi="宋体" w:eastAsia="宋体" w:cs="宋体"/>
          <w:b/>
          <w:szCs w:val="21"/>
        </w:rPr>
      </w:pPr>
      <w:r>
        <w:rPr>
          <w:rFonts w:hint="eastAsia" w:ascii="宋体" w:hAnsi="宋体" w:eastAsia="宋体" w:cs="宋体"/>
          <w:b/>
          <w:szCs w:val="21"/>
        </w:rPr>
        <w:t>说明：</w:t>
      </w:r>
    </w:p>
    <w:p w14:paraId="44D54A2F">
      <w:pPr>
        <w:spacing w:line="360" w:lineRule="auto"/>
        <w:ind w:firstLine="420" w:firstLineChars="200"/>
        <w:jc w:val="left"/>
        <w:rPr>
          <w:rFonts w:ascii="宋体" w:hAnsi="宋体" w:eastAsia="宋体" w:cs="宋体"/>
          <w:i/>
          <w:iCs/>
          <w:szCs w:val="21"/>
        </w:rPr>
      </w:pPr>
      <w:r>
        <w:rPr>
          <w:rFonts w:hint="eastAsia" w:ascii="宋体" w:hAnsi="宋体" w:eastAsia="宋体" w:cs="宋体"/>
        </w:rPr>
        <w:t>1. 为落实政府采购政策需满足的要求</w:t>
      </w:r>
    </w:p>
    <w:p w14:paraId="02CA7B91">
      <w:pPr>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（1）本招标文件所称中小企业必须符合《政府采购促进中小企业发展管理办法》（财库〔2020〕46号）的规定。</w:t>
      </w:r>
    </w:p>
    <w:p w14:paraId="02E7A98A">
      <w:pPr>
        <w:spacing w:line="360" w:lineRule="auto"/>
        <w:ind w:firstLine="424" w:firstLineChars="202"/>
        <w:jc w:val="left"/>
        <w:rPr>
          <w:rFonts w:hint="eastAsia" w:ascii="宋体" w:hAnsi="宋体" w:eastAsia="宋体" w:cs="宋体"/>
          <w:szCs w:val="21"/>
        </w:rPr>
      </w:pPr>
      <w:r>
        <w:rPr>
          <w:rFonts w:hint="eastAsia" w:ascii="宋体" w:hAnsi="宋体" w:eastAsia="宋体" w:cs="宋体"/>
          <w:szCs w:val="21"/>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附件1），</w:t>
      </w:r>
      <w:r>
        <w:rPr>
          <w:rFonts w:hint="eastAsia" w:ascii="宋体" w:hAnsi="宋体" w:eastAsia="宋体" w:cs="宋体"/>
          <w:b/>
          <w:bCs/>
          <w:szCs w:val="21"/>
        </w:rPr>
        <w:t>投标人的投标货物必须使用政府强制采购的节能产品，投标人必须在投标文件中提供所投标产品有效期内的节能产品认证证书复印件（加盖投标人公章），否则投标文件作无效处理</w:t>
      </w:r>
      <w:r>
        <w:rPr>
          <w:rFonts w:hint="eastAsia" w:ascii="宋体" w:hAnsi="宋体" w:eastAsia="宋体" w:cs="宋体"/>
          <w:szCs w:val="21"/>
        </w:rPr>
        <w:t>。如本项目包含的货物属于品目清单内非标注“★”的产品时，应优先采购，具体详见“第四章 评标方法和评标标准”。</w:t>
      </w:r>
    </w:p>
    <w:p w14:paraId="704BC109">
      <w:pPr>
        <w:spacing w:line="360" w:lineRule="auto"/>
        <w:ind w:firstLine="424" w:firstLineChars="202"/>
        <w:jc w:val="left"/>
        <w:rPr>
          <w:rFonts w:hint="eastAsia" w:ascii="宋体" w:hAnsi="宋体" w:eastAsia="宋体" w:cs="宋体"/>
          <w:szCs w:val="21"/>
        </w:rPr>
      </w:pPr>
      <w:r>
        <w:rPr>
          <w:rFonts w:hint="eastAsia" w:ascii="宋体" w:hAnsi="宋体" w:eastAsia="宋体" w:cs="宋体"/>
          <w:szCs w:val="21"/>
        </w:rPr>
        <w:t>2.采购需求中带“</w:t>
      </w:r>
      <w:bookmarkStart w:id="1" w:name="OLE_LINK21"/>
      <w:r>
        <w:rPr>
          <w:rFonts w:hint="eastAsia" w:ascii="宋体" w:hAnsi="宋体" w:eastAsia="宋体" w:cs="宋体"/>
          <w:szCs w:val="21"/>
        </w:rPr>
        <w:t>▲</w:t>
      </w:r>
      <w:bookmarkEnd w:id="1"/>
      <w:r>
        <w:rPr>
          <w:rFonts w:hint="eastAsia" w:ascii="宋体" w:hAnsi="宋体" w:eastAsia="宋体" w:cs="宋体"/>
          <w:szCs w:val="21"/>
        </w:rPr>
        <w:t>”的条款为实质性条款，不满足作无效</w:t>
      </w:r>
      <w:r>
        <w:rPr>
          <w:rFonts w:hint="eastAsia" w:ascii="宋体" w:hAnsi="宋体" w:eastAsia="宋体" w:cs="宋体"/>
          <w:szCs w:val="21"/>
          <w:lang w:val="en-US" w:eastAsia="zh-CN"/>
        </w:rPr>
        <w:t>投标</w:t>
      </w:r>
      <w:r>
        <w:rPr>
          <w:rFonts w:hint="eastAsia" w:ascii="宋体" w:hAnsi="宋体" w:eastAsia="宋体" w:cs="宋体"/>
          <w:szCs w:val="21"/>
        </w:rPr>
        <w:t>处理。</w:t>
      </w:r>
    </w:p>
    <w:p w14:paraId="0D38097C">
      <w:pPr>
        <w:spacing w:line="360" w:lineRule="auto"/>
        <w:ind w:firstLine="424" w:firstLineChars="202"/>
        <w:jc w:val="left"/>
        <w:rPr>
          <w:rFonts w:hint="eastAsia" w:ascii="宋体" w:hAnsi="宋体" w:eastAsia="宋体" w:cs="宋体"/>
          <w:szCs w:val="21"/>
        </w:rPr>
      </w:pPr>
      <w:r>
        <w:rPr>
          <w:rFonts w:hint="eastAsia" w:ascii="宋体" w:hAnsi="宋体" w:eastAsia="宋体" w:cs="宋体"/>
          <w:szCs w:val="21"/>
        </w:rPr>
        <w:t>3.采购需求中出现的品牌、型号或者制造商仅起参考作用，不属于指定品牌、型号或者制造商的情形。投标人可参照或者选用其他相当的品牌、型号或者制造商替代，但选用的投标产品技术参数及配置必须满足采购要求。</w:t>
      </w:r>
    </w:p>
    <w:p w14:paraId="396DF19F">
      <w:pPr>
        <w:spacing w:line="360" w:lineRule="auto"/>
        <w:ind w:firstLine="424" w:firstLineChars="202"/>
        <w:jc w:val="left"/>
        <w:rPr>
          <w:rFonts w:hint="eastAsia" w:ascii="宋体" w:hAnsi="宋体" w:eastAsia="宋体" w:cs="宋体"/>
        </w:rPr>
      </w:pPr>
      <w:r>
        <w:rPr>
          <w:rFonts w:hint="eastAsia" w:ascii="宋体" w:hAnsi="宋体" w:eastAsia="宋体" w:cs="宋体"/>
          <w:szCs w:val="21"/>
        </w:rPr>
        <w:t>4.投标人必须对投标文件中提供的证明材料和资质文件真实性负责，如出现虚假应标情况，投标人除了应接受有关部门的处罚外，还应依据《中华人民共和国民法典》的相关条款来进行赔偿。</w:t>
      </w:r>
    </w:p>
    <w:p w14:paraId="65488F80">
      <w:pPr>
        <w:tabs>
          <w:tab w:val="left" w:pos="180"/>
          <w:tab w:val="left" w:pos="1620"/>
        </w:tabs>
        <w:spacing w:line="460" w:lineRule="exact"/>
        <w:ind w:firstLine="420" w:firstLineChars="200"/>
        <w:jc w:val="left"/>
        <w:rPr>
          <w:rFonts w:hint="eastAsia" w:ascii="宋体" w:hAnsi="宋体" w:eastAsia="宋体" w:cs="宋体"/>
        </w:rPr>
      </w:pPr>
      <w:r>
        <w:rPr>
          <w:rFonts w:hint="eastAsia" w:ascii="宋体" w:hAnsi="宋体" w:eastAsia="宋体" w:cs="宋体"/>
        </w:rPr>
        <w:t>5.投标人应对投标内容所涉及的专利承担法律责任，并负责保护采购人的利益不受任何损害。一切由于文字、商标、技术和软件专利授权引起的法律裁决、诉讼和赔偿费用均由中标供应商负责。</w:t>
      </w:r>
    </w:p>
    <w:p w14:paraId="60AD9FE9">
      <w:pPr>
        <w:tabs>
          <w:tab w:val="left" w:pos="180"/>
          <w:tab w:val="left" w:pos="1620"/>
        </w:tabs>
        <w:spacing w:line="460" w:lineRule="exact"/>
        <w:ind w:firstLine="420" w:firstLineChars="200"/>
        <w:jc w:val="left"/>
        <w:rPr>
          <w:rFonts w:ascii="宋体" w:hAnsi="宋体" w:eastAsia="宋体" w:cs="宋体"/>
          <w:u w:val="single"/>
        </w:rPr>
      </w:pPr>
      <w:r>
        <w:rPr>
          <w:rFonts w:hint="eastAsia" w:ascii="宋体" w:hAnsi="宋体" w:eastAsia="宋体" w:cs="宋体"/>
        </w:rPr>
        <w:t>6.本项目所有采购标的对应的中小企业划分标准所属行业：</w:t>
      </w:r>
      <w:r>
        <w:rPr>
          <w:rFonts w:hint="eastAsia" w:ascii="宋体" w:hAnsi="宋体" w:eastAsia="宋体" w:cs="宋体"/>
          <w:u w:val="single"/>
        </w:rPr>
        <w:t>工业</w:t>
      </w:r>
    </w:p>
    <w:bookmarkEnd w:id="0"/>
    <w:tbl>
      <w:tblPr>
        <w:tblStyle w:val="4"/>
        <w:tblW w:w="96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6"/>
        <w:gridCol w:w="1090"/>
        <w:gridCol w:w="780"/>
        <w:gridCol w:w="7277"/>
      </w:tblGrid>
      <w:tr w14:paraId="58F06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23" w:type="dxa"/>
            <w:gridSpan w:val="4"/>
            <w:tcBorders>
              <w:top w:val="single" w:color="auto" w:sz="4" w:space="0"/>
              <w:left w:val="single" w:color="auto" w:sz="4" w:space="0"/>
              <w:right w:val="single" w:color="auto" w:sz="4" w:space="0"/>
            </w:tcBorders>
            <w:noWrap/>
            <w:vAlign w:val="center"/>
          </w:tcPr>
          <w:p w14:paraId="151D6574">
            <w:pPr>
              <w:snapToGrid w:val="0"/>
              <w:spacing w:line="360" w:lineRule="exact"/>
              <w:ind w:left="-107" w:leftChars="-51" w:right="-107" w:rightChars="-51"/>
              <w:jc w:val="center"/>
              <w:rPr>
                <w:rFonts w:hint="eastAsia" w:ascii="宋体" w:hAnsi="宋体" w:eastAsia="宋体" w:cs="宋体"/>
                <w:b/>
                <w:szCs w:val="21"/>
              </w:rPr>
            </w:pPr>
            <w:r>
              <w:rPr>
                <w:rFonts w:hint="eastAsia" w:ascii="宋体" w:hAnsi="宋体" w:eastAsia="宋体" w:cs="宋体"/>
                <w:b/>
                <w:szCs w:val="21"/>
              </w:rPr>
              <w:t>需求一览表（标项一）</w:t>
            </w:r>
          </w:p>
        </w:tc>
      </w:tr>
      <w:tr w14:paraId="25F28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top w:val="single" w:color="auto" w:sz="4" w:space="0"/>
              <w:left w:val="single" w:color="auto" w:sz="4" w:space="0"/>
              <w:right w:val="single" w:color="auto" w:sz="4" w:space="0"/>
            </w:tcBorders>
            <w:noWrap/>
            <w:vAlign w:val="center"/>
          </w:tcPr>
          <w:p w14:paraId="70236FAD">
            <w:pPr>
              <w:snapToGrid w:val="0"/>
              <w:spacing w:line="360" w:lineRule="exact"/>
              <w:jc w:val="center"/>
              <w:rPr>
                <w:rFonts w:ascii="宋体" w:hAnsi="宋体" w:eastAsia="宋体" w:cs="宋体"/>
                <w:b/>
                <w:szCs w:val="21"/>
              </w:rPr>
            </w:pPr>
            <w:r>
              <w:rPr>
                <w:rFonts w:hint="eastAsia" w:ascii="宋体" w:hAnsi="宋体" w:eastAsia="宋体" w:cs="宋体"/>
                <w:b/>
                <w:szCs w:val="21"/>
              </w:rPr>
              <w:t>序号</w:t>
            </w:r>
          </w:p>
        </w:tc>
        <w:tc>
          <w:tcPr>
            <w:tcW w:w="1090" w:type="dxa"/>
            <w:tcBorders>
              <w:top w:val="single" w:color="auto" w:sz="4" w:space="0"/>
              <w:left w:val="nil"/>
              <w:bottom w:val="single" w:color="auto" w:sz="4" w:space="0"/>
              <w:right w:val="single" w:color="auto" w:sz="4" w:space="0"/>
            </w:tcBorders>
            <w:noWrap/>
            <w:vAlign w:val="center"/>
          </w:tcPr>
          <w:p w14:paraId="6790A9F0">
            <w:pPr>
              <w:snapToGrid w:val="0"/>
              <w:spacing w:line="360" w:lineRule="exact"/>
              <w:jc w:val="center"/>
              <w:rPr>
                <w:rFonts w:ascii="宋体" w:hAnsi="宋体" w:eastAsia="宋体" w:cs="宋体"/>
                <w:b/>
                <w:szCs w:val="21"/>
              </w:rPr>
            </w:pPr>
            <w:r>
              <w:rPr>
                <w:rFonts w:hint="eastAsia" w:ascii="宋体" w:hAnsi="宋体" w:eastAsia="宋体" w:cs="宋体"/>
                <w:b/>
                <w:szCs w:val="21"/>
              </w:rPr>
              <w:t>标的名称</w:t>
            </w:r>
          </w:p>
        </w:tc>
        <w:tc>
          <w:tcPr>
            <w:tcW w:w="780" w:type="dxa"/>
            <w:tcBorders>
              <w:top w:val="single" w:color="auto" w:sz="4" w:space="0"/>
              <w:left w:val="nil"/>
              <w:bottom w:val="single" w:color="auto" w:sz="4" w:space="0"/>
              <w:right w:val="single" w:color="auto" w:sz="4" w:space="0"/>
            </w:tcBorders>
            <w:noWrap/>
            <w:vAlign w:val="center"/>
          </w:tcPr>
          <w:p w14:paraId="540F6BA0">
            <w:pPr>
              <w:snapToGrid w:val="0"/>
              <w:spacing w:line="360" w:lineRule="exact"/>
              <w:ind w:left="-107" w:leftChars="-51" w:right="-107" w:rightChars="-51"/>
              <w:jc w:val="center"/>
              <w:rPr>
                <w:rFonts w:ascii="宋体" w:hAnsi="宋体" w:eastAsia="宋体" w:cs="宋体"/>
                <w:b/>
                <w:szCs w:val="21"/>
              </w:rPr>
            </w:pPr>
            <w:r>
              <w:rPr>
                <w:rFonts w:hint="eastAsia" w:ascii="宋体" w:hAnsi="宋体" w:eastAsia="宋体" w:cs="宋体"/>
                <w:b/>
                <w:szCs w:val="21"/>
              </w:rPr>
              <w:t>数量及单位</w:t>
            </w:r>
          </w:p>
        </w:tc>
        <w:tc>
          <w:tcPr>
            <w:tcW w:w="7277" w:type="dxa"/>
            <w:tcBorders>
              <w:top w:val="single" w:color="auto" w:sz="4" w:space="0"/>
              <w:left w:val="nil"/>
              <w:bottom w:val="single" w:color="auto" w:sz="4" w:space="0"/>
              <w:right w:val="single" w:color="auto" w:sz="4" w:space="0"/>
            </w:tcBorders>
            <w:noWrap/>
            <w:vAlign w:val="center"/>
          </w:tcPr>
          <w:p w14:paraId="106C34B4">
            <w:pPr>
              <w:snapToGrid w:val="0"/>
              <w:spacing w:line="360" w:lineRule="exact"/>
              <w:ind w:left="-107" w:leftChars="-51" w:right="-107" w:rightChars="-51"/>
              <w:jc w:val="center"/>
              <w:rPr>
                <w:rFonts w:ascii="宋体" w:hAnsi="宋体" w:eastAsia="宋体" w:cs="宋体"/>
                <w:b/>
                <w:szCs w:val="21"/>
              </w:rPr>
            </w:pPr>
            <w:r>
              <w:rPr>
                <w:rFonts w:hint="eastAsia" w:ascii="宋体" w:hAnsi="宋体" w:eastAsia="宋体" w:cs="宋体"/>
                <w:b/>
                <w:szCs w:val="21"/>
              </w:rPr>
              <w:t>技术参数及配置</w:t>
            </w:r>
          </w:p>
        </w:tc>
      </w:tr>
      <w:tr w14:paraId="0FC7B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6D670579">
            <w:pPr>
              <w:spacing w:line="360" w:lineRule="auto"/>
              <w:jc w:val="center"/>
              <w:rPr>
                <w:rFonts w:ascii="Times New Roman" w:hAnsi="Times New Roman" w:eastAsia="宋体" w:cs="Times New Roman"/>
                <w:szCs w:val="21"/>
              </w:rPr>
            </w:pPr>
            <w:r>
              <w:rPr>
                <w:rFonts w:hint="eastAsia" w:ascii="宋体" w:hAnsi="宋体" w:eastAsia="宋体" w:cs="Times New Roman"/>
                <w:szCs w:val="21"/>
              </w:rPr>
              <w:t>1</w:t>
            </w:r>
          </w:p>
        </w:tc>
        <w:tc>
          <w:tcPr>
            <w:tcW w:w="1090" w:type="dxa"/>
            <w:tcBorders>
              <w:top w:val="single" w:color="auto" w:sz="4" w:space="0"/>
              <w:left w:val="nil"/>
              <w:bottom w:val="single" w:color="auto" w:sz="4" w:space="0"/>
              <w:right w:val="single" w:color="auto" w:sz="4" w:space="0"/>
            </w:tcBorders>
            <w:noWrap/>
            <w:vAlign w:val="center"/>
          </w:tcPr>
          <w:p w14:paraId="7F78F0C8">
            <w:pPr>
              <w:widowControl/>
              <w:jc w:val="center"/>
              <w:textAlignment w:val="center"/>
              <w:rPr>
                <w:rFonts w:ascii="Times New Roman" w:hAnsi="Times New Roman" w:eastAsia="宋体" w:cs="Times New Roman"/>
                <w:szCs w:val="21"/>
              </w:rPr>
            </w:pPr>
            <w:r>
              <w:rPr>
                <w:rFonts w:hint="eastAsia" w:ascii="宋体" w:hAnsi="宋体" w:eastAsia="宋体" w:cs="宋体"/>
                <w:color w:val="000000"/>
                <w:kern w:val="0"/>
                <w:sz w:val="22"/>
                <w:szCs w:val="22"/>
                <w:lang w:bidi="ar"/>
              </w:rPr>
              <w:t>气相色谱串联质谱联用仪</w:t>
            </w:r>
          </w:p>
        </w:tc>
        <w:tc>
          <w:tcPr>
            <w:tcW w:w="780" w:type="dxa"/>
            <w:tcBorders>
              <w:top w:val="single" w:color="auto" w:sz="4" w:space="0"/>
              <w:left w:val="nil"/>
              <w:bottom w:val="single" w:color="auto" w:sz="4" w:space="0"/>
              <w:right w:val="single" w:color="auto" w:sz="4" w:space="0"/>
            </w:tcBorders>
            <w:noWrap/>
            <w:vAlign w:val="center"/>
          </w:tcPr>
          <w:p w14:paraId="2274AD7A">
            <w:pPr>
              <w:widowControl/>
              <w:jc w:val="center"/>
              <w:textAlignment w:val="center"/>
              <w:rPr>
                <w:rFonts w:ascii="Times New Roman" w:hAnsi="Times New Roman" w:eastAsia="宋体" w:cs="Times New Roman"/>
                <w:szCs w:val="21"/>
              </w:rPr>
            </w:pPr>
            <w:r>
              <w:rPr>
                <w:rFonts w:hint="eastAsia" w:ascii="Times New Roman" w:hAnsi="Times New Roman" w:eastAsia="宋体" w:cs="Times New Roman"/>
                <w:szCs w:val="21"/>
              </w:rPr>
              <w:t>1台</w:t>
            </w:r>
          </w:p>
        </w:tc>
        <w:tc>
          <w:tcPr>
            <w:tcW w:w="7277" w:type="dxa"/>
            <w:tcBorders>
              <w:top w:val="single" w:color="auto" w:sz="4" w:space="0"/>
              <w:left w:val="nil"/>
              <w:bottom w:val="single" w:color="auto" w:sz="4" w:space="0"/>
              <w:right w:val="single" w:color="auto" w:sz="4" w:space="0"/>
            </w:tcBorders>
            <w:noWrap/>
            <w:vAlign w:val="center"/>
          </w:tcPr>
          <w:p w14:paraId="0BA771A4">
            <w:pPr>
              <w:widowControl/>
              <w:spacing w:line="360" w:lineRule="auto"/>
              <w:jc w:val="left"/>
              <w:textAlignment w:val="center"/>
              <w:rPr>
                <w:rFonts w:ascii="宋体" w:hAnsi="宋体" w:eastAsia="宋体" w:cs="宋体"/>
                <w:szCs w:val="21"/>
              </w:rPr>
            </w:pPr>
            <w:r>
              <w:rPr>
                <w:rFonts w:hint="eastAsia" w:ascii="宋体" w:hAnsi="宋体" w:eastAsia="宋体" w:cs="宋体"/>
                <w:color w:val="000000"/>
                <w:kern w:val="0"/>
                <w:sz w:val="22"/>
                <w:szCs w:val="22"/>
                <w:lang w:bidi="ar"/>
              </w:rPr>
              <w:t>一、工作条件：</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1.电源：220V，50Hz；</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2.操作环境温度：20 -35℃；</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3.操作环境湿度：25-50%。</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二、气相色谱系统功能要求：</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1.色谱性能：保留时间重现性&lt;0.008%或&lt;0.0008min，峰面积重现性&lt; 0.5% RSD；</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2.压力控制精度：0.001psi；</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3.支持4种色谱柱流量控制模块：恒定压力、梯度压力（三个梯度）、恒定流速或梯度流速（三个梯度）、计算色谱柱平均线速度；</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4.具有不小于7 英寸电容式触摸屏界面，可实时访问仪器状态、配置和流路信息，可通过触摸屏直接控制GC主机和自动进样器；在不启动色谱工作站的情况下，可从任意终端（包含平板电脑、笔记本电脑或手机）的浏览器直接远程访问控制仪器，编辑GC方法和序列；</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5.具有≥5个可读取色谱柱信息的接口，当使用带芯片的色谱柱时，可自动识别柱子长度、膜厚、内径等参数，记录色谱柱使用历史（如最高温度、进样次数等）；</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▲6.早期维护反馈：具有≥25种计数功能（可在仪器触摸屏上显示查看，验收时现场逐条演示），以用于跟踪各种进样口、检测器和自动进样器参数以及消耗品的使用情况。</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7.仪器可实时记录载气消耗量和耗电量，用户可通过触摸屏界面，随时查看该仪器在过往的任意日期的载气消耗量和耗电量（验收时现场演示）。</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三、柱温箱：</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1.适用温度范围：环境温度+4℃~450℃；</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2.温度设定精度：0.1℃；</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3.最大升温速率：≥120℃/min；</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4.最大运行时间：≥999.99min；</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5.程序升温：≥20阶21平台，可程序降温；</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6.从450℃降温到50℃，时间≤3.5min；</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7.温度波动：室温每波动1℃，柱温箱的温度波动&lt;0.01℃。</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四、惰性分流/不分流进样口：</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1.适用于内径50~530μm的毛细管色谱柱；</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▲2.最大分流比：≥12000:1（投标文件提供软件截图证明）；</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3.最高温度400℃；</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▲4.扳转式进样口密封系统：无需工具、无需拆卸螺丝，可在30秒内快速更换进样口衬管，方便使用和维护；</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五、自动进样系统：</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▲1.该系统由1套独立进样塔（≥16位）和1套独立样品盘系统（≥150位，含三维机械导轨及样品瓶抓手）组成；</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2.液体进样量范围：0.1-50μL；</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3.样品位数：≥166位；</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4.进样量线性：≥99%；</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5.进样速度：3种模式（高速/低速/自定义速度），吸取样品深度可调；</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6.可实现快速进样，进样速度0.1 sec；</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7.拆装方便：安装后系统自动识别、直接使用，无需重新安装驱动程序等步骤。</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六、三重四极杆质谱仪主机技术指标要求：</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1.质量数范围：10-1000 m/z；</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2.离子源：EI源，独立控温，最高温度可到350</w:t>
            </w:r>
            <w:r>
              <w:rPr>
                <w:rFonts w:ascii="Times New Roman" w:hAnsi="Times New Roman" w:eastAsia="宋体" w:cs="Times New Roman"/>
                <w:color w:val="000000"/>
                <w:kern w:val="0"/>
                <w:sz w:val="22"/>
                <w:szCs w:val="22"/>
                <w:lang w:bidi="ar"/>
              </w:rPr>
              <w:t>˚</w:t>
            </w:r>
            <w:r>
              <w:rPr>
                <w:rFonts w:hint="eastAsia" w:ascii="宋体" w:hAnsi="宋体" w:eastAsia="宋体" w:cs="宋体"/>
                <w:color w:val="000000"/>
                <w:kern w:val="0"/>
                <w:sz w:val="22"/>
                <w:szCs w:val="22"/>
                <w:lang w:bidi="ar"/>
              </w:rPr>
              <w:t>C；</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3.分辨率：0.4~4amu可调；</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▲4.最大灯丝电流：≥280μA（投标文件提供软件截图证明）；</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▲5.最大离子化能量：≥280eV（投标文件提供软件截图证明）；</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6.碰撞池以氮气为碰撞气，节省实验成本；</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7.仪器具有氦气消除功能，可有效消除载气氦气所带来的背景噪音干扰，氦气消除气体流量范围在0~5.0 ml/min可调；</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▲8.</w:t>
            </w:r>
            <w:r>
              <w:rPr>
                <w:rFonts w:ascii="Times New Roman" w:hAnsi="Times New Roman" w:eastAsia="宋体" w:cs="Times New Roman"/>
                <w:sz w:val="22"/>
                <w:szCs w:val="22"/>
              </w:rPr>
              <w:t>仪器抗污染能力：四极杆质量分析器能独立温控，可通过质谱软件设置四极杆温度，最高可达≥150℃或采用预四极杆加热模式，质谱须配备真空锁功能，降低仪器维护成本（投标文件提供软件截图证明）；</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9.扫描速率：最大800个MRM/秒，最小SRM扫描时间：0.5ms；</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▲10.仪器检测限指标（验收指标以30m×0.25 mm,0.25 µm色谱柱为标准）：</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IDL(MRM)：≤4.0fg，氦气做载气，10fg OFN 连续8次进样，m/z272→222处的MS/MS离子对所得峰面积精密度在99%置信水平下统计得出。</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11.扫描功能：全扫描模式、子离子扫描模式、母离子扫描模式、中性丢失扫描模式、选择离子扫描模式、多反应扫描模式、触发产物离子扫描；</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12.质谱工作站同时具有分段扫描功能和dMRM功能，可实现dMRM、SCAN及tMRM、SCAN同时扫描；</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13.数据处理系统：</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▲13.1软件：气质串接软件应该同时包含中文和英文两种软件，包含未知物解析、解卷积（非NIST带有的AMDIS）功能；</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13.2通用谱库：NIST最新版谱库和化学结构式库。</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七、配置要求：</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1.气相色谱仪主机，1套；</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2.惰性分流/不分流进样口，1个；</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3.质谱接口，1个；</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4.自动进样系统，1套；</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5.三重四极杆质谱仪主机，1套；</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6.用于MS/MS的碰撞池套件，1套；</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7.原装工作站软件，1套；</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8.工作站硬件，1套；</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9.NIST最新版谱库，1套；</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10.气相色谱起始工具包，1套；</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11.常用消耗品包，1套</w:t>
            </w:r>
          </w:p>
        </w:tc>
      </w:tr>
      <w:tr w14:paraId="6FA24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6B92BB47">
            <w:pPr>
              <w:spacing w:line="360" w:lineRule="auto"/>
              <w:jc w:val="center"/>
              <w:rPr>
                <w:rFonts w:hint="eastAsia" w:ascii="宋体" w:hAnsi="宋体" w:eastAsia="宋体" w:cs="Times New Roman"/>
                <w:szCs w:val="21"/>
              </w:rPr>
            </w:pPr>
            <w:r>
              <w:rPr>
                <w:rFonts w:hint="eastAsia" w:ascii="宋体" w:hAnsi="宋体" w:eastAsia="宋体" w:cs="Times New Roman"/>
                <w:szCs w:val="21"/>
              </w:rPr>
              <w:t>2</w:t>
            </w:r>
          </w:p>
        </w:tc>
        <w:tc>
          <w:tcPr>
            <w:tcW w:w="1090" w:type="dxa"/>
            <w:tcBorders>
              <w:top w:val="single" w:color="auto" w:sz="4" w:space="0"/>
              <w:left w:val="nil"/>
              <w:bottom w:val="single" w:color="auto" w:sz="4" w:space="0"/>
              <w:right w:val="single" w:color="auto" w:sz="4" w:space="0"/>
            </w:tcBorders>
            <w:noWrap/>
            <w:vAlign w:val="center"/>
          </w:tcPr>
          <w:p w14:paraId="7FD26893">
            <w:pPr>
              <w:widowControl/>
              <w:jc w:val="center"/>
              <w:textAlignment w:val="center"/>
              <w:rPr>
                <w:rFonts w:ascii="Times New Roman" w:hAnsi="Times New Roman" w:eastAsia="宋体" w:cs="Times New Roman"/>
                <w:szCs w:val="21"/>
              </w:rPr>
            </w:pPr>
            <w:r>
              <w:rPr>
                <w:rFonts w:hint="eastAsia" w:ascii="宋体" w:hAnsi="宋体" w:eastAsia="宋体" w:cs="宋体"/>
                <w:color w:val="000000"/>
                <w:kern w:val="0"/>
                <w:sz w:val="22"/>
                <w:szCs w:val="22"/>
                <w:lang w:bidi="ar"/>
              </w:rPr>
              <w:t>离子色谱仪</w:t>
            </w:r>
          </w:p>
        </w:tc>
        <w:tc>
          <w:tcPr>
            <w:tcW w:w="780" w:type="dxa"/>
            <w:tcBorders>
              <w:top w:val="single" w:color="auto" w:sz="4" w:space="0"/>
              <w:left w:val="nil"/>
              <w:bottom w:val="single" w:color="auto" w:sz="4" w:space="0"/>
              <w:right w:val="single" w:color="auto" w:sz="4" w:space="0"/>
            </w:tcBorders>
            <w:noWrap/>
            <w:vAlign w:val="center"/>
          </w:tcPr>
          <w:p w14:paraId="33F9FDF5">
            <w:pPr>
              <w:widowControl/>
              <w:jc w:val="center"/>
              <w:textAlignment w:val="center"/>
              <w:rPr>
                <w:rFonts w:ascii="Times New Roman" w:hAnsi="Times New Roman" w:eastAsia="宋体" w:cs="Times New Roman"/>
                <w:szCs w:val="21"/>
              </w:rPr>
            </w:pPr>
            <w:r>
              <w:rPr>
                <w:rFonts w:hint="eastAsia" w:ascii="Times New Roman" w:hAnsi="Times New Roman" w:eastAsia="宋体" w:cs="Times New Roman"/>
                <w:szCs w:val="21"/>
              </w:rPr>
              <w:t>1台</w:t>
            </w:r>
          </w:p>
        </w:tc>
        <w:tc>
          <w:tcPr>
            <w:tcW w:w="7277" w:type="dxa"/>
            <w:tcBorders>
              <w:top w:val="single" w:color="auto" w:sz="4" w:space="0"/>
              <w:left w:val="nil"/>
              <w:bottom w:val="single" w:color="auto" w:sz="4" w:space="0"/>
              <w:right w:val="single" w:color="auto" w:sz="4" w:space="0"/>
            </w:tcBorders>
            <w:noWrap/>
            <w:vAlign w:val="center"/>
          </w:tcPr>
          <w:p w14:paraId="4F42F9E9">
            <w:pPr>
              <w:widowControl/>
              <w:spacing w:line="360" w:lineRule="auto"/>
              <w:jc w:val="left"/>
              <w:rPr>
                <w:rFonts w:hint="eastAsia" w:ascii="Times New Roman" w:hAnsi="Times New Roman" w:eastAsia="宋体" w:cs="宋体"/>
                <w:szCs w:val="21"/>
                <w:lang w:bidi="ar"/>
              </w:rPr>
            </w:pPr>
            <w:r>
              <w:rPr>
                <w:rFonts w:hint="eastAsia" w:ascii="宋体" w:hAnsi="宋体" w:eastAsia="宋体" w:cs="宋体"/>
                <w:color w:val="000000"/>
                <w:kern w:val="0"/>
                <w:sz w:val="22"/>
                <w:szCs w:val="22"/>
                <w:lang w:bidi="ar"/>
              </w:rPr>
              <w:t>一、概述</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主要用于测定食品和环境中的阴、阳离子,主要包括F</w:t>
            </w:r>
            <w:r>
              <w:rPr>
                <w:rFonts w:hint="eastAsia" w:ascii="宋体" w:hAnsi="宋体" w:eastAsia="宋体" w:cs="宋体"/>
                <w:color w:val="000000"/>
                <w:kern w:val="0"/>
                <w:sz w:val="22"/>
                <w:szCs w:val="22"/>
                <w:vertAlign w:val="superscript"/>
                <w:lang w:bidi="ar"/>
              </w:rPr>
              <w:t>-</w:t>
            </w:r>
            <w:r>
              <w:rPr>
                <w:rFonts w:hint="eastAsia" w:ascii="宋体" w:hAnsi="宋体" w:eastAsia="宋体" w:cs="宋体"/>
                <w:color w:val="000000"/>
                <w:kern w:val="0"/>
                <w:sz w:val="22"/>
                <w:szCs w:val="22"/>
                <w:lang w:bidi="ar"/>
              </w:rPr>
              <w:t>,Cl</w:t>
            </w:r>
            <w:r>
              <w:rPr>
                <w:rFonts w:hint="eastAsia" w:ascii="宋体" w:hAnsi="宋体" w:eastAsia="宋体" w:cs="宋体"/>
                <w:color w:val="000000"/>
                <w:kern w:val="0"/>
                <w:sz w:val="22"/>
                <w:szCs w:val="22"/>
                <w:vertAlign w:val="superscript"/>
                <w:lang w:bidi="ar"/>
              </w:rPr>
              <w:t>-</w:t>
            </w:r>
            <w:r>
              <w:rPr>
                <w:rFonts w:hint="eastAsia" w:ascii="宋体" w:hAnsi="宋体" w:eastAsia="宋体" w:cs="宋体"/>
                <w:color w:val="000000"/>
                <w:kern w:val="0"/>
                <w:sz w:val="22"/>
                <w:szCs w:val="22"/>
                <w:lang w:bidi="ar"/>
              </w:rPr>
              <w:t>,Br</w:t>
            </w:r>
            <w:r>
              <w:rPr>
                <w:rFonts w:hint="eastAsia" w:ascii="宋体" w:hAnsi="宋体" w:eastAsia="宋体" w:cs="宋体"/>
                <w:color w:val="000000"/>
                <w:kern w:val="0"/>
                <w:sz w:val="22"/>
                <w:szCs w:val="22"/>
                <w:vertAlign w:val="superscript"/>
                <w:lang w:bidi="ar"/>
              </w:rPr>
              <w:t>-</w:t>
            </w:r>
            <w:r>
              <w:rPr>
                <w:rFonts w:hint="eastAsia" w:ascii="宋体" w:hAnsi="宋体" w:eastAsia="宋体" w:cs="宋体"/>
                <w:color w:val="000000"/>
                <w:kern w:val="0"/>
                <w:sz w:val="22"/>
                <w:szCs w:val="22"/>
                <w:lang w:bidi="ar"/>
              </w:rPr>
              <w:t>,I</w:t>
            </w:r>
            <w:r>
              <w:rPr>
                <w:rFonts w:hint="eastAsia" w:ascii="宋体" w:hAnsi="宋体" w:eastAsia="宋体" w:cs="宋体"/>
                <w:color w:val="000000"/>
                <w:kern w:val="0"/>
                <w:sz w:val="22"/>
                <w:szCs w:val="22"/>
                <w:vertAlign w:val="superscript"/>
                <w:lang w:bidi="ar"/>
              </w:rPr>
              <w:t>-</w:t>
            </w:r>
            <w:r>
              <w:rPr>
                <w:rFonts w:hint="eastAsia" w:ascii="宋体" w:hAnsi="宋体" w:eastAsia="宋体" w:cs="宋体"/>
                <w:color w:val="000000"/>
                <w:kern w:val="0"/>
                <w:sz w:val="22"/>
                <w:szCs w:val="22"/>
                <w:lang w:bidi="ar"/>
              </w:rPr>
              <w:t>，NO</w:t>
            </w:r>
            <w:r>
              <w:rPr>
                <w:rFonts w:hint="eastAsia" w:ascii="宋体" w:hAnsi="宋体" w:eastAsia="宋体" w:cs="宋体"/>
                <w:color w:val="000000"/>
                <w:kern w:val="0"/>
                <w:sz w:val="22"/>
                <w:szCs w:val="22"/>
                <w:vertAlign w:val="subscript"/>
                <w:lang w:bidi="ar"/>
              </w:rPr>
              <w:t>2</w:t>
            </w:r>
            <w:r>
              <w:rPr>
                <w:rFonts w:hint="eastAsia" w:ascii="宋体" w:hAnsi="宋体" w:eastAsia="宋体" w:cs="宋体"/>
                <w:color w:val="000000"/>
                <w:kern w:val="0"/>
                <w:sz w:val="22"/>
                <w:szCs w:val="22"/>
                <w:vertAlign w:val="superscript"/>
                <w:lang w:bidi="ar"/>
              </w:rPr>
              <w:t>-</w:t>
            </w:r>
            <w:r>
              <w:rPr>
                <w:rFonts w:hint="eastAsia" w:ascii="宋体" w:hAnsi="宋体" w:eastAsia="宋体" w:cs="宋体"/>
                <w:color w:val="000000"/>
                <w:kern w:val="0"/>
                <w:sz w:val="22"/>
                <w:szCs w:val="22"/>
                <w:lang w:bidi="ar"/>
              </w:rPr>
              <w:t>, NO</w:t>
            </w:r>
            <w:r>
              <w:rPr>
                <w:rFonts w:hint="eastAsia" w:ascii="宋体" w:hAnsi="宋体" w:eastAsia="宋体" w:cs="宋体"/>
                <w:color w:val="000000"/>
                <w:kern w:val="0"/>
                <w:sz w:val="22"/>
                <w:szCs w:val="22"/>
                <w:vertAlign w:val="subscript"/>
                <w:lang w:bidi="ar"/>
              </w:rPr>
              <w:t>3</w:t>
            </w:r>
            <w:r>
              <w:rPr>
                <w:rFonts w:hint="eastAsia" w:ascii="宋体" w:hAnsi="宋体" w:eastAsia="宋体" w:cs="宋体"/>
                <w:color w:val="000000"/>
                <w:kern w:val="0"/>
                <w:sz w:val="22"/>
                <w:szCs w:val="22"/>
                <w:vertAlign w:val="superscript"/>
                <w:lang w:bidi="ar"/>
              </w:rPr>
              <w:t>-</w:t>
            </w:r>
            <w:r>
              <w:rPr>
                <w:rFonts w:hint="eastAsia" w:ascii="宋体" w:hAnsi="宋体" w:eastAsia="宋体" w:cs="宋体"/>
                <w:color w:val="000000"/>
                <w:kern w:val="0"/>
                <w:sz w:val="22"/>
                <w:szCs w:val="22"/>
                <w:lang w:bidi="ar"/>
              </w:rPr>
              <w:t>, SO</w:t>
            </w:r>
            <w:r>
              <w:rPr>
                <w:rFonts w:hint="eastAsia" w:ascii="宋体" w:hAnsi="宋体" w:eastAsia="宋体" w:cs="宋体"/>
                <w:color w:val="000000"/>
                <w:kern w:val="0"/>
                <w:sz w:val="22"/>
                <w:szCs w:val="22"/>
                <w:vertAlign w:val="subscript"/>
                <w:lang w:bidi="ar"/>
              </w:rPr>
              <w:t>4</w:t>
            </w:r>
            <w:r>
              <w:rPr>
                <w:rFonts w:hint="eastAsia" w:ascii="宋体" w:hAnsi="宋体" w:eastAsia="宋体" w:cs="宋体"/>
                <w:color w:val="000000"/>
                <w:kern w:val="0"/>
                <w:sz w:val="22"/>
                <w:szCs w:val="22"/>
                <w:vertAlign w:val="superscript"/>
                <w:lang w:bidi="ar"/>
              </w:rPr>
              <w:t>2-</w:t>
            </w:r>
            <w:r>
              <w:rPr>
                <w:rFonts w:hint="eastAsia" w:ascii="宋体" w:hAnsi="宋体" w:eastAsia="宋体" w:cs="宋体"/>
                <w:color w:val="000000"/>
                <w:kern w:val="0"/>
                <w:sz w:val="22"/>
                <w:szCs w:val="22"/>
                <w:lang w:bidi="ar"/>
              </w:rPr>
              <w:t>, SO</w:t>
            </w:r>
            <w:r>
              <w:rPr>
                <w:rFonts w:hint="eastAsia" w:ascii="宋体" w:hAnsi="宋体" w:eastAsia="宋体" w:cs="宋体"/>
                <w:color w:val="000000"/>
                <w:kern w:val="0"/>
                <w:sz w:val="22"/>
                <w:szCs w:val="22"/>
                <w:vertAlign w:val="subscript"/>
                <w:lang w:bidi="ar"/>
              </w:rPr>
              <w:t>3</w:t>
            </w:r>
            <w:r>
              <w:rPr>
                <w:rFonts w:hint="eastAsia" w:ascii="宋体" w:hAnsi="宋体" w:eastAsia="宋体" w:cs="宋体"/>
                <w:color w:val="000000"/>
                <w:kern w:val="0"/>
                <w:sz w:val="22"/>
                <w:szCs w:val="22"/>
                <w:vertAlign w:val="superscript"/>
                <w:lang w:bidi="ar"/>
              </w:rPr>
              <w:t>2-</w:t>
            </w:r>
            <w:r>
              <w:rPr>
                <w:rFonts w:hint="eastAsia" w:ascii="宋体" w:hAnsi="宋体" w:eastAsia="宋体" w:cs="宋体"/>
                <w:color w:val="000000"/>
                <w:kern w:val="0"/>
                <w:sz w:val="22"/>
                <w:szCs w:val="22"/>
                <w:lang w:bidi="ar"/>
              </w:rPr>
              <w:t>,PO</w:t>
            </w:r>
            <w:r>
              <w:rPr>
                <w:rFonts w:hint="eastAsia" w:ascii="宋体" w:hAnsi="宋体" w:eastAsia="宋体" w:cs="宋体"/>
                <w:color w:val="000000"/>
                <w:kern w:val="0"/>
                <w:sz w:val="22"/>
                <w:szCs w:val="22"/>
                <w:vertAlign w:val="subscript"/>
                <w:lang w:bidi="ar"/>
              </w:rPr>
              <w:t>4</w:t>
            </w:r>
            <w:r>
              <w:rPr>
                <w:rFonts w:hint="eastAsia" w:ascii="宋体" w:hAnsi="宋体" w:eastAsia="宋体" w:cs="宋体"/>
                <w:color w:val="000000"/>
                <w:kern w:val="0"/>
                <w:sz w:val="22"/>
                <w:szCs w:val="22"/>
                <w:vertAlign w:val="superscript"/>
                <w:lang w:bidi="ar"/>
              </w:rPr>
              <w:t>3-</w:t>
            </w:r>
            <w:r>
              <w:rPr>
                <w:rFonts w:hint="eastAsia" w:ascii="宋体" w:hAnsi="宋体" w:eastAsia="宋体" w:cs="宋体"/>
                <w:color w:val="000000"/>
                <w:kern w:val="0"/>
                <w:sz w:val="22"/>
                <w:szCs w:val="22"/>
                <w:lang w:bidi="ar"/>
              </w:rPr>
              <w:t>, BrO</w:t>
            </w:r>
            <w:r>
              <w:rPr>
                <w:rFonts w:hint="eastAsia" w:ascii="宋体" w:hAnsi="宋体" w:eastAsia="宋体" w:cs="宋体"/>
                <w:color w:val="000000"/>
                <w:kern w:val="0"/>
                <w:sz w:val="22"/>
                <w:szCs w:val="22"/>
                <w:vertAlign w:val="subscript"/>
                <w:lang w:bidi="ar"/>
              </w:rPr>
              <w:t>3</w:t>
            </w:r>
            <w:r>
              <w:rPr>
                <w:rFonts w:hint="eastAsia" w:ascii="宋体" w:hAnsi="宋体" w:eastAsia="宋体" w:cs="宋体"/>
                <w:color w:val="000000"/>
                <w:kern w:val="0"/>
                <w:sz w:val="22"/>
                <w:szCs w:val="22"/>
                <w:vertAlign w:val="superscript"/>
                <w:lang w:bidi="ar"/>
              </w:rPr>
              <w:t>-</w:t>
            </w:r>
            <w:r>
              <w:rPr>
                <w:rFonts w:hint="eastAsia" w:ascii="宋体" w:hAnsi="宋体" w:eastAsia="宋体" w:cs="宋体"/>
                <w:color w:val="000000"/>
                <w:kern w:val="0"/>
                <w:sz w:val="22"/>
                <w:szCs w:val="22"/>
                <w:lang w:bidi="ar"/>
              </w:rPr>
              <w:t>，多聚磷酸盐，果聚糖，氟乙酸、丙酮酸、柠檬酸、酒石酸及其他有机酸阴离子和自来水消毒副产物和糖、氨基酸等；阳离子主要包括K</w:t>
            </w:r>
            <w:r>
              <w:rPr>
                <w:rFonts w:hint="eastAsia" w:ascii="宋体" w:hAnsi="宋体" w:eastAsia="宋体" w:cs="宋体"/>
                <w:color w:val="000000"/>
                <w:kern w:val="0"/>
                <w:sz w:val="22"/>
                <w:szCs w:val="22"/>
                <w:vertAlign w:val="superscript"/>
                <w:lang w:bidi="ar"/>
              </w:rPr>
              <w:t>+</w:t>
            </w:r>
            <w:r>
              <w:rPr>
                <w:rFonts w:hint="eastAsia" w:ascii="宋体" w:hAnsi="宋体" w:eastAsia="宋体" w:cs="宋体"/>
                <w:color w:val="000000"/>
                <w:kern w:val="0"/>
                <w:sz w:val="22"/>
                <w:szCs w:val="22"/>
                <w:lang w:bidi="ar"/>
              </w:rPr>
              <w:t>、Na</w:t>
            </w:r>
            <w:r>
              <w:rPr>
                <w:rFonts w:hint="eastAsia" w:ascii="宋体" w:hAnsi="宋体" w:eastAsia="宋体" w:cs="宋体"/>
                <w:color w:val="000000"/>
                <w:kern w:val="0"/>
                <w:sz w:val="22"/>
                <w:szCs w:val="22"/>
                <w:vertAlign w:val="superscript"/>
                <w:lang w:bidi="ar"/>
              </w:rPr>
              <w:t>+</w:t>
            </w:r>
            <w:r>
              <w:rPr>
                <w:rFonts w:hint="eastAsia" w:ascii="宋体" w:hAnsi="宋体" w:eastAsia="宋体" w:cs="宋体"/>
                <w:color w:val="000000"/>
                <w:kern w:val="0"/>
                <w:sz w:val="22"/>
                <w:szCs w:val="22"/>
                <w:lang w:bidi="ar"/>
              </w:rPr>
              <w:t>、Ca</w:t>
            </w:r>
            <w:r>
              <w:rPr>
                <w:rFonts w:hint="eastAsia" w:ascii="宋体" w:hAnsi="宋体" w:eastAsia="宋体" w:cs="宋体"/>
                <w:color w:val="000000"/>
                <w:kern w:val="0"/>
                <w:sz w:val="22"/>
                <w:szCs w:val="22"/>
                <w:vertAlign w:val="superscript"/>
                <w:lang w:bidi="ar"/>
              </w:rPr>
              <w:t>2+</w:t>
            </w:r>
            <w:r>
              <w:rPr>
                <w:rFonts w:hint="eastAsia" w:ascii="宋体" w:hAnsi="宋体" w:eastAsia="宋体" w:cs="宋体"/>
                <w:color w:val="000000"/>
                <w:kern w:val="0"/>
                <w:sz w:val="22"/>
                <w:szCs w:val="22"/>
                <w:lang w:bidi="ar"/>
              </w:rPr>
              <w:t>、Mg</w:t>
            </w:r>
            <w:r>
              <w:rPr>
                <w:rFonts w:hint="eastAsia" w:ascii="宋体" w:hAnsi="宋体" w:eastAsia="宋体" w:cs="宋体"/>
                <w:color w:val="000000"/>
                <w:kern w:val="0"/>
                <w:sz w:val="22"/>
                <w:szCs w:val="22"/>
                <w:vertAlign w:val="superscript"/>
                <w:lang w:bidi="ar"/>
              </w:rPr>
              <w:t>2+</w:t>
            </w:r>
            <w:r>
              <w:rPr>
                <w:rFonts w:hint="eastAsia" w:ascii="宋体" w:hAnsi="宋体" w:eastAsia="宋体" w:cs="宋体"/>
                <w:color w:val="000000"/>
                <w:kern w:val="0"/>
                <w:sz w:val="22"/>
                <w:szCs w:val="22"/>
                <w:lang w:bidi="ar"/>
              </w:rPr>
              <w:t>、NH</w:t>
            </w:r>
            <w:r>
              <w:rPr>
                <w:rFonts w:hint="eastAsia" w:ascii="宋体" w:hAnsi="宋体" w:eastAsia="宋体" w:cs="宋体"/>
                <w:color w:val="000000"/>
                <w:kern w:val="0"/>
                <w:sz w:val="22"/>
                <w:szCs w:val="22"/>
                <w:vertAlign w:val="superscript"/>
                <w:lang w:bidi="ar"/>
              </w:rPr>
              <w:t>4+</w:t>
            </w:r>
            <w:r>
              <w:rPr>
                <w:rFonts w:hint="eastAsia" w:ascii="宋体" w:hAnsi="宋体" w:eastAsia="宋体" w:cs="宋体"/>
                <w:color w:val="000000"/>
                <w:kern w:val="0"/>
                <w:sz w:val="22"/>
                <w:szCs w:val="22"/>
                <w:lang w:bidi="ar"/>
              </w:rPr>
              <w:t>和脂肪胺阳离子等。该仪器可提供的分析容量范围为从μg/L到mg/L。</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具备样品前处理功能，可升级自动过滤，逻辑稀释功能等。可直接连接紫外检测器、安培检测器、电导检测器等。</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二、技术规格</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1、泵系统：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1.1.类型：串联四冲程双柱塞泵，PEEK材料；</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▲1.2.泵流速范围：0-12.000 mL/min，步进0.001ml/min；</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1.3.流量精密度：≤0.1%，流速稳定性误差：&lt;0.1%，压力脉冲：小于系统压力的1.0%；</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1.4.压力范围：0-35 MPa</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2、梯度系统</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2.1.同时具有组分梯度淋洗功能和浓度梯度淋洗功能，最多可实现四元梯度淋洗。</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2.2.无需更换硬件可以实现氢氧根体系、碳酸根体系以及硝酸体系等多种淋洗液体系的梯度淋洗；</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3、原厂淋洗液发生器</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▲3.1多种氢氧根浓缩液自由选择。可使用LiOH、NaOH或KOH浓缩溶液，</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3.2内置在线阴离子捕获单元，祛除包括二氧化碳在内的杂质阴离子，</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3.3内置高压脱气单元，可祛除淋洗液生产过程中电解产生的氢气。</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4、智能电导-脉冲安培检测器</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4.1.电导检测器</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4.1.1.量程范围：0-15000 µS/cm，连续无区段切换；</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4.1.2.线性：＜0.1%；</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4.1.3.温度稳定性: ＜0.001℃；</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▲4.1.4.噪音</w:t>
            </w:r>
            <w:r>
              <w:rPr>
                <w:rFonts w:hint="eastAsia" w:ascii="宋体" w:hAnsi="宋体" w:eastAsia="宋体" w:cs="宋体"/>
                <w:kern w:val="0"/>
                <w:sz w:val="22"/>
                <w:szCs w:val="22"/>
                <w:lang w:bidi="ar"/>
              </w:rPr>
              <w:t>：</w:t>
            </w:r>
            <w:r>
              <w:rPr>
                <w:rFonts w:hint="eastAsia" w:ascii="Times New Roman" w:hAnsi="Times New Roman" w:eastAsia="宋体" w:cs="Times New Roman"/>
              </w:rPr>
              <w:t>≤0.1n</w:t>
            </w:r>
            <w:r>
              <w:rPr>
                <w:rFonts w:hint="eastAsia" w:ascii="Times New Roman" w:hAnsi="Times New Roman" w:eastAsia="宋体" w:cs="Times New Roman"/>
                <w:lang w:val="en-US" w:eastAsia="zh-CN"/>
              </w:rPr>
              <w:t>S</w:t>
            </w:r>
            <w:r>
              <w:rPr>
                <w:rFonts w:hint="eastAsia" w:ascii="Times New Roman" w:hAnsi="Times New Roman" w:eastAsia="宋体" w:cs="Times New Roman"/>
              </w:rPr>
              <w:t>/cm</w:t>
            </w:r>
            <w:r>
              <w:rPr>
                <w:rFonts w:hint="eastAsia" w:ascii="宋体" w:hAnsi="宋体" w:eastAsia="宋体" w:cs="宋体"/>
                <w:color w:val="000000"/>
                <w:kern w:val="0"/>
                <w:sz w:val="22"/>
                <w:szCs w:val="22"/>
                <w:lang w:bidi="ar"/>
              </w:rPr>
              <w:t>；</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4.2.脉冲安培检测器</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4.2.1. 检测模式：至少包含直流（DC）、脉冲安培（PAD）、积分脉冲安培（flexIPAD）三种检测模式；</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4.2.2.电位范围：-4.0 V ~ +4.0V，0.001V步幅</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4.2.3.数字信号范围：</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直流（DC）— 0.01pA ~ 1.0mA</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脉冲安培（PAD）—  0.1pA ~1.0mA</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积分脉冲安培（flexIPAD）—1.0pC ~ 200μC</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▲4.2.4.电子噪声：</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脉冲安培（PAD）＜10pA，积分脉冲安培（flexIPAD）＜30pC；</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4.2.5.检测池体积：＜ 0.3μL</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4.2.6.工作电极：</w:t>
            </w:r>
            <w:r>
              <w:rPr>
                <w:rFonts w:hint="eastAsia" w:ascii="宋体" w:hAnsi="宋体" w:eastAsia="宋体" w:cs="宋体"/>
                <w:color w:val="000000"/>
                <w:kern w:val="0"/>
                <w:sz w:val="22"/>
                <w:szCs w:val="22"/>
                <w:lang w:val="en-US" w:eastAsia="zh-CN" w:bidi="ar"/>
              </w:rPr>
              <w:t>银</w:t>
            </w:r>
            <w:r>
              <w:rPr>
                <w:rFonts w:hint="eastAsia" w:ascii="宋体" w:hAnsi="宋体" w:eastAsia="宋体" w:cs="宋体"/>
                <w:color w:val="000000"/>
                <w:kern w:val="0"/>
                <w:sz w:val="22"/>
                <w:szCs w:val="22"/>
                <w:lang w:bidi="ar"/>
              </w:rPr>
              <w:t>工作电极</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4.2.7.参比电极：钯参比电极</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4.2.8.辅助电极：不锈钢辅助电极等</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5、抑制器系统</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▲5.1.连续自动再生,不使用容易被有机溶剂和重金属腐蚀的电解膜抑制器，从而使维护更方便；</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5.2.耐0-80%有机溶剂和强酸强碱,无需长期保持湿润；在进行有机酸或特殊基体分析时，系统性能不应因溶剂浓度提高而下降。（验收时需0.5ml/min80%乙腈进行连续运转1h测试后，观察抑制器是否漏液，如果不漏液，还可以正常工作，视为验收合格）；</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5.3.无干裂破损、重金属中毒，有机溶剂腐蚀和过高压力破裂的危险；</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5.4.内置压力过载保护装置，遇过高压力会自动切断流路，并报警；</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▲5.5.抑制器是核心部件保用期限至少为8年（或提供八个原厂抑制器备用），保用期内只要无法正常使用，由厂家负责更换，投标报价应当包含由此产生的相关费用。</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6、分离柱系统</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6.1.原厂高容量阴、阳离子色谱柱及相应保护柱。可测定BrO</w:t>
            </w:r>
            <w:r>
              <w:rPr>
                <w:rFonts w:hint="eastAsia" w:ascii="宋体" w:hAnsi="宋体" w:eastAsia="宋体" w:cs="宋体"/>
                <w:color w:val="000000"/>
                <w:kern w:val="0"/>
                <w:sz w:val="22"/>
                <w:szCs w:val="22"/>
                <w:vertAlign w:val="subscript"/>
                <w:lang w:bidi="ar"/>
              </w:rPr>
              <w:t>3</w:t>
            </w:r>
            <w:r>
              <w:rPr>
                <w:rFonts w:hint="eastAsia" w:ascii="宋体" w:hAnsi="宋体" w:eastAsia="宋体" w:cs="宋体"/>
                <w:color w:val="000000"/>
                <w:kern w:val="0"/>
                <w:sz w:val="22"/>
                <w:szCs w:val="22"/>
                <w:vertAlign w:val="superscript"/>
                <w:lang w:bidi="ar"/>
              </w:rPr>
              <w:t>-</w:t>
            </w:r>
            <w:r>
              <w:rPr>
                <w:rFonts w:hint="eastAsia" w:ascii="宋体" w:hAnsi="宋体" w:eastAsia="宋体" w:cs="宋体"/>
                <w:color w:val="000000"/>
                <w:kern w:val="0"/>
                <w:sz w:val="22"/>
                <w:szCs w:val="22"/>
                <w:lang w:bidi="ar"/>
              </w:rPr>
              <w:t>、F</w:t>
            </w:r>
            <w:r>
              <w:rPr>
                <w:rFonts w:hint="eastAsia" w:ascii="宋体" w:hAnsi="宋体" w:eastAsia="宋体" w:cs="宋体"/>
                <w:color w:val="000000"/>
                <w:kern w:val="0"/>
                <w:sz w:val="22"/>
                <w:szCs w:val="22"/>
                <w:vertAlign w:val="superscript"/>
                <w:lang w:bidi="ar"/>
              </w:rPr>
              <w:t>-</w:t>
            </w:r>
            <w:r>
              <w:rPr>
                <w:rFonts w:hint="eastAsia" w:ascii="宋体" w:hAnsi="宋体" w:eastAsia="宋体" w:cs="宋体"/>
                <w:color w:val="000000"/>
                <w:kern w:val="0"/>
                <w:sz w:val="22"/>
                <w:szCs w:val="22"/>
                <w:lang w:bidi="ar"/>
              </w:rPr>
              <w:t>、Cl</w:t>
            </w:r>
            <w:r>
              <w:rPr>
                <w:rFonts w:hint="eastAsia" w:ascii="宋体" w:hAnsi="宋体" w:eastAsia="宋体" w:cs="宋体"/>
                <w:color w:val="000000"/>
                <w:kern w:val="0"/>
                <w:sz w:val="22"/>
                <w:szCs w:val="22"/>
                <w:vertAlign w:val="superscript"/>
                <w:lang w:bidi="ar"/>
              </w:rPr>
              <w:t>-</w:t>
            </w:r>
            <w:r>
              <w:rPr>
                <w:rFonts w:hint="eastAsia" w:ascii="宋体" w:hAnsi="宋体" w:eastAsia="宋体" w:cs="宋体"/>
                <w:color w:val="000000"/>
                <w:kern w:val="0"/>
                <w:sz w:val="22"/>
                <w:szCs w:val="22"/>
                <w:lang w:bidi="ar"/>
              </w:rPr>
              <w:t>、NO</w:t>
            </w:r>
            <w:r>
              <w:rPr>
                <w:rFonts w:hint="eastAsia" w:ascii="宋体" w:hAnsi="宋体" w:eastAsia="宋体" w:cs="宋体"/>
                <w:color w:val="000000"/>
                <w:kern w:val="0"/>
                <w:sz w:val="22"/>
                <w:szCs w:val="22"/>
                <w:vertAlign w:val="subscript"/>
                <w:lang w:bidi="ar"/>
              </w:rPr>
              <w:t>2</w:t>
            </w:r>
            <w:r>
              <w:rPr>
                <w:rFonts w:hint="eastAsia" w:ascii="宋体" w:hAnsi="宋体" w:eastAsia="宋体" w:cs="宋体"/>
                <w:color w:val="000000"/>
                <w:kern w:val="0"/>
                <w:sz w:val="22"/>
                <w:szCs w:val="22"/>
                <w:vertAlign w:val="superscript"/>
                <w:lang w:bidi="ar"/>
              </w:rPr>
              <w:t>-</w:t>
            </w:r>
            <w:r>
              <w:rPr>
                <w:rFonts w:hint="eastAsia" w:ascii="宋体" w:hAnsi="宋体" w:eastAsia="宋体" w:cs="宋体"/>
                <w:color w:val="000000"/>
                <w:kern w:val="0"/>
                <w:sz w:val="22"/>
                <w:szCs w:val="22"/>
                <w:lang w:bidi="ar"/>
              </w:rPr>
              <w:t>、PO</w:t>
            </w:r>
            <w:r>
              <w:rPr>
                <w:rFonts w:hint="eastAsia" w:ascii="宋体" w:hAnsi="宋体" w:eastAsia="宋体" w:cs="宋体"/>
                <w:color w:val="000000"/>
                <w:kern w:val="0"/>
                <w:sz w:val="22"/>
                <w:szCs w:val="22"/>
                <w:vertAlign w:val="subscript"/>
                <w:lang w:bidi="ar"/>
              </w:rPr>
              <w:t>4</w:t>
            </w:r>
            <w:r>
              <w:rPr>
                <w:rFonts w:hint="eastAsia" w:ascii="宋体" w:hAnsi="宋体" w:eastAsia="宋体" w:cs="宋体"/>
                <w:color w:val="000000"/>
                <w:kern w:val="0"/>
                <w:sz w:val="22"/>
                <w:szCs w:val="22"/>
                <w:vertAlign w:val="superscript"/>
                <w:lang w:bidi="ar"/>
              </w:rPr>
              <w:t>3-</w:t>
            </w:r>
            <w:r>
              <w:rPr>
                <w:rFonts w:hint="eastAsia" w:ascii="宋体" w:hAnsi="宋体" w:eastAsia="宋体" w:cs="宋体"/>
                <w:color w:val="000000"/>
                <w:kern w:val="0"/>
                <w:sz w:val="22"/>
                <w:szCs w:val="22"/>
                <w:lang w:bidi="ar"/>
              </w:rPr>
              <w:t>、Br</w:t>
            </w:r>
            <w:r>
              <w:rPr>
                <w:rFonts w:hint="eastAsia" w:ascii="宋体" w:hAnsi="宋体" w:eastAsia="宋体" w:cs="宋体"/>
                <w:color w:val="000000"/>
                <w:kern w:val="0"/>
                <w:sz w:val="22"/>
                <w:szCs w:val="22"/>
                <w:vertAlign w:val="superscript"/>
                <w:lang w:bidi="ar"/>
              </w:rPr>
              <w:t>-</w:t>
            </w:r>
            <w:r>
              <w:rPr>
                <w:rFonts w:hint="eastAsia" w:ascii="宋体" w:hAnsi="宋体" w:eastAsia="宋体" w:cs="宋体"/>
                <w:color w:val="000000"/>
                <w:kern w:val="0"/>
                <w:sz w:val="22"/>
                <w:szCs w:val="22"/>
                <w:lang w:bidi="ar"/>
              </w:rPr>
              <w:t>、NO</w:t>
            </w:r>
            <w:r>
              <w:rPr>
                <w:rFonts w:hint="eastAsia" w:ascii="宋体" w:hAnsi="宋体" w:eastAsia="宋体" w:cs="宋体"/>
                <w:color w:val="000000"/>
                <w:kern w:val="0"/>
                <w:sz w:val="22"/>
                <w:szCs w:val="22"/>
                <w:vertAlign w:val="subscript"/>
                <w:lang w:bidi="ar"/>
              </w:rPr>
              <w:t>3</w:t>
            </w:r>
            <w:r>
              <w:rPr>
                <w:rFonts w:hint="eastAsia" w:ascii="宋体" w:hAnsi="宋体" w:eastAsia="宋体" w:cs="宋体"/>
                <w:color w:val="000000"/>
                <w:kern w:val="0"/>
                <w:sz w:val="22"/>
                <w:szCs w:val="22"/>
                <w:vertAlign w:val="superscript"/>
                <w:lang w:bidi="ar"/>
              </w:rPr>
              <w:t>-</w:t>
            </w:r>
            <w:r>
              <w:rPr>
                <w:rFonts w:hint="eastAsia" w:ascii="宋体" w:hAnsi="宋体" w:eastAsia="宋体" w:cs="宋体"/>
                <w:color w:val="000000"/>
                <w:kern w:val="0"/>
                <w:sz w:val="22"/>
                <w:szCs w:val="22"/>
                <w:lang w:bidi="ar"/>
              </w:rPr>
              <w:t>、SO</w:t>
            </w:r>
            <w:r>
              <w:rPr>
                <w:rFonts w:hint="eastAsia" w:ascii="宋体" w:hAnsi="宋体" w:eastAsia="宋体" w:cs="宋体"/>
                <w:color w:val="000000"/>
                <w:kern w:val="0"/>
                <w:sz w:val="22"/>
                <w:szCs w:val="22"/>
                <w:vertAlign w:val="subscript"/>
                <w:lang w:bidi="ar"/>
              </w:rPr>
              <w:t>4</w:t>
            </w:r>
            <w:r>
              <w:rPr>
                <w:rFonts w:hint="eastAsia" w:ascii="宋体" w:hAnsi="宋体" w:eastAsia="宋体" w:cs="宋体"/>
                <w:color w:val="000000"/>
                <w:kern w:val="0"/>
                <w:sz w:val="22"/>
                <w:szCs w:val="22"/>
                <w:vertAlign w:val="superscript"/>
                <w:lang w:bidi="ar"/>
              </w:rPr>
              <w:t>2-</w:t>
            </w:r>
            <w:r>
              <w:rPr>
                <w:rFonts w:hint="eastAsia" w:ascii="宋体" w:hAnsi="宋体" w:eastAsia="宋体" w:cs="宋体"/>
                <w:color w:val="000000"/>
                <w:kern w:val="0"/>
                <w:sz w:val="22"/>
                <w:szCs w:val="22"/>
                <w:lang w:bidi="ar"/>
              </w:rPr>
              <w:t>、ClO</w:t>
            </w:r>
            <w:r>
              <w:rPr>
                <w:rFonts w:hint="eastAsia" w:ascii="宋体" w:hAnsi="宋体" w:eastAsia="宋体" w:cs="宋体"/>
                <w:color w:val="000000"/>
                <w:kern w:val="0"/>
                <w:sz w:val="22"/>
                <w:szCs w:val="22"/>
                <w:vertAlign w:val="subscript"/>
                <w:lang w:bidi="ar"/>
              </w:rPr>
              <w:t>2</w:t>
            </w:r>
            <w:r>
              <w:rPr>
                <w:rFonts w:hint="eastAsia" w:ascii="宋体" w:hAnsi="宋体" w:eastAsia="宋体" w:cs="宋体"/>
                <w:color w:val="000000"/>
                <w:kern w:val="0"/>
                <w:sz w:val="22"/>
                <w:szCs w:val="22"/>
                <w:vertAlign w:val="superscript"/>
                <w:lang w:bidi="ar"/>
              </w:rPr>
              <w:t>-</w:t>
            </w:r>
            <w:r>
              <w:rPr>
                <w:rFonts w:hint="eastAsia" w:ascii="宋体" w:hAnsi="宋体" w:eastAsia="宋体" w:cs="宋体"/>
                <w:color w:val="000000"/>
                <w:kern w:val="0"/>
                <w:sz w:val="22"/>
                <w:szCs w:val="22"/>
                <w:lang w:bidi="ar"/>
              </w:rPr>
              <w:t>、可吸附卤素等无机阴离子和多聚磷酸盐、果聚糖等糖、氨基酸类等；</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7、柱温箱</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7.1.控温范围:室温+5℃—室温+40℃；</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▲7.2.控温稳定性：＜0.05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8、自动进样系统：圆盘式结构。</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▲8.1.样品位数：样品盘位数至少为50位，并含至少1个50ml不占用样品位的清洗位，任意样品管位置进样，无需从1号位开始，具有可随时插队进样检测功能；</w:t>
            </w:r>
          </w:p>
          <w:p w14:paraId="320D6409">
            <w:pPr>
              <w:widowControl/>
              <w:spacing w:line="360" w:lineRule="auto"/>
              <w:jc w:val="left"/>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▲8.2.样品管体积兼容≥10ml和≤2.5ml两种规格</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8.3.样品瓶可以重复使用；可以使用代替瓶，不必须使用原厂瓶；</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8.4.内置蠕动泵吸取样品溶液；</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8.</w:t>
            </w:r>
            <w:r>
              <w:rPr>
                <w:rFonts w:hint="eastAsia" w:ascii="宋体" w:hAnsi="宋体" w:eastAsia="宋体" w:cs="宋体"/>
                <w:color w:val="000000"/>
                <w:kern w:val="0"/>
                <w:sz w:val="22"/>
                <w:szCs w:val="22"/>
                <w:lang w:val="en-US" w:eastAsia="zh-CN" w:bidi="ar"/>
              </w:rPr>
              <w:t>5</w:t>
            </w:r>
            <w:r>
              <w:rPr>
                <w:rFonts w:hint="eastAsia" w:ascii="宋体" w:hAnsi="宋体" w:eastAsia="宋体" w:cs="宋体"/>
                <w:color w:val="000000"/>
                <w:kern w:val="0"/>
                <w:sz w:val="22"/>
                <w:szCs w:val="22"/>
                <w:lang w:bidi="ar"/>
              </w:rPr>
              <w:t>.可通过软件设定所有程序；</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8.</w:t>
            </w:r>
            <w:r>
              <w:rPr>
                <w:rFonts w:hint="eastAsia" w:ascii="宋体" w:hAnsi="宋体" w:eastAsia="宋体" w:cs="宋体"/>
                <w:color w:val="000000"/>
                <w:kern w:val="0"/>
                <w:sz w:val="22"/>
                <w:szCs w:val="22"/>
                <w:lang w:val="en-US" w:eastAsia="zh-CN" w:bidi="ar"/>
              </w:rPr>
              <w:t>6</w:t>
            </w:r>
            <w:r>
              <w:rPr>
                <w:rFonts w:hint="eastAsia" w:ascii="宋体" w:hAnsi="宋体" w:eastAsia="宋体" w:cs="宋体"/>
                <w:color w:val="000000"/>
                <w:kern w:val="0"/>
                <w:sz w:val="22"/>
                <w:szCs w:val="22"/>
                <w:lang w:bidi="ar"/>
              </w:rPr>
              <w:t>.进样针采用PEEK材料或者高性能氧化锆材质，不采用金属进样针以降低金属离子对样品分析带来的干扰。</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9、无误操作参数自动优化系统</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9.1.设备带色谱柱数字监控接口，用于自动识别色谱柱类型；</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9.2.随时监控运行参数，自动优化流速、保护柱压等参数；</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9.3. 运行参数超过预设值时，系统可以发出Email或SMS提醒。</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10、色谱操作控制软件</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10.1.功能：可自动识别所有智能组件，并读取其最佳参数信息；仪器控制和数据处理完全由软件进行；</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10.2.提供制造商原版中文色谱控制软件。</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▲四、离子色谱配置要求：</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1、离子色谱主机（含六通阀）1套</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2、样品管路和淋洗液管路（含原厂淋洗液瓶）各1套</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3、智能高压双柱塞泵（含智能芯片）1套</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4、内置柱温箱1套</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5、脉冲阻尼器1套</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6、智能恒温电导检测器1套</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7、化学抑制器，八年质保或提供8个备用1套</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8、自动进样器1套</w:t>
            </w:r>
          </w:p>
          <w:p w14:paraId="74D0A82D">
            <w:pPr>
              <w:widowControl/>
              <w:spacing w:line="360" w:lineRule="auto"/>
              <w:jc w:val="left"/>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9、阴离子色谱分析柱及保护柱  1套</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10、阳离子色谱分析柱及保护柱  1套</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11、原厂蠕动泵  1套</w:t>
            </w:r>
          </w:p>
          <w:p w14:paraId="118AB7F8">
            <w:pPr>
              <w:widowControl/>
              <w:spacing w:line="360" w:lineRule="auto"/>
              <w:jc w:val="left"/>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12、原厂全中文色谱操作控制软件  1套</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13、硫离子-氰根检测套装</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13.1、安培检测器 1套</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13.2、银电极及流动池测量系统 1套</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13.3、硫离子-氰根分析柱和配套保护柱 1套</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13.4、淋洗液瓶 1个</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13.5、淋洗液瓶盖 1个</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13.6、干燥管 1个</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14、安装工具包 1套</w:t>
            </w:r>
            <w:r>
              <w:rPr>
                <w:rFonts w:hint="eastAsia" w:ascii="宋体" w:hAnsi="宋体" w:eastAsia="宋体" w:cs="宋体"/>
                <w:color w:val="000000"/>
                <w:kern w:val="0"/>
                <w:sz w:val="22"/>
                <w:szCs w:val="22"/>
                <w:lang w:bidi="ar"/>
              </w:rPr>
              <w:br w:type="textWrapping"/>
            </w:r>
            <w:r>
              <w:rPr>
                <w:rFonts w:hint="eastAsia" w:ascii="Times New Roman" w:hAnsi="Times New Roman" w:eastAsia="宋体" w:cs="Times New Roman"/>
              </w:rPr>
              <w:t>15、控制主机及配套输出设备1套</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16、其他备品配件：样品瓶及瓶盖200套，淋洗液吸入口过滤器1套（5件/套)，蠕动泵管2套，在线过滤器滤芯1套（10个/套）。</w:t>
            </w:r>
          </w:p>
        </w:tc>
      </w:tr>
      <w:tr w14:paraId="58066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19AB83DF">
            <w:pPr>
              <w:spacing w:line="360" w:lineRule="auto"/>
              <w:jc w:val="center"/>
              <w:rPr>
                <w:rFonts w:hint="eastAsia" w:ascii="宋体" w:hAnsi="宋体" w:eastAsia="宋体" w:cs="Times New Roman"/>
                <w:szCs w:val="21"/>
              </w:rPr>
            </w:pPr>
            <w:r>
              <w:rPr>
                <w:rFonts w:hint="eastAsia" w:ascii="宋体" w:hAnsi="宋体" w:eastAsia="宋体" w:cs="Times New Roman"/>
                <w:szCs w:val="21"/>
              </w:rPr>
              <w:t>3</w:t>
            </w:r>
          </w:p>
        </w:tc>
        <w:tc>
          <w:tcPr>
            <w:tcW w:w="1090" w:type="dxa"/>
            <w:tcBorders>
              <w:top w:val="single" w:color="auto" w:sz="4" w:space="0"/>
              <w:left w:val="nil"/>
              <w:bottom w:val="single" w:color="auto" w:sz="4" w:space="0"/>
              <w:right w:val="single" w:color="auto" w:sz="4" w:space="0"/>
            </w:tcBorders>
            <w:noWrap/>
            <w:vAlign w:val="center"/>
          </w:tcPr>
          <w:p w14:paraId="4AA5237D">
            <w:pPr>
              <w:widowControl/>
              <w:jc w:val="center"/>
              <w:textAlignment w:val="center"/>
              <w:rPr>
                <w:rFonts w:ascii="Times New Roman" w:hAnsi="Times New Roman" w:eastAsia="宋体" w:cs="Times New Roman"/>
                <w:szCs w:val="21"/>
              </w:rPr>
            </w:pPr>
            <w:r>
              <w:rPr>
                <w:rFonts w:hint="eastAsia" w:ascii="宋体" w:hAnsi="宋体" w:eastAsia="宋体" w:cs="宋体"/>
                <w:color w:val="000000"/>
                <w:kern w:val="0"/>
                <w:sz w:val="22"/>
                <w:szCs w:val="22"/>
                <w:lang w:bidi="ar"/>
              </w:rPr>
              <w:t>电感耦合等离子体质谱仪</w:t>
            </w:r>
          </w:p>
        </w:tc>
        <w:tc>
          <w:tcPr>
            <w:tcW w:w="780" w:type="dxa"/>
            <w:tcBorders>
              <w:top w:val="single" w:color="auto" w:sz="4" w:space="0"/>
              <w:left w:val="nil"/>
              <w:bottom w:val="single" w:color="auto" w:sz="4" w:space="0"/>
              <w:right w:val="single" w:color="auto" w:sz="4" w:space="0"/>
            </w:tcBorders>
            <w:noWrap/>
            <w:vAlign w:val="center"/>
          </w:tcPr>
          <w:p w14:paraId="68A636E2">
            <w:pPr>
              <w:widowControl/>
              <w:jc w:val="center"/>
              <w:textAlignment w:val="center"/>
              <w:rPr>
                <w:rFonts w:ascii="Times New Roman" w:hAnsi="Times New Roman" w:eastAsia="宋体" w:cs="Times New Roman"/>
                <w:szCs w:val="21"/>
              </w:rPr>
            </w:pPr>
            <w:r>
              <w:rPr>
                <w:rFonts w:hint="eastAsia" w:ascii="Times New Roman" w:hAnsi="Times New Roman" w:eastAsia="宋体" w:cs="Times New Roman"/>
                <w:szCs w:val="21"/>
              </w:rPr>
              <w:t>1台</w:t>
            </w:r>
          </w:p>
        </w:tc>
        <w:tc>
          <w:tcPr>
            <w:tcW w:w="7277" w:type="dxa"/>
            <w:tcBorders>
              <w:top w:val="single" w:color="auto" w:sz="4" w:space="0"/>
              <w:left w:val="nil"/>
              <w:bottom w:val="single" w:color="auto" w:sz="4" w:space="0"/>
              <w:right w:val="single" w:color="auto" w:sz="4" w:space="0"/>
            </w:tcBorders>
            <w:noWrap/>
            <w:vAlign w:val="center"/>
          </w:tcPr>
          <w:p w14:paraId="715DF483">
            <w:pPr>
              <w:widowControl/>
              <w:spacing w:line="360" w:lineRule="auto"/>
              <w:jc w:val="left"/>
              <w:textAlignment w:val="center"/>
              <w:rPr>
                <w:rFonts w:ascii="Times New Roman" w:hAnsi="Times New Roman" w:eastAsia="宋体" w:cs="Times New Roman"/>
              </w:rPr>
            </w:pPr>
            <w:r>
              <w:rPr>
                <w:rFonts w:hint="eastAsia" w:ascii="宋体" w:hAnsi="宋体" w:eastAsia="宋体" w:cs="宋体"/>
                <w:kern w:val="0"/>
                <w:sz w:val="22"/>
                <w:szCs w:val="22"/>
                <w:lang w:bidi="ar"/>
              </w:rPr>
              <w:t>1.技术要求</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1.1 整体要求</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仪器主机应包含进样系统、离子源及可视化系统、接口系统、双离子偏转系统、碰撞反应池、质量分析器、双模检测器及数据处理平台。为了满足高盐及复杂基体样品分析耐受性，具有自动氩气稀释和氩气加湿功能。为了能够在碰撞或反应模式中引入质量筛选功能以实现更有效的多原子离子干扰去除效果，实现对复杂基体样品的准确分析，仪器供应商所提供的产品应具有两套可实现质量筛选功能的四极杆。</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1.2 进样系统</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1.2.1蠕动泵：最高可调转动速度≥80rpm（每分钟80转）的四通道蠕动泵系统，以加快样品的引入和冲洗速度，使仪器具有更高的分析效率，同时保证更强的进样拓展能力，具有双向转动功能，泵体应采用惰性材质制造，防止酸液滴落对滚轮的腐蚀。可自动适配松紧程度，无需手动调节。</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1.2.2雾化器：具备高雾化效率同心雾化器。</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1.2.3雾化室：为了减少基体溶剂的引入量，抑制多原子离子干扰物的产率，同时消除温度波动对稳定性的影响。产品应配备具有半导体制冷功能的小体积旋流型雾化室，制冷能力应小于-8℃，且制冷温度越低越好。</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1.2.4炬管：采用无需手动连接等离子气，辅助气气路的卡式推入炬管设计，以方便日常更换维护且避免多次维护导致的漏气现象；可配置多种口径中心管的分体式石英炬管，用以降低炬管的后期使用成本。</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1.2.5中心管：可拆卸式中心管设计，方便用户针对不同样品类型选择并更换合适尺寸的中心管。</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1.2.6等离子体炬位调整：由计算机控制步进电机进行三维(X,Y,Z方向)位置控制，步长调节精度0.05mm，参数存储于计算机软件中。</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1.2.7等离子气路部分均采用4路高精度的质量流量计控制（包括冷却气、辅助气、雾化气和稀释气）。</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1.2.8等离子体可视系统：具有Plasma TV功能，可以实时通过电脑显示器监控等离子体及锥口和中心管的状态，便于及时判断仪器是否需要维护。方便将ICPMS主机与控制电脑分开放置的用户直接通过控制电脑观察仪器运行情况并进行参数优化。</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1.2.9气体稀释：采用1000mL/min质量流量计控制，具有氩气稀释模式及多种设定稀释系数配置处理各种样品，最高可直接分析30%饱和盐水，在创建方法时由用户进行直观选择，每种模式可实现自动参数优化，无需手动调谐。</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▲1.2.10 氩气加湿器：采用完全集成化的氩气加湿器，具有控温功能，可防止雾化器和炬管上的盐分积聚，提升工作效率和设备稳定性，加湿器的工作状态可清晰指示，并由ICP-MS主机软件自由切换控制。</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1.2.11 智能基体处理技术：具有雾化气流量和锥口电压阶段智能控制功能，可在非分析步骤（样品提取和清洗）将雾化器流量降低至0.1mL/min，避免样品在提取和冲洗过程中引入离子源系统。</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1.3 射频发生系统</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1.3.1离子源：RF发生器工作频率≤27.12MHz；功率在600-1600W范围内连续可调，调节精度0.5W；发生器具变频技术以实现快速匹配功能。</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1.3.2仪器应能够使用500W的冷等离子体进行样品分析，进行冷焰分析时无需使用屏蔽炬亦可保证冷等离子体的稳定工作及信号的灵敏度。要求在一次样品分析中能自动切换冷焰模式和标准模式，保证样品中所有分析元素（在两种不同模式中）一次进样完成分析。</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 xml:space="preserve">1.3.3二次放电消除技术：要求具备屏蔽炬物理接地技术或虚拟放电技术消除二次放电，可维持低功率下冷等离子体稳定运行，能增强碰撞动能歧视效果；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1.3.4 工作线圈采用高效耦合能力贵金属涂层设计，为防止等离子体高温熔融风险，应采用精密控温水冷设计。</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1.4 接口部分</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1.4.1接口：由镍制样品锥和截取锥组成的接口，要求锥数量≤2个，采样锥孔径≥1.1mm，截取锥孔径≤0.5mm；同时配有不损失样品灵敏度的接口耐盐设计，可在高灵敏度情况下实现对25%盐度样品的连续稳定分析。</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1.4.2锥口电压控制：通过控制截取锥电压和接口真空调整，实现基体耐受性和灵敏度的极佳平衡，可为不同样品提供最优的参数。</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1.4.3 提取透镜：采用双离子提取透镜设计，具有与四极杆分析器同步电压扫描功能，保证各质量区最大化离子传输效率。</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1.5离子偏转聚焦系统</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1.5.1为避免分析腔内碰撞反应池和质量分析器的样品沉积，仪器应在接口后部配置一套正交离子偏转聚焦系统。通过电场作用使样品离子产生90°偏转并与未解离的中性粒子和光子实现完全分离，以降低仪器背景噪音；中性粒子和光子应通过分子泵排出而无需采用任何挡板技术阻挡，避免后期对该系统的维护；</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1.5.2该偏转聚焦系统应具备抑制离子束展宽的功能。可在系统内形成空间三维电场分布，保证样品离子在进行90°偏转的同时实现三维方向的离子束聚焦，抑制空间电荷效应带来的展宽，提高样品离子的传递效率进而保证仪器的灵敏度水平；具有与四极杆分析器同步电压扫描功能，保证各质量区最大化离子传输效率。</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1.5.3 DA透镜：为了消除因碰撞或反应过程中由于电荷转移而二次产生的中性粒子，保证仪器具有极低的背景噪音，样品离子在通过碰撞反应池后可被DA透镜进行离轴偏转，将池内可能产生的二次中性干扰消除。</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1.6四极杆碰撞反应池：</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1.6.1四极杆设计或八极杆设计，具备质量筛选功能；</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1.6.2池内可使用标准模式（STD模式）、碰撞模式（KED模式）和反应模式（CCT模式）进行干扰的消除和样品分析，每种模式都可通过平面四极杆设置带宽进行质量数的区段筛选以达到更优异的干扰消除效果；</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1.6.3碰撞反应池可使用He气，O</w:t>
            </w:r>
            <w:r>
              <w:rPr>
                <w:rFonts w:hint="eastAsia" w:ascii="宋体" w:hAnsi="宋体" w:eastAsia="宋体" w:cs="宋体"/>
                <w:kern w:val="0"/>
                <w:sz w:val="22"/>
                <w:szCs w:val="22"/>
                <w:vertAlign w:val="subscript"/>
                <w:lang w:bidi="ar"/>
              </w:rPr>
              <w:t>2</w:t>
            </w:r>
            <w:r>
              <w:rPr>
                <w:rFonts w:hint="eastAsia" w:ascii="宋体" w:hAnsi="宋体" w:eastAsia="宋体" w:cs="宋体"/>
                <w:kern w:val="0"/>
                <w:sz w:val="22"/>
                <w:szCs w:val="22"/>
                <w:lang w:bidi="ar"/>
              </w:rPr>
              <w:t>，H</w:t>
            </w:r>
            <w:r>
              <w:rPr>
                <w:rFonts w:hint="eastAsia" w:ascii="宋体" w:hAnsi="宋体" w:eastAsia="宋体" w:cs="宋体"/>
                <w:kern w:val="0"/>
                <w:sz w:val="22"/>
                <w:szCs w:val="22"/>
                <w:vertAlign w:val="subscript"/>
                <w:lang w:bidi="ar"/>
              </w:rPr>
              <w:t>2</w:t>
            </w:r>
            <w:r>
              <w:rPr>
                <w:rFonts w:hint="eastAsia" w:ascii="宋体" w:hAnsi="宋体" w:eastAsia="宋体" w:cs="宋体"/>
                <w:kern w:val="0"/>
                <w:sz w:val="22"/>
                <w:szCs w:val="22"/>
                <w:lang w:bidi="ar"/>
              </w:rPr>
              <w:t>He混合气， NH</w:t>
            </w:r>
            <w:r>
              <w:rPr>
                <w:rFonts w:hint="eastAsia" w:ascii="宋体" w:hAnsi="宋体" w:eastAsia="宋体" w:cs="宋体"/>
                <w:kern w:val="0"/>
                <w:sz w:val="22"/>
                <w:szCs w:val="22"/>
                <w:vertAlign w:val="subscript"/>
                <w:lang w:bidi="ar"/>
              </w:rPr>
              <w:t>3</w:t>
            </w:r>
            <w:r>
              <w:rPr>
                <w:rFonts w:hint="eastAsia" w:ascii="宋体" w:hAnsi="宋体" w:eastAsia="宋体" w:cs="宋体"/>
                <w:kern w:val="0"/>
                <w:sz w:val="22"/>
                <w:szCs w:val="22"/>
                <w:lang w:bidi="ar"/>
              </w:rPr>
              <w:t>He混合气；</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1.6.4池体应具备碰撞聚焦功能，保证碰撞模式下的高灵敏度分析，并可获得238U≥1000Mcps/ppm的高灵敏度水平。</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1.7四极杆质量分辨器：</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1.7.1四极杆驱动频率：≤2.0MHz。</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1.7.2四极杆具有可调分辨率功能，可以在同一方法中针对不同元素进行不同分辨率的设定，要求在一次样品测试中，四极杆在不同分辨率下自动切换。</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▲1.7.3质谱范围：2-268amu。</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1.8检测器：</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1.8.1脉冲模拟双模式同时型电子倍增器两种模式可以自动切换，必须可以在一次进样过程中同时完成扫描和跳峰分析（定性和定量分析），电子倍增器可对 &lt;0.1cps或 &gt;5*10</w:t>
            </w:r>
            <w:r>
              <w:rPr>
                <w:rFonts w:hint="eastAsia" w:ascii="宋体" w:hAnsi="宋体" w:eastAsia="宋体" w:cs="宋体"/>
                <w:kern w:val="0"/>
                <w:sz w:val="22"/>
                <w:szCs w:val="22"/>
                <w:vertAlign w:val="superscript"/>
                <w:lang w:bidi="ar"/>
              </w:rPr>
              <w:t>10</w:t>
            </w:r>
            <w:r>
              <w:rPr>
                <w:rFonts w:hint="eastAsia" w:ascii="宋体" w:hAnsi="宋体" w:eastAsia="宋体" w:cs="宋体"/>
                <w:kern w:val="0"/>
                <w:sz w:val="22"/>
                <w:szCs w:val="22"/>
                <w:lang w:bidi="ar"/>
              </w:rPr>
              <w:t>cps的信号进行计数且两种模式分析过程中的驻留时间可达0.1ms。</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1.9 真空系统</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1.9.1 分子涡轮泵最高转速大于等于1050Hz，分析腔真空度优于5*10</w:t>
            </w:r>
            <w:r>
              <w:rPr>
                <w:rFonts w:hint="eastAsia" w:ascii="宋体" w:hAnsi="宋体" w:eastAsia="宋体" w:cs="宋体"/>
                <w:kern w:val="0"/>
                <w:sz w:val="22"/>
                <w:szCs w:val="22"/>
                <w:vertAlign w:val="superscript"/>
                <w:lang w:bidi="ar"/>
              </w:rPr>
              <w:t>-7</w:t>
            </w:r>
            <w:r>
              <w:rPr>
                <w:rFonts w:hint="eastAsia" w:ascii="宋体" w:hAnsi="宋体" w:eastAsia="宋体" w:cs="宋体"/>
                <w:kern w:val="0"/>
                <w:sz w:val="22"/>
                <w:szCs w:val="22"/>
                <w:lang w:bidi="ar"/>
              </w:rPr>
              <w:t>mbar。</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1.9.2 机械泵具有转速连续可调功能，根据分析需求可灵活设定最佳接口区真空度。</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1.10分析能力：</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1.10.1标准模式下无需使用碰撞反应池或冷焰技术，即可保证56Fe的方法检出限符合国际水质分析标准小于3ppb的要求。</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1.10.2具有使用反应模式分析P和S元素的能力，在同一个方法中可通过氧气的反应性，把P和S元素反应到PO47，SO48位置，并获得优于0.05ppb和1ppb的检出限水平.</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1.10.3仪器应对高盐度样品具有良好的耐受性，可以实现对盐度超过25%的饱和食盐水样品的进行长时间的稳定分析。</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1.11软件部分：</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1.11.1 操作系统：提供控制主机配套软件。</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1.11.2 全自动分析功能(启动关闭仪器 ,炬位调整, 等离子体参数, 离子透镜, 标准等离子体条件与冷等离子体条件切换,标准技术与碰撞池技术切换等)</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1.11.3包含色谱连用的瞬间信号分析软件以便与色谱或激光进样系统等连用。可以满足色谱连用中的数据采集，色谱积分计算，报告输出等功能。</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val="en-US" w:eastAsia="zh-CN" w:bidi="ar"/>
              </w:rPr>
              <w:t>1</w:t>
            </w:r>
            <w:r>
              <w:rPr>
                <w:rFonts w:hint="eastAsia" w:ascii="宋体" w:hAnsi="宋体" w:eastAsia="宋体" w:cs="宋体"/>
                <w:kern w:val="0"/>
                <w:sz w:val="22"/>
                <w:szCs w:val="22"/>
                <w:lang w:bidi="ar"/>
              </w:rPr>
              <w:t>.</w:t>
            </w:r>
            <w:r>
              <w:rPr>
                <w:rFonts w:hint="eastAsia" w:ascii="宋体" w:hAnsi="宋体" w:eastAsia="宋体" w:cs="宋体"/>
                <w:kern w:val="0"/>
                <w:sz w:val="22"/>
                <w:szCs w:val="22"/>
                <w:lang w:val="en-US" w:eastAsia="zh-CN" w:bidi="ar"/>
              </w:rPr>
              <w:t>11</w:t>
            </w:r>
            <w:r>
              <w:rPr>
                <w:rFonts w:hint="eastAsia" w:ascii="宋体" w:hAnsi="宋体" w:eastAsia="宋体" w:cs="宋体"/>
                <w:kern w:val="0"/>
                <w:sz w:val="22"/>
                <w:szCs w:val="22"/>
                <w:lang w:bidi="ar"/>
              </w:rPr>
              <w:t>.4 实时数据显示,和实时报告显示。</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val="en-US" w:eastAsia="zh-CN" w:bidi="ar"/>
              </w:rPr>
              <w:t>1</w:t>
            </w:r>
            <w:r>
              <w:rPr>
                <w:rFonts w:hint="eastAsia" w:ascii="宋体" w:hAnsi="宋体" w:eastAsia="宋体" w:cs="宋体"/>
                <w:kern w:val="0"/>
                <w:sz w:val="22"/>
                <w:szCs w:val="22"/>
                <w:lang w:bidi="ar"/>
              </w:rPr>
              <w:t>.</w:t>
            </w:r>
            <w:r>
              <w:rPr>
                <w:rFonts w:hint="eastAsia" w:ascii="宋体" w:hAnsi="宋体" w:eastAsia="宋体" w:cs="宋体"/>
                <w:kern w:val="0"/>
                <w:sz w:val="22"/>
                <w:szCs w:val="22"/>
                <w:lang w:val="en-US" w:eastAsia="zh-CN" w:bidi="ar"/>
              </w:rPr>
              <w:t>11</w:t>
            </w:r>
            <w:r>
              <w:rPr>
                <w:rFonts w:hint="eastAsia" w:ascii="宋体" w:hAnsi="宋体" w:eastAsia="宋体" w:cs="宋体"/>
                <w:kern w:val="0"/>
                <w:sz w:val="22"/>
                <w:szCs w:val="22"/>
                <w:lang w:bidi="ar"/>
              </w:rPr>
              <w:t>.5 要求拥有智能化软件包括：智能进样时间和智能冲洗时间，QAQC 软件，可以满足EPA方法的QC要求，智能谱图解释软件.</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val="en-US" w:eastAsia="zh-CN" w:bidi="ar"/>
              </w:rPr>
              <w:t>1</w:t>
            </w:r>
            <w:r>
              <w:rPr>
                <w:rFonts w:hint="eastAsia" w:ascii="宋体" w:hAnsi="宋体" w:eastAsia="宋体" w:cs="宋体"/>
                <w:kern w:val="0"/>
                <w:sz w:val="22"/>
                <w:szCs w:val="22"/>
                <w:lang w:bidi="ar"/>
              </w:rPr>
              <w:t>.</w:t>
            </w:r>
            <w:r>
              <w:rPr>
                <w:rFonts w:hint="eastAsia" w:ascii="宋体" w:hAnsi="宋体" w:eastAsia="宋体" w:cs="宋体"/>
                <w:kern w:val="0"/>
                <w:sz w:val="22"/>
                <w:szCs w:val="22"/>
                <w:lang w:val="en-US" w:eastAsia="zh-CN" w:bidi="ar"/>
              </w:rPr>
              <w:t>11</w:t>
            </w:r>
            <w:r>
              <w:rPr>
                <w:rFonts w:hint="eastAsia" w:ascii="宋体" w:hAnsi="宋体" w:eastAsia="宋体" w:cs="宋体"/>
                <w:kern w:val="0"/>
                <w:sz w:val="22"/>
                <w:szCs w:val="22"/>
                <w:lang w:bidi="ar"/>
              </w:rPr>
              <w:t>.6 ICPMS操作软件可以安装于个人计算机上，样品分析数据可以使用此软件进行离线数据处理并生成报告。</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val="en-US" w:eastAsia="zh-CN" w:bidi="ar"/>
              </w:rPr>
              <w:t>1</w:t>
            </w:r>
            <w:r>
              <w:rPr>
                <w:rFonts w:hint="eastAsia" w:ascii="宋体" w:hAnsi="宋体" w:eastAsia="宋体" w:cs="宋体"/>
                <w:kern w:val="0"/>
                <w:sz w:val="22"/>
                <w:szCs w:val="22"/>
                <w:lang w:bidi="ar"/>
              </w:rPr>
              <w:t>.</w:t>
            </w:r>
            <w:r>
              <w:rPr>
                <w:rFonts w:hint="eastAsia" w:ascii="宋体" w:hAnsi="宋体" w:eastAsia="宋体" w:cs="宋体"/>
                <w:kern w:val="0"/>
                <w:sz w:val="22"/>
                <w:szCs w:val="22"/>
                <w:lang w:val="en-US" w:eastAsia="zh-CN" w:bidi="ar"/>
              </w:rPr>
              <w:t>11</w:t>
            </w:r>
            <w:r>
              <w:rPr>
                <w:rFonts w:hint="eastAsia" w:ascii="宋体" w:hAnsi="宋体" w:eastAsia="宋体" w:cs="宋体"/>
                <w:kern w:val="0"/>
                <w:sz w:val="22"/>
                <w:szCs w:val="22"/>
                <w:lang w:bidi="ar"/>
              </w:rPr>
              <w:t>.7 软件具有耗材维护和仪器性能监控功能，智能基体处理功能。</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val="en-US" w:eastAsia="zh-CN" w:bidi="ar"/>
              </w:rPr>
              <w:t>1</w:t>
            </w:r>
            <w:r>
              <w:rPr>
                <w:rFonts w:hint="eastAsia" w:ascii="宋体" w:hAnsi="宋体" w:eastAsia="宋体" w:cs="宋体"/>
                <w:kern w:val="0"/>
                <w:sz w:val="22"/>
                <w:szCs w:val="22"/>
                <w:lang w:bidi="ar"/>
              </w:rPr>
              <w:t>.</w:t>
            </w:r>
            <w:r>
              <w:rPr>
                <w:rFonts w:hint="eastAsia" w:ascii="宋体" w:hAnsi="宋体" w:eastAsia="宋体" w:cs="宋体"/>
                <w:kern w:val="0"/>
                <w:sz w:val="22"/>
                <w:szCs w:val="22"/>
                <w:lang w:val="en-US" w:eastAsia="zh-CN" w:bidi="ar"/>
              </w:rPr>
              <w:t>12</w:t>
            </w:r>
            <w:r>
              <w:rPr>
                <w:rFonts w:hint="eastAsia" w:ascii="宋体" w:hAnsi="宋体" w:eastAsia="宋体" w:cs="宋体"/>
                <w:kern w:val="0"/>
                <w:sz w:val="22"/>
                <w:szCs w:val="22"/>
                <w:lang w:bidi="ar"/>
              </w:rPr>
              <w:t>仪器性能要求</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val="en-US" w:eastAsia="zh-CN" w:bidi="ar"/>
              </w:rPr>
              <w:t>1</w:t>
            </w:r>
            <w:r>
              <w:rPr>
                <w:rFonts w:hint="eastAsia" w:ascii="宋体" w:hAnsi="宋体" w:eastAsia="宋体" w:cs="宋体"/>
                <w:kern w:val="0"/>
                <w:sz w:val="22"/>
                <w:szCs w:val="22"/>
                <w:lang w:bidi="ar"/>
              </w:rPr>
              <w:t>.</w:t>
            </w:r>
            <w:r>
              <w:rPr>
                <w:rFonts w:hint="eastAsia" w:ascii="宋体" w:hAnsi="宋体" w:eastAsia="宋体" w:cs="宋体"/>
                <w:kern w:val="0"/>
                <w:sz w:val="22"/>
                <w:szCs w:val="22"/>
                <w:lang w:val="en-US" w:eastAsia="zh-CN" w:bidi="ar"/>
              </w:rPr>
              <w:t>12</w:t>
            </w:r>
            <w:r>
              <w:rPr>
                <w:rFonts w:hint="eastAsia" w:ascii="宋体" w:hAnsi="宋体" w:eastAsia="宋体" w:cs="宋体"/>
                <w:kern w:val="0"/>
                <w:sz w:val="22"/>
                <w:szCs w:val="22"/>
                <w:lang w:bidi="ar"/>
              </w:rPr>
              <w:t>.1 标准模式灵敏度</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 xml:space="preserve">中质量数(Y或In): &gt; 600Mcps/ppm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 xml:space="preserve">高质量数(Tl或U): &gt; 850Mcps/ppm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val="en-US" w:eastAsia="zh-CN" w:bidi="ar"/>
              </w:rPr>
              <w:t>1</w:t>
            </w:r>
            <w:r>
              <w:rPr>
                <w:rFonts w:hint="eastAsia" w:ascii="宋体" w:hAnsi="宋体" w:eastAsia="宋体" w:cs="宋体"/>
                <w:kern w:val="0"/>
                <w:sz w:val="22"/>
                <w:szCs w:val="22"/>
                <w:lang w:bidi="ar"/>
              </w:rPr>
              <w:t>.</w:t>
            </w:r>
            <w:r>
              <w:rPr>
                <w:rFonts w:hint="eastAsia" w:ascii="宋体" w:hAnsi="宋体" w:eastAsia="宋体" w:cs="宋体"/>
                <w:kern w:val="0"/>
                <w:sz w:val="22"/>
                <w:szCs w:val="22"/>
                <w:lang w:val="en-US" w:eastAsia="zh-CN" w:bidi="ar"/>
              </w:rPr>
              <w:t>12</w:t>
            </w:r>
            <w:r>
              <w:rPr>
                <w:rFonts w:hint="eastAsia" w:ascii="宋体" w:hAnsi="宋体" w:eastAsia="宋体" w:cs="宋体"/>
                <w:kern w:val="0"/>
                <w:sz w:val="22"/>
                <w:szCs w:val="22"/>
                <w:lang w:bidi="ar"/>
              </w:rPr>
              <w:t>.2 标准模式下（No Gas）随机背景：＜1 cps (4.5amu),He 模式随机背景：＜0.5 cps (4.5amu)</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val="en-US" w:eastAsia="zh-CN" w:bidi="ar"/>
              </w:rPr>
              <w:t>1</w:t>
            </w:r>
            <w:r>
              <w:rPr>
                <w:rFonts w:hint="eastAsia" w:ascii="宋体" w:hAnsi="宋体" w:eastAsia="宋体" w:cs="宋体"/>
                <w:kern w:val="0"/>
                <w:sz w:val="22"/>
                <w:szCs w:val="22"/>
                <w:lang w:bidi="ar"/>
              </w:rPr>
              <w:t>.</w:t>
            </w:r>
            <w:r>
              <w:rPr>
                <w:rFonts w:hint="eastAsia" w:ascii="宋体" w:hAnsi="宋体" w:eastAsia="宋体" w:cs="宋体"/>
                <w:kern w:val="0"/>
                <w:sz w:val="22"/>
                <w:szCs w:val="22"/>
                <w:lang w:val="en-US" w:eastAsia="zh-CN" w:bidi="ar"/>
              </w:rPr>
              <w:t>12</w:t>
            </w:r>
            <w:r>
              <w:rPr>
                <w:rFonts w:hint="eastAsia" w:ascii="宋体" w:hAnsi="宋体" w:eastAsia="宋体" w:cs="宋体"/>
                <w:kern w:val="0"/>
                <w:sz w:val="22"/>
                <w:szCs w:val="22"/>
                <w:lang w:bidi="ar"/>
              </w:rPr>
              <w:t>.3 标准模式下，仪器信噪比&gt;220M(1ppm中质量元素溶液，灵敏度/随机背景)</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val="en-US" w:eastAsia="zh-CN" w:bidi="ar"/>
              </w:rPr>
              <w:t>1</w:t>
            </w:r>
            <w:r>
              <w:rPr>
                <w:rFonts w:hint="eastAsia" w:ascii="宋体" w:hAnsi="宋体" w:eastAsia="宋体" w:cs="宋体"/>
                <w:kern w:val="0"/>
                <w:sz w:val="22"/>
                <w:szCs w:val="22"/>
                <w:lang w:bidi="ar"/>
              </w:rPr>
              <w:t>.</w:t>
            </w:r>
            <w:r>
              <w:rPr>
                <w:rFonts w:hint="eastAsia" w:ascii="宋体" w:hAnsi="宋体" w:eastAsia="宋体" w:cs="宋体"/>
                <w:kern w:val="0"/>
                <w:sz w:val="22"/>
                <w:szCs w:val="22"/>
                <w:lang w:val="en-US" w:eastAsia="zh-CN" w:bidi="ar"/>
              </w:rPr>
              <w:t>12</w:t>
            </w:r>
            <w:r>
              <w:rPr>
                <w:rFonts w:hint="eastAsia" w:ascii="宋体" w:hAnsi="宋体" w:eastAsia="宋体" w:cs="宋体"/>
                <w:kern w:val="0"/>
                <w:sz w:val="22"/>
                <w:szCs w:val="22"/>
                <w:lang w:bidi="ar"/>
              </w:rPr>
              <w:t>.4氧化物离子(CeO</w:t>
            </w:r>
            <w:r>
              <w:rPr>
                <w:rFonts w:hint="eastAsia" w:ascii="宋体" w:hAnsi="宋体" w:eastAsia="宋体" w:cs="宋体"/>
                <w:kern w:val="0"/>
                <w:sz w:val="22"/>
                <w:szCs w:val="22"/>
                <w:vertAlign w:val="superscript"/>
                <w:lang w:bidi="ar"/>
              </w:rPr>
              <w:t>+</w:t>
            </w:r>
            <w:r>
              <w:rPr>
                <w:rFonts w:hint="eastAsia" w:ascii="宋体" w:hAnsi="宋体" w:eastAsia="宋体" w:cs="宋体"/>
                <w:kern w:val="0"/>
                <w:sz w:val="22"/>
                <w:szCs w:val="22"/>
                <w:lang w:bidi="ar"/>
              </w:rPr>
              <w:t>/Ce</w:t>
            </w:r>
            <w:r>
              <w:rPr>
                <w:rFonts w:hint="eastAsia" w:ascii="宋体" w:hAnsi="宋体" w:eastAsia="宋体" w:cs="宋体"/>
                <w:kern w:val="0"/>
                <w:sz w:val="22"/>
                <w:szCs w:val="22"/>
                <w:vertAlign w:val="superscript"/>
                <w:lang w:bidi="ar"/>
              </w:rPr>
              <w:t>+</w:t>
            </w:r>
            <w:r>
              <w:rPr>
                <w:rFonts w:hint="eastAsia" w:ascii="宋体" w:hAnsi="宋体" w:eastAsia="宋体" w:cs="宋体"/>
                <w:kern w:val="0"/>
                <w:sz w:val="22"/>
                <w:szCs w:val="22"/>
                <w:lang w:bidi="ar"/>
              </w:rPr>
              <w:t>)＜2%；双电荷粒子(Ce</w:t>
            </w:r>
            <w:r>
              <w:rPr>
                <w:rFonts w:hint="eastAsia" w:ascii="宋体" w:hAnsi="宋体" w:eastAsia="宋体" w:cs="宋体"/>
                <w:kern w:val="0"/>
                <w:sz w:val="22"/>
                <w:szCs w:val="22"/>
                <w:vertAlign w:val="superscript"/>
                <w:lang w:bidi="ar"/>
              </w:rPr>
              <w:t>++</w:t>
            </w:r>
            <w:r>
              <w:rPr>
                <w:rFonts w:hint="eastAsia" w:ascii="宋体" w:hAnsi="宋体" w:eastAsia="宋体" w:cs="宋体"/>
                <w:kern w:val="0"/>
                <w:sz w:val="22"/>
                <w:szCs w:val="22"/>
                <w:lang w:bidi="ar"/>
              </w:rPr>
              <w:t>/Ce</w:t>
            </w:r>
            <w:r>
              <w:rPr>
                <w:rFonts w:hint="eastAsia" w:ascii="宋体" w:hAnsi="宋体" w:eastAsia="宋体" w:cs="宋体"/>
                <w:kern w:val="0"/>
                <w:sz w:val="22"/>
                <w:szCs w:val="22"/>
                <w:vertAlign w:val="superscript"/>
                <w:lang w:bidi="ar"/>
              </w:rPr>
              <w:t>+</w:t>
            </w:r>
            <w:r>
              <w:rPr>
                <w:rFonts w:hint="eastAsia" w:ascii="宋体" w:hAnsi="宋体" w:eastAsia="宋体" w:cs="宋体"/>
                <w:kern w:val="0"/>
                <w:sz w:val="22"/>
                <w:szCs w:val="22"/>
                <w:lang w:bidi="ar"/>
              </w:rPr>
              <w:t xml:space="preserve">)＜3%。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val="en-US" w:eastAsia="zh-CN" w:bidi="ar"/>
              </w:rPr>
              <w:t>1</w:t>
            </w:r>
            <w:r>
              <w:rPr>
                <w:rFonts w:hint="eastAsia" w:ascii="宋体" w:hAnsi="宋体" w:eastAsia="宋体" w:cs="宋体"/>
                <w:kern w:val="0"/>
                <w:sz w:val="22"/>
                <w:szCs w:val="22"/>
                <w:lang w:bidi="ar"/>
              </w:rPr>
              <w:t>.</w:t>
            </w:r>
            <w:r>
              <w:rPr>
                <w:rFonts w:hint="eastAsia" w:ascii="宋体" w:hAnsi="宋体" w:eastAsia="宋体" w:cs="宋体"/>
                <w:kern w:val="0"/>
                <w:sz w:val="22"/>
                <w:szCs w:val="22"/>
                <w:lang w:val="en-US" w:eastAsia="zh-CN" w:bidi="ar"/>
              </w:rPr>
              <w:t>12</w:t>
            </w:r>
            <w:r>
              <w:rPr>
                <w:rFonts w:hint="eastAsia" w:ascii="宋体" w:hAnsi="宋体" w:eastAsia="宋体" w:cs="宋体"/>
                <w:kern w:val="0"/>
                <w:sz w:val="22"/>
                <w:szCs w:val="22"/>
                <w:lang w:bidi="ar"/>
              </w:rPr>
              <w:t>.5仪器检出限</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 xml:space="preserve">轻质量元素:＜0.3ppt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 xml:space="preserve">中质量数元素:＜0.1ppt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 xml:space="preserve">高质量数元素:＜0.1ppt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val="en-US" w:eastAsia="zh-CN" w:bidi="ar"/>
              </w:rPr>
              <w:t>1</w:t>
            </w:r>
            <w:r>
              <w:rPr>
                <w:rFonts w:hint="eastAsia" w:ascii="宋体" w:hAnsi="宋体" w:eastAsia="宋体" w:cs="宋体"/>
                <w:kern w:val="0"/>
                <w:sz w:val="22"/>
                <w:szCs w:val="22"/>
                <w:lang w:bidi="ar"/>
              </w:rPr>
              <w:t>.</w:t>
            </w:r>
            <w:r>
              <w:rPr>
                <w:rFonts w:hint="eastAsia" w:ascii="宋体" w:hAnsi="宋体" w:eastAsia="宋体" w:cs="宋体"/>
                <w:kern w:val="0"/>
                <w:sz w:val="22"/>
                <w:szCs w:val="22"/>
                <w:lang w:val="en-US" w:eastAsia="zh-CN" w:bidi="ar"/>
              </w:rPr>
              <w:t>12</w:t>
            </w:r>
            <w:r>
              <w:rPr>
                <w:rFonts w:hint="eastAsia" w:ascii="宋体" w:hAnsi="宋体" w:eastAsia="宋体" w:cs="宋体"/>
                <w:kern w:val="0"/>
                <w:sz w:val="22"/>
                <w:szCs w:val="22"/>
                <w:lang w:bidi="ar"/>
              </w:rPr>
              <w:t xml:space="preserve">.6短期稳定性 10min (RSD): &lt; 2% 。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val="en-US" w:eastAsia="zh-CN" w:bidi="ar"/>
              </w:rPr>
              <w:t>1</w:t>
            </w:r>
            <w:r>
              <w:rPr>
                <w:rFonts w:hint="eastAsia" w:ascii="宋体" w:hAnsi="宋体" w:eastAsia="宋体" w:cs="宋体"/>
                <w:kern w:val="0"/>
                <w:sz w:val="22"/>
                <w:szCs w:val="22"/>
                <w:lang w:bidi="ar"/>
              </w:rPr>
              <w:t>.</w:t>
            </w:r>
            <w:r>
              <w:rPr>
                <w:rFonts w:hint="eastAsia" w:ascii="宋体" w:hAnsi="宋体" w:eastAsia="宋体" w:cs="宋体"/>
                <w:kern w:val="0"/>
                <w:sz w:val="22"/>
                <w:szCs w:val="22"/>
                <w:lang w:val="en-US" w:eastAsia="zh-CN" w:bidi="ar"/>
              </w:rPr>
              <w:t>12</w:t>
            </w:r>
            <w:r>
              <w:rPr>
                <w:rFonts w:hint="eastAsia" w:ascii="宋体" w:hAnsi="宋体" w:eastAsia="宋体" w:cs="宋体"/>
                <w:kern w:val="0"/>
                <w:sz w:val="22"/>
                <w:szCs w:val="22"/>
                <w:lang w:bidi="ar"/>
              </w:rPr>
              <w:t xml:space="preserve">.7长期稳定性 2 hr(RSD):&lt;3% 。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val="en-US" w:eastAsia="zh-CN" w:bidi="ar"/>
              </w:rPr>
              <w:t>1</w:t>
            </w:r>
            <w:r>
              <w:rPr>
                <w:rFonts w:hint="eastAsia" w:ascii="宋体" w:hAnsi="宋体" w:eastAsia="宋体" w:cs="宋体"/>
                <w:kern w:val="0"/>
                <w:sz w:val="22"/>
                <w:szCs w:val="22"/>
                <w:lang w:bidi="ar"/>
              </w:rPr>
              <w:t>.</w:t>
            </w:r>
            <w:r>
              <w:rPr>
                <w:rFonts w:hint="eastAsia" w:ascii="宋体" w:hAnsi="宋体" w:eastAsia="宋体" w:cs="宋体"/>
                <w:kern w:val="0"/>
                <w:sz w:val="22"/>
                <w:szCs w:val="22"/>
                <w:lang w:val="en-US" w:eastAsia="zh-CN" w:bidi="ar"/>
              </w:rPr>
              <w:t>12</w:t>
            </w:r>
            <w:r>
              <w:rPr>
                <w:rFonts w:hint="eastAsia" w:ascii="宋体" w:hAnsi="宋体" w:eastAsia="宋体" w:cs="宋体"/>
                <w:kern w:val="0"/>
                <w:sz w:val="22"/>
                <w:szCs w:val="22"/>
                <w:lang w:bidi="ar"/>
              </w:rPr>
              <w:t>.8质谱校正稳定性: &lt; 0.025 amu/24hr</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val="en-US" w:eastAsia="zh-CN" w:bidi="ar"/>
              </w:rPr>
              <w:t>1.13</w:t>
            </w:r>
            <w:r>
              <w:rPr>
                <w:rFonts w:hint="eastAsia" w:ascii="宋体" w:hAnsi="宋体" w:eastAsia="宋体" w:cs="宋体"/>
                <w:kern w:val="0"/>
                <w:sz w:val="22"/>
                <w:szCs w:val="22"/>
                <w:lang w:bidi="ar"/>
              </w:rPr>
              <w:t>技术服务和培训</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val="en-US" w:eastAsia="zh-CN" w:bidi="ar"/>
              </w:rPr>
              <w:t>1.13</w:t>
            </w:r>
            <w:r>
              <w:rPr>
                <w:rFonts w:hint="eastAsia" w:ascii="宋体" w:hAnsi="宋体" w:eastAsia="宋体" w:cs="宋体"/>
                <w:kern w:val="0"/>
                <w:sz w:val="22"/>
                <w:szCs w:val="22"/>
                <w:lang w:bidi="ar"/>
              </w:rPr>
              <w:t>.1提供现场培训，人数不限。内容包括仪器的基本原理、操作应用及仪器的维护保养知识，直到用户能正常使用和维护仪器。</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val="en-US" w:eastAsia="zh-CN" w:bidi="ar"/>
              </w:rPr>
              <w:t>1.13</w:t>
            </w:r>
            <w:r>
              <w:rPr>
                <w:rFonts w:hint="eastAsia" w:ascii="宋体" w:hAnsi="宋体" w:eastAsia="宋体" w:cs="宋体"/>
                <w:kern w:val="0"/>
                <w:sz w:val="22"/>
                <w:szCs w:val="22"/>
                <w:lang w:bidi="ar"/>
              </w:rPr>
              <w:t>.2 厂家提供仪器三年的保修期；</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val="en-US" w:eastAsia="zh-CN" w:bidi="ar"/>
              </w:rPr>
              <w:t>1.13</w:t>
            </w:r>
            <w:r>
              <w:rPr>
                <w:rFonts w:hint="eastAsia" w:ascii="宋体" w:hAnsi="宋体" w:eastAsia="宋体" w:cs="宋体"/>
                <w:kern w:val="0"/>
                <w:sz w:val="22"/>
                <w:szCs w:val="22"/>
                <w:lang w:bidi="ar"/>
              </w:rPr>
              <w:t>.3厂家长期提供技术支持，并提供所有公开发表的应用文献和最新仪器有关资料、通讯和用户论文集等。</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val="en-US" w:eastAsia="zh-CN" w:bidi="ar"/>
              </w:rPr>
              <w:t>1.13</w:t>
            </w:r>
            <w:r>
              <w:rPr>
                <w:rFonts w:hint="eastAsia" w:ascii="宋体" w:hAnsi="宋体" w:eastAsia="宋体" w:cs="宋体"/>
                <w:kern w:val="0"/>
                <w:sz w:val="22"/>
                <w:szCs w:val="22"/>
                <w:lang w:bidi="ar"/>
              </w:rPr>
              <w:t>.4提供仪器使用手册、培训教材、应用文章等。</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val="en-US" w:eastAsia="zh-CN" w:bidi="ar"/>
              </w:rPr>
              <w:t>1.14</w:t>
            </w:r>
            <w:r>
              <w:rPr>
                <w:rFonts w:hint="eastAsia" w:ascii="宋体" w:hAnsi="宋体" w:eastAsia="宋体" w:cs="宋体"/>
                <w:kern w:val="0"/>
                <w:sz w:val="22"/>
                <w:szCs w:val="22"/>
                <w:lang w:bidi="ar"/>
              </w:rPr>
              <w:t>.仪器配置</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val="en-US" w:eastAsia="zh-CN" w:bidi="ar"/>
              </w:rPr>
              <w:t>1.14</w:t>
            </w:r>
            <w:r>
              <w:rPr>
                <w:rFonts w:hint="eastAsia" w:ascii="宋体" w:hAnsi="宋体" w:eastAsia="宋体" w:cs="宋体"/>
                <w:kern w:val="0"/>
                <w:sz w:val="22"/>
                <w:szCs w:val="22"/>
                <w:lang w:bidi="ar"/>
              </w:rPr>
              <w:t>.1 ICP-MS主机1套：含碰撞反应池、进样系统、连接管线及开机必备件；</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val="en-US" w:eastAsia="zh-CN" w:bidi="ar"/>
              </w:rPr>
              <w:t>1.14</w:t>
            </w:r>
            <w:r>
              <w:rPr>
                <w:rFonts w:hint="eastAsia" w:ascii="宋体" w:hAnsi="宋体" w:eastAsia="宋体" w:cs="宋体"/>
                <w:kern w:val="0"/>
                <w:sz w:val="22"/>
                <w:szCs w:val="22"/>
                <w:lang w:bidi="ar"/>
              </w:rPr>
              <w:t>.2 前级泵系统1套；</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val="en-US" w:eastAsia="zh-CN" w:bidi="ar"/>
              </w:rPr>
              <w:t>1.14</w:t>
            </w:r>
            <w:r>
              <w:rPr>
                <w:rFonts w:hint="eastAsia" w:ascii="宋体" w:hAnsi="宋体" w:eastAsia="宋体" w:cs="宋体"/>
                <w:kern w:val="0"/>
                <w:sz w:val="22"/>
                <w:szCs w:val="22"/>
                <w:lang w:bidi="ar"/>
              </w:rPr>
              <w:t>.3 ICP-MS工作站：含数据梳理与图文输出装置；</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val="en-US" w:eastAsia="zh-CN" w:bidi="ar"/>
              </w:rPr>
              <w:t>1.14</w:t>
            </w:r>
            <w:r>
              <w:rPr>
                <w:rFonts w:hint="eastAsia" w:ascii="宋体" w:hAnsi="宋体" w:eastAsia="宋体" w:cs="宋体"/>
                <w:kern w:val="0"/>
                <w:sz w:val="22"/>
                <w:szCs w:val="22"/>
                <w:lang w:bidi="ar"/>
              </w:rPr>
              <w:t>.4 在线气溶胶稀释系统1套；</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val="en-US" w:eastAsia="zh-CN" w:bidi="ar"/>
              </w:rPr>
              <w:t>1.14</w:t>
            </w:r>
            <w:r>
              <w:rPr>
                <w:rFonts w:hint="eastAsia" w:ascii="宋体" w:hAnsi="宋体" w:eastAsia="宋体" w:cs="宋体"/>
                <w:kern w:val="0"/>
                <w:sz w:val="22"/>
                <w:szCs w:val="22"/>
                <w:lang w:bidi="ar"/>
              </w:rPr>
              <w:t>.5 循环冷却水系统1套（具有ICPMS软件自动启停控制功能）；</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val="en-US" w:eastAsia="zh-CN" w:bidi="ar"/>
              </w:rPr>
              <w:t>1.14</w:t>
            </w:r>
            <w:r>
              <w:rPr>
                <w:rFonts w:hint="eastAsia" w:ascii="宋体" w:hAnsi="宋体" w:eastAsia="宋体" w:cs="宋体"/>
                <w:kern w:val="0"/>
                <w:sz w:val="22"/>
                <w:szCs w:val="22"/>
                <w:lang w:bidi="ar"/>
              </w:rPr>
              <w:t>.6 数据处理系统1套</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val="en-US" w:eastAsia="zh-CN" w:bidi="ar"/>
              </w:rPr>
              <w:t>1.14</w:t>
            </w:r>
            <w:r>
              <w:rPr>
                <w:rFonts w:hint="eastAsia" w:ascii="宋体" w:hAnsi="宋体" w:eastAsia="宋体" w:cs="宋体"/>
                <w:kern w:val="0"/>
                <w:sz w:val="22"/>
                <w:szCs w:val="22"/>
                <w:lang w:bidi="ar"/>
              </w:rPr>
              <w:t>.7 消耗品包 1套（包括石英炬管2根，石英中心管2根，镍采样锥1个，镍截取锥1个，石墨垫片10片，进样泵管12根，排废液管12根）</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val="en-US" w:eastAsia="zh-CN" w:bidi="ar"/>
              </w:rPr>
              <w:t>1.14</w:t>
            </w:r>
            <w:r>
              <w:rPr>
                <w:rFonts w:hint="eastAsia" w:ascii="宋体" w:hAnsi="宋体" w:eastAsia="宋体" w:cs="宋体"/>
                <w:kern w:val="0"/>
                <w:sz w:val="22"/>
                <w:szCs w:val="22"/>
                <w:lang w:bidi="ar"/>
              </w:rPr>
              <w:t>.8 内标加入系统1套</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val="en-US" w:eastAsia="zh-CN" w:bidi="ar"/>
              </w:rPr>
              <w:t>1.14</w:t>
            </w:r>
            <w:r>
              <w:rPr>
                <w:rFonts w:hint="eastAsia" w:ascii="宋体" w:hAnsi="宋体" w:eastAsia="宋体" w:cs="宋体"/>
                <w:kern w:val="0"/>
                <w:sz w:val="22"/>
                <w:szCs w:val="22"/>
                <w:lang w:bidi="ar"/>
              </w:rPr>
              <w:t>.9 氩气和氦气钢瓶（含减压阀），各1套（包含实验室气路连接与管路改造）；</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val="en-US" w:eastAsia="zh-CN" w:bidi="ar"/>
              </w:rPr>
              <w:t>1.14</w:t>
            </w:r>
            <w:r>
              <w:rPr>
                <w:rFonts w:hint="eastAsia" w:ascii="宋体" w:hAnsi="宋体" w:eastAsia="宋体" w:cs="宋体"/>
                <w:kern w:val="0"/>
                <w:sz w:val="22"/>
                <w:szCs w:val="22"/>
                <w:lang w:bidi="ar"/>
              </w:rPr>
              <w:t>.10满足设备正常运行使用的实验室改造，1套；</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val="en-US" w:eastAsia="zh-CN" w:bidi="ar"/>
              </w:rPr>
              <w:t>1.14</w:t>
            </w:r>
            <w:r>
              <w:rPr>
                <w:rFonts w:hint="eastAsia" w:ascii="宋体" w:hAnsi="宋体" w:eastAsia="宋体" w:cs="宋体"/>
                <w:kern w:val="0"/>
                <w:sz w:val="22"/>
                <w:szCs w:val="22"/>
                <w:lang w:bidi="ar"/>
              </w:rPr>
              <w:t>.11 投标人应对该设备的安装调试与电路连接改造以及持续使用提供保障服务；</w:t>
            </w:r>
          </w:p>
        </w:tc>
      </w:tr>
      <w:tr w14:paraId="655EB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421608D2">
            <w:pPr>
              <w:spacing w:line="360" w:lineRule="auto"/>
              <w:jc w:val="center"/>
              <w:rPr>
                <w:rFonts w:hint="eastAsia" w:ascii="宋体" w:hAnsi="宋体" w:eastAsia="宋体" w:cs="Times New Roman"/>
                <w:szCs w:val="21"/>
              </w:rPr>
            </w:pPr>
            <w:r>
              <w:rPr>
                <w:rFonts w:hint="eastAsia" w:ascii="宋体" w:hAnsi="宋体" w:eastAsia="宋体" w:cs="Times New Roman"/>
                <w:szCs w:val="21"/>
              </w:rPr>
              <w:t>4</w:t>
            </w:r>
          </w:p>
        </w:tc>
        <w:tc>
          <w:tcPr>
            <w:tcW w:w="1090" w:type="dxa"/>
            <w:tcBorders>
              <w:top w:val="single" w:color="auto" w:sz="4" w:space="0"/>
              <w:left w:val="nil"/>
              <w:bottom w:val="single" w:color="auto" w:sz="4" w:space="0"/>
              <w:right w:val="single" w:color="auto" w:sz="4" w:space="0"/>
            </w:tcBorders>
            <w:noWrap/>
            <w:vAlign w:val="center"/>
          </w:tcPr>
          <w:p w14:paraId="77D885D7">
            <w:pPr>
              <w:widowControl/>
              <w:jc w:val="center"/>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X射线荧光光谱仪</w:t>
            </w:r>
          </w:p>
        </w:tc>
        <w:tc>
          <w:tcPr>
            <w:tcW w:w="780" w:type="dxa"/>
            <w:tcBorders>
              <w:top w:val="single" w:color="auto" w:sz="4" w:space="0"/>
              <w:left w:val="nil"/>
              <w:bottom w:val="single" w:color="auto" w:sz="4" w:space="0"/>
              <w:right w:val="single" w:color="auto" w:sz="4" w:space="0"/>
            </w:tcBorders>
            <w:noWrap/>
            <w:vAlign w:val="center"/>
          </w:tcPr>
          <w:p w14:paraId="70BA4ADC">
            <w:pPr>
              <w:widowControl/>
              <w:jc w:val="center"/>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1台</w:t>
            </w:r>
          </w:p>
        </w:tc>
        <w:tc>
          <w:tcPr>
            <w:tcW w:w="7277" w:type="dxa"/>
            <w:tcBorders>
              <w:top w:val="single" w:color="auto" w:sz="4" w:space="0"/>
              <w:left w:val="nil"/>
              <w:bottom w:val="single" w:color="auto" w:sz="4" w:space="0"/>
              <w:right w:val="single" w:color="auto" w:sz="4" w:space="0"/>
            </w:tcBorders>
            <w:noWrap/>
            <w:vAlign w:val="center"/>
          </w:tcPr>
          <w:p w14:paraId="7A3C45B8">
            <w:pPr>
              <w:widowControl/>
              <w:spacing w:line="360" w:lineRule="auto"/>
              <w:jc w:val="left"/>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1.测定原理：X射线荧光分析法</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2.测定方法：能量色散型</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3.测定对象：固体、液体、粉末、各类金属、非金属、珠宝、金银铂钯、塑胶、油墨等</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▲4.测定范围：11Na—92U</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▲5.下照式设计</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6.适合于珠宝行业的内置专用分析测量软件：含 Au、Ag、Pt和Pd 4种校准分析工作曲线。</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7.X射线发生部：</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▲7.1 X射线管：Rh铑靶，对贵金属Au及Pt的L线有最佳的激发。</w:t>
            </w:r>
          </w:p>
          <w:p w14:paraId="41F942BB">
            <w:pPr>
              <w:widowControl/>
              <w:spacing w:line="360" w:lineRule="auto"/>
              <w:jc w:val="left"/>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7.2 功率：50W</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7.3 电压：4—50kV，每1KV 一档设置，可根据元素的序数位置选择适合的激发电压。</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7.4 电流：1—1,000μA</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7.5 冷却方式：风冷</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▲8.照射面积：配备直径1mm、3mm、5mm、10mm四个规格可任意自动切换，可以根据样品形状选择最适合的照射直径</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9.滤光片：5种+OPEN空白滤光片设计，可以用于消除分析干扰，应对不同的元素进行高灵敏度分析。</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10.仪器工作时，四周X射线泄漏量小于1μsv/h（国际标准），供货时提供环保局的辐射豁免证明。</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11.探测器分辨率：实测分辨率优于140eV</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12.检测器类型：采用高性能的SDD固体检测器。由高压电源、多种滤光片及准直器、SDD固体检测器、前置放大器，脉冲处理器，分析软件和计算机系统组成，全自动仪器自检和控制系统，仪器各工作点自动监控和实时显示。</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13.检测器制冷方式：电子制冷，零运行费用。</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14.检测器计数方式：数字滤光片计数处理</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15.光管控制：分析样品时自动开启和关闭。具有X光互锁机构，在意外打开测试舱时，仪器将自动关断射线。</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16.样品室测定环境：</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16.1 大气，正常测试条件</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16.2 真空，配置真空泵以及相应的控制系统，在真空环境下，轻元素（Na、Mg、Al等）也可实现高灵敏度检测</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17.样品观察：设备采用真彩色CMOS摄像系统，可调节亮度，对比度和缩放；下照式设计，更快更准的用于定位分析点以及检测微小样品，分析点的照片可截屏，报告中会粘贴测定开始时自动保存的样品图像，所以可以确认检测的样品部位。出具报告时可以粘贴在报告中。</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18.具有超大样品室，可无破坏地完成超大样品的分析，样品室的尺寸不小于300×275×100mm（长×宽×高），同时可完成超小样品1mm样品的分析。</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19.软件筛选分析：简单操作软件，可对有害元素进行筛选，如Pb、Cd、Cr、Hg、Br等，能精确到ppm级，主元素含量、有害物质含量能同时检测和显示。</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20.定性-定量分析：能分析样品中的元素种类和含量。测定&amp;分析软件，基本参数FP法，可提供全元素分析，测量精度高。通过定性分析可对宝石样品进行辅助测试判断。另外可提供EDX鉴别天然珍珠和海水珍珠、绿松石染色、红蓝宝是否是天然、贵金属镀层厚度等一些珠宝检测应用的测试方法。</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21.定量分析：包括定量分析工作曲线法，共存元素校正、专利的FP法（Fundamental Parameter (FP) Method）、专利的背景FP法（Background FP Method）等</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▲22.自动缩短时间功能：在做有害物质筛选分析时，如果在检测过程中就得知某有害物质元素的含量明显较高或者较低，将自动转到下一分析通道，从而节省时间，实现高效筛选</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23.匹配功能：将测定结果与保存的谱库比较，自动排列出最接近的物质</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▲24.配置自动设定平衡功能：样品主成分为C、H、O等时，软件会自动进行平衡设定。</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25.自校功能：</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25.1 铝合金校准样块：标配，用于日常的能量校正和峰位校正，软件会自动调节仪器参数，保证仪器性能的稳定</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25.2 有害元素校准样块：标配，测试有害物质时校准用，含Pb、Cd、Cr、Hg、Br等多种有害元素的塑胶块</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 xml:space="preserve">26.自动老化功能：仪器长期放置不使用再次启动时，仪器会自动强制进行光管老化处理，防止由于光管异常放电导致的仪器故障，可有效延长仪器的使用寿命。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27.环保节能功能：在待机不进行测量时，仪器会自动降低X光管功率，自动转入休眠节能模式。</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28.内置专业贵金属分析测量软件：含 Au 、Ag、 Pt和Pd 4种校准分析工作曲线，都是现场标定，建立相应的贵金属测量曲线，更适合于贵金属检测</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▲29.有害元素分析软件：有害元素和成分含量可同时显示，且只需一个软件即可实现</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30.内置镀层厚度分析软件</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▲31.工程师现场使用金银铂钯4套标样标定工作曲线，提高仪器测量的准确度；整个培训包括基本原理、操作、如何检测贵金属、有害元素、镀层厚度、宝石定性，用户样品现场测试，注意事项等内容。</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32.有害元素预警功能，贵金属成分测量和有害元素分析采用同一条件同步分析，在显示贵金属成分时，能同时显示有害物质的含量，起到预警作用。</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▲33.配备真空检测装置，提供真空检测环境，提高轻元素的灵敏度。</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▲34.配套工作曲线和不确定度值等运算应用软件：‌符合GB/T 18043-2013标准‌，支持校正曲线建立校验、不确定度计算及检验记录管理。‌提供校正曲线创建及选择功能‌，自动计算不确定度（含重复性、不均匀性Ud值和标准物质Ub值）。</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35.配置清单：</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35.1 能量色散X荧光光谱仪主机 1台</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35.2 真空装置 1套</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35.3 控制主机 1套</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35.4 电源线 1根</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35.5  USB线 1根</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35.6 能量校正铝块 1块</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35.7 有害物质校正塑胶块 1块</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35.8 能量色散X荧光光谱仪操作软件 1套</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 xml:space="preserve">35.9 </w:t>
            </w:r>
            <w:r>
              <w:rPr>
                <w:rFonts w:ascii="宋体" w:hAnsi="宋体" w:eastAsia="宋体" w:cs="宋体"/>
                <w:kern w:val="0"/>
                <w:sz w:val="22"/>
                <w:szCs w:val="22"/>
                <w:lang w:bidi="ar"/>
              </w:rPr>
              <w:t>迈拉膜500片，样品池100个</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35.10 工作曲线和不确定度值等运算应用软件 1套</w:t>
            </w:r>
          </w:p>
          <w:p w14:paraId="6258312E">
            <w:pPr>
              <w:widowControl/>
              <w:spacing w:line="360" w:lineRule="auto"/>
              <w:jc w:val="left"/>
              <w:textAlignment w:val="center"/>
              <w:rPr>
                <w:rFonts w:ascii="宋体" w:hAnsi="宋体" w:eastAsia="宋体" w:cs="宋体"/>
                <w:szCs w:val="21"/>
              </w:rPr>
            </w:pPr>
            <w:r>
              <w:rPr>
                <w:rFonts w:hint="eastAsia" w:ascii="宋体" w:hAnsi="宋体" w:eastAsia="宋体" w:cs="宋体"/>
                <w:kern w:val="0"/>
                <w:sz w:val="22"/>
                <w:szCs w:val="22"/>
                <w:lang w:bidi="ar"/>
              </w:rPr>
              <w:t xml:space="preserve">35.11 </w:t>
            </w:r>
            <w:r>
              <w:rPr>
                <w:rFonts w:ascii="宋体" w:hAnsi="宋体" w:eastAsia="宋体" w:cs="宋体"/>
                <w:kern w:val="0"/>
                <w:sz w:val="22"/>
                <w:szCs w:val="22"/>
                <w:lang w:bidi="ar"/>
              </w:rPr>
              <w:t>不低于12位自动样品转盘1套</w:t>
            </w:r>
          </w:p>
        </w:tc>
      </w:tr>
      <w:tr w14:paraId="45AE8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76035875">
            <w:pPr>
              <w:spacing w:line="360" w:lineRule="auto"/>
              <w:jc w:val="center"/>
              <w:rPr>
                <w:rFonts w:hint="eastAsia" w:ascii="宋体" w:hAnsi="宋体" w:eastAsia="宋体" w:cs="Times New Roman"/>
                <w:szCs w:val="21"/>
              </w:rPr>
            </w:pPr>
            <w:r>
              <w:rPr>
                <w:rFonts w:hint="eastAsia" w:ascii="宋体" w:hAnsi="宋体" w:eastAsia="宋体" w:cs="Times New Roman"/>
                <w:szCs w:val="21"/>
              </w:rPr>
              <w:t>5</w:t>
            </w:r>
          </w:p>
        </w:tc>
        <w:tc>
          <w:tcPr>
            <w:tcW w:w="1090" w:type="dxa"/>
            <w:tcBorders>
              <w:top w:val="single" w:color="auto" w:sz="4" w:space="0"/>
              <w:left w:val="nil"/>
              <w:bottom w:val="single" w:color="auto" w:sz="4" w:space="0"/>
              <w:right w:val="single" w:color="auto" w:sz="4" w:space="0"/>
            </w:tcBorders>
            <w:noWrap/>
            <w:vAlign w:val="center"/>
          </w:tcPr>
          <w:p w14:paraId="7116BEAD">
            <w:pPr>
              <w:widowControl/>
              <w:jc w:val="center"/>
              <w:textAlignment w:val="center"/>
              <w:rPr>
                <w:rFonts w:ascii="Times New Roman" w:hAnsi="Times New Roman" w:eastAsia="宋体" w:cs="Times New Roman"/>
                <w:szCs w:val="21"/>
              </w:rPr>
            </w:pPr>
            <w:r>
              <w:rPr>
                <w:rFonts w:hint="eastAsia" w:ascii="宋体" w:hAnsi="宋体" w:eastAsia="宋体" w:cs="宋体"/>
                <w:color w:val="000000"/>
                <w:kern w:val="0"/>
                <w:sz w:val="22"/>
                <w:szCs w:val="22"/>
                <w:lang w:bidi="ar"/>
              </w:rPr>
              <w:t>VOC环境采样舱</w:t>
            </w:r>
          </w:p>
        </w:tc>
        <w:tc>
          <w:tcPr>
            <w:tcW w:w="780" w:type="dxa"/>
            <w:tcBorders>
              <w:top w:val="single" w:color="auto" w:sz="4" w:space="0"/>
              <w:left w:val="nil"/>
              <w:bottom w:val="single" w:color="auto" w:sz="4" w:space="0"/>
              <w:right w:val="single" w:color="auto" w:sz="4" w:space="0"/>
            </w:tcBorders>
            <w:noWrap/>
            <w:vAlign w:val="center"/>
          </w:tcPr>
          <w:p w14:paraId="75D47E3B">
            <w:pPr>
              <w:widowControl/>
              <w:jc w:val="center"/>
              <w:textAlignment w:val="center"/>
              <w:rPr>
                <w:rFonts w:ascii="Times New Roman" w:hAnsi="Times New Roman" w:eastAsia="宋体" w:cs="Times New Roman"/>
                <w:szCs w:val="21"/>
              </w:rPr>
            </w:pPr>
            <w:r>
              <w:rPr>
                <w:rFonts w:hint="eastAsia" w:ascii="Times New Roman" w:hAnsi="Times New Roman" w:eastAsia="宋体" w:cs="Times New Roman"/>
                <w:szCs w:val="21"/>
              </w:rPr>
              <w:t>1套</w:t>
            </w:r>
          </w:p>
        </w:tc>
        <w:tc>
          <w:tcPr>
            <w:tcW w:w="7277" w:type="dxa"/>
            <w:tcBorders>
              <w:top w:val="single" w:color="auto" w:sz="4" w:space="0"/>
              <w:left w:val="nil"/>
              <w:bottom w:val="single" w:color="auto" w:sz="4" w:space="0"/>
              <w:right w:val="single" w:color="auto" w:sz="4" w:space="0"/>
            </w:tcBorders>
            <w:noWrap/>
            <w:vAlign w:val="center"/>
          </w:tcPr>
          <w:p w14:paraId="03090440">
            <w:pPr>
              <w:spacing w:line="360" w:lineRule="auto"/>
              <w:rPr>
                <w:rFonts w:hint="eastAsia" w:ascii="宋体" w:hAnsi="宋体" w:eastAsia="宋体" w:cs="宋体"/>
                <w:kern w:val="0"/>
                <w:szCs w:val="21"/>
                <w:lang w:bidi="ar"/>
              </w:rPr>
            </w:pPr>
            <w:r>
              <w:rPr>
                <w:rFonts w:hint="eastAsia" w:ascii="宋体" w:hAnsi="宋体" w:eastAsia="宋体" w:cs="宋体"/>
                <w:kern w:val="0"/>
                <w:szCs w:val="21"/>
                <w:lang w:bidi="ar"/>
              </w:rPr>
              <w:t>1、技术指标：</w:t>
            </w:r>
          </w:p>
          <w:p w14:paraId="54A656A5">
            <w:pPr>
              <w:spacing w:line="360" w:lineRule="auto"/>
              <w:rPr>
                <w:rFonts w:hint="eastAsia" w:ascii="宋体" w:hAnsi="宋体" w:eastAsia="宋体" w:cs="宋体"/>
                <w:kern w:val="0"/>
                <w:szCs w:val="21"/>
                <w:lang w:bidi="ar"/>
              </w:rPr>
            </w:pPr>
            <w:r>
              <w:rPr>
                <w:rFonts w:hint="eastAsia" w:ascii="宋体" w:hAnsi="宋体" w:eastAsia="宋体" w:cs="宋体"/>
                <w:kern w:val="0"/>
                <w:szCs w:val="21"/>
                <w:lang w:bidi="ar"/>
              </w:rPr>
              <w:t>1.1 设备用于家具及材料、木制品、玩具、建材等产品的甲醛/VOC的检测，设备应满足以下标准：</w:t>
            </w:r>
          </w:p>
          <w:p w14:paraId="57ABDF78">
            <w:pPr>
              <w:spacing w:line="360" w:lineRule="auto"/>
              <w:rPr>
                <w:rFonts w:hint="eastAsia" w:ascii="宋体" w:hAnsi="宋体" w:eastAsia="宋体" w:cs="宋体"/>
                <w:kern w:val="0"/>
                <w:szCs w:val="21"/>
                <w:lang w:bidi="ar"/>
              </w:rPr>
            </w:pPr>
            <w:r>
              <w:rPr>
                <w:rFonts w:hint="eastAsia" w:ascii="宋体" w:hAnsi="宋体" w:eastAsia="宋体" w:cs="宋体"/>
                <w:kern w:val="0"/>
                <w:szCs w:val="21"/>
                <w:lang w:bidi="ar"/>
              </w:rPr>
              <w:t>1.1.1 GB 18584-2024 家具中有害物质限量</w:t>
            </w:r>
          </w:p>
          <w:p w14:paraId="0ED23D34">
            <w:pPr>
              <w:spacing w:line="360" w:lineRule="auto"/>
              <w:rPr>
                <w:rFonts w:hint="eastAsia" w:ascii="宋体" w:hAnsi="宋体" w:eastAsia="宋体" w:cs="宋体"/>
                <w:kern w:val="0"/>
                <w:szCs w:val="21"/>
                <w:lang w:bidi="ar"/>
              </w:rPr>
            </w:pPr>
            <w:r>
              <w:rPr>
                <w:rFonts w:hint="eastAsia" w:ascii="宋体" w:hAnsi="宋体" w:eastAsia="宋体" w:cs="宋体"/>
                <w:kern w:val="0"/>
                <w:szCs w:val="21"/>
                <w:lang w:bidi="ar"/>
              </w:rPr>
              <w:t>1.1.2 JJF182(建材)-2021  建材产品挥发物检测用环境测试舱校准规范</w:t>
            </w:r>
          </w:p>
          <w:p w14:paraId="6B9C0167">
            <w:pPr>
              <w:spacing w:line="360" w:lineRule="auto"/>
              <w:rPr>
                <w:rFonts w:hint="eastAsia" w:ascii="宋体" w:hAnsi="宋体" w:eastAsia="宋体" w:cs="宋体"/>
                <w:kern w:val="0"/>
                <w:szCs w:val="21"/>
                <w:lang w:bidi="ar"/>
              </w:rPr>
            </w:pPr>
            <w:r>
              <w:rPr>
                <w:rFonts w:hint="eastAsia" w:ascii="宋体" w:hAnsi="宋体" w:eastAsia="宋体" w:cs="宋体"/>
                <w:kern w:val="0"/>
                <w:szCs w:val="21"/>
                <w:lang w:bidi="ar"/>
              </w:rPr>
              <w:t>1.1.3 GB/T 46509-2025 玩具中挥发性有机化合物释放量的测定</w:t>
            </w:r>
          </w:p>
          <w:p w14:paraId="4C1DEAE5">
            <w:pPr>
              <w:spacing w:line="360" w:lineRule="auto"/>
              <w:rPr>
                <w:rFonts w:hint="eastAsia" w:ascii="宋体" w:hAnsi="宋体" w:eastAsia="宋体" w:cs="宋体"/>
                <w:kern w:val="0"/>
                <w:szCs w:val="21"/>
                <w:lang w:bidi="ar"/>
              </w:rPr>
            </w:pPr>
            <w:r>
              <w:rPr>
                <w:rFonts w:hint="eastAsia" w:ascii="宋体" w:hAnsi="宋体" w:eastAsia="宋体" w:cs="宋体"/>
                <w:kern w:val="0"/>
                <w:szCs w:val="21"/>
                <w:lang w:bidi="ar"/>
              </w:rPr>
              <w:t>1.1.4 GB/T 43276-2023 玩具材料中甲酰胺释放量的测定</w:t>
            </w:r>
          </w:p>
          <w:p w14:paraId="6304F074">
            <w:pPr>
              <w:spacing w:line="360" w:lineRule="auto"/>
              <w:rPr>
                <w:rFonts w:hint="eastAsia" w:ascii="宋体" w:hAnsi="宋体" w:eastAsia="宋体" w:cs="宋体"/>
                <w:kern w:val="0"/>
                <w:szCs w:val="21"/>
                <w:lang w:bidi="ar"/>
              </w:rPr>
            </w:pPr>
            <w:r>
              <w:rPr>
                <w:rFonts w:hint="eastAsia" w:ascii="宋体" w:hAnsi="宋体" w:eastAsia="宋体" w:cs="宋体"/>
                <w:kern w:val="0"/>
                <w:szCs w:val="21"/>
                <w:lang w:bidi="ar"/>
              </w:rPr>
              <w:t>1.2 设备参数：</w:t>
            </w:r>
          </w:p>
          <w:p w14:paraId="017D2164">
            <w:pPr>
              <w:spacing w:line="360" w:lineRule="auto"/>
              <w:rPr>
                <w:rFonts w:hint="eastAsia" w:ascii="宋体" w:hAnsi="宋体" w:eastAsia="宋体" w:cs="宋体"/>
                <w:kern w:val="0"/>
                <w:szCs w:val="21"/>
                <w:lang w:bidi="ar"/>
              </w:rPr>
            </w:pPr>
            <w:r>
              <w:rPr>
                <w:rFonts w:hint="eastAsia" w:ascii="宋体" w:hAnsi="宋体" w:eastAsia="宋体" w:cs="宋体"/>
                <w:kern w:val="0"/>
                <w:szCs w:val="21"/>
                <w:lang w:bidi="ar"/>
              </w:rPr>
              <w:t>1.2.1设备容积（舱容）：0.06m</w:t>
            </w:r>
            <w:r>
              <w:rPr>
                <w:rFonts w:hint="eastAsia" w:ascii="宋体" w:hAnsi="宋体" w:eastAsia="宋体" w:cs="宋体"/>
                <w:kern w:val="0"/>
                <w:szCs w:val="21"/>
                <w:vertAlign w:val="superscript"/>
                <w:lang w:bidi="ar"/>
              </w:rPr>
              <w:t>3</w:t>
            </w:r>
            <w:r>
              <w:rPr>
                <w:rFonts w:hint="eastAsia" w:ascii="宋体" w:hAnsi="宋体" w:eastAsia="宋体" w:cs="宋体"/>
                <w:kern w:val="0"/>
                <w:szCs w:val="21"/>
                <w:lang w:bidi="ar"/>
              </w:rPr>
              <w:t>±3%，0.225m</w:t>
            </w:r>
            <w:r>
              <w:rPr>
                <w:rFonts w:hint="eastAsia" w:ascii="宋体" w:hAnsi="宋体" w:eastAsia="宋体" w:cs="宋体"/>
                <w:kern w:val="0"/>
                <w:szCs w:val="21"/>
                <w:vertAlign w:val="superscript"/>
                <w:lang w:bidi="ar"/>
              </w:rPr>
              <w:t>3</w:t>
            </w:r>
            <w:r>
              <w:rPr>
                <w:rFonts w:hint="eastAsia" w:ascii="宋体" w:hAnsi="宋体" w:eastAsia="宋体" w:cs="宋体"/>
                <w:kern w:val="0"/>
                <w:szCs w:val="21"/>
                <w:lang w:bidi="ar"/>
              </w:rPr>
              <w:t>±3%，0.5m</w:t>
            </w:r>
            <w:r>
              <w:rPr>
                <w:rFonts w:hint="eastAsia" w:ascii="宋体" w:hAnsi="宋体" w:eastAsia="宋体" w:cs="宋体"/>
                <w:kern w:val="0"/>
                <w:szCs w:val="21"/>
                <w:vertAlign w:val="superscript"/>
                <w:lang w:bidi="ar"/>
              </w:rPr>
              <w:t>3</w:t>
            </w:r>
            <w:r>
              <w:rPr>
                <w:rFonts w:hint="eastAsia" w:ascii="宋体" w:hAnsi="宋体" w:eastAsia="宋体" w:cs="宋体"/>
                <w:kern w:val="0"/>
                <w:szCs w:val="21"/>
                <w:lang w:bidi="ar"/>
              </w:rPr>
              <w:t>±3%，一拖3组合舱，单仓可独立控制。</w:t>
            </w:r>
          </w:p>
          <w:p w14:paraId="4F24410B">
            <w:pPr>
              <w:spacing w:line="360" w:lineRule="auto"/>
              <w:rPr>
                <w:rFonts w:hint="eastAsia" w:ascii="宋体" w:hAnsi="宋体" w:eastAsia="宋体" w:cs="宋体"/>
                <w:kern w:val="0"/>
                <w:szCs w:val="21"/>
                <w:lang w:bidi="ar"/>
              </w:rPr>
            </w:pPr>
            <w:r>
              <w:rPr>
                <w:rFonts w:hint="eastAsia" w:ascii="宋体" w:hAnsi="宋体" w:eastAsia="宋体" w:cs="宋体"/>
                <w:kern w:val="0"/>
                <w:szCs w:val="21"/>
                <w:lang w:bidi="ar"/>
              </w:rPr>
              <w:t>1.2.2温度控制范围：10℃～30℃，湿度控制范围：40%RH～70%RH；温湿度波动度：±0.5℃／±3%RH；温湿度偏差：±1.0℃／±3%RH；温湿度均匀度：1℃／2%RH；</w:t>
            </w:r>
          </w:p>
          <w:p w14:paraId="67F6B4EC">
            <w:pPr>
              <w:spacing w:line="360" w:lineRule="auto"/>
              <w:rPr>
                <w:rFonts w:hint="eastAsia" w:ascii="宋体" w:hAnsi="宋体" w:eastAsia="宋体" w:cs="宋体"/>
                <w:kern w:val="0"/>
                <w:szCs w:val="21"/>
                <w:lang w:bidi="ar"/>
              </w:rPr>
            </w:pPr>
            <w:r>
              <w:rPr>
                <w:rFonts w:hint="eastAsia" w:ascii="宋体" w:hAnsi="宋体" w:eastAsia="宋体" w:cs="宋体"/>
                <w:kern w:val="0"/>
                <w:szCs w:val="21"/>
                <w:lang w:bidi="ar"/>
              </w:rPr>
              <w:t>1.2.3空气流速可调范围（0.1～0.3）m/s。</w:t>
            </w:r>
          </w:p>
          <w:p w14:paraId="0FA8217D">
            <w:pPr>
              <w:spacing w:line="360" w:lineRule="auto"/>
              <w:rPr>
                <w:rFonts w:hint="eastAsia" w:ascii="宋体" w:hAnsi="宋体" w:eastAsia="宋体" w:cs="宋体"/>
                <w:kern w:val="0"/>
                <w:szCs w:val="21"/>
                <w:lang w:bidi="ar"/>
              </w:rPr>
            </w:pPr>
            <w:r>
              <w:rPr>
                <w:rFonts w:hint="eastAsia" w:ascii="宋体" w:hAnsi="宋体" w:eastAsia="宋体" w:cs="宋体"/>
                <w:kern w:val="0"/>
                <w:szCs w:val="21"/>
                <w:lang w:bidi="ar"/>
              </w:rPr>
              <w:t>▲ 1.2.4空气交换率：调节范围0.2～2次，调节精度±3%。换气流量补偿功能：根据舱内温度/湿度，环境大气压力，对进气流量进行补偿；</w:t>
            </w:r>
          </w:p>
          <w:p w14:paraId="7BEEC765">
            <w:pPr>
              <w:spacing w:line="360" w:lineRule="auto"/>
              <w:rPr>
                <w:rFonts w:hint="eastAsia" w:ascii="宋体" w:hAnsi="宋体" w:eastAsia="宋体" w:cs="宋体"/>
                <w:kern w:val="0"/>
                <w:szCs w:val="21"/>
                <w:lang w:bidi="ar"/>
              </w:rPr>
            </w:pPr>
            <w:r>
              <w:rPr>
                <w:rFonts w:hint="eastAsia" w:ascii="宋体" w:hAnsi="宋体" w:eastAsia="宋体" w:cs="宋体"/>
                <w:kern w:val="0"/>
                <w:szCs w:val="21"/>
                <w:lang w:bidi="ar"/>
              </w:rPr>
              <w:t>▲1.2.5设备密闭性：测试舱密闭性应满足在1kPa正压（表压）时、舱内空气泄漏率VL≤0.5%×舱容/min，或者舱内空气泄漏率VL≤5%×供气率Vs。</w:t>
            </w:r>
          </w:p>
          <w:p w14:paraId="45EF9FC4">
            <w:pPr>
              <w:spacing w:line="360" w:lineRule="auto"/>
              <w:rPr>
                <w:rFonts w:hint="eastAsia" w:ascii="宋体" w:hAnsi="宋体" w:eastAsia="宋体" w:cs="宋体"/>
                <w:kern w:val="0"/>
                <w:szCs w:val="21"/>
                <w:lang w:bidi="ar"/>
              </w:rPr>
            </w:pPr>
            <w:r>
              <w:rPr>
                <w:rFonts w:hint="eastAsia" w:ascii="宋体" w:hAnsi="宋体" w:eastAsia="宋体" w:cs="宋体"/>
                <w:kern w:val="0"/>
                <w:szCs w:val="21"/>
                <w:lang w:bidi="ar"/>
              </w:rPr>
              <w:t>▲1.2.6测试舱内本底浓度：空载时，甲醛本底浓度≤0.006mg/m³，TVOC本底浓度≤0.02mg/m³，单体VOC本底浓度≤0.002mg/m³。</w:t>
            </w:r>
          </w:p>
          <w:p w14:paraId="044E86FD">
            <w:pPr>
              <w:spacing w:line="360" w:lineRule="auto"/>
              <w:rPr>
                <w:rFonts w:hint="eastAsia" w:ascii="宋体" w:hAnsi="宋体" w:eastAsia="宋体" w:cs="宋体"/>
                <w:kern w:val="0"/>
                <w:szCs w:val="21"/>
                <w:lang w:bidi="ar"/>
              </w:rPr>
            </w:pPr>
            <w:r>
              <w:rPr>
                <w:rFonts w:hint="eastAsia" w:ascii="宋体" w:hAnsi="宋体" w:eastAsia="宋体" w:cs="宋体"/>
                <w:kern w:val="0"/>
                <w:szCs w:val="21"/>
                <w:lang w:bidi="ar"/>
              </w:rPr>
              <w:t>▲1.2.7舱内VOC/甲醛反应物背景要求至少满足GB/T 18883的要求：颗粒物，臭氧，NO2，SO2等</w:t>
            </w:r>
          </w:p>
          <w:p w14:paraId="4507F3A3">
            <w:pPr>
              <w:spacing w:line="360" w:lineRule="auto"/>
              <w:rPr>
                <w:rFonts w:hint="eastAsia" w:ascii="宋体" w:hAnsi="宋体" w:eastAsia="宋体" w:cs="宋体"/>
                <w:kern w:val="0"/>
                <w:szCs w:val="21"/>
                <w:lang w:bidi="ar"/>
              </w:rPr>
            </w:pPr>
            <w:r>
              <w:rPr>
                <w:rFonts w:hint="eastAsia" w:ascii="宋体" w:hAnsi="宋体" w:eastAsia="宋体" w:cs="宋体"/>
                <w:kern w:val="0"/>
                <w:szCs w:val="21"/>
                <w:lang w:bidi="ar"/>
              </w:rPr>
              <w:t>▲1.2.8设备平均回收率：80%～120%（甲苯和正十二烷）。</w:t>
            </w:r>
          </w:p>
          <w:p w14:paraId="3B49F9A3">
            <w:pPr>
              <w:spacing w:line="360" w:lineRule="auto"/>
              <w:rPr>
                <w:rFonts w:hint="eastAsia" w:ascii="宋体" w:hAnsi="宋体" w:eastAsia="宋体" w:cs="宋体"/>
                <w:kern w:val="0"/>
                <w:szCs w:val="21"/>
                <w:lang w:bidi="ar"/>
              </w:rPr>
            </w:pPr>
            <w:r>
              <w:rPr>
                <w:rFonts w:hint="eastAsia" w:ascii="宋体" w:hAnsi="宋体" w:eastAsia="宋体" w:cs="宋体"/>
                <w:kern w:val="0"/>
                <w:szCs w:val="21"/>
                <w:lang w:bidi="ar"/>
              </w:rPr>
              <w:t>1.2.9设备运行时，测试舱内相对于外界压力：15±5Pa。</w:t>
            </w:r>
          </w:p>
          <w:p w14:paraId="04365882">
            <w:pPr>
              <w:spacing w:line="360" w:lineRule="auto"/>
              <w:rPr>
                <w:rFonts w:hint="eastAsia" w:ascii="宋体" w:hAnsi="宋体" w:eastAsia="宋体" w:cs="宋体"/>
                <w:kern w:val="0"/>
                <w:szCs w:val="21"/>
                <w:lang w:bidi="ar"/>
              </w:rPr>
            </w:pPr>
            <w:r>
              <w:rPr>
                <w:rFonts w:hint="eastAsia" w:ascii="宋体" w:hAnsi="宋体" w:eastAsia="宋体" w:cs="宋体"/>
                <w:kern w:val="0"/>
                <w:szCs w:val="21"/>
                <w:lang w:bidi="ar"/>
              </w:rPr>
              <w:t>1.2.10设备供电电压(380±38)V、供电频率(50±0.5)Hz。</w:t>
            </w:r>
          </w:p>
          <w:p w14:paraId="5D02BBFC">
            <w:pPr>
              <w:spacing w:line="360" w:lineRule="auto"/>
              <w:rPr>
                <w:rFonts w:hint="eastAsia" w:ascii="宋体" w:hAnsi="宋体" w:eastAsia="宋体" w:cs="宋体"/>
                <w:kern w:val="0"/>
                <w:szCs w:val="21"/>
                <w:lang w:bidi="ar"/>
              </w:rPr>
            </w:pPr>
            <w:r>
              <w:rPr>
                <w:rFonts w:hint="eastAsia" w:ascii="宋体" w:hAnsi="宋体" w:eastAsia="宋体" w:cs="宋体"/>
                <w:kern w:val="0"/>
                <w:szCs w:val="21"/>
                <w:lang w:bidi="ar"/>
              </w:rPr>
              <w:t>1.2.11设备工作时噪声</w:t>
            </w:r>
            <w:r>
              <w:rPr>
                <w:rFonts w:hint="eastAsia" w:ascii="宋体" w:hAnsi="宋体" w:eastAsia="宋体" w:cs="宋体"/>
                <w:szCs w:val="21"/>
              </w:rPr>
              <w:t>≤</w:t>
            </w:r>
            <w:r>
              <w:rPr>
                <w:rFonts w:hint="eastAsia" w:ascii="宋体" w:hAnsi="宋体" w:eastAsia="宋体" w:cs="宋体"/>
                <w:kern w:val="0"/>
                <w:szCs w:val="21"/>
                <w:lang w:bidi="ar"/>
              </w:rPr>
              <w:t>65dBA。</w:t>
            </w:r>
          </w:p>
          <w:p w14:paraId="6F059150">
            <w:pPr>
              <w:spacing w:line="360" w:lineRule="auto"/>
              <w:rPr>
                <w:rFonts w:hint="eastAsia" w:ascii="宋体" w:hAnsi="宋体" w:eastAsia="宋体" w:cs="宋体"/>
                <w:kern w:val="0"/>
                <w:szCs w:val="21"/>
                <w:lang w:bidi="ar"/>
              </w:rPr>
            </w:pPr>
            <w:r>
              <w:rPr>
                <w:rFonts w:hint="eastAsia" w:ascii="宋体" w:hAnsi="宋体" w:eastAsia="宋体" w:cs="宋体"/>
                <w:kern w:val="0"/>
                <w:szCs w:val="21"/>
                <w:lang w:bidi="ar"/>
              </w:rPr>
              <w:t>1.2.12 释放舱和供气管路内壁、载气循环装置和样品架外壁表面应光滑无吸附且易于清洗。</w:t>
            </w:r>
          </w:p>
          <w:p w14:paraId="5031925A">
            <w:pPr>
              <w:spacing w:line="360" w:lineRule="auto"/>
              <w:rPr>
                <w:rFonts w:hint="eastAsia" w:ascii="宋体" w:hAnsi="宋体" w:eastAsia="宋体" w:cs="宋体"/>
                <w:kern w:val="0"/>
                <w:szCs w:val="21"/>
                <w:lang w:bidi="ar"/>
              </w:rPr>
            </w:pPr>
            <w:r>
              <w:rPr>
                <w:rFonts w:hint="eastAsia" w:ascii="宋体" w:hAnsi="宋体" w:eastAsia="宋体" w:cs="宋体"/>
                <w:kern w:val="0"/>
                <w:szCs w:val="21"/>
                <w:lang w:bidi="ar"/>
              </w:rPr>
              <w:t>1.2.13 释放舱内壁、连接管线内壁、空气循环装置及样品架应为不与试件(测试样品)释放物发生反应、不吸附和释放挥发性有机化合物、醛酮类化合物的惰性材料，如不锈钢等舱门和试件的密封材料应证明不会增加释放舱的背景浓度。材料在高温热清洗条件下应保持稳定</w:t>
            </w:r>
          </w:p>
          <w:p w14:paraId="16592765">
            <w:pPr>
              <w:spacing w:line="360" w:lineRule="auto"/>
              <w:rPr>
                <w:rFonts w:hint="eastAsia" w:ascii="宋体" w:hAnsi="宋体" w:eastAsia="宋体" w:cs="宋体"/>
                <w:kern w:val="0"/>
                <w:szCs w:val="21"/>
                <w:lang w:bidi="ar"/>
              </w:rPr>
            </w:pPr>
            <w:r>
              <w:rPr>
                <w:rFonts w:hint="eastAsia" w:ascii="宋体" w:hAnsi="宋体" w:eastAsia="宋体" w:cs="宋体"/>
                <w:kern w:val="0"/>
                <w:szCs w:val="21"/>
                <w:lang w:bidi="ar"/>
              </w:rPr>
              <w:t>▲1.2.14 关闭气候舱门；将舱外环境温度降至舱内空气的露点以下，无结露风险。</w:t>
            </w:r>
          </w:p>
          <w:p w14:paraId="72E77353">
            <w:pPr>
              <w:spacing w:line="360" w:lineRule="auto"/>
              <w:rPr>
                <w:rFonts w:hint="eastAsia" w:ascii="宋体" w:hAnsi="宋体" w:eastAsia="宋体" w:cs="宋体"/>
                <w:kern w:val="0"/>
                <w:szCs w:val="21"/>
                <w:lang w:bidi="ar"/>
              </w:rPr>
            </w:pPr>
            <w:r>
              <w:rPr>
                <w:rFonts w:hint="eastAsia" w:ascii="宋体" w:hAnsi="宋体" w:eastAsia="宋体" w:cs="宋体"/>
                <w:kern w:val="0"/>
                <w:szCs w:val="21"/>
                <w:lang w:bidi="ar"/>
              </w:rPr>
              <w:t>1.3 设备外观：涂镀层应平整光滑，色泽均匀，边与边之间缝隙均匀细小，无露底、起层、鼓泡、斑痕、较深划痕等缺陷。</w:t>
            </w:r>
          </w:p>
          <w:p w14:paraId="4F041CB0">
            <w:pPr>
              <w:spacing w:line="360" w:lineRule="auto"/>
              <w:rPr>
                <w:rFonts w:hint="eastAsia" w:ascii="宋体" w:hAnsi="宋体" w:eastAsia="宋体" w:cs="宋体"/>
                <w:kern w:val="0"/>
                <w:szCs w:val="21"/>
                <w:lang w:bidi="ar"/>
              </w:rPr>
            </w:pPr>
            <w:r>
              <w:rPr>
                <w:rFonts w:hint="eastAsia" w:ascii="宋体" w:hAnsi="宋体" w:eastAsia="宋体" w:cs="宋体"/>
                <w:kern w:val="0"/>
                <w:szCs w:val="21"/>
                <w:lang w:bidi="ar"/>
              </w:rPr>
              <w:t>▲1.4 环境舱内壁采用304不锈钢，不锈钢厚度为≥2mm，环境舱内壁和门表面经过表面防吸附处理。</w:t>
            </w:r>
          </w:p>
          <w:p w14:paraId="386ED0E1">
            <w:pPr>
              <w:spacing w:line="360" w:lineRule="auto"/>
              <w:rPr>
                <w:rFonts w:hint="eastAsia" w:ascii="宋体" w:hAnsi="宋体" w:eastAsia="宋体" w:cs="宋体"/>
                <w:kern w:val="0"/>
                <w:szCs w:val="21"/>
                <w:lang w:bidi="ar"/>
              </w:rPr>
            </w:pPr>
            <w:r>
              <w:rPr>
                <w:rFonts w:hint="eastAsia" w:ascii="宋体" w:hAnsi="宋体" w:eastAsia="宋体" w:cs="宋体"/>
                <w:kern w:val="0"/>
                <w:szCs w:val="21"/>
                <w:lang w:bidi="ar"/>
              </w:rPr>
              <w:t>▲1.5 环境舱门密封条采用无甲醛、VOC释放，密封条的甲醛释放量＜5μg/m³、TVOC释放量＜50μg/m³。</w:t>
            </w:r>
          </w:p>
          <w:p w14:paraId="29AB839A">
            <w:pPr>
              <w:spacing w:line="360" w:lineRule="auto"/>
              <w:rPr>
                <w:rFonts w:hint="eastAsia" w:ascii="宋体" w:hAnsi="宋体" w:eastAsia="宋体" w:cs="宋体"/>
                <w:kern w:val="0"/>
                <w:szCs w:val="21"/>
                <w:lang w:bidi="ar"/>
              </w:rPr>
            </w:pPr>
            <w:r>
              <w:rPr>
                <w:rFonts w:hint="eastAsia" w:ascii="宋体" w:hAnsi="宋体" w:eastAsia="宋体" w:cs="宋体"/>
                <w:kern w:val="0"/>
                <w:szCs w:val="21"/>
                <w:lang w:bidi="ar"/>
              </w:rPr>
              <w:t>▲1.6 环境舱内无冷凝管，不产生任何液态水，环境舱采用半导体制冷或者全封闭式活塞压缩机制冷，冷媒采用环保冷媒，并根据环境温度自动配置制冷量，实现最低能耗控制。环境舱全年使用平均能耗不大于1kwh/h。</w:t>
            </w:r>
          </w:p>
          <w:p w14:paraId="3630C571">
            <w:pPr>
              <w:spacing w:line="360" w:lineRule="auto"/>
              <w:rPr>
                <w:rFonts w:hint="eastAsia" w:ascii="宋体" w:hAnsi="宋体" w:eastAsia="宋体" w:cs="宋体"/>
                <w:kern w:val="0"/>
                <w:szCs w:val="21"/>
                <w:lang w:bidi="ar"/>
              </w:rPr>
            </w:pPr>
            <w:r>
              <w:rPr>
                <w:rFonts w:hint="eastAsia" w:ascii="宋体" w:hAnsi="宋体" w:eastAsia="宋体" w:cs="宋体"/>
                <w:kern w:val="0"/>
                <w:szCs w:val="21"/>
                <w:lang w:bidi="ar"/>
              </w:rPr>
              <w:t>▲1.7制冷装置冗余设计，保证28天超长时间测试的连续性；</w:t>
            </w:r>
          </w:p>
          <w:p w14:paraId="6299F63A">
            <w:pPr>
              <w:spacing w:line="360" w:lineRule="auto"/>
              <w:rPr>
                <w:rFonts w:hint="eastAsia" w:ascii="宋体" w:hAnsi="宋体" w:eastAsia="宋体" w:cs="宋体"/>
                <w:kern w:val="0"/>
                <w:szCs w:val="21"/>
                <w:lang w:bidi="ar"/>
              </w:rPr>
            </w:pPr>
            <w:r>
              <w:rPr>
                <w:rFonts w:hint="eastAsia" w:ascii="宋体" w:hAnsi="宋体" w:eastAsia="宋体" w:cs="宋体"/>
                <w:kern w:val="0"/>
                <w:szCs w:val="21"/>
                <w:lang w:bidi="ar"/>
              </w:rPr>
              <w:t>▲1.8 气源进口除水雾设计。</w:t>
            </w:r>
          </w:p>
          <w:p w14:paraId="7221446E">
            <w:pPr>
              <w:spacing w:line="360" w:lineRule="auto"/>
              <w:rPr>
                <w:rFonts w:hint="eastAsia" w:ascii="宋体" w:hAnsi="宋体" w:eastAsia="宋体" w:cs="宋体"/>
                <w:kern w:val="0"/>
                <w:szCs w:val="21"/>
                <w:lang w:bidi="ar"/>
              </w:rPr>
            </w:pPr>
            <w:r>
              <w:rPr>
                <w:rFonts w:hint="eastAsia" w:ascii="宋体" w:hAnsi="宋体" w:eastAsia="宋体" w:cs="宋体"/>
                <w:kern w:val="0"/>
                <w:szCs w:val="21"/>
                <w:lang w:bidi="ar"/>
              </w:rPr>
              <w:t>1.9环境舱湿度控制采用干湿空气平衡调节法，由冷干除湿机、加湿装置、分流控制系统等组成，加湿装置设置有自动恒温控制装置，可根据测试温湿度自行调整加湿水箱的温度。</w:t>
            </w:r>
          </w:p>
          <w:p w14:paraId="1C9B6558">
            <w:pPr>
              <w:spacing w:line="360" w:lineRule="auto"/>
              <w:rPr>
                <w:rFonts w:hint="eastAsia" w:ascii="宋体" w:hAnsi="宋体" w:eastAsia="宋体" w:cs="宋体"/>
                <w:kern w:val="0"/>
                <w:szCs w:val="21"/>
                <w:lang w:bidi="ar"/>
              </w:rPr>
            </w:pPr>
            <w:r>
              <w:rPr>
                <w:rFonts w:hint="eastAsia" w:ascii="宋体" w:hAnsi="宋体" w:eastAsia="宋体" w:cs="宋体"/>
                <w:kern w:val="0"/>
                <w:szCs w:val="21"/>
                <w:lang w:bidi="ar"/>
              </w:rPr>
              <w:t>1.10 环境舱控制系统采用不低于7英寸彩色触摸屏。配套采用性能稳定可靠的PLC控制器，控制系统能连续和实时监控、记录舱内的温度、相对湿度、压力、空气置换率、时间等控制参数，可实现系统控制、程序设定、动态数据显示和历史数据回放、故障记录、报警设置等功能。</w:t>
            </w:r>
          </w:p>
          <w:p w14:paraId="47FA67F0">
            <w:pPr>
              <w:spacing w:line="360" w:lineRule="auto"/>
              <w:rPr>
                <w:rFonts w:hint="eastAsia" w:ascii="宋体" w:hAnsi="宋体" w:eastAsia="宋体" w:cs="宋体"/>
                <w:kern w:val="0"/>
                <w:szCs w:val="21"/>
                <w:lang w:bidi="ar"/>
              </w:rPr>
            </w:pPr>
            <w:r>
              <w:rPr>
                <w:rFonts w:hint="eastAsia" w:ascii="宋体" w:hAnsi="宋体" w:eastAsia="宋体" w:cs="宋体"/>
                <w:kern w:val="0"/>
                <w:szCs w:val="21"/>
                <w:lang w:bidi="ar"/>
              </w:rPr>
              <w:t>1.11 设备配备安全保护系统包括但不限于：如有制冷系统时高低压保护、过流保护，加热器超温保护，电机过流保护，加湿水箱缺水保护，空气压缩机过热、过流、超压保护，电源欠相、相序保护，电源过流、短路保护。</w:t>
            </w:r>
          </w:p>
          <w:p w14:paraId="5C63D119">
            <w:pPr>
              <w:spacing w:line="360" w:lineRule="auto"/>
              <w:rPr>
                <w:rFonts w:hint="eastAsia" w:ascii="宋体" w:hAnsi="宋体" w:eastAsia="宋体" w:cs="宋体"/>
                <w:kern w:val="0"/>
                <w:szCs w:val="21"/>
                <w:lang w:bidi="ar"/>
              </w:rPr>
            </w:pPr>
            <w:r>
              <w:rPr>
                <w:rFonts w:hint="eastAsia" w:ascii="宋体" w:hAnsi="宋体" w:eastAsia="宋体" w:cs="宋体"/>
                <w:kern w:val="0"/>
                <w:szCs w:val="21"/>
                <w:lang w:bidi="ar"/>
              </w:rPr>
              <w:t>▲1.12 供气系统采用集中供气方式，包括无油静音空气压缩机、干燥装置、空气净化装置。正常状态下空气净化装置使用寿命周期不少于60个月。洁净气源或舱内的本底背景:0.5µm及以上颗粒物数量不多于100个/m</w:t>
            </w:r>
            <w:r>
              <w:rPr>
                <w:rFonts w:hint="eastAsia" w:ascii="宋体" w:hAnsi="宋体" w:eastAsia="宋体" w:cs="宋体"/>
                <w:kern w:val="0"/>
                <w:szCs w:val="21"/>
                <w:vertAlign w:val="superscript"/>
                <w:lang w:bidi="ar"/>
              </w:rPr>
              <w:t>3</w:t>
            </w:r>
            <w:r>
              <w:rPr>
                <w:rFonts w:hint="eastAsia" w:ascii="宋体" w:hAnsi="宋体" w:eastAsia="宋体" w:cs="宋体"/>
                <w:kern w:val="0"/>
                <w:szCs w:val="21"/>
                <w:lang w:bidi="ar"/>
              </w:rPr>
              <w:t>，质量浓度不大于0.5µg/m</w:t>
            </w:r>
            <w:r>
              <w:rPr>
                <w:rFonts w:hint="eastAsia" w:ascii="宋体" w:hAnsi="宋体" w:eastAsia="宋体" w:cs="宋体"/>
                <w:kern w:val="0"/>
                <w:szCs w:val="21"/>
                <w:vertAlign w:val="superscript"/>
                <w:lang w:bidi="ar"/>
              </w:rPr>
              <w:t>3</w:t>
            </w:r>
            <w:r>
              <w:rPr>
                <w:rFonts w:hint="eastAsia" w:ascii="宋体" w:hAnsi="宋体" w:eastAsia="宋体" w:cs="宋体"/>
                <w:kern w:val="0"/>
                <w:szCs w:val="21"/>
                <w:lang w:bidi="ar"/>
              </w:rPr>
              <w:t>；臭氧/NOx/SOx≤10µg/m</w:t>
            </w:r>
            <w:r>
              <w:rPr>
                <w:rFonts w:hint="eastAsia" w:ascii="宋体" w:hAnsi="宋体" w:eastAsia="宋体" w:cs="宋体"/>
                <w:kern w:val="0"/>
                <w:szCs w:val="21"/>
                <w:vertAlign w:val="superscript"/>
                <w:lang w:bidi="ar"/>
              </w:rPr>
              <w:t>3</w:t>
            </w:r>
            <w:r>
              <w:rPr>
                <w:rFonts w:hint="eastAsia" w:ascii="宋体" w:hAnsi="宋体" w:eastAsia="宋体" w:cs="宋体"/>
                <w:kern w:val="0"/>
                <w:szCs w:val="21"/>
                <w:lang w:bidi="ar"/>
              </w:rPr>
              <w:t>；任何单个目标VOC浓度≤2µg/m</w:t>
            </w:r>
            <w:r>
              <w:rPr>
                <w:rFonts w:hint="eastAsia" w:ascii="宋体" w:hAnsi="宋体" w:eastAsia="宋体" w:cs="宋体"/>
                <w:kern w:val="0"/>
                <w:szCs w:val="21"/>
                <w:vertAlign w:val="superscript"/>
                <w:lang w:bidi="ar"/>
              </w:rPr>
              <w:t>3</w:t>
            </w:r>
            <w:r>
              <w:rPr>
                <w:rFonts w:hint="eastAsia" w:ascii="宋体" w:hAnsi="宋体" w:eastAsia="宋体" w:cs="宋体"/>
                <w:kern w:val="0"/>
                <w:szCs w:val="21"/>
                <w:lang w:bidi="ar"/>
              </w:rPr>
              <w:t>;TVOC含量≤20µg/m3，甲醛本底浓度≤6µg/m</w:t>
            </w:r>
            <w:r>
              <w:rPr>
                <w:rFonts w:hint="eastAsia" w:ascii="宋体" w:hAnsi="宋体" w:eastAsia="宋体" w:cs="宋体"/>
                <w:kern w:val="0"/>
                <w:szCs w:val="21"/>
                <w:vertAlign w:val="superscript"/>
                <w:lang w:bidi="ar"/>
              </w:rPr>
              <w:t>3</w:t>
            </w:r>
          </w:p>
          <w:p w14:paraId="165FFD42">
            <w:pPr>
              <w:spacing w:line="360" w:lineRule="auto"/>
              <w:rPr>
                <w:rFonts w:hint="eastAsia" w:ascii="宋体" w:hAnsi="宋体" w:eastAsia="宋体" w:cs="宋体"/>
                <w:kern w:val="0"/>
                <w:szCs w:val="21"/>
                <w:lang w:bidi="ar"/>
              </w:rPr>
            </w:pPr>
            <w:r>
              <w:rPr>
                <w:rFonts w:hint="eastAsia" w:ascii="宋体" w:hAnsi="宋体" w:eastAsia="宋体" w:cs="宋体"/>
                <w:kern w:val="0"/>
                <w:szCs w:val="21"/>
                <w:lang w:bidi="ar"/>
              </w:rPr>
              <w:t>1.13 设备配有4个采样口，每个采样口配置测试管标准接头，并有保温功能，防止VOC冷凝流失</w:t>
            </w:r>
          </w:p>
          <w:p w14:paraId="5CD6B59E">
            <w:pPr>
              <w:spacing w:line="360" w:lineRule="auto"/>
              <w:rPr>
                <w:rFonts w:hint="eastAsia" w:ascii="宋体" w:hAnsi="宋体" w:eastAsia="宋体" w:cs="宋体"/>
                <w:kern w:val="0"/>
                <w:szCs w:val="21"/>
                <w:lang w:bidi="ar"/>
              </w:rPr>
            </w:pPr>
            <w:r>
              <w:rPr>
                <w:rFonts w:hint="eastAsia" w:ascii="宋体" w:hAnsi="宋体" w:eastAsia="宋体" w:cs="宋体"/>
                <w:kern w:val="0"/>
                <w:szCs w:val="21"/>
                <w:lang w:bidi="ar"/>
              </w:rPr>
              <w:t>1.14 主要部件：制冷装置、PLC控制器、触摸屏、电子流量计、温湿度传感器、压力传感器、电气电器元件和变频器。</w:t>
            </w:r>
          </w:p>
          <w:p w14:paraId="04915F45">
            <w:pPr>
              <w:spacing w:line="360" w:lineRule="auto"/>
              <w:rPr>
                <w:rFonts w:hint="eastAsia" w:ascii="宋体" w:hAnsi="宋体" w:eastAsia="宋体" w:cs="宋体"/>
                <w:kern w:val="0"/>
                <w:szCs w:val="21"/>
                <w:lang w:bidi="ar"/>
              </w:rPr>
            </w:pPr>
            <w:r>
              <w:rPr>
                <w:rFonts w:hint="eastAsia" w:ascii="宋体" w:hAnsi="宋体" w:eastAsia="宋体" w:cs="宋体"/>
                <w:kern w:val="0"/>
                <w:szCs w:val="21"/>
                <w:lang w:bidi="ar"/>
              </w:rPr>
              <w:t>1.15 配有样品架1套，样品架材质与舱体内壁材质一致，并经过表面处理。</w:t>
            </w:r>
          </w:p>
          <w:p w14:paraId="456C1BB0">
            <w:pPr>
              <w:spacing w:line="360" w:lineRule="auto"/>
              <w:rPr>
                <w:rFonts w:hint="eastAsia" w:ascii="宋体" w:hAnsi="宋体" w:eastAsia="宋体" w:cs="宋体"/>
                <w:kern w:val="0"/>
                <w:szCs w:val="21"/>
                <w:lang w:bidi="ar"/>
              </w:rPr>
            </w:pPr>
            <w:r>
              <w:rPr>
                <w:rFonts w:hint="eastAsia" w:ascii="宋体" w:hAnsi="宋体" w:eastAsia="宋体" w:cs="宋体"/>
                <w:kern w:val="0"/>
                <w:szCs w:val="21"/>
                <w:lang w:bidi="ar"/>
              </w:rPr>
              <w:t>1.16 附属功能：故障报警及原因、处理提示功能；断电保护功能；定时功能（自动启动及自动停止运行）、自诊断功能、制冷器故障时冗余配置。故障停机后，排除故障及启动系统后，系统可以显示停机前试验状况及参数。设备异常、出现安全状况时（如温度波动大，异常），具有早期失效自诊断、安全保护、报警停机，记录相关停机时状态，及停机前后一段时间试验参数。</w:t>
            </w:r>
          </w:p>
          <w:p w14:paraId="3FFD8844">
            <w:pPr>
              <w:spacing w:line="360" w:lineRule="auto"/>
              <w:rPr>
                <w:rFonts w:hint="eastAsia" w:ascii="宋体" w:hAnsi="宋体" w:eastAsia="宋体" w:cs="宋体"/>
                <w:kern w:val="0"/>
                <w:szCs w:val="21"/>
                <w:lang w:bidi="ar"/>
              </w:rPr>
            </w:pPr>
            <w:r>
              <w:rPr>
                <w:rFonts w:hint="eastAsia" w:ascii="宋体" w:hAnsi="宋体" w:eastAsia="宋体" w:cs="宋体"/>
                <w:kern w:val="0"/>
                <w:szCs w:val="21"/>
                <w:lang w:bidi="ar"/>
              </w:rPr>
              <w:t>2、技术资料：</w:t>
            </w:r>
          </w:p>
          <w:p w14:paraId="021C8CE5">
            <w:pPr>
              <w:spacing w:line="360" w:lineRule="auto"/>
              <w:rPr>
                <w:rFonts w:hint="eastAsia" w:ascii="宋体" w:hAnsi="宋体" w:eastAsia="宋体" w:cs="宋体"/>
                <w:kern w:val="0"/>
                <w:szCs w:val="21"/>
                <w:lang w:bidi="ar"/>
              </w:rPr>
            </w:pPr>
            <w:r>
              <w:rPr>
                <w:rFonts w:hint="eastAsia" w:ascii="宋体" w:hAnsi="宋体" w:eastAsia="宋体" w:cs="宋体"/>
                <w:kern w:val="0"/>
                <w:szCs w:val="21"/>
                <w:lang w:bidi="ar"/>
              </w:rPr>
              <w:t>2.1验收时提供仪器操作手册；维护手册；合格证、设备或关键件的检定或校准报告；</w:t>
            </w:r>
          </w:p>
          <w:p w14:paraId="7742B629">
            <w:pPr>
              <w:spacing w:line="360" w:lineRule="auto"/>
              <w:rPr>
                <w:rFonts w:hint="eastAsia" w:ascii="宋体" w:hAnsi="宋体" w:eastAsia="宋体" w:cs="宋体"/>
                <w:kern w:val="0"/>
                <w:szCs w:val="21"/>
                <w:lang w:bidi="ar"/>
              </w:rPr>
            </w:pPr>
            <w:r>
              <w:rPr>
                <w:rFonts w:hint="eastAsia" w:ascii="宋体" w:hAnsi="宋体" w:eastAsia="宋体" w:cs="宋体"/>
                <w:kern w:val="0"/>
                <w:szCs w:val="21"/>
                <w:lang w:bidi="ar"/>
              </w:rPr>
              <w:t>2.2安装完成后，按照JJF182(建材)-2021《建材产品挥发物检测用环境测试舱校准规范》内容进行计量，若计量中有歧义，按照甲方合理要求为主。</w:t>
            </w:r>
          </w:p>
          <w:p w14:paraId="229D566E">
            <w:pPr>
              <w:spacing w:line="360" w:lineRule="auto"/>
              <w:rPr>
                <w:rFonts w:hint="eastAsia" w:ascii="宋体" w:hAnsi="宋体" w:eastAsia="宋体" w:cs="宋体"/>
                <w:kern w:val="0"/>
                <w:szCs w:val="21"/>
                <w:lang w:bidi="ar"/>
              </w:rPr>
            </w:pPr>
            <w:r>
              <w:rPr>
                <w:rFonts w:hint="eastAsia" w:ascii="宋体" w:hAnsi="宋体" w:eastAsia="宋体" w:cs="宋体"/>
                <w:kern w:val="0"/>
                <w:szCs w:val="21"/>
                <w:lang w:bidi="ar"/>
              </w:rPr>
              <w:t>3、售后服务及培训要求：</w:t>
            </w:r>
          </w:p>
          <w:p w14:paraId="369A3911">
            <w:pPr>
              <w:spacing w:line="360" w:lineRule="auto"/>
              <w:rPr>
                <w:rFonts w:hint="eastAsia" w:ascii="宋体" w:hAnsi="宋体" w:eastAsia="宋体" w:cs="宋体"/>
                <w:kern w:val="0"/>
                <w:szCs w:val="21"/>
                <w:lang w:bidi="ar"/>
              </w:rPr>
            </w:pPr>
            <w:r>
              <w:rPr>
                <w:rFonts w:hint="eastAsia" w:ascii="宋体" w:hAnsi="宋体" w:eastAsia="宋体" w:cs="宋体"/>
                <w:kern w:val="0"/>
                <w:szCs w:val="21"/>
                <w:lang w:bidi="ar"/>
              </w:rPr>
              <w:t>3.1仪器出现故障，通知供应商后24内到达现场进行维修。</w:t>
            </w:r>
          </w:p>
          <w:p w14:paraId="69002075">
            <w:pPr>
              <w:spacing w:line="360" w:lineRule="auto"/>
              <w:rPr>
                <w:rFonts w:hint="eastAsia" w:ascii="宋体" w:hAnsi="宋体" w:eastAsia="宋体" w:cs="宋体"/>
                <w:kern w:val="0"/>
                <w:szCs w:val="21"/>
                <w:lang w:bidi="ar"/>
              </w:rPr>
            </w:pPr>
            <w:r>
              <w:rPr>
                <w:rFonts w:hint="eastAsia" w:ascii="宋体" w:hAnsi="宋体" w:eastAsia="宋体" w:cs="宋体"/>
                <w:kern w:val="0"/>
                <w:szCs w:val="21"/>
                <w:lang w:bidi="ar"/>
              </w:rPr>
              <w:t>3.2现场对用户进行技术培训，培训内容包括仪器的技术原理、仪器操作、数据处理、仪器基本维护等。</w:t>
            </w:r>
          </w:p>
        </w:tc>
      </w:tr>
      <w:tr w14:paraId="5BE8B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2EAE8772">
            <w:pPr>
              <w:spacing w:line="360" w:lineRule="auto"/>
              <w:jc w:val="center"/>
              <w:rPr>
                <w:rFonts w:hint="eastAsia" w:ascii="宋体" w:hAnsi="宋体" w:eastAsia="宋体" w:cs="Times New Roman"/>
                <w:szCs w:val="21"/>
              </w:rPr>
            </w:pPr>
            <w:r>
              <w:rPr>
                <w:rFonts w:hint="eastAsia" w:ascii="宋体" w:hAnsi="宋体" w:eastAsia="宋体" w:cs="Times New Roman"/>
                <w:szCs w:val="21"/>
              </w:rPr>
              <w:t>6</w:t>
            </w:r>
          </w:p>
        </w:tc>
        <w:tc>
          <w:tcPr>
            <w:tcW w:w="1090" w:type="dxa"/>
            <w:tcBorders>
              <w:top w:val="single" w:color="auto" w:sz="4" w:space="0"/>
              <w:left w:val="nil"/>
              <w:bottom w:val="single" w:color="auto" w:sz="4" w:space="0"/>
              <w:right w:val="single" w:color="auto" w:sz="4" w:space="0"/>
            </w:tcBorders>
            <w:noWrap/>
            <w:vAlign w:val="center"/>
          </w:tcPr>
          <w:p w14:paraId="21AD8783">
            <w:pPr>
              <w:widowControl/>
              <w:jc w:val="center"/>
              <w:textAlignment w:val="center"/>
              <w:rPr>
                <w:rFonts w:ascii="宋体" w:hAnsi="宋体" w:eastAsia="宋体" w:cs="宋体"/>
                <w:kern w:val="0"/>
                <w:szCs w:val="21"/>
                <w:lang w:bidi="ar"/>
              </w:rPr>
            </w:pPr>
            <w:r>
              <w:rPr>
                <w:rFonts w:hint="eastAsia" w:ascii="宋体" w:hAnsi="宋体" w:eastAsia="宋体" w:cs="宋体"/>
                <w:color w:val="000000"/>
                <w:kern w:val="0"/>
                <w:sz w:val="22"/>
                <w:szCs w:val="22"/>
                <w:lang w:bidi="ar"/>
              </w:rPr>
              <w:t>烟气分析仪</w:t>
            </w:r>
          </w:p>
        </w:tc>
        <w:tc>
          <w:tcPr>
            <w:tcW w:w="780" w:type="dxa"/>
            <w:tcBorders>
              <w:top w:val="single" w:color="auto" w:sz="4" w:space="0"/>
              <w:left w:val="nil"/>
              <w:bottom w:val="single" w:color="auto" w:sz="4" w:space="0"/>
              <w:right w:val="single" w:color="auto" w:sz="4" w:space="0"/>
            </w:tcBorders>
            <w:noWrap/>
            <w:vAlign w:val="center"/>
          </w:tcPr>
          <w:p w14:paraId="3953F340">
            <w:pPr>
              <w:widowControl/>
              <w:jc w:val="center"/>
              <w:textAlignment w:val="center"/>
              <w:rPr>
                <w:rFonts w:ascii="Times New Roman" w:hAnsi="Times New Roman" w:eastAsia="宋体" w:cs="Times New Roman"/>
                <w:szCs w:val="21"/>
              </w:rPr>
            </w:pPr>
            <w:r>
              <w:rPr>
                <w:rFonts w:hint="eastAsia" w:ascii="Times New Roman" w:hAnsi="Times New Roman" w:eastAsia="宋体" w:cs="Times New Roman"/>
              </w:rPr>
              <w:t>1台</w:t>
            </w:r>
          </w:p>
        </w:tc>
        <w:tc>
          <w:tcPr>
            <w:tcW w:w="7277" w:type="dxa"/>
            <w:tcBorders>
              <w:top w:val="single" w:color="auto" w:sz="4" w:space="0"/>
              <w:left w:val="nil"/>
              <w:bottom w:val="single" w:color="auto" w:sz="4" w:space="0"/>
              <w:right w:val="single" w:color="auto" w:sz="4" w:space="0"/>
            </w:tcBorders>
            <w:noWrap/>
            <w:vAlign w:val="center"/>
          </w:tcPr>
          <w:p w14:paraId="227D626D">
            <w:pPr>
              <w:widowControl/>
              <w:spacing w:line="360" w:lineRule="auto"/>
              <w:jc w:val="left"/>
              <w:textAlignment w:val="center"/>
              <w:rPr>
                <w:rFonts w:ascii="宋体" w:hAnsi="宋体" w:eastAsia="宋体" w:cs="宋体"/>
                <w:kern w:val="0"/>
                <w:szCs w:val="21"/>
                <w:lang w:bidi="ar"/>
              </w:rPr>
            </w:pPr>
            <w:r>
              <w:rPr>
                <w:rFonts w:hint="eastAsia" w:ascii="宋体" w:hAnsi="宋体" w:eastAsia="宋体" w:cs="宋体"/>
                <w:color w:val="000000"/>
                <w:kern w:val="0"/>
                <w:sz w:val="22"/>
                <w:szCs w:val="22"/>
                <w:lang w:bidi="ar"/>
              </w:rPr>
              <w:t>1.CO分辨率：1 ppm。</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2.CO</w:t>
            </w:r>
            <w:r>
              <w:rPr>
                <w:rFonts w:hint="eastAsia" w:ascii="宋体" w:hAnsi="宋体" w:eastAsia="宋体" w:cs="宋体"/>
                <w:color w:val="000000"/>
                <w:kern w:val="0"/>
                <w:sz w:val="22"/>
                <w:szCs w:val="22"/>
                <w:vertAlign w:val="subscript"/>
                <w:lang w:bidi="ar"/>
              </w:rPr>
              <w:t>2</w:t>
            </w:r>
            <w:r>
              <w:rPr>
                <w:rFonts w:hint="eastAsia" w:ascii="宋体" w:hAnsi="宋体" w:eastAsia="宋体" w:cs="宋体"/>
                <w:color w:val="000000"/>
                <w:kern w:val="0"/>
                <w:sz w:val="22"/>
                <w:szCs w:val="22"/>
                <w:lang w:bidi="ar"/>
              </w:rPr>
              <w:t>分辨率：0.01 Vol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3.O</w:t>
            </w:r>
            <w:r>
              <w:rPr>
                <w:rFonts w:hint="eastAsia" w:ascii="宋体" w:hAnsi="宋体" w:eastAsia="宋体" w:cs="宋体"/>
                <w:color w:val="000000"/>
                <w:kern w:val="0"/>
                <w:sz w:val="22"/>
                <w:szCs w:val="22"/>
                <w:vertAlign w:val="subscript"/>
                <w:lang w:bidi="ar"/>
              </w:rPr>
              <w:t>2</w:t>
            </w:r>
            <w:r>
              <w:rPr>
                <w:rFonts w:hint="eastAsia" w:ascii="宋体" w:hAnsi="宋体" w:eastAsia="宋体" w:cs="宋体"/>
                <w:color w:val="000000"/>
                <w:kern w:val="0"/>
                <w:sz w:val="22"/>
                <w:szCs w:val="22"/>
                <w:lang w:bidi="ar"/>
              </w:rPr>
              <w:t>分辨率：0.01 Vol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4.烟气温度分辨率：1℃。</w:t>
            </w:r>
          </w:p>
        </w:tc>
      </w:tr>
      <w:tr w14:paraId="73B69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27568B36">
            <w:pPr>
              <w:spacing w:line="360" w:lineRule="auto"/>
              <w:jc w:val="center"/>
              <w:rPr>
                <w:rFonts w:hint="eastAsia" w:ascii="宋体" w:hAnsi="宋体" w:eastAsia="宋体" w:cs="Times New Roman"/>
                <w:szCs w:val="21"/>
              </w:rPr>
            </w:pPr>
            <w:r>
              <w:rPr>
                <w:rFonts w:hint="eastAsia" w:ascii="宋体" w:hAnsi="宋体" w:eastAsia="宋体" w:cs="Times New Roman"/>
                <w:szCs w:val="21"/>
              </w:rPr>
              <w:t>7</w:t>
            </w:r>
          </w:p>
        </w:tc>
        <w:tc>
          <w:tcPr>
            <w:tcW w:w="1090" w:type="dxa"/>
            <w:tcBorders>
              <w:top w:val="single" w:color="auto" w:sz="4" w:space="0"/>
              <w:left w:val="nil"/>
              <w:bottom w:val="single" w:color="auto" w:sz="4" w:space="0"/>
              <w:right w:val="single" w:color="auto" w:sz="4" w:space="0"/>
            </w:tcBorders>
            <w:noWrap/>
            <w:vAlign w:val="center"/>
          </w:tcPr>
          <w:p w14:paraId="42D13C01">
            <w:pPr>
              <w:widowControl/>
              <w:jc w:val="center"/>
              <w:textAlignment w:val="center"/>
              <w:rPr>
                <w:rFonts w:ascii="宋体" w:hAnsi="宋体" w:eastAsia="宋体" w:cs="宋体"/>
                <w:kern w:val="0"/>
                <w:szCs w:val="21"/>
                <w:lang w:bidi="ar"/>
              </w:rPr>
            </w:pPr>
            <w:r>
              <w:rPr>
                <w:rFonts w:hint="eastAsia" w:ascii="宋体" w:hAnsi="宋体" w:eastAsia="宋体" w:cs="宋体"/>
                <w:color w:val="000000"/>
                <w:kern w:val="0"/>
                <w:sz w:val="22"/>
                <w:szCs w:val="22"/>
                <w:lang w:bidi="ar"/>
              </w:rPr>
              <w:t>紫外老化试验箱</w:t>
            </w:r>
          </w:p>
        </w:tc>
        <w:tc>
          <w:tcPr>
            <w:tcW w:w="780" w:type="dxa"/>
            <w:tcBorders>
              <w:top w:val="single" w:color="auto" w:sz="4" w:space="0"/>
              <w:left w:val="nil"/>
              <w:bottom w:val="single" w:color="auto" w:sz="4" w:space="0"/>
              <w:right w:val="single" w:color="auto" w:sz="4" w:space="0"/>
            </w:tcBorders>
            <w:noWrap/>
            <w:vAlign w:val="center"/>
          </w:tcPr>
          <w:p w14:paraId="43B9946B">
            <w:pPr>
              <w:widowControl/>
              <w:jc w:val="center"/>
              <w:textAlignment w:val="center"/>
              <w:rPr>
                <w:rFonts w:ascii="Times New Roman" w:hAnsi="Times New Roman" w:eastAsia="宋体" w:cs="Times New Roman"/>
                <w:szCs w:val="21"/>
              </w:rPr>
            </w:pPr>
            <w:r>
              <w:rPr>
                <w:rFonts w:hint="eastAsia" w:ascii="Times New Roman" w:hAnsi="Times New Roman" w:eastAsia="宋体" w:cs="Times New Roman"/>
              </w:rPr>
              <w:t>1台</w:t>
            </w:r>
          </w:p>
        </w:tc>
        <w:tc>
          <w:tcPr>
            <w:tcW w:w="7277" w:type="dxa"/>
            <w:tcBorders>
              <w:top w:val="single" w:color="auto" w:sz="4" w:space="0"/>
              <w:left w:val="nil"/>
              <w:bottom w:val="single" w:color="auto" w:sz="4" w:space="0"/>
              <w:right w:val="single" w:color="auto" w:sz="4" w:space="0"/>
            </w:tcBorders>
            <w:noWrap/>
            <w:vAlign w:val="center"/>
          </w:tcPr>
          <w:p w14:paraId="33ED813C">
            <w:pPr>
              <w:widowControl/>
              <w:spacing w:line="360" w:lineRule="auto"/>
              <w:jc w:val="left"/>
              <w:textAlignment w:val="center"/>
              <w:rPr>
                <w:rFonts w:ascii="宋体" w:hAnsi="宋体" w:eastAsia="宋体" w:cs="宋体"/>
                <w:kern w:val="0"/>
                <w:szCs w:val="21"/>
                <w:lang w:bidi="ar"/>
              </w:rPr>
            </w:pPr>
            <w:r>
              <w:rPr>
                <w:rFonts w:hint="eastAsia" w:ascii="宋体" w:hAnsi="宋体" w:eastAsia="宋体" w:cs="宋体"/>
                <w:color w:val="000000"/>
                <w:kern w:val="0"/>
                <w:sz w:val="22"/>
                <w:szCs w:val="22"/>
                <w:lang w:bidi="ar"/>
              </w:rPr>
              <w:t>1.温度范围：RT＋10℃～60℃；</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2.控温精度要求：±0.1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3.温度偏差：±2℃；</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4.紫外线波长 UV-B波长范围为：280-315nm；</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5.辐照强度可调可显示；</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6.时间周期可调；</w:t>
            </w:r>
          </w:p>
        </w:tc>
      </w:tr>
      <w:tr w14:paraId="76A39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07B3B42A">
            <w:pPr>
              <w:spacing w:line="360" w:lineRule="auto"/>
              <w:jc w:val="center"/>
              <w:rPr>
                <w:rFonts w:hint="eastAsia" w:ascii="宋体" w:hAnsi="宋体" w:eastAsia="宋体" w:cs="Times New Roman"/>
                <w:szCs w:val="21"/>
              </w:rPr>
            </w:pPr>
            <w:r>
              <w:rPr>
                <w:rFonts w:hint="eastAsia" w:ascii="宋体" w:hAnsi="宋体" w:eastAsia="宋体" w:cs="Times New Roman"/>
                <w:szCs w:val="21"/>
              </w:rPr>
              <w:t>8</w:t>
            </w:r>
          </w:p>
        </w:tc>
        <w:tc>
          <w:tcPr>
            <w:tcW w:w="1090" w:type="dxa"/>
            <w:tcBorders>
              <w:top w:val="single" w:color="auto" w:sz="4" w:space="0"/>
              <w:left w:val="nil"/>
              <w:bottom w:val="single" w:color="auto" w:sz="4" w:space="0"/>
              <w:right w:val="single" w:color="auto" w:sz="4" w:space="0"/>
            </w:tcBorders>
            <w:noWrap/>
            <w:vAlign w:val="center"/>
          </w:tcPr>
          <w:p w14:paraId="1987C154">
            <w:pPr>
              <w:widowControl/>
              <w:jc w:val="center"/>
              <w:textAlignment w:val="center"/>
              <w:rPr>
                <w:rFonts w:ascii="宋体" w:hAnsi="宋体" w:eastAsia="宋体" w:cs="宋体"/>
                <w:kern w:val="0"/>
                <w:szCs w:val="21"/>
                <w:lang w:bidi="ar"/>
              </w:rPr>
            </w:pPr>
            <w:r>
              <w:rPr>
                <w:rFonts w:hint="eastAsia" w:ascii="宋体" w:hAnsi="宋体" w:eastAsia="宋体" w:cs="宋体"/>
                <w:color w:val="000000"/>
                <w:kern w:val="0"/>
                <w:sz w:val="22"/>
                <w:szCs w:val="22"/>
                <w:lang w:bidi="ar"/>
              </w:rPr>
              <w:t>电子万能材料试验机</w:t>
            </w:r>
          </w:p>
        </w:tc>
        <w:tc>
          <w:tcPr>
            <w:tcW w:w="780" w:type="dxa"/>
            <w:tcBorders>
              <w:top w:val="single" w:color="auto" w:sz="4" w:space="0"/>
              <w:left w:val="nil"/>
              <w:bottom w:val="single" w:color="auto" w:sz="4" w:space="0"/>
              <w:right w:val="single" w:color="auto" w:sz="4" w:space="0"/>
            </w:tcBorders>
            <w:noWrap/>
            <w:vAlign w:val="center"/>
          </w:tcPr>
          <w:p w14:paraId="30CAAD50">
            <w:pPr>
              <w:widowControl/>
              <w:jc w:val="center"/>
              <w:textAlignment w:val="center"/>
              <w:rPr>
                <w:rFonts w:ascii="Times New Roman" w:hAnsi="Times New Roman" w:eastAsia="宋体" w:cs="Times New Roman"/>
                <w:szCs w:val="21"/>
              </w:rPr>
            </w:pPr>
            <w:r>
              <w:rPr>
                <w:rFonts w:hint="eastAsia" w:ascii="Times New Roman" w:hAnsi="Times New Roman" w:eastAsia="宋体" w:cs="Times New Roman"/>
              </w:rPr>
              <w:t>1台</w:t>
            </w:r>
          </w:p>
        </w:tc>
        <w:tc>
          <w:tcPr>
            <w:tcW w:w="7277" w:type="dxa"/>
            <w:tcBorders>
              <w:top w:val="single" w:color="auto" w:sz="4" w:space="0"/>
              <w:left w:val="nil"/>
              <w:bottom w:val="single" w:color="auto" w:sz="4" w:space="0"/>
              <w:right w:val="single" w:color="auto" w:sz="4" w:space="0"/>
            </w:tcBorders>
            <w:noWrap/>
            <w:vAlign w:val="center"/>
          </w:tcPr>
          <w:p w14:paraId="61BAB562">
            <w:pPr>
              <w:widowControl/>
              <w:spacing w:line="360" w:lineRule="auto"/>
              <w:jc w:val="left"/>
              <w:textAlignment w:val="center"/>
              <w:rPr>
                <w:rFonts w:ascii="宋体" w:hAnsi="宋体" w:eastAsia="宋体" w:cs="宋体"/>
                <w:kern w:val="0"/>
                <w:szCs w:val="21"/>
                <w:lang w:bidi="ar"/>
              </w:rPr>
            </w:pPr>
            <w:r>
              <w:rPr>
                <w:rFonts w:hint="eastAsia" w:ascii="宋体" w:hAnsi="宋体" w:eastAsia="宋体" w:cs="宋体"/>
                <w:color w:val="000000"/>
                <w:kern w:val="0"/>
                <w:sz w:val="22"/>
                <w:szCs w:val="22"/>
                <w:lang w:bidi="ar"/>
              </w:rPr>
              <w:t>1.力值范围：0N～1kN；</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2.精度：0.5级；</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3.试验速度：0.001～500mm/min；</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4.大变形范围：10mm～800mm；</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5.有效拉伸距离：0～1150mm。</w:t>
            </w:r>
          </w:p>
        </w:tc>
      </w:tr>
      <w:tr w14:paraId="48977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5C9AB545">
            <w:pPr>
              <w:spacing w:line="360" w:lineRule="auto"/>
              <w:jc w:val="center"/>
              <w:rPr>
                <w:rFonts w:hint="eastAsia" w:ascii="宋体" w:hAnsi="宋体" w:eastAsia="宋体" w:cs="Times New Roman"/>
                <w:szCs w:val="21"/>
              </w:rPr>
            </w:pPr>
            <w:r>
              <w:rPr>
                <w:rFonts w:hint="eastAsia" w:ascii="宋体" w:hAnsi="宋体" w:eastAsia="宋体" w:cs="Times New Roman"/>
                <w:szCs w:val="21"/>
              </w:rPr>
              <w:t>9</w:t>
            </w:r>
          </w:p>
        </w:tc>
        <w:tc>
          <w:tcPr>
            <w:tcW w:w="1090" w:type="dxa"/>
            <w:tcBorders>
              <w:top w:val="single" w:color="auto" w:sz="4" w:space="0"/>
              <w:left w:val="nil"/>
              <w:bottom w:val="single" w:color="auto" w:sz="4" w:space="0"/>
              <w:right w:val="single" w:color="auto" w:sz="4" w:space="0"/>
            </w:tcBorders>
            <w:noWrap/>
            <w:vAlign w:val="center"/>
          </w:tcPr>
          <w:p w14:paraId="7AC2939D">
            <w:pPr>
              <w:widowControl/>
              <w:jc w:val="center"/>
              <w:textAlignment w:val="center"/>
              <w:rPr>
                <w:rFonts w:ascii="宋体" w:hAnsi="宋体" w:eastAsia="宋体" w:cs="宋体"/>
                <w:kern w:val="0"/>
                <w:szCs w:val="21"/>
                <w:lang w:bidi="ar"/>
              </w:rPr>
            </w:pPr>
            <w:r>
              <w:rPr>
                <w:rFonts w:hint="eastAsia" w:ascii="宋体" w:hAnsi="宋体" w:eastAsia="宋体" w:cs="宋体"/>
                <w:color w:val="000000"/>
                <w:kern w:val="0"/>
                <w:sz w:val="22"/>
                <w:szCs w:val="22"/>
                <w:lang w:bidi="ar"/>
              </w:rPr>
              <w:t>透气性测试仪</w:t>
            </w:r>
          </w:p>
        </w:tc>
        <w:tc>
          <w:tcPr>
            <w:tcW w:w="780" w:type="dxa"/>
            <w:tcBorders>
              <w:top w:val="single" w:color="auto" w:sz="4" w:space="0"/>
              <w:left w:val="nil"/>
              <w:bottom w:val="single" w:color="auto" w:sz="4" w:space="0"/>
              <w:right w:val="single" w:color="auto" w:sz="4" w:space="0"/>
            </w:tcBorders>
            <w:noWrap/>
            <w:vAlign w:val="center"/>
          </w:tcPr>
          <w:p w14:paraId="5C3D81D7">
            <w:pPr>
              <w:widowControl/>
              <w:jc w:val="center"/>
              <w:textAlignment w:val="center"/>
              <w:rPr>
                <w:rFonts w:ascii="Times New Roman" w:hAnsi="Times New Roman" w:eastAsia="宋体" w:cs="Times New Roman"/>
                <w:szCs w:val="21"/>
              </w:rPr>
            </w:pPr>
            <w:r>
              <w:rPr>
                <w:rFonts w:hint="eastAsia" w:ascii="Times New Roman" w:hAnsi="Times New Roman" w:eastAsia="宋体" w:cs="Times New Roman"/>
              </w:rPr>
              <w:t>1台</w:t>
            </w:r>
          </w:p>
        </w:tc>
        <w:tc>
          <w:tcPr>
            <w:tcW w:w="7277" w:type="dxa"/>
            <w:tcBorders>
              <w:top w:val="single" w:color="auto" w:sz="4" w:space="0"/>
              <w:left w:val="nil"/>
              <w:bottom w:val="single" w:color="auto" w:sz="4" w:space="0"/>
              <w:right w:val="single" w:color="auto" w:sz="4" w:space="0"/>
            </w:tcBorders>
            <w:noWrap/>
            <w:vAlign w:val="center"/>
          </w:tcPr>
          <w:p w14:paraId="2762AA2F">
            <w:pPr>
              <w:widowControl/>
              <w:spacing w:line="360" w:lineRule="auto"/>
              <w:jc w:val="left"/>
              <w:textAlignment w:val="center"/>
              <w:rPr>
                <w:rFonts w:ascii="宋体" w:hAnsi="宋体" w:eastAsia="宋体" w:cs="宋体"/>
                <w:kern w:val="0"/>
                <w:szCs w:val="21"/>
                <w:lang w:bidi="ar"/>
              </w:rPr>
            </w:pPr>
            <w:r>
              <w:rPr>
                <w:rFonts w:hint="eastAsia" w:ascii="宋体" w:hAnsi="宋体" w:eastAsia="宋体" w:cs="宋体"/>
                <w:color w:val="000000"/>
                <w:kern w:val="0"/>
                <w:sz w:val="22"/>
                <w:szCs w:val="22"/>
                <w:lang w:bidi="ar"/>
              </w:rPr>
              <w:t>1.基于库仑氧气分析传感器和等压法测试原理，参照ASTM D3985等标准设计制造，为高、中气体阻隔性材料提供高精度和高效率的氧气透过率测试。适用于食品、药品、 医疗器械、日用化学、光伏、电子等领域的薄膜、片材及相关材料的 氧气透过性能测试。</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2.测试范围不小于：0.05～100cc/(m</w:t>
            </w:r>
            <w:r>
              <w:rPr>
                <w:rFonts w:hint="eastAsia" w:ascii="宋体" w:hAnsi="宋体" w:eastAsia="宋体" w:cs="宋体"/>
                <w:color w:val="000000"/>
                <w:kern w:val="0"/>
                <w:sz w:val="22"/>
                <w:szCs w:val="22"/>
                <w:vertAlign w:val="superscript"/>
                <w:lang w:bidi="ar"/>
              </w:rPr>
              <w:t>2</w:t>
            </w:r>
            <w:r>
              <w:rPr>
                <w:rFonts w:hint="eastAsia" w:ascii="宋体" w:hAnsi="宋体" w:eastAsia="宋体" w:cs="宋体"/>
                <w:color w:val="000000"/>
                <w:kern w:val="0"/>
                <w:sz w:val="22"/>
                <w:szCs w:val="22"/>
                <w:lang w:bidi="ar"/>
              </w:rPr>
              <w:t>·day) (标准面积50cm</w:t>
            </w:r>
            <w:r>
              <w:rPr>
                <w:rFonts w:hint="eastAsia" w:ascii="宋体" w:hAnsi="宋体" w:eastAsia="宋体" w:cs="宋体"/>
                <w:color w:val="000000"/>
                <w:kern w:val="0"/>
                <w:sz w:val="22"/>
                <w:szCs w:val="22"/>
                <w:vertAlign w:val="superscript"/>
                <w:lang w:bidi="ar"/>
              </w:rPr>
              <w:t>2</w:t>
            </w:r>
            <w:r>
              <w:rPr>
                <w:rFonts w:hint="eastAsia" w:ascii="宋体" w:hAnsi="宋体" w:eastAsia="宋体" w:cs="宋体"/>
                <w:color w:val="000000"/>
                <w:kern w:val="0"/>
                <w:sz w:val="22"/>
                <w:szCs w:val="22"/>
                <w:lang w:bidi="ar"/>
              </w:rPr>
              <w:t>)</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3.分辨率：0.0001cc/(m</w:t>
            </w:r>
            <w:r>
              <w:rPr>
                <w:rFonts w:hint="eastAsia" w:ascii="宋体" w:hAnsi="宋体" w:eastAsia="宋体" w:cs="宋体"/>
                <w:color w:val="000000"/>
                <w:kern w:val="0"/>
                <w:sz w:val="22"/>
                <w:szCs w:val="22"/>
                <w:vertAlign w:val="superscript"/>
                <w:lang w:bidi="ar"/>
              </w:rPr>
              <w:t>2</w:t>
            </w:r>
            <w:r>
              <w:rPr>
                <w:rFonts w:hint="eastAsia" w:ascii="宋体" w:hAnsi="宋体" w:eastAsia="宋体" w:cs="宋体"/>
                <w:color w:val="000000"/>
                <w:kern w:val="0"/>
                <w:sz w:val="22"/>
                <w:szCs w:val="22"/>
                <w:lang w:bidi="ar"/>
              </w:rPr>
              <w:t xml:space="preserve">·day)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4.重复性：0.02或1%cc/(m</w:t>
            </w:r>
            <w:r>
              <w:rPr>
                <w:rFonts w:hint="eastAsia" w:ascii="宋体" w:hAnsi="宋体" w:eastAsia="宋体" w:cs="宋体"/>
                <w:color w:val="000000"/>
                <w:kern w:val="0"/>
                <w:sz w:val="22"/>
                <w:szCs w:val="22"/>
                <w:vertAlign w:val="superscript"/>
                <w:lang w:bidi="ar"/>
              </w:rPr>
              <w:t>2</w:t>
            </w:r>
            <w:r>
              <w:rPr>
                <w:rFonts w:hint="eastAsia" w:ascii="宋体" w:hAnsi="宋体" w:eastAsia="宋体" w:cs="宋体"/>
                <w:color w:val="000000"/>
                <w:kern w:val="0"/>
                <w:sz w:val="22"/>
                <w:szCs w:val="22"/>
                <w:lang w:bidi="ar"/>
              </w:rPr>
              <w:t xml:space="preserve">·day)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5.温度范围 ：15～50℃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6.温度波动 ：±0.5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7.湿度范围：0%，</w:t>
            </w:r>
            <w:r>
              <w:rPr>
                <w:rFonts w:hint="eastAsia" w:ascii="宋体" w:hAnsi="宋体" w:eastAsia="宋体" w:cs="宋体"/>
                <w:color w:val="FF0000"/>
                <w:kern w:val="0"/>
                <w:sz w:val="22"/>
                <w:szCs w:val="22"/>
                <w:lang w:bidi="ar"/>
              </w:rPr>
              <w:t xml:space="preserve"> </w:t>
            </w:r>
            <w:r>
              <w:rPr>
                <w:rFonts w:hint="eastAsia" w:ascii="宋体" w:hAnsi="宋体" w:eastAsia="宋体" w:cs="宋体"/>
                <w:color w:val="000000"/>
                <w:kern w:val="0"/>
                <w:sz w:val="22"/>
                <w:szCs w:val="22"/>
                <w:lang w:bidi="ar"/>
              </w:rPr>
              <w:t>35～90%±2%RH</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8.测试工位数量：3个，可同时测三个相同或不同的样品，出三份独立的测试报告。</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9.水</w:t>
            </w:r>
            <w:r>
              <w:rPr>
                <w:rFonts w:hint="eastAsia" w:ascii="宋体" w:hAnsi="宋体" w:eastAsia="宋体" w:cs="Times New Roman"/>
                <w:szCs w:val="21"/>
              </w:rPr>
              <w:t>平推拉移动送样，自动夹持试样（投标文件提供测试腔水平移动的实物图片)</w:t>
            </w:r>
            <w:r>
              <w:rPr>
                <w:rFonts w:hint="eastAsia" w:ascii="宋体" w:hAnsi="宋体" w:eastAsia="宋体" w:cs="宋体"/>
                <w:color w:val="000000"/>
                <w:kern w:val="0"/>
                <w:sz w:val="22"/>
                <w:szCs w:val="22"/>
                <w:lang w:bidi="ar"/>
              </w:rPr>
              <w:t>；</w:t>
            </w:r>
            <w:r>
              <w:rPr>
                <w:rFonts w:hint="eastAsia" w:ascii="宋体" w:hAnsi="宋体" w:eastAsia="宋体" w:cs="宋体"/>
                <w:color w:val="000000"/>
                <w:kern w:val="0"/>
                <w:sz w:val="22"/>
                <w:szCs w:val="22"/>
                <w:lang w:bidi="ar"/>
              </w:rPr>
              <w:br w:type="textWrapping"/>
            </w:r>
            <w:r>
              <w:rPr>
                <w:rFonts w:hint="eastAsia" w:ascii="Times New Roman" w:hAnsi="Times New Roman" w:eastAsia="宋体" w:cs="Times New Roman"/>
              </w:rPr>
              <w:t>▲</w:t>
            </w:r>
            <w:r>
              <w:rPr>
                <w:rFonts w:hint="eastAsia" w:ascii="宋体" w:hAnsi="宋体" w:eastAsia="宋体" w:cs="宋体"/>
                <w:color w:val="000000"/>
                <w:kern w:val="0"/>
                <w:sz w:val="22"/>
                <w:szCs w:val="22"/>
                <w:lang w:bidi="ar"/>
              </w:rPr>
              <w:t>10.</w:t>
            </w:r>
            <w:r>
              <w:rPr>
                <w:rFonts w:hint="eastAsia" w:ascii="宋体" w:hAnsi="宋体" w:eastAsia="宋体" w:cs="宋体"/>
              </w:rPr>
              <w:t>纵向屉式结构排列，不受外界环境影响（投标文件提供测试状态下测试腔的实物图片）</w:t>
            </w:r>
            <w:r>
              <w:rPr>
                <w:rFonts w:hint="eastAsia" w:ascii="宋体" w:hAnsi="宋体" w:eastAsia="宋体" w:cs="宋体"/>
                <w:kern w:val="0"/>
                <w:sz w:val="22"/>
                <w:szCs w:val="22"/>
                <w:lang w:bidi="ar"/>
              </w:rPr>
              <w:t>；</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11.操作要求：中文操作界面，台式桌面放置；</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12.试样尺寸：4.2”x 4.2”（10.6cm×10.6cm）</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13.样品厚度：≤120 Mil（3mm）</w:t>
            </w:r>
            <w:r>
              <w:rPr>
                <w:rFonts w:hint="eastAsia" w:ascii="宋体" w:hAnsi="宋体" w:eastAsia="宋体" w:cs="宋体"/>
                <w:kern w:val="0"/>
                <w:sz w:val="22"/>
                <w:szCs w:val="22"/>
                <w:lang w:bidi="ar"/>
              </w:rPr>
              <w:br w:type="textWrapping"/>
            </w:r>
            <w:r>
              <w:rPr>
                <w:rFonts w:hint="eastAsia" w:ascii="Times New Roman" w:hAnsi="Times New Roman" w:eastAsia="宋体" w:cs="Times New Roman"/>
              </w:rPr>
              <w:t>▲</w:t>
            </w:r>
            <w:r>
              <w:rPr>
                <w:rFonts w:hint="eastAsia" w:ascii="宋体" w:hAnsi="宋体" w:eastAsia="宋体" w:cs="宋体"/>
                <w:kern w:val="0"/>
                <w:sz w:val="22"/>
                <w:szCs w:val="22"/>
                <w:lang w:bidi="ar"/>
              </w:rPr>
              <w:t>14.标准测试面积 ：≥50cm</w:t>
            </w:r>
            <w:r>
              <w:rPr>
                <w:rFonts w:hint="eastAsia" w:ascii="宋体" w:hAnsi="宋体" w:eastAsia="宋体" w:cs="宋体"/>
                <w:kern w:val="0"/>
                <w:sz w:val="22"/>
                <w:szCs w:val="22"/>
                <w:vertAlign w:val="superscript"/>
                <w:lang w:bidi="ar"/>
              </w:rPr>
              <w:t>2</w:t>
            </w:r>
            <w:r>
              <w:rPr>
                <w:rFonts w:hint="eastAsia" w:ascii="宋体" w:hAnsi="宋体" w:eastAsia="宋体" w:cs="宋体"/>
              </w:rPr>
              <w:t>，可切换至少2种不同面积的样品进行测试。提供装样前后测试舱实物照片。</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15.气源压力≥ 40.6PSI/280 kPa</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16.配置：主机、专业软件、通讯线缆、取样器、真空油脂、Φ6 mm聚氨酯管</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17.系统具有数据备份、备份文件包含所有实验记录和测试数据。</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18.系统具有审计追踪功能，每次数据更改都有记录，保证测试数据的安全性和完整性。</w:t>
            </w:r>
          </w:p>
        </w:tc>
      </w:tr>
      <w:tr w14:paraId="29646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30A51522">
            <w:pPr>
              <w:spacing w:line="360" w:lineRule="auto"/>
              <w:jc w:val="center"/>
              <w:rPr>
                <w:rFonts w:ascii="宋体" w:hAnsi="宋体" w:eastAsia="宋体" w:cs="Times New Roman"/>
                <w:szCs w:val="21"/>
              </w:rPr>
            </w:pPr>
            <w:r>
              <w:rPr>
                <w:rFonts w:hint="eastAsia" w:ascii="宋体" w:hAnsi="宋体" w:eastAsia="宋体" w:cs="Times New Roman"/>
                <w:szCs w:val="21"/>
              </w:rPr>
              <w:t>10</w:t>
            </w:r>
          </w:p>
        </w:tc>
        <w:tc>
          <w:tcPr>
            <w:tcW w:w="1090" w:type="dxa"/>
            <w:tcBorders>
              <w:top w:val="single" w:color="auto" w:sz="4" w:space="0"/>
              <w:left w:val="nil"/>
              <w:bottom w:val="single" w:color="auto" w:sz="4" w:space="0"/>
              <w:right w:val="single" w:color="auto" w:sz="4" w:space="0"/>
            </w:tcBorders>
            <w:noWrap/>
            <w:vAlign w:val="center"/>
          </w:tcPr>
          <w:p w14:paraId="1FCCB2C5">
            <w:pPr>
              <w:widowControl/>
              <w:jc w:val="center"/>
              <w:textAlignment w:val="center"/>
              <w:rPr>
                <w:rFonts w:ascii="宋体" w:hAnsi="宋体" w:eastAsia="宋体" w:cs="宋体"/>
                <w:kern w:val="0"/>
                <w:szCs w:val="21"/>
                <w:lang w:bidi="ar"/>
              </w:rPr>
            </w:pPr>
            <w:r>
              <w:rPr>
                <w:rFonts w:hint="eastAsia" w:ascii="宋体" w:hAnsi="宋体" w:eastAsia="宋体" w:cs="宋体"/>
                <w:color w:val="000000"/>
                <w:kern w:val="0"/>
                <w:sz w:val="22"/>
                <w:szCs w:val="22"/>
                <w:lang w:bidi="ar"/>
              </w:rPr>
              <w:t>压差法气体渗透仪</w:t>
            </w:r>
          </w:p>
        </w:tc>
        <w:tc>
          <w:tcPr>
            <w:tcW w:w="780" w:type="dxa"/>
            <w:tcBorders>
              <w:top w:val="single" w:color="auto" w:sz="4" w:space="0"/>
              <w:left w:val="nil"/>
              <w:bottom w:val="single" w:color="auto" w:sz="4" w:space="0"/>
              <w:right w:val="single" w:color="auto" w:sz="4" w:space="0"/>
            </w:tcBorders>
            <w:noWrap/>
            <w:vAlign w:val="center"/>
          </w:tcPr>
          <w:p w14:paraId="5408F171">
            <w:pPr>
              <w:widowControl/>
              <w:jc w:val="center"/>
              <w:textAlignment w:val="center"/>
              <w:rPr>
                <w:rFonts w:ascii="Times New Roman" w:hAnsi="Times New Roman" w:eastAsia="宋体" w:cs="Times New Roman"/>
                <w:szCs w:val="21"/>
              </w:rPr>
            </w:pPr>
            <w:r>
              <w:rPr>
                <w:rFonts w:hint="eastAsia" w:ascii="Times New Roman" w:hAnsi="Times New Roman" w:eastAsia="宋体" w:cs="Times New Roman"/>
              </w:rPr>
              <w:t>1台</w:t>
            </w:r>
          </w:p>
        </w:tc>
        <w:tc>
          <w:tcPr>
            <w:tcW w:w="7277" w:type="dxa"/>
            <w:tcBorders>
              <w:top w:val="single" w:color="auto" w:sz="4" w:space="0"/>
              <w:left w:val="nil"/>
              <w:bottom w:val="single" w:color="auto" w:sz="4" w:space="0"/>
              <w:right w:val="single" w:color="auto" w:sz="4" w:space="0"/>
            </w:tcBorders>
            <w:noWrap/>
            <w:vAlign w:val="center"/>
          </w:tcPr>
          <w:p w14:paraId="4328BF5A">
            <w:pPr>
              <w:widowControl/>
              <w:spacing w:line="360" w:lineRule="auto"/>
              <w:jc w:val="left"/>
              <w:textAlignment w:val="center"/>
              <w:rPr>
                <w:rFonts w:ascii="宋体" w:hAnsi="宋体" w:eastAsia="宋体" w:cs="宋体"/>
                <w:kern w:val="0"/>
                <w:szCs w:val="21"/>
                <w:lang w:bidi="ar"/>
              </w:rPr>
            </w:pPr>
            <w:r>
              <w:rPr>
                <w:rFonts w:hint="eastAsia" w:ascii="宋体" w:hAnsi="宋体" w:eastAsia="宋体" w:cs="宋体"/>
                <w:color w:val="000000"/>
                <w:kern w:val="0"/>
                <w:sz w:val="22"/>
                <w:szCs w:val="22"/>
                <w:lang w:bidi="ar"/>
              </w:rPr>
              <w:t>1.基于压差法测试原理，适用于塑料薄膜、复合膜、高阻隔材料、片材、金属箔片在各种温度下的气体透过率、溶解度系数、扩散系数、渗透系数的测定。</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2.测试范围不小于：0.05～10,000cm</w:t>
            </w:r>
            <w:r>
              <w:rPr>
                <w:rFonts w:hint="eastAsia" w:ascii="宋体" w:hAnsi="宋体" w:eastAsia="宋体" w:cs="宋体"/>
                <w:color w:val="000000"/>
                <w:kern w:val="0"/>
                <w:sz w:val="22"/>
                <w:szCs w:val="22"/>
                <w:vertAlign w:val="superscript"/>
                <w:lang w:bidi="ar"/>
              </w:rPr>
              <w:t>3</w:t>
            </w:r>
            <w:r>
              <w:rPr>
                <w:rFonts w:hint="eastAsia" w:ascii="宋体" w:hAnsi="宋体" w:eastAsia="宋体" w:cs="宋体"/>
                <w:color w:val="000000"/>
                <w:kern w:val="0"/>
                <w:sz w:val="22"/>
                <w:szCs w:val="22"/>
                <w:lang w:bidi="ar"/>
              </w:rPr>
              <w:t>/ m</w:t>
            </w:r>
            <w:r>
              <w:rPr>
                <w:rFonts w:hint="eastAsia" w:ascii="宋体" w:hAnsi="宋体" w:eastAsia="宋体" w:cs="宋体"/>
                <w:color w:val="000000"/>
                <w:kern w:val="0"/>
                <w:sz w:val="22"/>
                <w:szCs w:val="22"/>
                <w:vertAlign w:val="superscript"/>
                <w:lang w:bidi="ar"/>
              </w:rPr>
              <w:t>2</w:t>
            </w:r>
            <w:r>
              <w:rPr>
                <w:rFonts w:hint="eastAsia" w:ascii="宋体" w:hAnsi="宋体" w:eastAsia="宋体" w:cs="宋体"/>
                <w:color w:val="000000"/>
                <w:kern w:val="0"/>
                <w:sz w:val="22"/>
                <w:szCs w:val="22"/>
                <w:lang w:bidi="ar"/>
              </w:rPr>
              <w:t xml:space="preserve">•24h•0.1MPa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3.分辨率：0.001cm</w:t>
            </w:r>
            <w:r>
              <w:rPr>
                <w:rFonts w:hint="eastAsia" w:ascii="宋体" w:hAnsi="宋体" w:eastAsia="宋体" w:cs="宋体"/>
                <w:color w:val="000000"/>
                <w:kern w:val="0"/>
                <w:sz w:val="22"/>
                <w:szCs w:val="22"/>
                <w:vertAlign w:val="superscript"/>
                <w:lang w:bidi="ar"/>
              </w:rPr>
              <w:t>3</w:t>
            </w:r>
            <w:r>
              <w:rPr>
                <w:rFonts w:hint="eastAsia" w:ascii="宋体" w:hAnsi="宋体" w:eastAsia="宋体" w:cs="宋体"/>
                <w:color w:val="000000"/>
                <w:kern w:val="0"/>
                <w:sz w:val="22"/>
                <w:szCs w:val="22"/>
                <w:lang w:bidi="ar"/>
              </w:rPr>
              <w:t>/ m</w:t>
            </w:r>
            <w:r>
              <w:rPr>
                <w:rFonts w:hint="eastAsia" w:ascii="宋体" w:hAnsi="宋体" w:eastAsia="宋体" w:cs="宋体"/>
                <w:color w:val="000000"/>
                <w:kern w:val="0"/>
                <w:sz w:val="22"/>
                <w:szCs w:val="22"/>
                <w:vertAlign w:val="superscript"/>
                <w:lang w:bidi="ar"/>
              </w:rPr>
              <w:t>2</w:t>
            </w:r>
            <w:r>
              <w:rPr>
                <w:rFonts w:hint="eastAsia" w:ascii="宋体" w:hAnsi="宋体" w:eastAsia="宋体" w:cs="宋体"/>
                <w:color w:val="000000"/>
                <w:kern w:val="0"/>
                <w:sz w:val="22"/>
                <w:szCs w:val="22"/>
                <w:lang w:bidi="ar"/>
              </w:rPr>
              <w:t xml:space="preserve">•24h•0.1MPa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4.重复性：0.05或2%</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5.试验温度：10℃～50℃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6.温度分辨率：0.1℃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7.温度波动：±0.2℃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8.真空分辨率：0.1Pa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9.测试腔真空度：&lt;10Pa；真空泵自动控制，无需人工开启/关闭。</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Cs w:val="21"/>
                <w:lang w:bidi="ar"/>
              </w:rPr>
              <w:t>▲</w:t>
            </w:r>
            <w:r>
              <w:rPr>
                <w:rFonts w:hint="eastAsia" w:ascii="宋体" w:hAnsi="宋体" w:eastAsia="宋体" w:cs="宋体"/>
                <w:color w:val="000000"/>
                <w:kern w:val="0"/>
                <w:sz w:val="22"/>
                <w:szCs w:val="22"/>
                <w:lang w:bidi="ar"/>
              </w:rPr>
              <w:t>10.</w:t>
            </w:r>
            <w:r>
              <w:rPr>
                <w:rFonts w:hint="eastAsia" w:ascii="宋体" w:hAnsi="宋体" w:eastAsia="宋体" w:cs="宋体"/>
              </w:rPr>
              <w:t>纵向屉式结构排列，不受外界环境影响（投标文件提供测试状态下测试腔的实物图片）</w:t>
            </w:r>
            <w:r>
              <w:rPr>
                <w:rFonts w:hint="eastAsia" w:ascii="宋体" w:hAnsi="宋体" w:eastAsia="宋体" w:cs="宋体"/>
                <w:kern w:val="0"/>
                <w:sz w:val="22"/>
                <w:szCs w:val="22"/>
                <w:lang w:bidi="ar"/>
              </w:rPr>
              <w:t>。</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11.中、低阻隔性材料，测试时间＜4小时（含抽真空时间）。</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12.高阻隔性材料，测试时间＜8小时（含抽真空时间）。</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13.测试工位数量：3个，支持同一条件3个试样同时测试，数据相互独立。</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Cs w:val="21"/>
                <w:lang w:bidi="ar"/>
              </w:rPr>
              <w:t>▲</w:t>
            </w:r>
            <w:r>
              <w:rPr>
                <w:rFonts w:hint="eastAsia" w:ascii="宋体" w:hAnsi="宋体" w:eastAsia="宋体" w:cs="宋体"/>
                <w:color w:val="000000"/>
                <w:kern w:val="0"/>
                <w:sz w:val="22"/>
                <w:szCs w:val="22"/>
                <w:lang w:bidi="ar"/>
              </w:rPr>
              <w:t>14.</w:t>
            </w:r>
            <w:r>
              <w:rPr>
                <w:rFonts w:hint="eastAsia" w:ascii="宋体" w:hAnsi="宋体" w:eastAsia="宋体" w:cs="Times New Roman"/>
                <w:szCs w:val="21"/>
              </w:rPr>
              <w:t>水平推拉移动送样，自动夹持试样（投标文件提供测试腔水平移动的实物图片）</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15.操作要求：中文操作界面，台式桌面放置；</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16.试样尺寸：Φ97 mm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17.</w:t>
            </w:r>
            <w:r>
              <w:rPr>
                <w:rFonts w:hint="eastAsia" w:ascii="宋体" w:hAnsi="宋体" w:eastAsia="宋体" w:cs="Times New Roman"/>
                <w:szCs w:val="21"/>
              </w:rPr>
              <w:t>有效测定面积：≥35cm</w:t>
            </w:r>
            <w:r>
              <w:rPr>
                <w:rFonts w:hint="eastAsia" w:ascii="宋体" w:hAnsi="宋体" w:eastAsia="宋体" w:cs="Times New Roman"/>
                <w:szCs w:val="21"/>
                <w:vertAlign w:val="superscript"/>
              </w:rPr>
              <w:t>2</w:t>
            </w:r>
            <w:r>
              <w:rPr>
                <w:rFonts w:hint="eastAsia" w:ascii="宋体" w:hAnsi="宋体" w:eastAsia="宋体" w:cs="Times New Roman"/>
                <w:szCs w:val="21"/>
              </w:rPr>
              <w:t>。可切换至少2种不同面积的样品进行测试（投标文件提供装样前后测试舱实物照片）。</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18.试验压力：10kpa～190kpa任意设定</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19.气源压力：72.5 PSI/500kPa</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20.系统具有数据备份、备份文件包含所有实验记录和测试数据。</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21.系统具有审计追踪功能，每次数据更改都有记录，保证测试数据的安全性和完整性。</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22.使用立体空间恒温技术，保证温度和湿度均匀稳定，测试周期短，对实验室环境无特殊要求，常温室温下均可；</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23.配置：主机、专业软件、通讯线缆、真空泵、取样器、真空油脂、滤纸、Φ6 mm聚氨酯管；</w:t>
            </w:r>
          </w:p>
        </w:tc>
      </w:tr>
      <w:tr w14:paraId="3ECEF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23" w:type="dxa"/>
            <w:gridSpan w:val="4"/>
            <w:tcBorders>
              <w:left w:val="single" w:color="auto" w:sz="4" w:space="0"/>
              <w:right w:val="single" w:color="auto" w:sz="4" w:space="0"/>
            </w:tcBorders>
            <w:noWrap/>
            <w:vAlign w:val="center"/>
          </w:tcPr>
          <w:p w14:paraId="6AD7B193">
            <w:pPr>
              <w:widowControl/>
              <w:spacing w:line="360" w:lineRule="auto"/>
              <w:jc w:val="left"/>
              <w:textAlignment w:val="center"/>
              <w:rPr>
                <w:rFonts w:ascii="宋体" w:hAnsi="宋体" w:eastAsia="宋体" w:cs="宋体"/>
                <w:kern w:val="0"/>
                <w:szCs w:val="21"/>
                <w:lang w:bidi="ar"/>
              </w:rPr>
            </w:pPr>
            <w:r>
              <w:rPr>
                <w:rFonts w:hint="eastAsia" w:ascii="宋体" w:hAnsi="宋体" w:eastAsia="宋体" w:cs="宋体"/>
                <w:b/>
                <w:bCs/>
                <w:kern w:val="0"/>
                <w:szCs w:val="21"/>
                <w:lang w:bidi="ar"/>
              </w:rPr>
              <w:t>商务要求</w:t>
            </w:r>
          </w:p>
        </w:tc>
      </w:tr>
      <w:tr w14:paraId="34389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6" w:type="dxa"/>
            <w:gridSpan w:val="2"/>
            <w:tcBorders>
              <w:top w:val="single" w:color="auto" w:sz="4" w:space="0"/>
              <w:left w:val="single" w:color="auto" w:sz="4" w:space="0"/>
              <w:bottom w:val="single" w:color="auto" w:sz="4" w:space="0"/>
              <w:right w:val="single" w:color="auto" w:sz="4" w:space="0"/>
            </w:tcBorders>
            <w:noWrap/>
            <w:vAlign w:val="center"/>
          </w:tcPr>
          <w:p w14:paraId="37E90FED">
            <w:pPr>
              <w:snapToGrid w:val="0"/>
              <w:spacing w:line="360" w:lineRule="auto"/>
              <w:jc w:val="center"/>
              <w:rPr>
                <w:rFonts w:ascii="宋体" w:hAnsi="宋体" w:eastAsia="宋体" w:cs="宋体"/>
                <w:szCs w:val="21"/>
              </w:rPr>
            </w:pPr>
            <w:r>
              <w:rPr>
                <w:rFonts w:hint="eastAsia" w:ascii="宋体" w:hAnsi="宋体" w:eastAsia="宋体" w:cs="宋体"/>
                <w:szCs w:val="21"/>
              </w:rPr>
              <w:t>投标报价</w:t>
            </w:r>
          </w:p>
        </w:tc>
        <w:tc>
          <w:tcPr>
            <w:tcW w:w="8057" w:type="dxa"/>
            <w:gridSpan w:val="2"/>
            <w:tcBorders>
              <w:top w:val="single" w:color="auto" w:sz="4" w:space="0"/>
              <w:left w:val="nil"/>
              <w:bottom w:val="single" w:color="auto" w:sz="4" w:space="0"/>
              <w:right w:val="single" w:color="auto" w:sz="4" w:space="0"/>
            </w:tcBorders>
            <w:noWrap/>
            <w:vAlign w:val="center"/>
          </w:tcPr>
          <w:p w14:paraId="5AAFFECC">
            <w:pPr>
              <w:snapToGrid w:val="0"/>
              <w:spacing w:line="360" w:lineRule="auto"/>
              <w:jc w:val="left"/>
              <w:rPr>
                <w:rFonts w:ascii="Times New Roman" w:hAnsi="Times New Roman" w:eastAsia="宋体" w:cs="Times New Roman"/>
                <w:szCs w:val="21"/>
              </w:rPr>
            </w:pPr>
            <w:r>
              <w:rPr>
                <w:rFonts w:hint="eastAsia" w:ascii="Times New Roman" w:hAnsi="Times New Roman" w:eastAsia="宋体" w:cs="Times New Roman"/>
                <w:szCs w:val="21"/>
              </w:rPr>
              <w:t>投标报价为采购人指定地点的现场交货价，包括：</w:t>
            </w:r>
          </w:p>
          <w:p w14:paraId="2CEF96B7">
            <w:pPr>
              <w:snapToGrid w:val="0"/>
              <w:spacing w:line="360" w:lineRule="auto"/>
              <w:jc w:val="left"/>
              <w:rPr>
                <w:rFonts w:ascii="Times New Roman" w:hAnsi="Times New Roman" w:eastAsia="宋体" w:cs="Times New Roman"/>
                <w:szCs w:val="21"/>
              </w:rPr>
            </w:pPr>
            <w:r>
              <w:rPr>
                <w:rFonts w:hint="eastAsia" w:ascii="Times New Roman" w:hAnsi="Times New Roman" w:eastAsia="宋体" w:cs="Times New Roman"/>
                <w:szCs w:val="21"/>
              </w:rPr>
              <w:t>（1）货物的价格：包括货款、安装调试费、验收费（含检定、校准费，如有）；</w:t>
            </w:r>
          </w:p>
          <w:p w14:paraId="789002AF">
            <w:pPr>
              <w:snapToGrid w:val="0"/>
              <w:spacing w:line="360" w:lineRule="auto"/>
              <w:jc w:val="left"/>
              <w:rPr>
                <w:rFonts w:ascii="Times New Roman" w:hAnsi="Times New Roman" w:eastAsia="宋体" w:cs="Times New Roman"/>
                <w:szCs w:val="21"/>
              </w:rPr>
            </w:pPr>
            <w:r>
              <w:rPr>
                <w:rFonts w:hint="eastAsia" w:ascii="Times New Roman" w:hAnsi="Times New Roman" w:eastAsia="宋体" w:cs="Times New Roman"/>
                <w:szCs w:val="21"/>
              </w:rPr>
              <w:t>（2）货物的标准附件、备品备件、专用工具的价格。</w:t>
            </w:r>
          </w:p>
          <w:p w14:paraId="5D8B7B65">
            <w:pPr>
              <w:snapToGrid w:val="0"/>
              <w:spacing w:line="360" w:lineRule="auto"/>
              <w:jc w:val="left"/>
              <w:rPr>
                <w:rFonts w:ascii="Times New Roman" w:hAnsi="Times New Roman" w:eastAsia="宋体" w:cs="Times New Roman"/>
                <w:szCs w:val="21"/>
              </w:rPr>
            </w:pPr>
            <w:r>
              <w:rPr>
                <w:rFonts w:hint="eastAsia" w:ascii="Times New Roman" w:hAnsi="Times New Roman" w:eastAsia="宋体" w:cs="Times New Roman"/>
                <w:szCs w:val="21"/>
              </w:rPr>
              <w:t>（3）运输、装卸、调试、培训、技术支持、售后服务费。</w:t>
            </w:r>
          </w:p>
        </w:tc>
      </w:tr>
      <w:tr w14:paraId="1208D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6" w:type="dxa"/>
            <w:gridSpan w:val="2"/>
            <w:tcBorders>
              <w:top w:val="single" w:color="auto" w:sz="4" w:space="0"/>
              <w:left w:val="single" w:color="auto" w:sz="4" w:space="0"/>
              <w:bottom w:val="single" w:color="auto" w:sz="4" w:space="0"/>
              <w:right w:val="single" w:color="auto" w:sz="4" w:space="0"/>
            </w:tcBorders>
            <w:noWrap/>
            <w:vAlign w:val="center"/>
          </w:tcPr>
          <w:p w14:paraId="67C337C8">
            <w:pPr>
              <w:spacing w:line="360" w:lineRule="auto"/>
              <w:ind w:leftChars="-51" w:right="-107" w:rightChars="-51" w:hanging="107" w:hangingChars="51"/>
              <w:jc w:val="center"/>
              <w:rPr>
                <w:rFonts w:ascii="宋体" w:hAnsi="宋体" w:eastAsia="宋体" w:cs="宋体"/>
                <w:szCs w:val="21"/>
              </w:rPr>
            </w:pPr>
            <w:r>
              <w:rPr>
                <w:rFonts w:hint="eastAsia" w:ascii="宋体" w:hAnsi="宋体" w:eastAsia="宋体" w:cs="宋体"/>
                <w:szCs w:val="21"/>
              </w:rPr>
              <w:t>合同签订时间</w:t>
            </w:r>
          </w:p>
        </w:tc>
        <w:tc>
          <w:tcPr>
            <w:tcW w:w="8057" w:type="dxa"/>
            <w:gridSpan w:val="2"/>
            <w:tcBorders>
              <w:top w:val="single" w:color="auto" w:sz="4" w:space="0"/>
              <w:left w:val="nil"/>
              <w:bottom w:val="single" w:color="auto" w:sz="4" w:space="0"/>
              <w:right w:val="single" w:color="auto" w:sz="4" w:space="0"/>
            </w:tcBorders>
            <w:noWrap/>
            <w:vAlign w:val="center"/>
          </w:tcPr>
          <w:p w14:paraId="10BE0271">
            <w:pPr>
              <w:spacing w:line="360" w:lineRule="auto"/>
              <w:rPr>
                <w:rFonts w:ascii="Times New Roman" w:hAnsi="Times New Roman" w:eastAsia="宋体" w:cs="Times New Roman"/>
                <w:szCs w:val="21"/>
              </w:rPr>
            </w:pPr>
            <w:r>
              <w:rPr>
                <w:rFonts w:hint="eastAsia" w:ascii="Times New Roman" w:hAnsi="Times New Roman" w:eastAsia="宋体" w:cs="Times New Roman"/>
              </w:rPr>
              <w:t>中标通知书发出后25日内</w:t>
            </w:r>
          </w:p>
        </w:tc>
      </w:tr>
      <w:tr w14:paraId="48BDE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6" w:type="dxa"/>
            <w:gridSpan w:val="2"/>
            <w:tcBorders>
              <w:top w:val="single" w:color="auto" w:sz="4" w:space="0"/>
              <w:left w:val="single" w:color="auto" w:sz="4" w:space="0"/>
              <w:bottom w:val="single" w:color="auto" w:sz="4" w:space="0"/>
              <w:right w:val="single" w:color="auto" w:sz="4" w:space="0"/>
            </w:tcBorders>
            <w:noWrap/>
            <w:vAlign w:val="center"/>
          </w:tcPr>
          <w:p w14:paraId="153ADB08">
            <w:pPr>
              <w:spacing w:line="360" w:lineRule="auto"/>
              <w:ind w:leftChars="-51" w:right="-107" w:rightChars="-51" w:hanging="107" w:hangingChars="51"/>
              <w:jc w:val="center"/>
              <w:rPr>
                <w:rFonts w:ascii="宋体" w:hAnsi="宋体" w:eastAsia="宋体" w:cs="宋体"/>
                <w:szCs w:val="21"/>
              </w:rPr>
            </w:pPr>
            <w:r>
              <w:rPr>
                <w:rFonts w:hint="eastAsia" w:ascii="宋体" w:hAnsi="宋体" w:eastAsia="宋体" w:cs="宋体"/>
                <w:szCs w:val="21"/>
              </w:rPr>
              <w:t>质保期</w:t>
            </w:r>
          </w:p>
        </w:tc>
        <w:tc>
          <w:tcPr>
            <w:tcW w:w="8057" w:type="dxa"/>
            <w:gridSpan w:val="2"/>
            <w:tcBorders>
              <w:top w:val="single" w:color="auto" w:sz="4" w:space="0"/>
              <w:left w:val="nil"/>
              <w:bottom w:val="single" w:color="auto" w:sz="4" w:space="0"/>
              <w:right w:val="single" w:color="auto" w:sz="4" w:space="0"/>
            </w:tcBorders>
            <w:noWrap/>
            <w:vAlign w:val="center"/>
          </w:tcPr>
          <w:p w14:paraId="712428B5">
            <w:pPr>
              <w:spacing w:line="360" w:lineRule="auto"/>
              <w:rPr>
                <w:rFonts w:ascii="Times New Roman" w:hAnsi="Times New Roman" w:eastAsia="宋体" w:cs="Times New Roman"/>
              </w:rPr>
            </w:pPr>
            <w:r>
              <w:rPr>
                <w:rFonts w:hint="eastAsia" w:ascii="宋体" w:hAnsi="宋体" w:eastAsia="宋体" w:cs="宋体"/>
                <w:szCs w:val="21"/>
              </w:rPr>
              <w:t>按国家有关规定实行产品“三包”，货物（易耗品除外）质保期不少于一年，分项设备有质保期要求的按其要求。保修期自安装调试验收合格，并以双方最终验收报告签字日开始计算。保修期内，中标供应商将负责处理并解决故障，并免费更换有故障的零、部件，一切费用由中标供应商负责。</w:t>
            </w:r>
          </w:p>
        </w:tc>
      </w:tr>
      <w:tr w14:paraId="64764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6" w:type="dxa"/>
            <w:gridSpan w:val="2"/>
            <w:tcBorders>
              <w:top w:val="single" w:color="auto" w:sz="4" w:space="0"/>
              <w:left w:val="single" w:color="auto" w:sz="4" w:space="0"/>
              <w:bottom w:val="single" w:color="auto" w:sz="4" w:space="0"/>
              <w:right w:val="single" w:color="auto" w:sz="4" w:space="0"/>
            </w:tcBorders>
            <w:noWrap/>
            <w:vAlign w:val="center"/>
          </w:tcPr>
          <w:p w14:paraId="7513BE76">
            <w:pPr>
              <w:spacing w:line="360" w:lineRule="auto"/>
              <w:jc w:val="center"/>
              <w:rPr>
                <w:rFonts w:ascii="宋体" w:hAnsi="宋体" w:eastAsia="宋体" w:cs="宋体"/>
                <w:szCs w:val="21"/>
              </w:rPr>
            </w:pPr>
            <w:r>
              <w:rPr>
                <w:rFonts w:hint="eastAsia" w:ascii="宋体" w:hAnsi="宋体" w:eastAsia="宋体" w:cs="宋体"/>
                <w:szCs w:val="21"/>
              </w:rPr>
              <w:t>售后技术服务要求</w:t>
            </w:r>
          </w:p>
        </w:tc>
        <w:tc>
          <w:tcPr>
            <w:tcW w:w="8057" w:type="dxa"/>
            <w:gridSpan w:val="2"/>
            <w:tcBorders>
              <w:top w:val="single" w:color="auto" w:sz="4" w:space="0"/>
              <w:left w:val="nil"/>
              <w:bottom w:val="single" w:color="auto" w:sz="4" w:space="0"/>
              <w:right w:val="single" w:color="auto" w:sz="4" w:space="0"/>
            </w:tcBorders>
            <w:noWrap/>
            <w:vAlign w:val="center"/>
          </w:tcPr>
          <w:p w14:paraId="31AFEFEA">
            <w:pPr>
              <w:spacing w:line="360" w:lineRule="auto"/>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1.</w:t>
            </w:r>
            <w:r>
              <w:rPr>
                <w:rFonts w:hint="eastAsia" w:ascii="宋体" w:hAnsi="宋体" w:eastAsia="宋体" w:cs="宋体"/>
                <w:szCs w:val="21"/>
              </w:rPr>
              <w:t>售后技术服务包括</w:t>
            </w:r>
            <w:r>
              <w:rPr>
                <w:rFonts w:hint="eastAsia" w:ascii="宋体" w:hAnsi="宋体" w:eastAsia="宋体" w:cs="宋体"/>
                <w:kern w:val="0"/>
                <w:szCs w:val="21"/>
                <w:shd w:val="clear" w:color="auto" w:fill="FFFFFF"/>
              </w:rPr>
              <w:t>送货上门、安装调试、现场培训2～3名相关人员至掌握设备操作及日常维护等，投标报价应包含为实施项目所必须的售后技术服务。分项设备要求产品生产厂家提供技术人员培训的，按其要求执行。</w:t>
            </w:r>
          </w:p>
          <w:p w14:paraId="27347C47">
            <w:pPr>
              <w:spacing w:line="360" w:lineRule="auto"/>
              <w:rPr>
                <w:rFonts w:ascii="宋体" w:hAnsi="宋体" w:eastAsia="宋体" w:cs="宋体"/>
                <w:kern w:val="0"/>
                <w:szCs w:val="21"/>
                <w:shd w:val="clear" w:color="auto" w:fill="FFFFFF"/>
              </w:rPr>
            </w:pPr>
            <w:r>
              <w:rPr>
                <w:rFonts w:hint="eastAsia" w:ascii="宋体" w:hAnsi="宋体" w:eastAsia="宋体" w:cs="宋体"/>
                <w:szCs w:val="21"/>
                <w:shd w:val="clear" w:color="auto" w:fill="FFFFFF"/>
              </w:rPr>
              <w:t>2.设备出现故障后，中标供应商负责需要2小时内做出响应，24小时内派工程师到现场进行故障排除，48小时内故障无法修复的，需要立即提供与原设备技术参数要求相同或高于原设备技术参数要求的备用产品，以保证采购人的正常工作。</w:t>
            </w:r>
          </w:p>
          <w:p w14:paraId="134CC0B8">
            <w:pPr>
              <w:spacing w:line="360" w:lineRule="auto"/>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3.软件在维保期内免费维修及完善性升级</w:t>
            </w:r>
          </w:p>
          <w:p w14:paraId="4F41F601">
            <w:pPr>
              <w:spacing w:line="360" w:lineRule="auto"/>
              <w:rPr>
                <w:rFonts w:ascii="宋体" w:hAnsi="宋体" w:eastAsia="宋体" w:cs="宋体"/>
                <w:szCs w:val="21"/>
              </w:rPr>
            </w:pPr>
            <w:r>
              <w:rPr>
                <w:rFonts w:hint="eastAsia" w:ascii="宋体" w:hAnsi="宋体" w:eastAsia="宋体" w:cs="宋体"/>
                <w:szCs w:val="21"/>
                <w:shd w:val="clear" w:color="auto" w:fill="FFFFFF"/>
              </w:rPr>
              <w:t>4.投标文件提供培训方案，培训内容、培训措施符合项目实施的实际情况。</w:t>
            </w:r>
          </w:p>
        </w:tc>
      </w:tr>
      <w:tr w14:paraId="6DA1A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6" w:type="dxa"/>
            <w:gridSpan w:val="2"/>
            <w:tcBorders>
              <w:top w:val="single" w:color="auto" w:sz="4" w:space="0"/>
              <w:left w:val="single" w:color="auto" w:sz="4" w:space="0"/>
              <w:bottom w:val="single" w:color="auto" w:sz="4" w:space="0"/>
              <w:right w:val="single" w:color="auto" w:sz="4" w:space="0"/>
            </w:tcBorders>
            <w:noWrap/>
            <w:vAlign w:val="center"/>
          </w:tcPr>
          <w:p w14:paraId="34D39055">
            <w:pPr>
              <w:spacing w:line="360" w:lineRule="auto"/>
              <w:jc w:val="center"/>
              <w:rPr>
                <w:rFonts w:ascii="宋体" w:hAnsi="宋体" w:eastAsia="宋体" w:cs="宋体"/>
                <w:szCs w:val="21"/>
              </w:rPr>
            </w:pPr>
            <w:r>
              <w:rPr>
                <w:rFonts w:hint="eastAsia" w:ascii="宋体" w:hAnsi="宋体" w:eastAsia="宋体" w:cs="宋体"/>
                <w:szCs w:val="21"/>
              </w:rPr>
              <w:t>交货时间及地点</w:t>
            </w:r>
          </w:p>
        </w:tc>
        <w:tc>
          <w:tcPr>
            <w:tcW w:w="8057" w:type="dxa"/>
            <w:gridSpan w:val="2"/>
            <w:tcBorders>
              <w:top w:val="single" w:color="auto" w:sz="4" w:space="0"/>
              <w:left w:val="nil"/>
              <w:bottom w:val="single" w:color="auto" w:sz="4" w:space="0"/>
              <w:right w:val="single" w:color="auto" w:sz="4" w:space="0"/>
            </w:tcBorders>
            <w:noWrap/>
            <w:vAlign w:val="center"/>
          </w:tcPr>
          <w:p w14:paraId="4E3F4DE6">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交付使用期：自合同签订之日起90天内验收合格并交付使用。</w:t>
            </w:r>
          </w:p>
          <w:p w14:paraId="2BF18A9B">
            <w:pPr>
              <w:spacing w:line="360" w:lineRule="auto"/>
              <w:rPr>
                <w:rFonts w:ascii="宋体" w:hAnsi="宋体" w:eastAsia="宋体" w:cs="宋体"/>
                <w:kern w:val="0"/>
                <w:szCs w:val="21"/>
                <w:shd w:val="clear" w:color="auto" w:fill="FFFFFF"/>
              </w:rPr>
            </w:pPr>
            <w:r>
              <w:rPr>
                <w:rFonts w:hint="eastAsia" w:ascii="宋体" w:hAnsi="宋体" w:eastAsia="宋体" w:cs="宋体"/>
                <w:szCs w:val="21"/>
                <w:shd w:val="clear" w:color="auto" w:fill="FFFFFF"/>
              </w:rPr>
              <w:t>交货地点：南宁市采购人指定地点。</w:t>
            </w:r>
          </w:p>
        </w:tc>
      </w:tr>
      <w:tr w14:paraId="51EED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6" w:type="dxa"/>
            <w:gridSpan w:val="2"/>
            <w:tcBorders>
              <w:top w:val="single" w:color="auto" w:sz="4" w:space="0"/>
              <w:left w:val="single" w:color="auto" w:sz="4" w:space="0"/>
              <w:bottom w:val="single" w:color="auto" w:sz="4" w:space="0"/>
              <w:right w:val="single" w:color="auto" w:sz="4" w:space="0"/>
            </w:tcBorders>
            <w:noWrap/>
            <w:vAlign w:val="center"/>
          </w:tcPr>
          <w:p w14:paraId="144E5FC5">
            <w:pPr>
              <w:spacing w:line="360" w:lineRule="auto"/>
              <w:jc w:val="center"/>
              <w:rPr>
                <w:rFonts w:ascii="宋体" w:hAnsi="宋体" w:eastAsia="宋体" w:cs="宋体"/>
                <w:szCs w:val="21"/>
              </w:rPr>
            </w:pPr>
            <w:r>
              <w:rPr>
                <w:rFonts w:hint="eastAsia" w:ascii="宋体" w:hAnsi="宋体" w:eastAsia="宋体" w:cs="宋体"/>
                <w:szCs w:val="21"/>
              </w:rPr>
              <w:t>其它要求</w:t>
            </w:r>
          </w:p>
        </w:tc>
        <w:tc>
          <w:tcPr>
            <w:tcW w:w="8057" w:type="dxa"/>
            <w:gridSpan w:val="2"/>
            <w:tcBorders>
              <w:top w:val="single" w:color="auto" w:sz="4" w:space="0"/>
              <w:left w:val="nil"/>
              <w:bottom w:val="single" w:color="auto" w:sz="4" w:space="0"/>
              <w:right w:val="single" w:color="auto" w:sz="4" w:space="0"/>
            </w:tcBorders>
            <w:noWrap/>
            <w:vAlign w:val="center"/>
          </w:tcPr>
          <w:p w14:paraId="1D6C2B3D">
            <w:pPr>
              <w:spacing w:line="360" w:lineRule="auto"/>
              <w:rPr>
                <w:rFonts w:ascii="宋体" w:hAnsi="宋体" w:eastAsia="宋体" w:cs="宋体"/>
                <w:szCs w:val="21"/>
                <w:shd w:val="clear" w:color="auto" w:fill="FFFFFF"/>
              </w:rPr>
            </w:pPr>
            <w:r>
              <w:rPr>
                <w:rFonts w:hint="eastAsia" w:ascii="宋体" w:hAnsi="宋体" w:eastAsia="宋体" w:cs="宋体"/>
                <w:szCs w:val="21"/>
              </w:rPr>
              <w:t>投标人必须根据招标要求的技术参数及配置中的每项指标要求，如实逐项填写技术规格偏离表。</w:t>
            </w:r>
          </w:p>
        </w:tc>
      </w:tr>
      <w:tr w14:paraId="34880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6" w:type="dxa"/>
            <w:gridSpan w:val="2"/>
            <w:tcBorders>
              <w:top w:val="single" w:color="auto" w:sz="4" w:space="0"/>
              <w:left w:val="single" w:color="auto" w:sz="4" w:space="0"/>
              <w:bottom w:val="single" w:color="auto" w:sz="4" w:space="0"/>
              <w:right w:val="single" w:color="auto" w:sz="4" w:space="0"/>
            </w:tcBorders>
            <w:noWrap/>
            <w:vAlign w:val="center"/>
          </w:tcPr>
          <w:p w14:paraId="28B7D721">
            <w:pPr>
              <w:spacing w:line="360" w:lineRule="auto"/>
              <w:jc w:val="center"/>
              <w:rPr>
                <w:rFonts w:ascii="宋体" w:hAnsi="宋体" w:eastAsia="宋体" w:cs="宋体"/>
                <w:szCs w:val="21"/>
              </w:rPr>
            </w:pPr>
            <w:r>
              <w:rPr>
                <w:rFonts w:hint="eastAsia" w:ascii="宋体" w:hAnsi="宋体" w:eastAsia="宋体" w:cs="宋体"/>
                <w:szCs w:val="21"/>
              </w:rPr>
              <w:t>付款方式</w:t>
            </w:r>
          </w:p>
        </w:tc>
        <w:tc>
          <w:tcPr>
            <w:tcW w:w="8057" w:type="dxa"/>
            <w:gridSpan w:val="2"/>
            <w:tcBorders>
              <w:top w:val="single" w:color="auto" w:sz="4" w:space="0"/>
              <w:left w:val="nil"/>
              <w:bottom w:val="single" w:color="auto" w:sz="4" w:space="0"/>
              <w:right w:val="single" w:color="auto" w:sz="4" w:space="0"/>
            </w:tcBorders>
            <w:noWrap/>
            <w:vAlign w:val="center"/>
          </w:tcPr>
          <w:p w14:paraId="49DE811A">
            <w:pPr>
              <w:spacing w:line="360" w:lineRule="auto"/>
              <w:rPr>
                <w:rFonts w:hint="eastAsia" w:ascii="宋体" w:hAnsi="宋体" w:eastAsia="宋体" w:cs="宋体"/>
                <w:szCs w:val="21"/>
              </w:rPr>
            </w:pPr>
            <w:r>
              <w:rPr>
                <w:rFonts w:hint="eastAsia" w:ascii="宋体" w:hAnsi="宋体" w:eastAsia="宋体" w:cs="宋体"/>
                <w:szCs w:val="21"/>
              </w:rPr>
              <w:t>本合同分四期支付，合同生效后且中标供应商已按时足额支付履约保证金后10个工作日内支付预付款(即合同金额50%)；已到货设备金额超过合同总金额的65%后10个工作日内采购人支付合同进度款(合同金额15%)；已到货设备金额超过合同总金额的80%后10个工作日内采购人支付合同进度款(合同金额15%)；验收合格后10个工作日内采购人支付尾款(合同金额20%)。每次付款前，中标供应商必须先行开具并交付当期足额增值税专用发票给采购人，否则采购人有权顺延付款时间。采购人以银行转账、支票或汇票方式付款，如中标供应商未提交合法有效发票、交付完整付款资料或存在违约情形的，采购人有权顺延付款或暂不付款且不承担逾期付款责任。</w:t>
            </w:r>
          </w:p>
        </w:tc>
      </w:tr>
      <w:tr w14:paraId="435FB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6" w:type="dxa"/>
            <w:gridSpan w:val="2"/>
            <w:tcBorders>
              <w:top w:val="single" w:color="auto" w:sz="4" w:space="0"/>
              <w:left w:val="single" w:color="auto" w:sz="4" w:space="0"/>
              <w:bottom w:val="single" w:color="auto" w:sz="4" w:space="0"/>
              <w:right w:val="single" w:color="auto" w:sz="4" w:space="0"/>
            </w:tcBorders>
            <w:noWrap/>
            <w:vAlign w:val="center"/>
          </w:tcPr>
          <w:p w14:paraId="4E4AFE75">
            <w:pPr>
              <w:spacing w:line="360" w:lineRule="auto"/>
              <w:jc w:val="center"/>
              <w:rPr>
                <w:rFonts w:ascii="宋体" w:hAnsi="宋体" w:eastAsia="宋体" w:cs="宋体"/>
                <w:szCs w:val="21"/>
              </w:rPr>
            </w:pPr>
            <w:r>
              <w:rPr>
                <w:rFonts w:hint="eastAsia" w:ascii="宋体" w:hAnsi="宋体" w:eastAsia="宋体" w:cs="宋体"/>
                <w:szCs w:val="21"/>
              </w:rPr>
              <w:t>履约保证金</w:t>
            </w:r>
          </w:p>
        </w:tc>
        <w:tc>
          <w:tcPr>
            <w:tcW w:w="8057" w:type="dxa"/>
            <w:gridSpan w:val="2"/>
            <w:tcBorders>
              <w:top w:val="single" w:color="auto" w:sz="4" w:space="0"/>
              <w:left w:val="nil"/>
              <w:bottom w:val="single" w:color="auto" w:sz="4" w:space="0"/>
              <w:right w:val="single" w:color="auto" w:sz="4" w:space="0"/>
            </w:tcBorders>
            <w:noWrap/>
            <w:vAlign w:val="center"/>
          </w:tcPr>
          <w:p w14:paraId="13FF15D3">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1.履约保证金金额：按中标总金额的2%。</w:t>
            </w:r>
          </w:p>
          <w:p w14:paraId="4C068CCC">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2.履约保证金递交方式：中标供应商在收到中标通知后5个工作日内以银行转账、支票、汇票、本票或者金融机构、担保机构出具的保函等非现金方式向采购人提交。</w:t>
            </w:r>
          </w:p>
          <w:p w14:paraId="2B9F42EE">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3.履约保证金退付方式、时间及条件：若中标供应商不能履行或不完全履行合同，履约保证金不予退还；若中标供应商完全履行合同，且货物验收合格后，中标供应商凭履约保证金财务凭证到采购人财务部门办理退还手续，办理手续后十个工作日内由采购人无息退还。</w:t>
            </w:r>
          </w:p>
          <w:p w14:paraId="7CE3FC24">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4.缴纳履约保证金的指定账户：</w:t>
            </w:r>
          </w:p>
          <w:p w14:paraId="32D29E3F">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开户名称：广西壮族自治区产品质量检验研究院</w:t>
            </w:r>
          </w:p>
          <w:p w14:paraId="51361CCC">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开户银行：工行南宁市民族支行</w:t>
            </w:r>
          </w:p>
          <w:p w14:paraId="48D4C113">
            <w:pPr>
              <w:spacing w:line="360" w:lineRule="auto"/>
              <w:rPr>
                <w:rFonts w:ascii="宋体" w:hAnsi="宋体" w:eastAsia="宋体" w:cs="宋体"/>
                <w:szCs w:val="21"/>
              </w:rPr>
            </w:pPr>
            <w:r>
              <w:rPr>
                <w:rFonts w:hint="eastAsia" w:ascii="宋体" w:hAnsi="宋体" w:eastAsia="宋体" w:cs="宋体"/>
                <w:szCs w:val="21"/>
                <w:shd w:val="clear" w:color="auto" w:fill="FFFFFF"/>
              </w:rPr>
              <w:t>银行账号：2102109209249002028</w:t>
            </w:r>
          </w:p>
        </w:tc>
      </w:tr>
      <w:tr w14:paraId="141D3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6" w:type="dxa"/>
            <w:gridSpan w:val="2"/>
            <w:tcBorders>
              <w:top w:val="single" w:color="auto" w:sz="4" w:space="0"/>
              <w:left w:val="single" w:color="auto" w:sz="4" w:space="0"/>
              <w:bottom w:val="single" w:color="auto" w:sz="4" w:space="0"/>
              <w:right w:val="single" w:color="auto" w:sz="4" w:space="0"/>
            </w:tcBorders>
            <w:noWrap/>
            <w:vAlign w:val="center"/>
          </w:tcPr>
          <w:p w14:paraId="13B77E5D">
            <w:pPr>
              <w:spacing w:line="360" w:lineRule="auto"/>
              <w:jc w:val="center"/>
              <w:rPr>
                <w:rFonts w:ascii="宋体" w:hAnsi="宋体" w:eastAsia="宋体" w:cs="宋体"/>
                <w:szCs w:val="21"/>
              </w:rPr>
            </w:pPr>
            <w:r>
              <w:rPr>
                <w:rFonts w:hint="eastAsia" w:ascii="宋体" w:hAnsi="宋体" w:eastAsia="宋体" w:cs="宋体"/>
                <w:szCs w:val="21"/>
              </w:rPr>
              <w:t>验收标准</w:t>
            </w:r>
          </w:p>
        </w:tc>
        <w:tc>
          <w:tcPr>
            <w:tcW w:w="8057" w:type="dxa"/>
            <w:gridSpan w:val="2"/>
            <w:tcBorders>
              <w:top w:val="single" w:color="auto" w:sz="4" w:space="0"/>
              <w:left w:val="nil"/>
              <w:bottom w:val="single" w:color="auto" w:sz="4" w:space="0"/>
              <w:right w:val="single" w:color="auto" w:sz="4" w:space="0"/>
            </w:tcBorders>
            <w:noWrap/>
            <w:vAlign w:val="center"/>
          </w:tcPr>
          <w:p w14:paraId="201FA47A">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1.检查供货范围或服务范围</w:t>
            </w:r>
          </w:p>
          <w:p w14:paraId="0992A8BC">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货物类：产品到达现场后，中标供应商应在采购人单位人员在场情况下当面开箱，共同清点、检查外观，作出开箱记录，双方签字确认。中标供应商应保证货物到达采购人所在地完好无损，如有缺漏、损坏，由中标人负责调换、补齐或赔偿。</w:t>
            </w:r>
          </w:p>
          <w:p w14:paraId="75EFEA00">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服务类：根据招标文件检查服务内容是否满足要求。</w:t>
            </w:r>
          </w:p>
          <w:p w14:paraId="3BDAC40A">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2.中标供应商应提供完备的技术或服务资料、装箱单和合格证等，并派遣专业人员进行现场安装调试。验收合格条件如下：</w:t>
            </w:r>
          </w:p>
          <w:p w14:paraId="2FD806A5">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2.1货物或服务技术参数与投标文件中技术需求偏离表或证明材料一致，性能或指标达到规定的标准，否则，以实际货物或服务技术参数与投标文件技术需求偏离表参数或证明材料比较，按如下情况处理：</w:t>
            </w:r>
          </w:p>
          <w:p w14:paraId="36B4D088">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1）中标供应商投标文件技术需求偏离表或证明材料中满足或优于的技术参数，在验收时实际不满足技术参数要求的，视为供货商违约，采购人有权终止合同拒收货物，并追究中标供应商责任，同时报财政部门备案。</w:t>
            </w:r>
          </w:p>
          <w:p w14:paraId="2990847F">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2）中标供应商投标文件技术需求偏离表或证明材料中优于的技术参数，在验收时实际仅满足并未优于技术参数要求的，视为供货商违约，采购人有权终止合同拒收货物，并追究中标供应商责任，同时报财政部门备案。</w:t>
            </w:r>
          </w:p>
          <w:p w14:paraId="71DF2606">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（3）中标供应商投标文件技术需求偏离表或证明材料中满足的技术参数，在验收时实际优于技术参数的要求，以满足技术参数的要求验收。</w:t>
            </w:r>
          </w:p>
          <w:p w14:paraId="0E34CC56">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4）中标供应商投标文件技术需求偏离表或证明材料中优于的技术参数，在验收时实际也优于技术参数的要求，但没有达到技术需求偏离表或证明材料中优于的程度，视为不满足投标承诺，按验收不合格，违约处理。</w:t>
            </w:r>
          </w:p>
          <w:p w14:paraId="326FF676">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5）实际货物与投标货物型号不一致的，验收时不论实际是优于还是满足技术参数的要求，采购人均有权终止合同拒收货物。如影响货物或服务的使用、质量、档次及采购人需求的，还可视为供货商违约，追究中标供应商责任，同时报财政部门备案。</w:t>
            </w:r>
          </w:p>
          <w:p w14:paraId="77E21FC9">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2.2技术资料、装箱单、合格证等资料齐全。</w:t>
            </w:r>
          </w:p>
          <w:p w14:paraId="2FE071FB">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2.3在测试或试运行期间所出现的问题得到解决，并运行或工作正常。</w:t>
            </w:r>
          </w:p>
          <w:p w14:paraId="7E20E0DA">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2.4在规定时间内完成交货及验收，并经采购人确认。</w:t>
            </w:r>
          </w:p>
          <w:p w14:paraId="47FA54D0">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3.产品或服务在安装调试并试运行符合要求后，还必须负责完成设备及软件系统的重新部署安装、集成、调试并能整体通过测试顺利运行，运行顺畅才作为最终验收。</w:t>
            </w:r>
          </w:p>
          <w:p w14:paraId="5FDD22B2">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4.中标供应商提供的货物或服务未达到招标文件规定要求，且对采购人造成损失的，由中标供应商承担一切责任，并赔偿所造成的损失。</w:t>
            </w:r>
          </w:p>
          <w:p w14:paraId="794A0895">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5.采购人需要制造商对中标供应商交付的产品或服务（包括质量、参数等）进行确认的，制造商应予以配合并出具书面意见，相关配合事项由中标供应商与制造商协调。</w:t>
            </w:r>
          </w:p>
          <w:p w14:paraId="09C8807E">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6.产品包装材料归采购人所有。</w:t>
            </w:r>
          </w:p>
          <w:p w14:paraId="58CB9A28">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7.其他验收要求按第五章《拟签订的合同文本》执行，未尽事宜按照《关于印发广西壮族自治区政府采购项目履约验收管理办法的通知》[桂财采〔2015〕22号]以及《财政部关于进一步加强政府采购需求和履约验收管理的指导意见》[财库〔2016〕205号]规定执行。</w:t>
            </w:r>
          </w:p>
        </w:tc>
      </w:tr>
      <w:tr w14:paraId="3808E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6" w:type="dxa"/>
            <w:gridSpan w:val="2"/>
            <w:tcBorders>
              <w:top w:val="single" w:color="auto" w:sz="4" w:space="0"/>
              <w:left w:val="single" w:color="auto" w:sz="4" w:space="0"/>
              <w:bottom w:val="single" w:color="auto" w:sz="4" w:space="0"/>
              <w:right w:val="single" w:color="auto" w:sz="4" w:space="0"/>
            </w:tcBorders>
            <w:noWrap/>
            <w:vAlign w:val="center"/>
          </w:tcPr>
          <w:p w14:paraId="79B9C65D">
            <w:pPr>
              <w:snapToGrid w:val="0"/>
              <w:spacing w:line="360" w:lineRule="auto"/>
              <w:jc w:val="center"/>
              <w:rPr>
                <w:rFonts w:ascii="宋体" w:hAnsi="宋体" w:eastAsia="宋体" w:cs="宋体"/>
                <w:b/>
                <w:bCs/>
                <w:szCs w:val="21"/>
              </w:rPr>
            </w:pPr>
            <w:r>
              <w:rPr>
                <w:rFonts w:hint="eastAsia" w:ascii="宋体" w:hAnsi="宋体" w:eastAsia="宋体" w:cs="宋体"/>
                <w:b/>
                <w:bCs/>
                <w:szCs w:val="21"/>
              </w:rPr>
              <w:t>其他说明</w:t>
            </w:r>
          </w:p>
        </w:tc>
        <w:tc>
          <w:tcPr>
            <w:tcW w:w="8057" w:type="dxa"/>
            <w:gridSpan w:val="2"/>
            <w:tcBorders>
              <w:top w:val="single" w:color="auto" w:sz="4" w:space="0"/>
              <w:left w:val="nil"/>
              <w:bottom w:val="single" w:color="auto" w:sz="4" w:space="0"/>
              <w:right w:val="single" w:color="auto" w:sz="4" w:space="0"/>
            </w:tcBorders>
            <w:noWrap/>
            <w:vAlign w:val="center"/>
          </w:tcPr>
          <w:p w14:paraId="6168ABEB">
            <w:pPr>
              <w:snapToGrid w:val="0"/>
              <w:spacing w:line="360" w:lineRule="auto"/>
              <w:jc w:val="left"/>
              <w:rPr>
                <w:rFonts w:hint="eastAsia" w:ascii="宋体" w:hAnsi="宋体" w:eastAsia="宋体" w:cs="宋体"/>
                <w:szCs w:val="21"/>
              </w:rPr>
            </w:pPr>
            <w:r>
              <w:rPr>
                <w:rFonts w:hint="eastAsia" w:ascii="宋体" w:hAnsi="宋体" w:eastAsia="宋体" w:cs="宋体"/>
                <w:szCs w:val="21"/>
              </w:rPr>
              <w:t>一、进口产品说明：</w:t>
            </w:r>
          </w:p>
          <w:p w14:paraId="6CA31BAD">
            <w:pPr>
              <w:snapToGrid w:val="0"/>
              <w:spacing w:line="360" w:lineRule="auto"/>
              <w:jc w:val="left"/>
              <w:rPr>
                <w:rFonts w:hint="eastAsia" w:ascii="宋体" w:hAnsi="宋体" w:eastAsia="宋体" w:cs="宋体"/>
                <w:szCs w:val="21"/>
              </w:rPr>
            </w:pPr>
            <w:r>
              <w:rPr>
                <w:rFonts w:hint="eastAsia" w:ascii="宋体" w:hAnsi="宋体" w:eastAsia="宋体" w:cs="宋体"/>
                <w:szCs w:val="21"/>
              </w:rPr>
              <w:t>□本项目已按规定办妥进口产品采购审核手续，投标产品可选用进口产品；但如选用进口产品时必须为全套原装进口产品（即通过中国海关报关验放进入中国境内且产自关境外的产品）并</w:t>
            </w:r>
            <w:r>
              <w:rPr>
                <w:rFonts w:hint="eastAsia" w:ascii="宋体" w:hAnsi="宋体" w:eastAsia="宋体" w:cs="宋体"/>
                <w:kern w:val="0"/>
                <w:szCs w:val="21"/>
                <w:lang w:bidi="ar"/>
              </w:rPr>
              <w:t>提供原厂商或中国大陆有效代理商出具有效授权书原件和有效的售后服务承诺书原件</w:t>
            </w:r>
            <w:r>
              <w:rPr>
                <w:rFonts w:hint="eastAsia" w:ascii="宋体" w:hAnsi="宋体" w:eastAsia="宋体" w:cs="宋体"/>
                <w:szCs w:val="21"/>
              </w:rPr>
              <w:t>，同时投标人必须负责办理进口产品所有相关手续并承担所有费用。优先采购向我国企业转让技术、与我国企业签订消化吸收再创新方案的投标人的进口产品。其他货物不接受进口产品参与投标，否则作无效投标处理。</w:t>
            </w:r>
          </w:p>
          <w:p w14:paraId="5CB278D3">
            <w:pPr>
              <w:snapToGrid w:val="0"/>
              <w:spacing w:line="360" w:lineRule="auto"/>
              <w:jc w:val="left"/>
              <w:rPr>
                <w:rFonts w:hint="eastAsia" w:ascii="宋体" w:hAnsi="宋体" w:eastAsia="宋体" w:cs="宋体"/>
                <w:szCs w:val="21"/>
              </w:rPr>
            </w:pPr>
            <w:r>
              <w:rPr>
                <w:rFonts w:hint="eastAsia" w:ascii="宋体" w:hAnsi="宋体" w:eastAsia="宋体" w:cs="宋体"/>
                <w:szCs w:val="21"/>
              </w:rPr>
              <w:t>☑本项目货物所涉及的货物不接受进口产品（即通过中国海关报关验放进入中国境内且产自关境外的产品）参与投标，如有进口产品参与投标的作无效投标处理。</w:t>
            </w:r>
          </w:p>
          <w:p w14:paraId="6CCEAF83">
            <w:pPr>
              <w:snapToGrid w:val="0"/>
              <w:spacing w:line="360" w:lineRule="auto"/>
              <w:jc w:val="left"/>
              <w:rPr>
                <w:rFonts w:hint="eastAsia" w:ascii="宋体" w:hAnsi="宋体" w:eastAsia="宋体" w:cs="宋体"/>
                <w:kern w:val="0"/>
                <w:szCs w:val="21"/>
                <w:lang w:bidi="ar"/>
              </w:rPr>
            </w:pPr>
            <w:r>
              <w:rPr>
                <w:rFonts w:hint="eastAsia" w:ascii="宋体" w:hAnsi="宋体" w:eastAsia="宋体" w:cs="宋体"/>
                <w:kern w:val="0"/>
                <w:szCs w:val="21"/>
                <w:lang w:bidi="ar"/>
              </w:rPr>
              <w:t>二、根据《国务院办公厅关于在政府采购中实施本国产品标准及相关政策的通知》（国办发〔2025〕34号）的规定，政府采购活动中既有本国产品又有非本国产品参与竞争的，依法对符合政策要求的本国产品给予价格评审优惠，具体详见“第四章 评标方法和评标标准”。产品在中国境内生产的组件成本，按照《中国境内生产的组件成本核算基本规则》（见附件3）计算。</w:t>
            </w:r>
          </w:p>
          <w:p w14:paraId="3A8E4263">
            <w:pPr>
              <w:snapToGrid w:val="0"/>
              <w:spacing w:line="360" w:lineRule="auto"/>
              <w:jc w:val="left"/>
              <w:rPr>
                <w:rFonts w:hint="eastAsia" w:ascii="宋体" w:hAnsi="宋体" w:eastAsia="宋体" w:cs="宋体"/>
                <w:kern w:val="0"/>
                <w:szCs w:val="21"/>
                <w:lang w:bidi="ar"/>
              </w:rPr>
            </w:pPr>
            <w:r>
              <w:rPr>
                <w:rFonts w:hint="eastAsia" w:ascii="宋体" w:hAnsi="宋体" w:eastAsia="宋体" w:cs="宋体"/>
                <w:kern w:val="0"/>
                <w:szCs w:val="21"/>
                <w:lang w:bidi="ar"/>
              </w:rPr>
              <w:t>三、与本项目有关的设计图纸、技术规范、文件等附件资料及其获取方式：</w:t>
            </w:r>
          </w:p>
          <w:p w14:paraId="1C794F64">
            <w:pPr>
              <w:snapToGrid w:val="0"/>
              <w:spacing w:line="360" w:lineRule="auto"/>
              <w:jc w:val="left"/>
              <w:rPr>
                <w:rFonts w:hint="eastAsia" w:ascii="宋体" w:hAnsi="宋体" w:eastAsia="宋体" w:cs="宋体"/>
                <w:kern w:val="0"/>
                <w:szCs w:val="21"/>
                <w:lang w:bidi="ar"/>
              </w:rPr>
            </w:pPr>
            <w:r>
              <w:rPr>
                <w:rFonts w:hint="eastAsia" w:ascii="宋体" w:hAnsi="宋体" w:eastAsia="宋体" w:cs="宋体"/>
                <w:kern w:val="0"/>
                <w:szCs w:val="21"/>
                <w:lang w:bidi="ar"/>
              </w:rPr>
              <w:t>文件或者资料名称：无</w:t>
            </w:r>
          </w:p>
          <w:p w14:paraId="7E219E4D">
            <w:pPr>
              <w:snapToGrid w:val="0"/>
              <w:spacing w:line="360" w:lineRule="auto"/>
              <w:jc w:val="left"/>
              <w:rPr>
                <w:rFonts w:hint="eastAsia" w:ascii="宋体" w:hAnsi="宋体" w:eastAsia="宋体" w:cs="宋体"/>
                <w:kern w:val="0"/>
                <w:szCs w:val="21"/>
                <w:lang w:bidi="ar"/>
              </w:rPr>
            </w:pPr>
            <w:r>
              <w:rPr>
                <w:rFonts w:hint="eastAsia" w:ascii="宋体" w:hAnsi="宋体" w:eastAsia="宋体" w:cs="宋体"/>
                <w:kern w:val="0"/>
                <w:szCs w:val="21"/>
                <w:lang w:bidi="ar"/>
              </w:rPr>
              <w:t xml:space="preserve">公布渠道或者获取方式：无        </w:t>
            </w:r>
          </w:p>
          <w:p w14:paraId="545DDA39">
            <w:pPr>
              <w:snapToGrid w:val="0"/>
              <w:spacing w:line="360" w:lineRule="auto"/>
              <w:jc w:val="left"/>
              <w:rPr>
                <w:rFonts w:hint="eastAsia" w:ascii="宋体" w:hAnsi="宋体" w:eastAsia="宋体" w:cs="宋体"/>
                <w:szCs w:val="21"/>
                <w:shd w:val="clear" w:color="auto" w:fill="FFFFFF"/>
              </w:rPr>
            </w:pPr>
            <w:r>
              <w:rPr>
                <w:rFonts w:hint="eastAsia" w:ascii="宋体" w:hAnsi="宋体" w:eastAsia="宋体" w:cs="宋体"/>
                <w:szCs w:val="21"/>
                <w:shd w:val="clear" w:color="auto" w:fill="FFFFFF"/>
              </w:rPr>
              <w:t>四、核心产品：</w:t>
            </w:r>
          </w:p>
          <w:p w14:paraId="7E4AD0DF">
            <w:pPr>
              <w:snapToGrid w:val="0"/>
              <w:spacing w:line="360" w:lineRule="auto"/>
              <w:jc w:val="left"/>
              <w:rPr>
                <w:rFonts w:hint="eastAsia" w:ascii="宋体" w:hAnsi="宋体" w:eastAsia="宋体" w:cs="宋体"/>
                <w:szCs w:val="21"/>
              </w:rPr>
            </w:pPr>
            <w:r>
              <w:rPr>
                <w:rFonts w:hint="eastAsia" w:ascii="宋体" w:hAnsi="宋体" w:eastAsia="宋体" w:cs="宋体"/>
                <w:szCs w:val="21"/>
              </w:rPr>
              <w:t>本项目的核心产品为“需求一览表”中第</w:t>
            </w:r>
            <w:r>
              <w:rPr>
                <w:rFonts w:hint="eastAsia" w:ascii="宋体" w:hAnsi="宋体" w:eastAsia="宋体" w:cs="宋体"/>
                <w:szCs w:val="21"/>
                <w:u w:val="single"/>
              </w:rPr>
              <w:t xml:space="preserve">  1 </w:t>
            </w:r>
            <w:r>
              <w:rPr>
                <w:rFonts w:hint="eastAsia" w:ascii="宋体" w:hAnsi="宋体" w:eastAsia="宋体" w:cs="宋体"/>
                <w:szCs w:val="21"/>
              </w:rPr>
              <w:t>项产品：</w:t>
            </w:r>
            <w:r>
              <w:rPr>
                <w:rFonts w:hint="eastAsia" w:ascii="宋体" w:hAnsi="宋体" w:eastAsia="宋体" w:cs="宋体"/>
                <w:szCs w:val="21"/>
                <w:u w:val="single"/>
              </w:rPr>
              <w:t xml:space="preserve">   气相色谱串联质谱联用仪  </w:t>
            </w:r>
            <w:r>
              <w:rPr>
                <w:rFonts w:hint="eastAsia" w:ascii="宋体" w:hAnsi="宋体" w:eastAsia="宋体" w:cs="宋体"/>
                <w:szCs w:val="21"/>
              </w:rPr>
              <w:t>。</w:t>
            </w:r>
          </w:p>
        </w:tc>
      </w:tr>
    </w:tbl>
    <w:p w14:paraId="6403D4BC">
      <w:pPr>
        <w:spacing w:line="428" w:lineRule="exact"/>
        <w:ind w:left="119"/>
        <w:rPr>
          <w:rFonts w:hint="eastAsia" w:ascii="宋体" w:hAnsi="宋体" w:eastAsia="宋体" w:cs="宋体"/>
          <w:b/>
          <w:bCs/>
          <w:sz w:val="24"/>
        </w:rPr>
      </w:pPr>
    </w:p>
    <w:p w14:paraId="6DEDF216">
      <w:pPr>
        <w:spacing w:line="428" w:lineRule="exact"/>
        <w:ind w:left="119"/>
        <w:rPr>
          <w:rFonts w:hint="eastAsia" w:ascii="宋体" w:hAnsi="宋体" w:eastAsia="宋体" w:cs="宋体"/>
          <w:b/>
          <w:bCs/>
          <w:sz w:val="24"/>
        </w:rPr>
      </w:pPr>
      <w:r>
        <w:rPr>
          <w:rFonts w:hint="eastAsia" w:ascii="宋体" w:hAnsi="宋体" w:eastAsia="宋体" w:cs="宋体"/>
          <w:b/>
          <w:bCs/>
          <w:sz w:val="24"/>
        </w:rPr>
        <w:br w:type="page"/>
      </w:r>
    </w:p>
    <w:tbl>
      <w:tblPr>
        <w:tblStyle w:val="4"/>
        <w:tblW w:w="96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6"/>
        <w:gridCol w:w="1090"/>
        <w:gridCol w:w="780"/>
        <w:gridCol w:w="7277"/>
      </w:tblGrid>
      <w:tr w14:paraId="56378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23" w:type="dxa"/>
            <w:gridSpan w:val="4"/>
            <w:tcBorders>
              <w:top w:val="single" w:color="auto" w:sz="4" w:space="0"/>
              <w:left w:val="single" w:color="auto" w:sz="4" w:space="0"/>
              <w:right w:val="single" w:color="auto" w:sz="4" w:space="0"/>
            </w:tcBorders>
            <w:noWrap/>
            <w:vAlign w:val="center"/>
          </w:tcPr>
          <w:p w14:paraId="1CB99C1D">
            <w:pPr>
              <w:snapToGrid w:val="0"/>
              <w:spacing w:line="360" w:lineRule="exact"/>
              <w:ind w:left="-107" w:leftChars="-51" w:right="-107" w:rightChars="-51"/>
              <w:jc w:val="center"/>
              <w:rPr>
                <w:rFonts w:hint="eastAsia" w:ascii="宋体" w:hAnsi="宋体" w:eastAsia="宋体" w:cs="宋体"/>
                <w:b/>
                <w:szCs w:val="21"/>
              </w:rPr>
            </w:pPr>
            <w:r>
              <w:rPr>
                <w:rFonts w:hint="eastAsia" w:ascii="宋体" w:hAnsi="宋体" w:eastAsia="宋体" w:cs="宋体"/>
                <w:b/>
                <w:szCs w:val="21"/>
              </w:rPr>
              <w:t>需求一览表（标项二）</w:t>
            </w:r>
          </w:p>
        </w:tc>
      </w:tr>
      <w:tr w14:paraId="11906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top w:val="single" w:color="auto" w:sz="4" w:space="0"/>
              <w:left w:val="single" w:color="auto" w:sz="4" w:space="0"/>
              <w:right w:val="single" w:color="auto" w:sz="4" w:space="0"/>
            </w:tcBorders>
            <w:noWrap/>
            <w:vAlign w:val="center"/>
          </w:tcPr>
          <w:p w14:paraId="5CA9DF90">
            <w:pPr>
              <w:snapToGrid w:val="0"/>
              <w:spacing w:line="360" w:lineRule="exact"/>
              <w:jc w:val="center"/>
              <w:rPr>
                <w:rFonts w:ascii="宋体" w:hAnsi="宋体" w:eastAsia="宋体" w:cs="宋体"/>
                <w:b/>
                <w:szCs w:val="21"/>
              </w:rPr>
            </w:pPr>
            <w:r>
              <w:rPr>
                <w:rFonts w:hint="eastAsia" w:ascii="宋体" w:hAnsi="宋体" w:eastAsia="宋体" w:cs="宋体"/>
                <w:b/>
                <w:szCs w:val="21"/>
              </w:rPr>
              <w:t>序号</w:t>
            </w:r>
          </w:p>
        </w:tc>
        <w:tc>
          <w:tcPr>
            <w:tcW w:w="1090" w:type="dxa"/>
            <w:tcBorders>
              <w:top w:val="single" w:color="auto" w:sz="4" w:space="0"/>
              <w:left w:val="nil"/>
              <w:bottom w:val="single" w:color="auto" w:sz="4" w:space="0"/>
              <w:right w:val="single" w:color="auto" w:sz="4" w:space="0"/>
            </w:tcBorders>
            <w:noWrap/>
            <w:vAlign w:val="center"/>
          </w:tcPr>
          <w:p w14:paraId="36F2AAA3">
            <w:pPr>
              <w:snapToGrid w:val="0"/>
              <w:spacing w:line="360" w:lineRule="exact"/>
              <w:jc w:val="center"/>
              <w:rPr>
                <w:rFonts w:ascii="宋体" w:hAnsi="宋体" w:eastAsia="宋体" w:cs="宋体"/>
                <w:b/>
                <w:szCs w:val="21"/>
              </w:rPr>
            </w:pPr>
            <w:r>
              <w:rPr>
                <w:rFonts w:hint="eastAsia" w:ascii="宋体" w:hAnsi="宋体" w:eastAsia="宋体" w:cs="宋体"/>
                <w:b/>
                <w:szCs w:val="21"/>
              </w:rPr>
              <w:t>标的名称</w:t>
            </w:r>
          </w:p>
        </w:tc>
        <w:tc>
          <w:tcPr>
            <w:tcW w:w="780" w:type="dxa"/>
            <w:tcBorders>
              <w:top w:val="single" w:color="auto" w:sz="4" w:space="0"/>
              <w:left w:val="nil"/>
              <w:bottom w:val="single" w:color="auto" w:sz="4" w:space="0"/>
              <w:right w:val="single" w:color="auto" w:sz="4" w:space="0"/>
            </w:tcBorders>
            <w:noWrap/>
            <w:vAlign w:val="center"/>
          </w:tcPr>
          <w:p w14:paraId="2B0C69D6">
            <w:pPr>
              <w:snapToGrid w:val="0"/>
              <w:spacing w:line="360" w:lineRule="exact"/>
              <w:ind w:left="-107" w:leftChars="-51" w:right="-107" w:rightChars="-51"/>
              <w:jc w:val="center"/>
              <w:rPr>
                <w:rFonts w:ascii="宋体" w:hAnsi="宋体" w:eastAsia="宋体" w:cs="宋体"/>
                <w:b/>
                <w:szCs w:val="21"/>
              </w:rPr>
            </w:pPr>
            <w:r>
              <w:rPr>
                <w:rFonts w:hint="eastAsia" w:ascii="宋体" w:hAnsi="宋体" w:eastAsia="宋体" w:cs="宋体"/>
                <w:b/>
                <w:szCs w:val="21"/>
              </w:rPr>
              <w:t>数量及单位</w:t>
            </w:r>
          </w:p>
        </w:tc>
        <w:tc>
          <w:tcPr>
            <w:tcW w:w="7277" w:type="dxa"/>
            <w:tcBorders>
              <w:top w:val="single" w:color="auto" w:sz="4" w:space="0"/>
              <w:left w:val="nil"/>
              <w:bottom w:val="single" w:color="auto" w:sz="4" w:space="0"/>
              <w:right w:val="single" w:color="auto" w:sz="4" w:space="0"/>
            </w:tcBorders>
            <w:noWrap/>
            <w:vAlign w:val="center"/>
          </w:tcPr>
          <w:p w14:paraId="396A3F26">
            <w:pPr>
              <w:snapToGrid w:val="0"/>
              <w:spacing w:line="360" w:lineRule="exact"/>
              <w:ind w:left="-107" w:leftChars="-51" w:right="-107" w:rightChars="-51"/>
              <w:jc w:val="center"/>
              <w:rPr>
                <w:rFonts w:ascii="宋体" w:hAnsi="宋体" w:eastAsia="宋体" w:cs="宋体"/>
                <w:b/>
                <w:szCs w:val="21"/>
              </w:rPr>
            </w:pPr>
            <w:r>
              <w:rPr>
                <w:rFonts w:hint="eastAsia" w:ascii="宋体" w:hAnsi="宋体" w:eastAsia="宋体" w:cs="宋体"/>
                <w:b/>
                <w:szCs w:val="21"/>
              </w:rPr>
              <w:t>技术参数及配置</w:t>
            </w:r>
          </w:p>
        </w:tc>
      </w:tr>
      <w:tr w14:paraId="5E890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2FB98F2D">
            <w:pPr>
              <w:spacing w:line="360" w:lineRule="auto"/>
              <w:jc w:val="center"/>
              <w:rPr>
                <w:rFonts w:ascii="Times New Roman" w:hAnsi="Times New Roman" w:eastAsia="宋体" w:cs="Times New Roman"/>
                <w:szCs w:val="21"/>
              </w:rPr>
            </w:pPr>
            <w:r>
              <w:rPr>
                <w:rFonts w:hint="eastAsia" w:ascii="宋体" w:hAnsi="宋体" w:eastAsia="宋体" w:cs="Times New Roman"/>
                <w:szCs w:val="21"/>
              </w:rPr>
              <w:t>1</w:t>
            </w:r>
          </w:p>
        </w:tc>
        <w:tc>
          <w:tcPr>
            <w:tcW w:w="1090" w:type="dxa"/>
            <w:tcBorders>
              <w:top w:val="single" w:color="auto" w:sz="4" w:space="0"/>
              <w:left w:val="nil"/>
              <w:bottom w:val="single" w:color="auto" w:sz="4" w:space="0"/>
              <w:right w:val="single" w:color="auto" w:sz="4" w:space="0"/>
            </w:tcBorders>
            <w:noWrap/>
            <w:vAlign w:val="center"/>
          </w:tcPr>
          <w:p w14:paraId="34D2E9A0">
            <w:pPr>
              <w:widowControl/>
              <w:jc w:val="center"/>
              <w:textAlignment w:val="center"/>
              <w:rPr>
                <w:rFonts w:ascii="Times New Roman" w:hAnsi="Times New Roman" w:eastAsia="宋体" w:cs="Times New Roman"/>
                <w:szCs w:val="21"/>
              </w:rPr>
            </w:pPr>
            <w:r>
              <w:rPr>
                <w:rFonts w:hint="eastAsia" w:ascii="宋体" w:hAnsi="宋体" w:eastAsia="宋体" w:cs="宋体"/>
                <w:color w:val="000000"/>
                <w:kern w:val="0"/>
                <w:sz w:val="22"/>
                <w:szCs w:val="22"/>
                <w:lang w:bidi="ar"/>
              </w:rPr>
              <w:t>电感耦合等离子体发射光谱仪</w:t>
            </w:r>
          </w:p>
        </w:tc>
        <w:tc>
          <w:tcPr>
            <w:tcW w:w="780" w:type="dxa"/>
            <w:tcBorders>
              <w:top w:val="single" w:color="auto" w:sz="4" w:space="0"/>
              <w:left w:val="nil"/>
              <w:bottom w:val="single" w:color="auto" w:sz="4" w:space="0"/>
              <w:right w:val="single" w:color="auto" w:sz="4" w:space="0"/>
            </w:tcBorders>
            <w:noWrap/>
            <w:vAlign w:val="center"/>
          </w:tcPr>
          <w:p w14:paraId="6A0D83D6">
            <w:pPr>
              <w:widowControl/>
              <w:jc w:val="center"/>
              <w:textAlignment w:val="center"/>
              <w:rPr>
                <w:rFonts w:ascii="Times New Roman" w:hAnsi="Times New Roman" w:eastAsia="宋体" w:cs="Times New Roman"/>
                <w:szCs w:val="21"/>
              </w:rPr>
            </w:pPr>
            <w:r>
              <w:rPr>
                <w:rFonts w:hint="eastAsia" w:ascii="Times New Roman" w:hAnsi="Times New Roman" w:eastAsia="宋体" w:cs="Times New Roman"/>
                <w:szCs w:val="21"/>
              </w:rPr>
              <w:t>1台</w:t>
            </w:r>
          </w:p>
        </w:tc>
        <w:tc>
          <w:tcPr>
            <w:tcW w:w="7277" w:type="dxa"/>
            <w:tcBorders>
              <w:top w:val="single" w:color="auto" w:sz="4" w:space="0"/>
              <w:left w:val="nil"/>
              <w:bottom w:val="single" w:color="auto" w:sz="4" w:space="0"/>
              <w:right w:val="single" w:color="auto" w:sz="4" w:space="0"/>
            </w:tcBorders>
            <w:noWrap/>
            <w:vAlign w:val="center"/>
          </w:tcPr>
          <w:p w14:paraId="508C48F5">
            <w:pPr>
              <w:widowControl/>
              <w:spacing w:line="360" w:lineRule="auto"/>
              <w:jc w:val="left"/>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1.总体要求：进行定性、半定量和精确的定量分析。</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2.技术要求</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2.1 进样系统：</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2.1.1 同心雾化器或平行通道雾化器，保证仪器高灵敏度的同时具有耐盐特性，可选有机进样器、高盐雾化器、氢氟酸雾化器。</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2.1.2 雾化室类型可选常规雾化室、耐高盐雾化室、耐氢氟酸雾化室、有机雾化室等；</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2.1.3 分体设计的可拆卸式石英炬管，预准直的炬管座内置式气路连接。</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2.1.4 气路部分均采用高精度的质量流量计控制，其中等离子体气流量控制精度≤1L/min，辅助气流量控制精度≤0.01L/min，雾化器流量控制精度≤0.01L/min</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▲2.1.5 进样系统：手动/自动进样器；不低于200孔位自动进样器，</w:t>
            </w:r>
            <w:r>
              <w:rPr>
                <w:rFonts w:hint="eastAsia" w:ascii="Times New Roman" w:hAnsi="Times New Roman" w:eastAsia="宋体" w:cs="Times New Roman"/>
              </w:rPr>
              <w:t>满足大批量进样需求，</w:t>
            </w:r>
            <w:r>
              <w:rPr>
                <w:rFonts w:hint="eastAsia" w:ascii="宋体" w:hAnsi="宋体" w:eastAsia="宋体" w:cs="宋体"/>
                <w:color w:val="000000"/>
                <w:kern w:val="0"/>
                <w:szCs w:val="21"/>
                <w:lang w:bidi="ar"/>
              </w:rPr>
              <w:t>样品管体积≥15mL，XYZ三轴进样系统</w:t>
            </w:r>
          </w:p>
          <w:p w14:paraId="7D4542F5">
            <w:pPr>
              <w:widowControl/>
              <w:spacing w:line="360" w:lineRule="auto"/>
              <w:jc w:val="left"/>
              <w:textAlignment w:val="center"/>
              <w:rPr>
                <w:rFonts w:ascii="宋体" w:hAnsi="宋体" w:eastAsia="宋体" w:cs="宋体"/>
                <w:szCs w:val="21"/>
              </w:rPr>
            </w:pPr>
            <w:r>
              <w:rPr>
                <w:rFonts w:hint="eastAsia" w:ascii="宋体" w:hAnsi="宋体" w:eastAsia="宋体" w:cs="宋体"/>
                <w:color w:val="000000"/>
                <w:kern w:val="0"/>
                <w:szCs w:val="21"/>
                <w:lang w:bidi="ar"/>
              </w:rPr>
              <w:t>2.1.6进样方式可选无机液体进样、有机液化进样、氢化物发生进样等</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2.2 检测器</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 xml:space="preserve">▲2.2.1 检测单元：≥100万像素CCD固态检测器，一次曝光，在光谱仪波长范围内具有连续像素，能任意选择波长，全谱段响应，且具有防溢出功能设计； </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▲2.2.2 采用高效半导体进行检测器恒温，恒温温度不低于-15℃；（</w:t>
            </w:r>
            <w:r>
              <w:rPr>
                <w:rFonts w:hint="eastAsia" w:ascii="宋体" w:hAnsi="宋体" w:eastAsia="宋体" w:cs="宋体"/>
                <w:color w:val="000000"/>
                <w:kern w:val="0"/>
                <w:sz w:val="22"/>
                <w:szCs w:val="22"/>
                <w:lang w:bidi="ar"/>
              </w:rPr>
              <w:t>投标文件</w:t>
            </w:r>
            <w:r>
              <w:rPr>
                <w:rFonts w:hint="eastAsia" w:ascii="宋体" w:hAnsi="宋体" w:eastAsia="宋体" w:cs="宋体"/>
                <w:color w:val="000000"/>
                <w:kern w:val="0"/>
                <w:szCs w:val="21"/>
                <w:lang w:bidi="ar"/>
              </w:rPr>
              <w:t>须响应具体的温度数值，恒温温度在投标文件提供软件截图）</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2.2.3 高紫外量子化效率，无镀膜，量子化效率不低于75%，具有极宽的动态范围和极快的信号处理速度</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2.3光学系统：中阶梯光栅光学系统</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▲2.3.1 恒温温度≤36℃，精密度±0.1℃，驱氩气； (</w:t>
            </w:r>
            <w:r>
              <w:rPr>
                <w:rFonts w:hint="eastAsia" w:ascii="宋体" w:hAnsi="宋体" w:eastAsia="宋体" w:cs="宋体"/>
                <w:color w:val="000000"/>
                <w:kern w:val="0"/>
                <w:sz w:val="22"/>
                <w:szCs w:val="22"/>
                <w:lang w:bidi="ar"/>
              </w:rPr>
              <w:t>投标文件</w:t>
            </w:r>
            <w:r>
              <w:rPr>
                <w:rFonts w:hint="eastAsia" w:ascii="宋体" w:hAnsi="宋体" w:eastAsia="宋体" w:cs="宋体"/>
                <w:color w:val="000000"/>
                <w:kern w:val="0"/>
                <w:szCs w:val="21"/>
                <w:lang w:bidi="ar"/>
              </w:rPr>
              <w:t>须响应具体的数值，恒温温度在</w:t>
            </w:r>
            <w:r>
              <w:rPr>
                <w:rFonts w:hint="eastAsia" w:ascii="宋体" w:hAnsi="宋体" w:eastAsia="宋体" w:cs="宋体"/>
                <w:color w:val="000000"/>
                <w:kern w:val="0"/>
                <w:sz w:val="22"/>
                <w:szCs w:val="22"/>
                <w:lang w:bidi="ar"/>
              </w:rPr>
              <w:t>投标文件</w:t>
            </w:r>
            <w:r>
              <w:rPr>
                <w:rFonts w:hint="eastAsia" w:ascii="宋体" w:hAnsi="宋体" w:eastAsia="宋体" w:cs="宋体"/>
                <w:color w:val="000000"/>
                <w:kern w:val="0"/>
                <w:szCs w:val="21"/>
                <w:lang w:bidi="ar"/>
              </w:rPr>
              <w:t>提供软件截图）</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2.3.2 中阶梯光栅石英棱镜二维分光系统，不接受CaF</w:t>
            </w:r>
            <w:r>
              <w:rPr>
                <w:rFonts w:hint="eastAsia" w:ascii="宋体" w:hAnsi="宋体" w:eastAsia="宋体" w:cs="宋体"/>
                <w:color w:val="000000"/>
                <w:kern w:val="0"/>
                <w:szCs w:val="21"/>
                <w:vertAlign w:val="subscript"/>
                <w:lang w:bidi="ar"/>
              </w:rPr>
              <w:t>2</w:t>
            </w:r>
            <w:r>
              <w:rPr>
                <w:rFonts w:hint="eastAsia" w:ascii="宋体" w:hAnsi="宋体" w:eastAsia="宋体" w:cs="宋体"/>
                <w:color w:val="000000"/>
                <w:kern w:val="0"/>
                <w:szCs w:val="21"/>
                <w:lang w:bidi="ar"/>
              </w:rPr>
              <w:t>棱镜系统，中阶梯光栅刻线密度≥80条/毫米；</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▲2.3.3 焦距:≤400mm；</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▲2.3.4 波长范围：165-870nm，全波长覆盖；可测Al 167.079nm，Cs894.347nm谱线。（</w:t>
            </w:r>
            <w:r>
              <w:rPr>
                <w:rFonts w:hint="eastAsia" w:ascii="宋体" w:hAnsi="宋体" w:eastAsia="宋体" w:cs="宋体"/>
                <w:color w:val="000000"/>
                <w:kern w:val="0"/>
                <w:sz w:val="22"/>
                <w:szCs w:val="22"/>
                <w:lang w:bidi="ar"/>
              </w:rPr>
              <w:t>投标文件</w:t>
            </w:r>
            <w:r>
              <w:rPr>
                <w:rFonts w:hint="eastAsia" w:ascii="宋体" w:hAnsi="宋体" w:eastAsia="宋体" w:cs="宋体"/>
                <w:color w:val="000000"/>
                <w:kern w:val="0"/>
                <w:szCs w:val="21"/>
                <w:lang w:bidi="ar"/>
              </w:rPr>
              <w:t>提供Al 167.079nm，Cs894.347nm谱线的测量截图）</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 xml:space="preserve">▲2.3.5 波长校正: 每次点火，仅用C、N、Ar谱线，自动进行光谱位置校正无须波长校正溶液； </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▲2.3.6 利用无干扰的氖的特征谱线，对光谱的细微偏移进行实时校正，确保长期稳定性；</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 xml:space="preserve">2.3.7吹扫型光室：对189nm以下波长测定，选择氩气进行光路吹扫； </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2.3.8光学分辨率（FWHM）：≤7pm @200 nm；</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2.4等离子体：</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 xml:space="preserve">▲2.4.1 自激式全固态射频电源，可调范围不小于550-1600W，连续1W可调； </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2.4.2 垂直炬管，轴向、径向双向观测；具备轴向衰减，径向衰减功能；</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▲2.4.3 提供≤600W超低功率待机；（</w:t>
            </w:r>
            <w:r>
              <w:rPr>
                <w:rFonts w:hint="eastAsia" w:ascii="宋体" w:hAnsi="宋体" w:eastAsia="宋体" w:cs="宋体"/>
                <w:color w:val="000000"/>
                <w:kern w:val="0"/>
                <w:sz w:val="22"/>
                <w:szCs w:val="22"/>
                <w:lang w:bidi="ar"/>
              </w:rPr>
              <w:t>投标文件</w:t>
            </w:r>
            <w:r>
              <w:rPr>
                <w:rFonts w:hint="eastAsia" w:ascii="宋体" w:hAnsi="宋体" w:eastAsia="宋体" w:cs="宋体"/>
                <w:color w:val="000000"/>
                <w:kern w:val="0"/>
                <w:szCs w:val="21"/>
                <w:lang w:bidi="ar"/>
              </w:rPr>
              <w:t>须响应具体的数值，提供设置界面截图）</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2.4.4 RF源频率40.68MHz或者27.12MHz；功率稳定性: ≤0.1%，频率稳定性：≤0.01%</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2.4.5 尾焰去除方式：空气切割或者冷锥去尾焰，如使用空气切割需配置空气压缩机；</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2.5 软件要求：</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2.5.1 图形化操作界面，软件操作方便、直观，具有定性、半定量、定量分析功能。</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2.5.2 具有全谱采集功能，软件上可直接获取完整全谱图。</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2.5.3 具有多种干扰校正方法和实时背景扣除功能：如标准比较法、内标法、干扰元素校正系数法（IEC）、标准加入曲线法等，丰富了用户多种分析研究的手段。</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2.5.4 具有可视化炬焰观测模块。</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▲2.5.5 可集成同品牌超级微波消解仪，自动化分析仪器平台实现消解到测试的全流程自动分析。</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▲2.5.6 可用于金属或岩石或地矿等的钙，镁元素的测定，且经过标准物质验证，准确度小于2%。</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2.6 性能要求：</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2.6.1分析速度：约每分钟200条谱线；</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2.6.2 测定谱线的线性动态范围：≥10</w:t>
            </w:r>
            <w:r>
              <w:rPr>
                <w:rFonts w:hint="eastAsia" w:ascii="宋体" w:hAnsi="宋体" w:eastAsia="宋体" w:cs="宋体"/>
                <w:color w:val="000000"/>
                <w:kern w:val="0"/>
                <w:szCs w:val="21"/>
                <w:vertAlign w:val="superscript"/>
                <w:lang w:bidi="ar"/>
              </w:rPr>
              <w:t>5</w:t>
            </w:r>
            <w:r>
              <w:rPr>
                <w:rFonts w:hint="eastAsia" w:ascii="宋体" w:hAnsi="宋体" w:eastAsia="宋体" w:cs="宋体"/>
                <w:color w:val="000000"/>
                <w:kern w:val="0"/>
                <w:szCs w:val="21"/>
                <w:lang w:bidi="ar"/>
              </w:rPr>
              <w:t>（以Mn257.6nm 来测定，相关系数≥0.999）；</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▲2.6.3 精密度：测定1ppm或10ppm多元素混合标准溶液，重复测定十次的RSD≤0.5%；</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▲2.6.4 稳定性：测定1ppm或10ppm多元素混合标准溶液，4小时的长时间稳定性RSD≤1%；</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 xml:space="preserve">2.6.5 检出限：(单位ug/L，按JJG768-2005规定的元素)         </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Zn213.8检出限0.5、Ni221.6检出限1、Mn257.6检出限0.5、Cr283.5检出限1、Cu324.7检出限1、Ba455.4检出限0.3。</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3.配置要求</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3.1电感耦合等离子体发射光谱仪主机 1台</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3.2 波长范围至870nm的光学系统1套</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3.3 全自动氖或汞灯波长校正装置1套</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3.4 石英进样系统1套（含石英旋流雾化室，石英同心雾化器，石英炬管，雾化室连接管，中心管）</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3.5 耐高盐雾化器1套</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3.6 ICP专用操作软件</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3.7安装附件包（含水路气路连接管*1套，耐高温排风管*1个，用户手册*1）</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3.8 ≥200位自动进样器，含15mL样品管</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3.9冷却循环水系统，制冷量1490W，温度范围5-35℃。</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3.10控制主机及配套输出设备1套</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 xml:space="preserve">3.11 </w:t>
            </w:r>
            <w:r>
              <w:rPr>
                <w:rFonts w:hint="eastAsia" w:ascii="宋体" w:hAnsi="宋体" w:eastAsia="宋体" w:cs="宋体"/>
                <w:kern w:val="0"/>
                <w:sz w:val="22"/>
                <w:szCs w:val="22"/>
                <w:lang w:bidi="ar"/>
              </w:rPr>
              <w:t>投标人应对该设备的安装调试与电路连接改造以及持续使用提供保障服务</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3.12 额外耗材1套（带扩口进样泵管12根，带扩口排废泵管12，石墨垫片2片）</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4. 服务要求</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4.1提供仪器的详细操作说明书。</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 xml:space="preserve">4.2 现场免费安装、调试、培训，维修响应时间一般情况≤24小时，到现场时间小于72小时；供应商设有专业的培训中心,为用户提供培训（2人次，不少于4天）。 </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4.3 仪器安装调试合格后制造商提供保修期一年，制造商终生提供维修服务和技术支持。</w:t>
            </w:r>
          </w:p>
        </w:tc>
      </w:tr>
      <w:tr w14:paraId="0681D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0069C920">
            <w:pPr>
              <w:spacing w:line="360" w:lineRule="auto"/>
              <w:jc w:val="center"/>
              <w:rPr>
                <w:rFonts w:hint="eastAsia" w:ascii="宋体" w:hAnsi="宋体" w:eastAsia="宋体" w:cs="Times New Roman"/>
                <w:szCs w:val="21"/>
              </w:rPr>
            </w:pPr>
            <w:r>
              <w:rPr>
                <w:rFonts w:hint="eastAsia" w:ascii="宋体" w:hAnsi="宋体" w:eastAsia="宋体" w:cs="Times New Roman"/>
                <w:szCs w:val="21"/>
              </w:rPr>
              <w:t>2</w:t>
            </w:r>
          </w:p>
        </w:tc>
        <w:tc>
          <w:tcPr>
            <w:tcW w:w="1090" w:type="dxa"/>
            <w:tcBorders>
              <w:top w:val="single" w:color="auto" w:sz="4" w:space="0"/>
              <w:left w:val="nil"/>
              <w:bottom w:val="single" w:color="auto" w:sz="4" w:space="0"/>
              <w:right w:val="single" w:color="auto" w:sz="4" w:space="0"/>
            </w:tcBorders>
            <w:noWrap/>
            <w:vAlign w:val="center"/>
          </w:tcPr>
          <w:p w14:paraId="6873BC74">
            <w:pPr>
              <w:widowControl/>
              <w:jc w:val="center"/>
              <w:textAlignment w:val="center"/>
              <w:rPr>
                <w:rFonts w:ascii="Times New Roman" w:hAnsi="Times New Roman" w:eastAsia="宋体" w:cs="Times New Roman"/>
                <w:szCs w:val="21"/>
              </w:rPr>
            </w:pPr>
            <w:r>
              <w:rPr>
                <w:rFonts w:hint="eastAsia" w:ascii="宋体" w:hAnsi="宋体" w:eastAsia="宋体" w:cs="宋体"/>
                <w:color w:val="000000"/>
                <w:kern w:val="0"/>
                <w:sz w:val="22"/>
                <w:szCs w:val="22"/>
                <w:lang w:bidi="ar"/>
              </w:rPr>
              <w:t>气相色谱仪</w:t>
            </w:r>
          </w:p>
        </w:tc>
        <w:tc>
          <w:tcPr>
            <w:tcW w:w="780" w:type="dxa"/>
            <w:tcBorders>
              <w:top w:val="single" w:color="auto" w:sz="4" w:space="0"/>
              <w:left w:val="nil"/>
              <w:bottom w:val="single" w:color="auto" w:sz="4" w:space="0"/>
              <w:right w:val="single" w:color="auto" w:sz="4" w:space="0"/>
            </w:tcBorders>
            <w:noWrap/>
            <w:vAlign w:val="center"/>
          </w:tcPr>
          <w:p w14:paraId="2E67DCDE">
            <w:pPr>
              <w:widowControl/>
              <w:jc w:val="center"/>
              <w:textAlignment w:val="center"/>
              <w:rPr>
                <w:rFonts w:ascii="Times New Roman" w:hAnsi="Times New Roman" w:eastAsia="宋体" w:cs="Times New Roman"/>
                <w:szCs w:val="21"/>
              </w:rPr>
            </w:pPr>
            <w:r>
              <w:rPr>
                <w:rFonts w:hint="eastAsia" w:ascii="Times New Roman" w:hAnsi="Times New Roman" w:eastAsia="宋体" w:cs="Times New Roman"/>
              </w:rPr>
              <w:t>1台</w:t>
            </w:r>
          </w:p>
        </w:tc>
        <w:tc>
          <w:tcPr>
            <w:tcW w:w="7277" w:type="dxa"/>
            <w:tcBorders>
              <w:top w:val="single" w:color="auto" w:sz="4" w:space="0"/>
              <w:left w:val="nil"/>
              <w:bottom w:val="single" w:color="auto" w:sz="4" w:space="0"/>
              <w:right w:val="single" w:color="auto" w:sz="4" w:space="0"/>
            </w:tcBorders>
            <w:noWrap/>
            <w:vAlign w:val="center"/>
          </w:tcPr>
          <w:p w14:paraId="27CE4C43">
            <w:pPr>
              <w:widowControl/>
              <w:spacing w:line="360" w:lineRule="auto"/>
              <w:jc w:val="left"/>
              <w:textAlignment w:val="center"/>
              <w:rPr>
                <w:rFonts w:ascii="宋体" w:hAnsi="宋体" w:eastAsia="宋体" w:cs="宋体"/>
                <w:szCs w:val="21"/>
              </w:rPr>
            </w:pPr>
            <w:r>
              <w:rPr>
                <w:rFonts w:hint="eastAsia" w:ascii="宋体" w:hAnsi="宋体" w:eastAsia="宋体" w:cs="宋体"/>
                <w:color w:val="000000"/>
                <w:kern w:val="0"/>
                <w:szCs w:val="21"/>
                <w:lang w:bidi="ar"/>
              </w:rPr>
              <w:t>一、快速加热和冷却的柱温箱</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1.柱箱温度：室温以上3℃ ～ 450℃</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▲2.程序升温：24阶25平台（投标文件中提供软件设置界面或操作屏幕截图证明）</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▲3.可设定升温速率：最大±140℃/min（投标文件中提供软件设置界面或操作屏幕截图证明）</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4.温度设定精度：0.1℃</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5.控温精度：设定值(K) ± 1% (可校准至0.01℃)</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6.温度稳定性：周围温度每变化1℃，柱温箱温度变化小于0.01℃</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▲7.冷却速度：从 450 降到 50℃ ≤3.5min（210s）</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8.具有柱温箱温度的自动保护功能。</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9.最大运行时间：9999.99分钟</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10.配套耐高温柱温箱照明灯，柱温箱打开自动点亮，方便维护。</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11.柱温箱具有一键设置柱温箱降温速率功能，可依据不同色谱柱一键设置快速、中速、慢速和自定义4种降温模式，同时支持自由设置降温速率，有效延长色谱柱使用寿命。（</w:t>
            </w:r>
            <w:r>
              <w:rPr>
                <w:rFonts w:hint="eastAsia" w:ascii="宋体" w:hAnsi="宋体" w:eastAsia="宋体" w:cs="宋体"/>
                <w:color w:val="000000"/>
                <w:kern w:val="0"/>
                <w:sz w:val="22"/>
                <w:szCs w:val="22"/>
                <w:lang w:bidi="ar"/>
              </w:rPr>
              <w:t>投标文件</w:t>
            </w:r>
            <w:r>
              <w:rPr>
                <w:rFonts w:hint="eastAsia" w:ascii="宋体" w:hAnsi="宋体" w:eastAsia="宋体" w:cs="宋体"/>
                <w:color w:val="000000"/>
                <w:kern w:val="0"/>
                <w:szCs w:val="21"/>
                <w:lang w:bidi="ar"/>
              </w:rPr>
              <w:t>提供气相色谱仪主机触摸屏上显示4种降温模式以及自由设置降温速率的界面截图）</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二、进样单元，最多可同时安装三个独立控温的进样单元，由电子流量控制系统控制（AFC）。</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1.分流/不分流进样口</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▲1.1最高温度：430℃</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1.2配备全自动电子流量控制系统AFC，具备室温补偿和自动环境补偿功能支持恒流，恒压，程序增加流速，程序升压及压力脉冲等操作模式以及恒线速度控制功能（</w:t>
            </w:r>
            <w:r>
              <w:rPr>
                <w:rFonts w:hint="eastAsia" w:ascii="宋体" w:hAnsi="宋体" w:eastAsia="宋体" w:cs="宋体"/>
                <w:color w:val="000000"/>
                <w:kern w:val="0"/>
                <w:sz w:val="22"/>
                <w:szCs w:val="22"/>
                <w:lang w:bidi="ar"/>
              </w:rPr>
              <w:t>投标文件</w:t>
            </w:r>
            <w:r>
              <w:rPr>
                <w:rFonts w:hint="eastAsia" w:ascii="宋体" w:hAnsi="宋体" w:eastAsia="宋体" w:cs="宋体"/>
                <w:color w:val="000000"/>
                <w:kern w:val="0"/>
                <w:szCs w:val="21"/>
                <w:lang w:bidi="ar"/>
              </w:rPr>
              <w:t>提供恒线速度控制功能软件截图或应用文献证明）</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1.3标准配备载气节省模式，有效节约载气消耗量</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1.4压力设定范围：0～1015kPa（相当于0～147psi），压力控制精度：0.001psi，压力程序比率设定范围：-400 ～ 400kPa/min，压力程序：7阶</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1.5分流比设定范围：0～12000</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▲1.6流量设定范围：</w:t>
            </w:r>
            <w:r>
              <w:rPr>
                <w:rFonts w:hint="eastAsia" w:ascii="Times New Roman" w:hAnsi="Times New Roman" w:eastAsia="宋体" w:cs="Times New Roman"/>
              </w:rPr>
              <w:t>氦气模式</w:t>
            </w:r>
            <w:r>
              <w:rPr>
                <w:rFonts w:hint="eastAsia" w:ascii="宋体" w:hAnsi="宋体" w:eastAsia="宋体" w:cs="宋体"/>
                <w:color w:val="000000"/>
                <w:kern w:val="0"/>
                <w:szCs w:val="21"/>
                <w:lang w:bidi="ar"/>
              </w:rPr>
              <w:t>0～1290mL/min，</w:t>
            </w:r>
            <w:r>
              <w:rPr>
                <w:rFonts w:hint="eastAsia" w:ascii="Times New Roman" w:hAnsi="Times New Roman" w:eastAsia="宋体" w:cs="Times New Roman"/>
              </w:rPr>
              <w:t>氮气模式</w:t>
            </w:r>
            <w:r>
              <w:rPr>
                <w:rFonts w:hint="eastAsia" w:ascii="宋体" w:hAnsi="宋体" w:eastAsia="宋体" w:cs="宋体"/>
                <w:color w:val="000000"/>
                <w:kern w:val="0"/>
                <w:szCs w:val="21"/>
                <w:lang w:bidi="ar"/>
              </w:rPr>
              <w:t>0～590mL/min</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1.7不使用任何工具即可打开/关闭进样口，不使用任何工具即可安装/更换色谱柱的同时，仪器更可以自动感知最佳安装和气密位置。</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三、检测器单元</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▲1.1可同时安装四个独立控温的检测器，检测器的气体由压力控制系统控制（APC），检测器的数据采集速率</w:t>
            </w:r>
            <w:r>
              <w:rPr>
                <w:rFonts w:hint="eastAsia" w:ascii="Times New Roman" w:hAnsi="Times New Roman" w:eastAsia="宋体" w:cs="Times New Roman"/>
              </w:rPr>
              <w:t>≥9</w:t>
            </w:r>
            <w:r>
              <w:rPr>
                <w:rFonts w:hint="eastAsia" w:ascii="宋体" w:hAnsi="宋体" w:eastAsia="宋体" w:cs="宋体"/>
                <w:color w:val="000000"/>
                <w:kern w:val="0"/>
                <w:szCs w:val="21"/>
                <w:lang w:bidi="ar"/>
              </w:rPr>
              <w:t>00Hz。</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1.2. 氢火焰离子化检测器（FID）</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1.2.1 最高使用温度：430℃</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1.2.2 自动点火功能</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▲1.2.3 检测限：1.3×10-12g/s ( 十二烷 )</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1.2.4 动态范围：10</w:t>
            </w:r>
            <w:r>
              <w:rPr>
                <w:rFonts w:hint="eastAsia" w:ascii="宋体" w:hAnsi="宋体" w:eastAsia="宋体" w:cs="宋体"/>
                <w:color w:val="000000"/>
                <w:kern w:val="0"/>
                <w:szCs w:val="21"/>
                <w:vertAlign w:val="superscript"/>
                <w:lang w:bidi="ar"/>
              </w:rPr>
              <w:t>7</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1.2.5 数据采集速度</w:t>
            </w:r>
            <w:r>
              <w:rPr>
                <w:rFonts w:hint="eastAsia" w:ascii="Times New Roman" w:hAnsi="Times New Roman" w:eastAsia="宋体" w:cs="Times New Roman"/>
              </w:rPr>
              <w:t>≥9</w:t>
            </w:r>
            <w:r>
              <w:rPr>
                <w:rFonts w:hint="eastAsia" w:ascii="宋体" w:hAnsi="宋体" w:eastAsia="宋体" w:cs="宋体"/>
                <w:color w:val="000000"/>
                <w:kern w:val="0"/>
                <w:szCs w:val="21"/>
                <w:lang w:bidi="ar"/>
              </w:rPr>
              <w:t>00Hz</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1.3. 电子捕获检测器（ECD）</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1.3.1 最高使用温度：400°C</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▲1.3.2 检测限：4.2 fg/s (γ-BHC)</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1.3.3 动态范围：8x10</w:t>
            </w:r>
            <w:r>
              <w:rPr>
                <w:rFonts w:hint="eastAsia" w:ascii="宋体" w:hAnsi="宋体" w:eastAsia="宋体" w:cs="宋体"/>
                <w:color w:val="000000"/>
                <w:kern w:val="0"/>
                <w:szCs w:val="21"/>
                <w:vertAlign w:val="superscript"/>
                <w:lang w:bidi="ar"/>
              </w:rPr>
              <w:t>4</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▲1.3.4 数据采集速度</w:t>
            </w:r>
            <w:r>
              <w:rPr>
                <w:rFonts w:hint="eastAsia" w:ascii="Times New Roman" w:hAnsi="Times New Roman" w:eastAsia="宋体" w:cs="Times New Roman"/>
              </w:rPr>
              <w:t>≥9</w:t>
            </w:r>
            <w:r>
              <w:rPr>
                <w:rFonts w:hint="eastAsia" w:ascii="宋体" w:hAnsi="宋体" w:eastAsia="宋体" w:cs="宋体"/>
                <w:color w:val="000000"/>
                <w:kern w:val="0"/>
                <w:szCs w:val="21"/>
                <w:lang w:bidi="ar"/>
              </w:rPr>
              <w:t>00Hz</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四、其他</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1.色谱柱和流路系统</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1.1支持双柱双流路系统，且两根色谱柱长度不受限制，两个柱流量控制系统均采用流量控制单元</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1.2 支持三柱三FID同时分析组成气相色谱方法优化系统。（</w:t>
            </w:r>
            <w:r>
              <w:rPr>
                <w:rFonts w:hint="eastAsia" w:ascii="宋体" w:hAnsi="宋体" w:eastAsia="宋体" w:cs="宋体"/>
                <w:color w:val="000000"/>
                <w:kern w:val="0"/>
                <w:sz w:val="22"/>
                <w:szCs w:val="22"/>
                <w:lang w:bidi="ar"/>
              </w:rPr>
              <w:t>投标文件</w:t>
            </w:r>
            <w:r>
              <w:rPr>
                <w:rFonts w:hint="eastAsia" w:ascii="宋体" w:hAnsi="宋体" w:eastAsia="宋体" w:cs="宋体"/>
                <w:color w:val="000000"/>
                <w:kern w:val="0"/>
                <w:szCs w:val="21"/>
                <w:lang w:bidi="ar"/>
              </w:rPr>
              <w:t>提供系统截图佐证）</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1.3具有室温补偿和自动环境补偿功能</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1.4具有恒定的载气线速度控制功能</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1.5支持色谱柱柱后反吹，具有专为反吹设计的图示化控制软件，操作方便。同时可实现不泄真空更换色谱柱功能。</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2.面板键盘</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具有交互模式的彩色触摸屏进行操控，完全控制及显示所有温度区域和载气流量，完全控制所有检测器功能和检测器气体，实时时间程序和系统诊断，在线帮助和记事本记录程序事件</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六、配置清单</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1.主机1台，含FID检测器各1套，150液体自动进样器1套</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2.控制主机及配套输出设备1套。</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3.耗材包1个（微量注射针2根、绿色进样垫50个、聚胺酯压环0.25mm柱用10个、聚胺酯压环0.32mm柱用10个、氟橡胶O型圈5个、惰性化带石英棉分流衬管5个、惰性化带石英棉不分流衬管5个）</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4.原装色谱柱1根</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5.空压压缩机、氢气发生器各1台</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6.载气过滤器（除氧，除湿，除烃）1个</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7.2.0ML样品瓶500个（含盖）</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8.废液瓶50个</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9.柱温箱内置的耐高温智能灯1套</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10. GC主机触摸屏专用操作笔1支</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11.中标人提供服务：包含厂家应用工程师到采购单位现场后的方法建立、指标测定及培训，现场根据标准要求出具方法验证报告，现场服务不少于5天。</w:t>
            </w:r>
          </w:p>
        </w:tc>
      </w:tr>
      <w:tr w14:paraId="56596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347A2B39">
            <w:pPr>
              <w:spacing w:line="360" w:lineRule="auto"/>
              <w:jc w:val="center"/>
              <w:rPr>
                <w:rFonts w:hint="eastAsia" w:ascii="宋体" w:hAnsi="宋体" w:eastAsia="宋体" w:cs="Times New Roman"/>
                <w:szCs w:val="21"/>
              </w:rPr>
            </w:pPr>
            <w:r>
              <w:rPr>
                <w:rFonts w:hint="eastAsia" w:ascii="宋体" w:hAnsi="宋体" w:eastAsia="宋体" w:cs="Times New Roman"/>
                <w:szCs w:val="21"/>
              </w:rPr>
              <w:t>3</w:t>
            </w:r>
          </w:p>
        </w:tc>
        <w:tc>
          <w:tcPr>
            <w:tcW w:w="1090" w:type="dxa"/>
            <w:tcBorders>
              <w:top w:val="single" w:color="auto" w:sz="4" w:space="0"/>
              <w:left w:val="nil"/>
              <w:bottom w:val="single" w:color="auto" w:sz="4" w:space="0"/>
              <w:right w:val="single" w:color="auto" w:sz="4" w:space="0"/>
            </w:tcBorders>
            <w:noWrap/>
            <w:vAlign w:val="center"/>
          </w:tcPr>
          <w:p w14:paraId="7F3E3247">
            <w:pPr>
              <w:widowControl/>
              <w:jc w:val="center"/>
              <w:textAlignment w:val="center"/>
              <w:rPr>
                <w:rFonts w:ascii="Times New Roman" w:hAnsi="Times New Roman" w:eastAsia="宋体" w:cs="Times New Roman"/>
                <w:szCs w:val="21"/>
              </w:rPr>
            </w:pPr>
            <w:r>
              <w:rPr>
                <w:rFonts w:hint="eastAsia" w:ascii="宋体" w:hAnsi="宋体" w:eastAsia="宋体" w:cs="宋体"/>
                <w:color w:val="000000"/>
                <w:kern w:val="0"/>
                <w:sz w:val="22"/>
                <w:szCs w:val="22"/>
                <w:lang w:bidi="ar"/>
              </w:rPr>
              <w:t>气相色谱仪</w:t>
            </w:r>
          </w:p>
        </w:tc>
        <w:tc>
          <w:tcPr>
            <w:tcW w:w="780" w:type="dxa"/>
            <w:tcBorders>
              <w:top w:val="single" w:color="auto" w:sz="4" w:space="0"/>
              <w:left w:val="nil"/>
              <w:bottom w:val="single" w:color="auto" w:sz="4" w:space="0"/>
              <w:right w:val="single" w:color="auto" w:sz="4" w:space="0"/>
            </w:tcBorders>
            <w:noWrap/>
            <w:vAlign w:val="center"/>
          </w:tcPr>
          <w:p w14:paraId="5DFC816D">
            <w:pPr>
              <w:widowControl/>
              <w:jc w:val="center"/>
              <w:textAlignment w:val="center"/>
              <w:rPr>
                <w:rFonts w:ascii="Times New Roman" w:hAnsi="Times New Roman" w:eastAsia="宋体" w:cs="Times New Roman"/>
                <w:szCs w:val="21"/>
              </w:rPr>
            </w:pPr>
            <w:r>
              <w:rPr>
                <w:rFonts w:hint="eastAsia" w:ascii="Times New Roman" w:hAnsi="Times New Roman" w:eastAsia="宋体" w:cs="Times New Roman"/>
              </w:rPr>
              <w:t>1台</w:t>
            </w:r>
          </w:p>
        </w:tc>
        <w:tc>
          <w:tcPr>
            <w:tcW w:w="7277" w:type="dxa"/>
            <w:tcBorders>
              <w:top w:val="single" w:color="auto" w:sz="4" w:space="0"/>
              <w:left w:val="nil"/>
              <w:bottom w:val="single" w:color="auto" w:sz="4" w:space="0"/>
              <w:right w:val="single" w:color="auto" w:sz="4" w:space="0"/>
            </w:tcBorders>
            <w:noWrap/>
            <w:vAlign w:val="center"/>
          </w:tcPr>
          <w:p w14:paraId="1A04067A">
            <w:pPr>
              <w:widowControl/>
              <w:numPr>
                <w:ilvl w:val="0"/>
                <w:numId w:val="1"/>
              </w:numPr>
              <w:spacing w:line="360" w:lineRule="auto"/>
              <w:jc w:val="left"/>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设备主要性能指标</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1.色谱性能：保留时间重现性&lt;0.008%或&lt;0.0008min，峰面积重现性&lt;0.5% RSD；</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2.电容式触摸屏界面，可实时访问仪器状态、配置和流路信息，具备不少于25种维护跟踪计数功能；</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3.具有不少于4个可读取色谱柱信息的接口，当使用带芯片的色谱柱时，可自动识别柱子长度、膜厚、内径等参数，记录色谱柱使用历史（如最高温度、进样次数等）</w:t>
            </w:r>
          </w:p>
          <w:p w14:paraId="42838A54">
            <w:pPr>
              <w:widowControl/>
              <w:spacing w:line="360" w:lineRule="auto"/>
              <w:jc w:val="left"/>
              <w:textAlignment w:val="center"/>
              <w:rPr>
                <w:rFonts w:ascii="宋体" w:hAnsi="宋体" w:eastAsia="宋体" w:cs="宋体"/>
                <w:color w:val="000000"/>
                <w:kern w:val="0"/>
                <w:szCs w:val="21"/>
                <w:lang w:bidi="ar"/>
              </w:rPr>
            </w:pPr>
            <w:r>
              <w:rPr>
                <w:rFonts w:ascii="宋体" w:hAnsi="宋体" w:eastAsia="宋体" w:cs="宋体"/>
                <w:color w:val="000000"/>
                <w:kern w:val="0"/>
                <w:szCs w:val="21"/>
                <w:lang w:bidi="ar"/>
              </w:rPr>
              <w:t>▲</w:t>
            </w:r>
            <w:r>
              <w:rPr>
                <w:rFonts w:hint="eastAsia" w:ascii="宋体" w:hAnsi="宋体" w:eastAsia="宋体" w:cs="宋体"/>
                <w:color w:val="000000"/>
                <w:kern w:val="0"/>
                <w:szCs w:val="21"/>
                <w:lang w:bidi="ar"/>
              </w:rPr>
              <w:t>4</w:t>
            </w:r>
            <w:r>
              <w:rPr>
                <w:rFonts w:ascii="宋体" w:hAnsi="宋体" w:eastAsia="宋体" w:cs="宋体"/>
                <w:color w:val="000000"/>
                <w:kern w:val="0"/>
                <w:szCs w:val="21"/>
                <w:lang w:bidi="ar"/>
              </w:rPr>
              <w:t>.早期维护反馈：具有≥25种计数功能（可在仪器触摸屏上显示查看，验收时现场逐条演示），以用于跟踪各种进样口、检测器和自动进样器参数以及消耗品的使用情况。</w:t>
            </w:r>
          </w:p>
          <w:p w14:paraId="243334F5">
            <w:pPr>
              <w:widowControl/>
              <w:spacing w:line="360" w:lineRule="auto"/>
              <w:jc w:val="left"/>
              <w:textAlignment w:val="center"/>
              <w:rPr>
                <w:rFonts w:ascii="Times New Roman" w:hAnsi="Times New Roman" w:eastAsia="宋体" w:cs="Times New Roman"/>
                <w:szCs w:val="21"/>
              </w:rPr>
            </w:pPr>
            <w:r>
              <w:rPr>
                <w:rFonts w:hint="eastAsia" w:ascii="宋体" w:hAnsi="宋体" w:eastAsia="宋体" w:cs="宋体"/>
                <w:color w:val="000000"/>
                <w:kern w:val="0"/>
                <w:szCs w:val="21"/>
                <w:lang w:bidi="ar"/>
              </w:rPr>
              <w:t>5</w:t>
            </w:r>
            <w:r>
              <w:rPr>
                <w:rFonts w:ascii="宋体" w:hAnsi="宋体" w:eastAsia="宋体" w:cs="宋体"/>
                <w:color w:val="000000"/>
                <w:kern w:val="0"/>
                <w:szCs w:val="21"/>
                <w:lang w:bidi="ar"/>
              </w:rPr>
              <w:t>.仪器可实时记录载气消耗量和耗电量，用户可通过触摸屏界面，随时查看该仪器在过往的任意日期的载气消耗量和耗电量（验收时现场演示）</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二、柱温箱技术指标要求：</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1.温度范围：环境温度+4℃~450℃；</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2.从450℃降温到50℃，时间≤3.5min；</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3.控温精度：室温每波动1℃，柱温箱的温度波动&lt;0.01℃。</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三、分流/不分流进样口：</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1.适用于内径50~530μm的毛细管色谱柱；</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▲2.最大分流比：12000:1；</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3.最高温度400℃；</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四、自动进样系统：</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▲1.该系统由1套独立进样塔（不低于16位）和1套独立样品盘系统（不低于150位，含三维机械导轨及样品瓶抓手）组成；</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2.液体进样量范围：通常介于0.1-50μL之间；</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五、氢火焰离子化检测器（FID）：</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1.最低检测限（MDL）：〈 1.2 pg C/s（十三烷）；</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2.线性动态范围：&gt;10</w:t>
            </w:r>
            <w:r>
              <w:rPr>
                <w:rFonts w:hint="eastAsia" w:ascii="宋体" w:hAnsi="宋体" w:eastAsia="宋体" w:cs="宋体"/>
                <w:color w:val="000000"/>
                <w:kern w:val="0"/>
                <w:szCs w:val="21"/>
                <w:vertAlign w:val="superscript"/>
                <w:lang w:bidi="ar"/>
              </w:rPr>
              <w:t>7</w:t>
            </w:r>
            <w:r>
              <w:rPr>
                <w:rFonts w:hint="eastAsia" w:ascii="宋体" w:hAnsi="宋体" w:eastAsia="宋体" w:cs="宋体"/>
                <w:color w:val="000000"/>
                <w:kern w:val="0"/>
                <w:szCs w:val="21"/>
                <w:lang w:bidi="ar"/>
              </w:rPr>
              <w:t>；</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▲3.最高数据采集速率：≥800Hz（投标文件提供软件截图证明）；</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▲4.自动点火，火焰熄灭自动检测，并自动重新点火。</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六、热导检测器（TCD）：</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1.最高使用温度：400℃；</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2.最低检测限（MDL）：400 pg/mL（十三烷）；</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3.线性动态范围：&gt;10</w:t>
            </w:r>
            <w:r>
              <w:rPr>
                <w:rFonts w:hint="eastAsia" w:ascii="宋体" w:hAnsi="宋体" w:eastAsia="宋体" w:cs="宋体"/>
                <w:color w:val="000000"/>
                <w:kern w:val="0"/>
                <w:szCs w:val="21"/>
                <w:vertAlign w:val="superscript"/>
                <w:lang w:bidi="ar"/>
              </w:rPr>
              <w:t>5</w:t>
            </w:r>
            <w:r>
              <w:rPr>
                <w:rFonts w:hint="eastAsia" w:ascii="宋体" w:hAnsi="宋体" w:eastAsia="宋体" w:cs="宋体"/>
                <w:color w:val="000000"/>
                <w:kern w:val="0"/>
                <w:szCs w:val="21"/>
                <w:lang w:bidi="ar"/>
              </w:rPr>
              <w:t xml:space="preserve"> ±5%；</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▲4.单丝热导设计，非双丝设计；</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5.对于热导率高于载气的组分，可在运行时对信号极性重新编程。</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七、设备主要配置</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1.气相色谱仪主机，1套；</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2.分流/不分流进样口，1个；</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3.氢火焰离子化检测器（FID），1套；</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4.热导检测器（TCD），1套；</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5.自动进样系统，1套；</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6.原装色谱工作站软件，1套；</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7.工作站硬件，1套；</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8.备品备件，1套；</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9.氢气发生器（电解水），1台；</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10.空气发生器（无油），1台</w:t>
            </w:r>
          </w:p>
        </w:tc>
      </w:tr>
      <w:tr w14:paraId="010DA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1D7A0399">
            <w:pPr>
              <w:spacing w:line="360" w:lineRule="auto"/>
              <w:jc w:val="center"/>
              <w:rPr>
                <w:rFonts w:hint="eastAsia" w:ascii="宋体" w:hAnsi="宋体" w:eastAsia="宋体" w:cs="Times New Roman"/>
                <w:szCs w:val="21"/>
              </w:rPr>
            </w:pPr>
            <w:r>
              <w:rPr>
                <w:rFonts w:hint="eastAsia" w:ascii="宋体" w:hAnsi="宋体" w:eastAsia="宋体" w:cs="Times New Roman"/>
                <w:szCs w:val="21"/>
              </w:rPr>
              <w:t>4</w:t>
            </w:r>
          </w:p>
        </w:tc>
        <w:tc>
          <w:tcPr>
            <w:tcW w:w="1090" w:type="dxa"/>
            <w:tcBorders>
              <w:top w:val="single" w:color="auto" w:sz="4" w:space="0"/>
              <w:left w:val="nil"/>
              <w:bottom w:val="single" w:color="auto" w:sz="4" w:space="0"/>
              <w:right w:val="single" w:color="auto" w:sz="4" w:space="0"/>
            </w:tcBorders>
            <w:noWrap/>
            <w:vAlign w:val="center"/>
          </w:tcPr>
          <w:p w14:paraId="3CFEF5B0">
            <w:pPr>
              <w:widowControl/>
              <w:jc w:val="center"/>
              <w:textAlignment w:val="center"/>
              <w:rPr>
                <w:rFonts w:ascii="Times New Roman" w:hAnsi="Times New Roman" w:eastAsia="宋体" w:cs="Times New Roman"/>
                <w:szCs w:val="21"/>
              </w:rPr>
            </w:pPr>
            <w:r>
              <w:rPr>
                <w:rFonts w:hint="eastAsia" w:ascii="宋体" w:hAnsi="宋体" w:eastAsia="宋体" w:cs="宋体"/>
                <w:color w:val="000000"/>
                <w:kern w:val="0"/>
                <w:sz w:val="22"/>
                <w:szCs w:val="22"/>
                <w:lang w:bidi="ar"/>
              </w:rPr>
              <w:t>气相色谱仪</w:t>
            </w:r>
          </w:p>
        </w:tc>
        <w:tc>
          <w:tcPr>
            <w:tcW w:w="780" w:type="dxa"/>
            <w:tcBorders>
              <w:top w:val="single" w:color="auto" w:sz="4" w:space="0"/>
              <w:left w:val="nil"/>
              <w:bottom w:val="single" w:color="auto" w:sz="4" w:space="0"/>
              <w:right w:val="single" w:color="auto" w:sz="4" w:space="0"/>
            </w:tcBorders>
            <w:noWrap/>
            <w:vAlign w:val="center"/>
          </w:tcPr>
          <w:p w14:paraId="02C88EA7">
            <w:pPr>
              <w:widowControl/>
              <w:jc w:val="center"/>
              <w:textAlignment w:val="center"/>
              <w:rPr>
                <w:rFonts w:ascii="Times New Roman" w:hAnsi="Times New Roman" w:eastAsia="宋体" w:cs="Times New Roman"/>
                <w:szCs w:val="21"/>
              </w:rPr>
            </w:pPr>
            <w:r>
              <w:rPr>
                <w:rFonts w:hint="eastAsia" w:ascii="Times New Roman" w:hAnsi="Times New Roman" w:eastAsia="宋体" w:cs="Times New Roman"/>
              </w:rPr>
              <w:t>1台</w:t>
            </w:r>
          </w:p>
        </w:tc>
        <w:tc>
          <w:tcPr>
            <w:tcW w:w="7277" w:type="dxa"/>
            <w:tcBorders>
              <w:top w:val="single" w:color="auto" w:sz="4" w:space="0"/>
              <w:left w:val="nil"/>
              <w:bottom w:val="single" w:color="auto" w:sz="4" w:space="0"/>
              <w:right w:val="single" w:color="auto" w:sz="4" w:space="0"/>
            </w:tcBorders>
            <w:noWrap/>
            <w:vAlign w:val="center"/>
          </w:tcPr>
          <w:p w14:paraId="3587D0E4">
            <w:pPr>
              <w:widowControl/>
              <w:spacing w:line="360" w:lineRule="auto"/>
              <w:jc w:val="left"/>
              <w:textAlignment w:val="center"/>
              <w:rPr>
                <w:rFonts w:ascii="宋体" w:hAnsi="宋体" w:eastAsia="宋体" w:cs="宋体"/>
                <w:szCs w:val="21"/>
              </w:rPr>
            </w:pPr>
            <w:r>
              <w:rPr>
                <w:rFonts w:hint="eastAsia" w:ascii="宋体" w:hAnsi="宋体" w:eastAsia="宋体" w:cs="宋体"/>
                <w:color w:val="000000"/>
                <w:kern w:val="0"/>
                <w:szCs w:val="21"/>
                <w:lang w:bidi="ar"/>
              </w:rPr>
              <w:t>一、快速加热和冷却的柱温箱</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1.柱箱温度：室温以上3℃ ～ 450℃</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▲2.程序升温：24阶25平台（投标文件中提供软件设置界面或操作屏幕截图证明）</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▲3.可设定升温速率：最大±140℃/min（投标文件中提供软件设置界面或操作屏幕截图证明）</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4.温度设定精度：0.1℃</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5. 控温精度：设定值(K) ± 1% (可校准至0.01℃)</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6.温度稳定性：周围温度每变化1℃，柱温箱温度变化小于0.01℃</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▲7.冷却速度：从 450 降到 50℃ ≤3.5min（210s）</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8.具有柱温箱温度的自动保护功能。</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9.最大运行时间：9999.99分钟</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10.配套耐高温柱温箱照明灯，柱温箱打开自动点亮，方便维护。</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11.柱温箱具有一键设置柱温箱降温速率功能，可依据不同色谱柱一键设置快速、中速、慢速和自定义4种降温模式，同时支持自由设置降温速率，有效延长色谱柱使用寿命。（</w:t>
            </w:r>
            <w:r>
              <w:rPr>
                <w:rFonts w:hint="eastAsia" w:ascii="宋体" w:hAnsi="宋体" w:eastAsia="宋体" w:cs="宋体"/>
                <w:color w:val="000000"/>
                <w:kern w:val="0"/>
                <w:sz w:val="22"/>
                <w:szCs w:val="22"/>
                <w:lang w:bidi="ar"/>
              </w:rPr>
              <w:t>投标文件</w:t>
            </w:r>
            <w:r>
              <w:rPr>
                <w:rFonts w:hint="eastAsia" w:ascii="宋体" w:hAnsi="宋体" w:eastAsia="宋体" w:cs="宋体"/>
                <w:color w:val="000000"/>
                <w:kern w:val="0"/>
                <w:szCs w:val="21"/>
                <w:lang w:bidi="ar"/>
              </w:rPr>
              <w:t>提供气相色谱仪主机触摸屏上显示4种降温模式以及自由设置降温速率的界面）</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二、进样单元，最多可同时安装三个独立控温的进样单元，由先进的电子流量控制系统控制（AFC）。</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 分流/不分流进样口</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▲1.1最高温度：430℃</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1.2配备全自动电子流量控制系统AFC，具备室温补偿和自动环境补偿功能支持恒流，恒压，程序增加流速，程序升压及压力脉冲等操作模式以及恒线速度控制功能（</w:t>
            </w:r>
            <w:r>
              <w:rPr>
                <w:rFonts w:hint="eastAsia" w:ascii="宋体" w:hAnsi="宋体" w:eastAsia="宋体" w:cs="宋体"/>
                <w:color w:val="000000"/>
                <w:kern w:val="0"/>
                <w:sz w:val="22"/>
                <w:szCs w:val="22"/>
                <w:lang w:bidi="ar"/>
              </w:rPr>
              <w:t>投标文件</w:t>
            </w:r>
            <w:r>
              <w:rPr>
                <w:rFonts w:hint="eastAsia" w:ascii="宋体" w:hAnsi="宋体" w:eastAsia="宋体" w:cs="宋体"/>
                <w:color w:val="000000"/>
                <w:kern w:val="0"/>
                <w:szCs w:val="21"/>
                <w:lang w:bidi="ar"/>
              </w:rPr>
              <w:t>提供恒线速度控制功能软件截图或应用文献证明）</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1.3标准配备载气节省模式，有效节约载气消耗量</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1.4压力设定范围：0～1015kPa（相当于0～147psi），压力控制精度：0.001psi，压力程序比率设定范围：-400～400kPa/min，压力程序：7阶</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1.5分流比设定范围：0～12000</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▲1.6流量设定范围：</w:t>
            </w:r>
            <w:r>
              <w:rPr>
                <w:rFonts w:hint="eastAsia" w:ascii="Times New Roman" w:hAnsi="Times New Roman" w:eastAsia="宋体" w:cs="Times New Roman"/>
              </w:rPr>
              <w:t>氦气模式</w:t>
            </w:r>
            <w:r>
              <w:rPr>
                <w:rFonts w:hint="eastAsia" w:ascii="宋体" w:hAnsi="宋体" w:eastAsia="宋体" w:cs="宋体"/>
                <w:color w:val="000000"/>
                <w:kern w:val="0"/>
                <w:szCs w:val="21"/>
                <w:lang w:bidi="ar"/>
              </w:rPr>
              <w:t>0～1290mL/min，</w:t>
            </w:r>
            <w:r>
              <w:rPr>
                <w:rFonts w:hint="eastAsia" w:ascii="Times New Roman" w:hAnsi="Times New Roman" w:eastAsia="宋体" w:cs="Times New Roman"/>
              </w:rPr>
              <w:t>氮气模式</w:t>
            </w:r>
            <w:r>
              <w:rPr>
                <w:rFonts w:hint="eastAsia" w:ascii="宋体" w:hAnsi="宋体" w:eastAsia="宋体" w:cs="宋体"/>
                <w:color w:val="000000"/>
                <w:kern w:val="0"/>
                <w:szCs w:val="21"/>
                <w:lang w:bidi="ar"/>
              </w:rPr>
              <w:t xml:space="preserve"> 0～590mL/min， </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1.7不使用任何工具即可打开/关闭进样口，不使用任何工具即可安装/更换色谱柱的同时，仪器更可以自动感知最佳安装和气密位置。</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三、检测器单元</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▲1.1可同时安装四个独立控温的检测器，检测器的气体由压力控制系统控制（APC），检测器的数据采集速率≥900Hz。</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1.2. 氢火焰离子化检测器（FID）</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1.2.1 最高使用温度：450℃</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1.2.2 自动点火功能</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▲1.2.3 检测限：1.3×10</w:t>
            </w:r>
            <w:r>
              <w:rPr>
                <w:rFonts w:hint="eastAsia" w:ascii="宋体" w:hAnsi="宋体" w:eastAsia="宋体" w:cs="宋体"/>
                <w:color w:val="000000"/>
                <w:kern w:val="0"/>
                <w:szCs w:val="21"/>
                <w:vertAlign w:val="superscript"/>
                <w:lang w:bidi="ar"/>
              </w:rPr>
              <w:t>-12</w:t>
            </w:r>
            <w:r>
              <w:rPr>
                <w:rFonts w:hint="eastAsia" w:ascii="宋体" w:hAnsi="宋体" w:eastAsia="宋体" w:cs="宋体"/>
                <w:color w:val="000000"/>
                <w:kern w:val="0"/>
                <w:szCs w:val="21"/>
                <w:lang w:bidi="ar"/>
              </w:rPr>
              <w:t>g/s ( 十二烷 )</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1.2.4 动态范围：10</w:t>
            </w:r>
            <w:r>
              <w:rPr>
                <w:rFonts w:hint="eastAsia" w:ascii="宋体" w:hAnsi="宋体" w:eastAsia="宋体" w:cs="宋体"/>
                <w:color w:val="000000"/>
                <w:kern w:val="0"/>
                <w:szCs w:val="21"/>
                <w:vertAlign w:val="superscript"/>
                <w:lang w:bidi="ar"/>
              </w:rPr>
              <w:t>7</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1.2.5 数据采集速度≥900Hz</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1.3. 电子捕获检测器（ECD）</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1.3.1 最高使用温度：400°C</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▲1.3.2 检测限：4.2 fg/s (γ-BHC)</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1.3.3 动态范围：8x10</w:t>
            </w:r>
            <w:r>
              <w:rPr>
                <w:rFonts w:hint="eastAsia" w:ascii="宋体" w:hAnsi="宋体" w:eastAsia="宋体" w:cs="宋体"/>
                <w:color w:val="000000"/>
                <w:kern w:val="0"/>
                <w:szCs w:val="21"/>
                <w:vertAlign w:val="superscript"/>
                <w:lang w:bidi="ar"/>
              </w:rPr>
              <w:t>4</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▲1.3.4 数据采集速度≥900Hz</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四、其他</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 色谱柱和流路系统</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1.1支持双柱双流路系统，且两根色谱柱长度不受限制，两个柱流量控制系统均采用流量控制单元</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1.2支持三柱三FID同时分析组成气相色谱方法优化系统。（</w:t>
            </w:r>
            <w:r>
              <w:rPr>
                <w:rFonts w:hint="eastAsia" w:ascii="宋体" w:hAnsi="宋体" w:eastAsia="宋体" w:cs="宋体"/>
                <w:color w:val="000000"/>
                <w:kern w:val="0"/>
                <w:sz w:val="22"/>
                <w:szCs w:val="22"/>
                <w:lang w:bidi="ar"/>
              </w:rPr>
              <w:t>投标文件</w:t>
            </w:r>
            <w:r>
              <w:rPr>
                <w:rFonts w:hint="eastAsia" w:ascii="宋体" w:hAnsi="宋体" w:eastAsia="宋体" w:cs="宋体"/>
                <w:color w:val="000000"/>
                <w:kern w:val="0"/>
                <w:szCs w:val="21"/>
                <w:lang w:bidi="ar"/>
              </w:rPr>
              <w:t>提供系统截图佐证）</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1.3 具有室温补偿和自动环境补偿功能</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1.4 具有恒定的载气线速度控制功能</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1.5 支持色谱柱柱后反吹，具有专为反吹设计的图示化控制软件，操作方便。同时可实现不泄真空更换色谱柱功能。</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2.面板键盘</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具有交互模式的彩色触摸屏进行操控，完全控制及显示所有温度区域和载气流量，完全控制所有检测器功能和检测器气体，实时时间程序和系统诊断，在线帮助和记事本记录程序事件</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六、配置清单</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1.主机1台，含FID、ECD检测器各1套，150液体自动进样器1套</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2.控制主机及配套输出设备1套</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3.耗材包1个（微量注射针2根、绿色进样垫50个、聚胺酯压环0.25mm柱用10个、聚胺酯压环0.32mm柱用10个、氟橡胶O型圈5个、惰性化带石英棉分流衬管5个、惰性化带石英棉不分流衬管5个）</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4.原装色谱柱1根</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5.空压压缩机、氢气发生器各1台</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6.载气过滤器（除氧，除湿，除烃）1个</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7.2.0ML样品瓶500个（含盖）</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8.废液瓶50个</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9.柱温箱内置的耐高温智能灯1套</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10. GC主机触摸屏专用操作笔1支</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11、中标人提供服务：包含厂家应用工程师到采购单位现场后的方法建立、指标测定及培训，现场根据标准要求出具方法验证报告，现场服务不少于5天。</w:t>
            </w:r>
          </w:p>
        </w:tc>
      </w:tr>
      <w:tr w14:paraId="4CEFA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3E26CC63">
            <w:pPr>
              <w:spacing w:line="360" w:lineRule="auto"/>
              <w:jc w:val="center"/>
              <w:rPr>
                <w:rFonts w:hint="eastAsia" w:ascii="宋体" w:hAnsi="宋体" w:eastAsia="宋体" w:cs="Times New Roman"/>
                <w:szCs w:val="21"/>
              </w:rPr>
            </w:pPr>
            <w:r>
              <w:rPr>
                <w:rFonts w:hint="eastAsia" w:ascii="宋体" w:hAnsi="宋体" w:eastAsia="宋体" w:cs="Times New Roman"/>
                <w:szCs w:val="21"/>
              </w:rPr>
              <w:t>5</w:t>
            </w:r>
          </w:p>
        </w:tc>
        <w:tc>
          <w:tcPr>
            <w:tcW w:w="1090" w:type="dxa"/>
            <w:tcBorders>
              <w:top w:val="single" w:color="auto" w:sz="4" w:space="0"/>
              <w:left w:val="nil"/>
              <w:bottom w:val="single" w:color="auto" w:sz="4" w:space="0"/>
              <w:right w:val="single" w:color="auto" w:sz="4" w:space="0"/>
            </w:tcBorders>
            <w:noWrap/>
            <w:vAlign w:val="center"/>
          </w:tcPr>
          <w:p w14:paraId="7E584AF2">
            <w:pPr>
              <w:widowControl/>
              <w:jc w:val="center"/>
              <w:textAlignment w:val="center"/>
              <w:rPr>
                <w:rFonts w:ascii="Times New Roman" w:hAnsi="Times New Roman" w:eastAsia="宋体" w:cs="Times New Roman"/>
                <w:szCs w:val="21"/>
              </w:rPr>
            </w:pPr>
            <w:r>
              <w:rPr>
                <w:rFonts w:hint="eastAsia" w:ascii="宋体" w:hAnsi="宋体" w:eastAsia="宋体" w:cs="宋体"/>
                <w:color w:val="000000"/>
                <w:kern w:val="0"/>
                <w:sz w:val="22"/>
                <w:szCs w:val="22"/>
                <w:lang w:bidi="ar"/>
              </w:rPr>
              <w:t>液相色谱串联质谱联用仪</w:t>
            </w:r>
          </w:p>
        </w:tc>
        <w:tc>
          <w:tcPr>
            <w:tcW w:w="780" w:type="dxa"/>
            <w:tcBorders>
              <w:top w:val="single" w:color="auto" w:sz="4" w:space="0"/>
              <w:left w:val="nil"/>
              <w:bottom w:val="single" w:color="auto" w:sz="4" w:space="0"/>
              <w:right w:val="single" w:color="auto" w:sz="4" w:space="0"/>
            </w:tcBorders>
            <w:noWrap/>
            <w:vAlign w:val="center"/>
          </w:tcPr>
          <w:p w14:paraId="3AA98AAD">
            <w:pPr>
              <w:widowControl/>
              <w:jc w:val="center"/>
              <w:textAlignment w:val="center"/>
              <w:rPr>
                <w:rFonts w:ascii="Times New Roman" w:hAnsi="Times New Roman" w:eastAsia="宋体" w:cs="Times New Roman"/>
                <w:szCs w:val="21"/>
              </w:rPr>
            </w:pPr>
            <w:r>
              <w:rPr>
                <w:rFonts w:hint="eastAsia" w:ascii="Times New Roman" w:hAnsi="Times New Roman" w:eastAsia="宋体" w:cs="Times New Roman"/>
              </w:rPr>
              <w:t>1台</w:t>
            </w:r>
          </w:p>
        </w:tc>
        <w:tc>
          <w:tcPr>
            <w:tcW w:w="7277" w:type="dxa"/>
            <w:tcBorders>
              <w:top w:val="single" w:color="auto" w:sz="4" w:space="0"/>
              <w:left w:val="nil"/>
              <w:bottom w:val="single" w:color="auto" w:sz="4" w:space="0"/>
              <w:right w:val="single" w:color="auto" w:sz="4" w:space="0"/>
            </w:tcBorders>
            <w:noWrap/>
            <w:vAlign w:val="center"/>
          </w:tcPr>
          <w:p w14:paraId="5D6B9E14">
            <w:pPr>
              <w:widowControl/>
              <w:spacing w:line="360" w:lineRule="auto"/>
              <w:jc w:val="left"/>
              <w:textAlignment w:val="center"/>
              <w:rPr>
                <w:rFonts w:ascii="宋体" w:hAnsi="宋体" w:eastAsia="宋体" w:cs="宋体"/>
                <w:szCs w:val="21"/>
              </w:rPr>
            </w:pPr>
            <w:r>
              <w:rPr>
                <w:rFonts w:hint="eastAsia" w:ascii="宋体" w:hAnsi="宋体" w:eastAsia="宋体" w:cs="宋体"/>
                <w:color w:val="000000"/>
                <w:kern w:val="0"/>
                <w:szCs w:val="21"/>
                <w:lang w:bidi="ar"/>
              </w:rPr>
              <w:t>1.一般规格和要求：</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1.1仪器由计算机控制、配有ESI离子源</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1.2 Q1和Q3四极杆质量分析器必须均带有预过滤器</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1.3 根据数据自动进行MS 和MS/MS切换</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1.4 液相色谱与串联四极杆质谱仪均为同一厂家生产，保证联机技术的稳定性</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1.5带有智能化操作模式，仪器可以自动进行系统调谐优化，确保用户系统准备就绪，系统状态检测，自动生成MRM 方法开发</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2.液相色谱部分</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2.1 输液单元（二元高压梯度泵）</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▲2.1.1流速范围： 0.0001-8.000</w:t>
            </w:r>
            <w:r>
              <w:rPr>
                <w:rFonts w:hint="eastAsia" w:ascii="宋体" w:hAnsi="宋体" w:eastAsia="宋体" w:cs="宋体"/>
                <w:color w:val="000000"/>
                <w:kern w:val="0"/>
                <w:szCs w:val="21"/>
                <w:lang w:val="en-US" w:eastAsia="zh-CN" w:bidi="ar"/>
              </w:rPr>
              <w:t>0</w:t>
            </w:r>
            <w:r>
              <w:rPr>
                <w:rFonts w:hint="eastAsia" w:ascii="宋体" w:hAnsi="宋体" w:eastAsia="宋体" w:cs="宋体"/>
                <w:color w:val="000000"/>
                <w:kern w:val="0"/>
                <w:szCs w:val="21"/>
                <w:lang w:bidi="ar"/>
              </w:rPr>
              <w:t>mL/min，递增率0.0001mL/min（</w:t>
            </w:r>
            <w:r>
              <w:rPr>
                <w:rFonts w:hint="eastAsia" w:ascii="宋体" w:hAnsi="宋体" w:eastAsia="宋体" w:cs="宋体"/>
                <w:color w:val="000000"/>
                <w:kern w:val="0"/>
                <w:sz w:val="22"/>
                <w:szCs w:val="22"/>
                <w:lang w:bidi="ar"/>
              </w:rPr>
              <w:t>投标文件</w:t>
            </w:r>
            <w:r>
              <w:rPr>
                <w:rFonts w:hint="eastAsia" w:ascii="宋体" w:hAnsi="宋体" w:eastAsia="宋体" w:cs="宋体"/>
                <w:color w:val="000000"/>
                <w:kern w:val="0"/>
                <w:szCs w:val="21"/>
                <w:lang w:bidi="ar"/>
              </w:rPr>
              <w:t>提供操作界面或软件截图证明）</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2.1.2流速准确度： ≤1%</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 xml:space="preserve">2.1.3流速精密度： ≤0.07% </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2.1.4梯度洗脱：0～100%，最小递增率为0.1%</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 xml:space="preserve">2.1.5输液压力：≥15000psi </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2.1.6混合准确度：±0.5%绝对值（满量程）</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2.1.7混合精度：≤0.15% RSD或±0.02 min SD（取较大者），基于6次重复进样的结果</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2.1.8自我诊断/自我恢复 ：自动检测分析过程中意外混入的气泡，自动执行排气，快速恢复至正常分析状态</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2.1.9流量智能控制功能：流速可随着柱温缓慢升高到设定值，防止瞬间高压损害色谱柱</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2.1.10流动相监测器瓶架：搭载重量感应器，自动计算批处理分析所需流动相总量，监控流动相余量，提示流动相不足，并可推送提醒信息至智能终端</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2.1.11自动缓冲盐配置功能：可实现自动配置缓冲盐浓度和pH值梯度</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▲2.1.12泵类型：必须为微体积并联双柱塞泵，不接受串联方式，无需脉冲阻尼器，减少系统体积，如果是阻尼器设计则视为不满足</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2.2 自动进样器管理系统</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2.2.1样品容量：在2个384孔板中可容纳≥768个样品，也可以使用2 mL样品瓶架容纳150个样品</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2.2.2自动进样循环时间：≦6.7秒，进样速度：4秒</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2.2.3进样体积：0.1～20μL，增量：≤0.1μL；可使用扩展定量环最大扩到2000.0μL</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2.2.4容许使用压力：15000 psi</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2.2.5样品交叉污染度（样品残留）：对于咖啡因 &lt;0.0003%</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2.2.6配备针外润洗和进样口冲洗，针外壁送液清洗</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2.2.7样品管理器高级功能：样品稀释、添加、混合、直接混合进样、自动衍生</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 xml:space="preserve">2.2.8样品室控温范围：4~45℃ </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2.2.9进样次数：每个样品1～99次进样</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2.2.10进样方式:全量进样, 进样量可变式</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2.3 柱温箱</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▲2.3.1温度控制类型：强制空气循环为优，不接受半导体控温，柱温箱内各点的温度恒定、均一</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2.3.2控温范围： 室温-10℃~80℃，温度稳定性：0.05 ℃；温度准确度：0.5 ℃</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 xml:space="preserve">2.3.3双重漏液传感器：含气体和液体双重传感器 </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2.3.4色谱柱容量：同时容纳25cm柱5根或30cm柱3根，内置切换阀、保护柱，可利用色谱柱信息管理功能追踪并存档色谱柱的使用历史</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3.质谱部分</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 xml:space="preserve">3.1 四极杆有预四级，能消除质量歧视，质量范围（m/z）：5-2000 amu </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 xml:space="preserve">3.2 灵敏度： </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▲3.2.1 ESI源正离子方式：要求1pg 利血平色谱柱进样，MRM离子对（609-&gt;195）,信噪比S/N ≥2000000:1（RMS）（投标文件提供第三方计量报告）</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3.2.2ESI源正离子方式：要求5fg利血平色谱柱进样，离子对（609-&gt;195），IDL≤0.8fg</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▲3.2.3 ESI负离子方式:要求 1pg 色谱柱进样，氯霉素信噪比≥2000000:1  (RMS)（现场验收指标）（投标文件提供第三方计量报告）</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 xml:space="preserve">3.2.4  ESI负离子方式 : 要求5fg 氯霉素色谱柱进样，离子对（321-&gt;125）， IDL≤0.8fg </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 xml:space="preserve">3.3 MRM驻留时间 (dwell time) ≦1ms，能自动按照离子对数目自动优化驻留时间 </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3.4分辨率：≥2.5M (半峰宽≤0.4Da)</w:t>
            </w:r>
            <w:r>
              <w:rPr>
                <w:rFonts w:hint="eastAsia" w:ascii="宋体" w:hAnsi="宋体" w:eastAsia="宋体" w:cs="宋体"/>
                <w:color w:val="000000"/>
                <w:kern w:val="0"/>
                <w:szCs w:val="21"/>
                <w:lang w:bidi="ar"/>
              </w:rPr>
              <w:br w:type="textWrapping"/>
            </w:r>
            <w:r>
              <w:rPr>
                <w:rFonts w:hint="eastAsia" w:ascii="Times New Roman" w:hAnsi="Times New Roman" w:eastAsia="宋体" w:cs="Times New Roman"/>
              </w:rPr>
              <w:t>▲</w:t>
            </w:r>
            <w:r>
              <w:rPr>
                <w:rFonts w:hint="eastAsia" w:ascii="宋体" w:hAnsi="宋体" w:eastAsia="宋体" w:cs="宋体"/>
                <w:color w:val="000000"/>
                <w:kern w:val="0"/>
                <w:szCs w:val="21"/>
                <w:lang w:bidi="ar"/>
              </w:rPr>
              <w:t>3.5质谱扫描速度: ≥20000u/sec，最小步径为0.1u；（</w:t>
            </w:r>
            <w:r>
              <w:rPr>
                <w:rFonts w:hint="eastAsia" w:ascii="宋体" w:hAnsi="宋体" w:eastAsia="宋体" w:cs="宋体"/>
                <w:color w:val="000000"/>
                <w:kern w:val="0"/>
                <w:sz w:val="22"/>
                <w:szCs w:val="22"/>
                <w:lang w:bidi="ar"/>
              </w:rPr>
              <w:t>投标文件</w:t>
            </w:r>
            <w:r>
              <w:rPr>
                <w:rFonts w:hint="eastAsia" w:ascii="宋体" w:hAnsi="宋体" w:eastAsia="宋体" w:cs="宋体"/>
                <w:color w:val="000000"/>
                <w:kern w:val="0"/>
                <w:szCs w:val="21"/>
                <w:lang w:bidi="ar"/>
              </w:rPr>
              <w:t>提供软件设置界面截图证明）</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3.6正负模式切换速率：≤5ms ，实现正、负离子同时采集（投标文件中提供软件设置界面或操作屏幕截图证明）</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3.7 质量稳定性:平均标准偏差≤0.1Da /24hrs，全质量范围偏差≤0.01%</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3.8 MRM通道数量：一次进样完成≥30000个MRM离子对同时分析，且保证灵敏度和重现性不受损失</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 xml:space="preserve">3.9 MRM通道速度：&gt;500MRM/s </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3.10离子源和进样系统（前端配流路切换阀）</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3.10.1离子源接口: 离子源为独立电喷雾离子源，非锥孔结构，离子源的清洁、维护无需卸除质谱真空系统</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3.10.2离子源流速范围：在确保灵敏度不损失的前提下，实现高流速，1μL/min～2000μL/min</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▲3.10.3 ESI离子源加热气设计：独立的离子源加热辅助气设计，为提高脱溶剂化效果，脱溶剂温度必须≥630℃，该温度可以在控制软件上进行设定（</w:t>
            </w:r>
            <w:r>
              <w:rPr>
                <w:rFonts w:hint="eastAsia" w:ascii="宋体" w:hAnsi="宋体" w:eastAsia="宋体" w:cs="宋体"/>
                <w:color w:val="000000"/>
                <w:kern w:val="0"/>
                <w:sz w:val="22"/>
                <w:szCs w:val="22"/>
                <w:lang w:bidi="ar"/>
              </w:rPr>
              <w:t>投标文件</w:t>
            </w:r>
            <w:r>
              <w:rPr>
                <w:rFonts w:hint="eastAsia" w:ascii="宋体" w:hAnsi="宋体" w:eastAsia="宋体" w:cs="宋体"/>
                <w:color w:val="000000"/>
                <w:kern w:val="0"/>
                <w:szCs w:val="21"/>
                <w:lang w:bidi="ar"/>
              </w:rPr>
              <w:t>提供软件设置界面截图证明）</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3.10.4待机过程时，不消耗氮气</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3.11质量分析器：串联四极杆型质量分析器，双曲面全金属钼四极杆，不需要控温即可保持四极杆的抗污染能力及保证质量数稳定（≤0.1Da /24Hr）；不接受控温型四极杆，防止控温不准造成质量数漂移</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3.11.1 Q1四极杆设计：Q1带有预四极杆和后四极杆用作离子聚焦和抗污染功能，具备Q1扫描或Q1选择离子监测SIM功能</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3.11.2 Q2碰撞室设计：碰撞室采用多极杆超快速碰撞室，实现快速MRM性能，采用曲线型加速电势场加碰撞气压控制，同时进行线性高压加速</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3.11.3 Q2碰撞室能对离子进行高压加速，提高离子利用率</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3.11.4 Q3四极杆设计：Q3前端带有预四极杆用作离子聚焦和抗污染功能</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3.11.5具有全扫描(Full Scan)、选择离子扫描(SIM)、子离子扫描（Product Ion Scan）、母离子扫描（Precursor Ion Scan）、中性丢失扫描（Neutral Loss Scan）、多反应监测扫描（MRM）</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3.12 检测器：离轴连续打拿电子倍增器，动态范围：8×10</w:t>
            </w:r>
            <w:r>
              <w:rPr>
                <w:rFonts w:hint="eastAsia" w:ascii="宋体" w:hAnsi="宋体" w:eastAsia="宋体" w:cs="宋体"/>
                <w:color w:val="000000"/>
                <w:kern w:val="0"/>
                <w:szCs w:val="21"/>
                <w:vertAlign w:val="superscript"/>
                <w:lang w:bidi="ar"/>
              </w:rPr>
              <w:t>6</w:t>
            </w:r>
            <w:r>
              <w:rPr>
                <w:rFonts w:hint="eastAsia" w:ascii="宋体" w:hAnsi="宋体" w:eastAsia="宋体" w:cs="宋体"/>
                <w:color w:val="000000"/>
                <w:kern w:val="0"/>
                <w:szCs w:val="21"/>
                <w:lang w:bidi="ar"/>
              </w:rPr>
              <w:t>，检测器前端采用具备离子聚焦及中性噪音过滤功能的电子透镜设计</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3.13自动调谐参数（质谱分辨率、质谱校准、离子源优化）</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3.14方法优化系统：自动优化每个目标化合物的质谱参数，包括最佳碰撞电压，MS/MS的碰撞能量等，自动存储方法参数，直接调用</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3.15质谱软件可以自动MRM参数生成优化功能，不需要手动逐条输入MRM参数；可以不需要注射泵，直接液相联机柱上进样即可MRM自动优化；一键式触发全自动定量数据处理和报告功能；同时如需要，也可以采用手动模式修改MRM参数及其它定量批处理方法</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3.16质谱软件报告可中文显示，可自由添加、修改、提取化合物的信息，分析和处理方法</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3.17谱系统软件能对整套系统进行控制, 进行数据采集、数据处理、定性分析和定量分析、建立数据库功能，谱库检索功能，GLP认证、自动校正和全自动分析功能，符合FDA 21 CFR Part 11要求</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3.18独立定量优化和处理软件：能够处理由大量MRM通道和样本组成的大批量数据，提高了分析效率</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4.主机配置要求（以下仪器构成只涉及主要仪器设备，中标供应商应确保设备安装调试后能正常开展检测工作，打印检验报告）</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val="en-US" w:eastAsia="zh-CN" w:bidi="ar"/>
              </w:rPr>
              <w:t>4</w:t>
            </w:r>
            <w:r>
              <w:rPr>
                <w:rFonts w:hint="eastAsia" w:ascii="宋体" w:hAnsi="宋体" w:eastAsia="宋体" w:cs="宋体"/>
                <w:color w:val="000000"/>
                <w:kern w:val="0"/>
                <w:szCs w:val="21"/>
                <w:lang w:bidi="ar"/>
              </w:rPr>
              <w:t>.1 超高压输液泵 2套</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val="en-US" w:eastAsia="zh-CN" w:bidi="ar"/>
              </w:rPr>
              <w:t>4</w:t>
            </w:r>
            <w:r>
              <w:rPr>
                <w:rFonts w:hint="eastAsia" w:ascii="宋体" w:hAnsi="宋体" w:eastAsia="宋体" w:cs="宋体"/>
                <w:color w:val="000000"/>
                <w:kern w:val="0"/>
                <w:szCs w:val="21"/>
                <w:lang w:bidi="ar"/>
              </w:rPr>
              <w:t>.2三路在线脱气机1套</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val="en-US" w:eastAsia="zh-CN" w:bidi="ar"/>
              </w:rPr>
              <w:t>4</w:t>
            </w:r>
            <w:r>
              <w:rPr>
                <w:rFonts w:hint="eastAsia" w:ascii="宋体" w:hAnsi="宋体" w:eastAsia="宋体" w:cs="宋体"/>
                <w:color w:val="000000"/>
                <w:kern w:val="0"/>
                <w:szCs w:val="21"/>
                <w:lang w:bidi="ar"/>
              </w:rPr>
              <w:t>.3带制冷的自动进样器1套</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val="en-US" w:eastAsia="zh-CN" w:bidi="ar"/>
              </w:rPr>
              <w:t>4</w:t>
            </w:r>
            <w:r>
              <w:rPr>
                <w:rFonts w:hint="eastAsia" w:ascii="宋体" w:hAnsi="宋体" w:eastAsia="宋体" w:cs="宋体"/>
                <w:color w:val="000000"/>
                <w:kern w:val="0"/>
                <w:szCs w:val="21"/>
                <w:lang w:bidi="ar"/>
              </w:rPr>
              <w:t>.4智能柱温箱 1套</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val="en-US" w:eastAsia="zh-CN" w:bidi="ar"/>
              </w:rPr>
              <w:t>4</w:t>
            </w:r>
            <w:r>
              <w:rPr>
                <w:rFonts w:hint="eastAsia" w:ascii="宋体" w:hAnsi="宋体" w:eastAsia="宋体" w:cs="宋体"/>
                <w:color w:val="000000"/>
                <w:kern w:val="0"/>
                <w:szCs w:val="21"/>
                <w:lang w:bidi="ar"/>
              </w:rPr>
              <w:t>.5色谱柱C18 (2.1 mm I.D. ×100 mm, 1.9 um) 1根</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val="en-US" w:eastAsia="zh-CN" w:bidi="ar"/>
              </w:rPr>
              <w:t>4</w:t>
            </w:r>
            <w:r>
              <w:rPr>
                <w:rFonts w:hint="eastAsia" w:ascii="宋体" w:hAnsi="宋体" w:eastAsia="宋体" w:cs="宋体"/>
                <w:color w:val="000000"/>
                <w:kern w:val="0"/>
                <w:szCs w:val="21"/>
                <w:lang w:bidi="ar"/>
              </w:rPr>
              <w:t>.6高效混合器1套</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val="en-US" w:eastAsia="zh-CN" w:bidi="ar"/>
              </w:rPr>
              <w:t>4</w:t>
            </w:r>
            <w:r>
              <w:rPr>
                <w:rFonts w:hint="eastAsia" w:ascii="宋体" w:hAnsi="宋体" w:eastAsia="宋体" w:cs="宋体"/>
                <w:color w:val="000000"/>
                <w:kern w:val="0"/>
                <w:szCs w:val="21"/>
                <w:lang w:bidi="ar"/>
              </w:rPr>
              <w:t>.7 串接四极杆液质主机1台</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val="en-US" w:eastAsia="zh-CN" w:bidi="ar"/>
              </w:rPr>
              <w:t>4</w:t>
            </w:r>
            <w:r>
              <w:rPr>
                <w:rFonts w:hint="eastAsia" w:ascii="宋体" w:hAnsi="宋体" w:eastAsia="宋体" w:cs="宋体"/>
                <w:color w:val="000000"/>
                <w:kern w:val="0"/>
                <w:szCs w:val="21"/>
                <w:lang w:bidi="ar"/>
              </w:rPr>
              <w:t>.8 氮气发生器1台（输出氮气流量：0-25L/min ，输出干燥空气流量：0-25L/min， 氮气纯度： 99.5%）</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val="en-US" w:eastAsia="zh-CN" w:bidi="ar"/>
              </w:rPr>
              <w:t>4</w:t>
            </w:r>
            <w:r>
              <w:rPr>
                <w:rFonts w:hint="eastAsia" w:ascii="宋体" w:hAnsi="宋体" w:eastAsia="宋体" w:cs="宋体"/>
                <w:color w:val="000000"/>
                <w:kern w:val="0"/>
                <w:szCs w:val="21"/>
                <w:lang w:bidi="ar"/>
              </w:rPr>
              <w:t>.9 超高压色谱方法与常规色谱方法转换软件1套</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val="en-US" w:eastAsia="zh-CN" w:bidi="ar"/>
              </w:rPr>
              <w:t>4</w:t>
            </w:r>
            <w:r>
              <w:rPr>
                <w:rFonts w:hint="eastAsia" w:ascii="宋体" w:hAnsi="宋体" w:eastAsia="宋体" w:cs="宋体"/>
                <w:color w:val="000000"/>
                <w:kern w:val="0"/>
                <w:szCs w:val="21"/>
                <w:lang w:bidi="ar"/>
              </w:rPr>
              <w:t>.10耐高压流路切换阀1个</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val="en-US" w:eastAsia="zh-CN" w:bidi="ar"/>
              </w:rPr>
              <w:t>4</w:t>
            </w:r>
            <w:r>
              <w:rPr>
                <w:rFonts w:hint="eastAsia" w:ascii="宋体" w:hAnsi="宋体" w:eastAsia="宋体" w:cs="宋体"/>
                <w:color w:val="000000"/>
                <w:kern w:val="0"/>
                <w:szCs w:val="21"/>
                <w:lang w:bidi="ar"/>
              </w:rPr>
              <w:t>.11液质接口离子源ESI源 、APCI源各1套；</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val="en-US" w:eastAsia="zh-CN" w:bidi="ar"/>
              </w:rPr>
              <w:t>4</w:t>
            </w:r>
            <w:r>
              <w:rPr>
                <w:rFonts w:hint="eastAsia" w:ascii="宋体" w:hAnsi="宋体" w:eastAsia="宋体" w:cs="宋体"/>
                <w:color w:val="000000"/>
                <w:kern w:val="0"/>
                <w:szCs w:val="21"/>
                <w:lang w:bidi="ar"/>
              </w:rPr>
              <w:t>.12控制主机及配套输出设备1套；</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val="en-US" w:eastAsia="zh-CN" w:bidi="ar"/>
              </w:rPr>
              <w:t>4</w:t>
            </w:r>
            <w:r>
              <w:rPr>
                <w:rFonts w:hint="eastAsia" w:ascii="宋体" w:hAnsi="宋体" w:eastAsia="宋体" w:cs="宋体"/>
                <w:color w:val="000000"/>
                <w:kern w:val="0"/>
                <w:szCs w:val="21"/>
                <w:lang w:bidi="ar"/>
              </w:rPr>
              <w:t>.13原厂质谱中文工作站软件1套；</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val="en-US" w:eastAsia="zh-CN" w:bidi="ar"/>
              </w:rPr>
              <w:t>4</w:t>
            </w:r>
            <w:r>
              <w:rPr>
                <w:rFonts w:hint="eastAsia" w:ascii="宋体" w:hAnsi="宋体" w:eastAsia="宋体" w:cs="宋体"/>
                <w:color w:val="000000"/>
                <w:kern w:val="0"/>
                <w:szCs w:val="21"/>
                <w:lang w:bidi="ar"/>
              </w:rPr>
              <w:t>.14消耗品包1套（脱溶剂管2根、ESI喷针2根、泵油2瓶、样品瓶500个、溶剂瓶5个）</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val="en-US" w:eastAsia="zh-CN" w:bidi="ar"/>
              </w:rPr>
              <w:t>4</w:t>
            </w:r>
            <w:r>
              <w:rPr>
                <w:rFonts w:hint="eastAsia" w:ascii="宋体" w:hAnsi="宋体" w:eastAsia="宋体" w:cs="宋体"/>
                <w:color w:val="000000"/>
                <w:kern w:val="0"/>
                <w:szCs w:val="21"/>
                <w:lang w:bidi="ar"/>
              </w:rPr>
              <w:t>.15中文串联质谱农残、兽残数据库(免费升级) 1套，药品及个人护理品数据库1套，真菌毒素、海洋毒素数据库1套，化妆品风险物质分析数据库1套</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val="en-US" w:eastAsia="zh-CN" w:bidi="ar"/>
              </w:rPr>
              <w:t>4</w:t>
            </w:r>
            <w:r>
              <w:rPr>
                <w:rFonts w:hint="eastAsia" w:ascii="宋体" w:hAnsi="宋体" w:eastAsia="宋体" w:cs="宋体"/>
                <w:color w:val="000000"/>
                <w:kern w:val="0"/>
                <w:szCs w:val="21"/>
                <w:lang w:bidi="ar"/>
              </w:rPr>
              <w:t xml:space="preserve">.16 </w:t>
            </w:r>
            <w:r>
              <w:rPr>
                <w:rFonts w:hint="eastAsia" w:ascii="宋体" w:hAnsi="宋体" w:eastAsia="宋体" w:cs="宋体"/>
                <w:kern w:val="0"/>
                <w:sz w:val="22"/>
                <w:szCs w:val="22"/>
                <w:lang w:bidi="ar"/>
              </w:rPr>
              <w:t>投标人应对该设备的安装调试与电路连接改造以及持续使用提供保障服务</w:t>
            </w:r>
            <w:r>
              <w:rPr>
                <w:rFonts w:hint="eastAsia" w:ascii="宋体" w:hAnsi="宋体" w:eastAsia="宋体" w:cs="宋体"/>
                <w:color w:val="000000"/>
                <w:kern w:val="0"/>
                <w:szCs w:val="21"/>
                <w:lang w:bidi="ar"/>
              </w:rPr>
              <w:t>。</w:t>
            </w:r>
          </w:p>
        </w:tc>
      </w:tr>
      <w:tr w14:paraId="0B60D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49894E50">
            <w:pPr>
              <w:spacing w:line="360" w:lineRule="auto"/>
              <w:jc w:val="center"/>
              <w:rPr>
                <w:rFonts w:hint="eastAsia" w:ascii="宋体" w:hAnsi="宋体" w:eastAsia="宋体" w:cs="Times New Roman"/>
                <w:szCs w:val="21"/>
              </w:rPr>
            </w:pPr>
            <w:r>
              <w:rPr>
                <w:rFonts w:hint="eastAsia" w:ascii="宋体" w:hAnsi="宋体" w:eastAsia="宋体" w:cs="Times New Roman"/>
                <w:szCs w:val="21"/>
              </w:rPr>
              <w:t>6</w:t>
            </w:r>
          </w:p>
        </w:tc>
        <w:tc>
          <w:tcPr>
            <w:tcW w:w="1090" w:type="dxa"/>
            <w:tcBorders>
              <w:top w:val="single" w:color="auto" w:sz="4" w:space="0"/>
              <w:left w:val="nil"/>
              <w:bottom w:val="single" w:color="auto" w:sz="4" w:space="0"/>
              <w:right w:val="single" w:color="auto" w:sz="4" w:space="0"/>
            </w:tcBorders>
            <w:noWrap/>
            <w:vAlign w:val="center"/>
          </w:tcPr>
          <w:p w14:paraId="3450F27B">
            <w:pPr>
              <w:widowControl/>
              <w:jc w:val="center"/>
              <w:textAlignment w:val="center"/>
              <w:rPr>
                <w:rFonts w:ascii="宋体" w:hAnsi="宋体" w:eastAsia="宋体" w:cs="宋体"/>
                <w:kern w:val="0"/>
                <w:szCs w:val="21"/>
                <w:lang w:bidi="ar"/>
              </w:rPr>
            </w:pPr>
            <w:r>
              <w:rPr>
                <w:rFonts w:hint="eastAsia" w:ascii="宋体" w:hAnsi="宋体" w:eastAsia="宋体" w:cs="宋体"/>
                <w:color w:val="000000"/>
                <w:kern w:val="0"/>
                <w:sz w:val="22"/>
                <w:szCs w:val="22"/>
                <w:lang w:bidi="ar"/>
              </w:rPr>
              <w:t>原子吸收光谱仪</w:t>
            </w:r>
          </w:p>
        </w:tc>
        <w:tc>
          <w:tcPr>
            <w:tcW w:w="780" w:type="dxa"/>
            <w:tcBorders>
              <w:top w:val="single" w:color="auto" w:sz="4" w:space="0"/>
              <w:left w:val="nil"/>
              <w:bottom w:val="single" w:color="auto" w:sz="4" w:space="0"/>
              <w:right w:val="single" w:color="auto" w:sz="4" w:space="0"/>
            </w:tcBorders>
            <w:noWrap/>
            <w:vAlign w:val="center"/>
          </w:tcPr>
          <w:p w14:paraId="126174CF">
            <w:pPr>
              <w:widowControl/>
              <w:jc w:val="center"/>
              <w:textAlignment w:val="center"/>
              <w:rPr>
                <w:rFonts w:ascii="Times New Roman" w:hAnsi="Times New Roman" w:eastAsia="宋体" w:cs="Times New Roman"/>
                <w:szCs w:val="21"/>
              </w:rPr>
            </w:pPr>
            <w:r>
              <w:rPr>
                <w:rFonts w:hint="eastAsia" w:ascii="Times New Roman" w:hAnsi="Times New Roman" w:eastAsia="宋体" w:cs="Times New Roman"/>
              </w:rPr>
              <w:t>1台</w:t>
            </w:r>
          </w:p>
        </w:tc>
        <w:tc>
          <w:tcPr>
            <w:tcW w:w="7277" w:type="dxa"/>
            <w:tcBorders>
              <w:top w:val="single" w:color="auto" w:sz="4" w:space="0"/>
              <w:left w:val="nil"/>
              <w:bottom w:val="single" w:color="auto" w:sz="4" w:space="0"/>
              <w:right w:val="single" w:color="auto" w:sz="4" w:space="0"/>
            </w:tcBorders>
            <w:noWrap/>
            <w:vAlign w:val="center"/>
          </w:tcPr>
          <w:p w14:paraId="7EF73246">
            <w:pPr>
              <w:widowControl/>
              <w:numPr>
                <w:ilvl w:val="0"/>
                <w:numId w:val="2"/>
              </w:numPr>
              <w:spacing w:line="360" w:lineRule="auto"/>
              <w:jc w:val="left"/>
              <w:textAlignment w:val="center"/>
              <w:rPr>
                <w:rFonts w:hint="eastAsia" w:ascii="Times New Roman" w:hAnsi="Times New Roman" w:eastAsia="宋体" w:cs="Times New Roman"/>
              </w:rPr>
            </w:pPr>
            <w:r>
              <w:rPr>
                <w:rFonts w:hint="eastAsia" w:ascii="宋体" w:hAnsi="宋体" w:eastAsia="宋体" w:cs="宋体"/>
                <w:color w:val="000000"/>
                <w:kern w:val="0"/>
                <w:szCs w:val="21"/>
                <w:lang w:bidi="ar"/>
              </w:rPr>
              <w:t>▲仪器系统：原子吸收光谱分析系统，包括火焰分析系统和石墨炉分析系统。光谱仪主机系统为火焰石墨炉一体机，火焰和石墨炉只需通过软件切换，无需硬件调整。</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2.光学系统</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2.1采用全反射消色差光学系统，样品光束在原子化器中心的位置不随元素和波长改变。独特的灯架设计，采用竖直放置，确保原子化器的有效光束形状、位置、焦距点都不随元素灯和波长的变换而改变，做到石墨炉位置免调。</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▲2.1.光束分光方式：双光束，两个检测器同时检测样品光束和参比光束。</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2.2.波长范围：185nm～900nm</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2.3.波长示值误差：±0.15nm</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2.4.波长重复性：≤0.05nm</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2.5.光谱带宽偏差：±0.02nm</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2.6.分光系统：消象差C-T型单色器</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2.7.光谱带宽：0.1，0.2，0.4，1.0，2.0nm（5档自动切换）</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▲2.8.光栅：平面衍射光栅，光栅有效刻线面积: ≥58x58 mm；刻线数1800lines/mm，闪耀波长250nm；焦距300mm</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2.9.检测器：高灵敏度进口光电倍增管</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2.10.灯座：≥8灯座，空心阴极灯竖直安装，自动回转，寻峰自动位置微调，自动调整负高压,灯电流，可同时点亮8只灯，1灯工作，7灯预热，支持2只高性能灯，全自动调节，自动调入优化的工作参数及分析条件。</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2.11.基线稳定性：±0.0009Abs/30min</w:t>
            </w:r>
            <w:r>
              <w:rPr>
                <w:rFonts w:hint="eastAsia" w:ascii="宋体" w:hAnsi="宋体" w:eastAsia="宋体" w:cs="宋体"/>
                <w:color w:val="000000"/>
                <w:kern w:val="0"/>
                <w:szCs w:val="21"/>
                <w:lang w:bidi="ar"/>
              </w:rPr>
              <w:br w:type="textWrapping"/>
            </w:r>
            <w:r>
              <w:rPr>
                <w:rFonts w:hint="eastAsia" w:ascii="Times New Roman" w:hAnsi="Times New Roman" w:eastAsia="宋体" w:cs="Times New Roman"/>
              </w:rPr>
              <w:t>▲2.12.噪声≤0.0009Abs</w:t>
            </w:r>
          </w:p>
          <w:p w14:paraId="16FACEEC">
            <w:pPr>
              <w:widowControl/>
              <w:spacing w:line="360" w:lineRule="auto"/>
              <w:jc w:val="left"/>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3.石墨炉分析系统</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▲采用偏振塞曼模式，可满足185～900nm全波长范围内进行塞曼背景较正，两个检测器同时检测样品光束和参比光束，完全实时的背景校正技术获得可信的分析结果。</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3.1.加热方式：纵向加热方式</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3.2.控温方式：干燥、灰化阶段功率控制方式:原子化阶段采用光控最大功率方式。</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3.3.石墨炉工作温度：室温至3000℃；</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3.4.控温精度：＜1%</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3.5.升温方式：阶梯升温、斜坡升温、最大功率升温；</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3.6.加热条件设定：最多20个程序。</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3.7.电源：石墨炉电源内置，提高电气安全性。</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3.8.升温程序优化：具备升温程序自动最优化功能；</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3.9.背景校正技术：横向塞曼模式。</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▲3.10.磁场强度：磁感应强度达到1特斯拉以上。</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3.11.石墨管：热解涂层石墨管、平台管可选；</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▲3.12.石墨炉可视系统，可以直观监视石墨管内部干燥、灰化、烧残过程中样液的动态演变,观察自动进样器进样针进入石墨管的最佳位置。</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3.13.压力监测：监测保护气压力,出现异常波动立即停止加热并提示报警。</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3.14.冷却水流量监测：冷却水流量达到监测流量后，石墨炉才允许加热升温。</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3.15.检出限：Cd＜0.4pg</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3.16.精密度：Cd＜2% ；Cd＜1.5%(石墨炉自动进样器)</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3.17.背景校正能力：＞120倍@1Abs，最大校正≥ 3.0Abs</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4.火焰分析</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▲采用偏振塞曼模式，可满足185～900nm全波长范围内进行塞曼背景校正，两个检测器同时检测样品光束和参比光束，完全实时的背景校正技术获得可信的分析结果；</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4.1.雾化室：耐腐蚀抗氧化材料雾化室，带防爆塞设计；</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4.2.通用全钛燃烧器：100mm、50mm可拆卸燃烧器，能迅速达到热平衡，采用层流设计，低气耗，耐腐</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蚀，在高温中抗氧化，低结碳，适用于高盐溶液的直接喷吸；</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4.3.燃烧器位置调节：燃烧器自动升降功能，自动寻找最佳位置，前后位置免调节；</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4.4.点火方式 : 软件控制自动点火；</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4.5.雾化器：高效玻璃雾化器、铂依合金管和钽管金属雾化器可选。金属雾化器，进样量可调节，耐氢氟酸和王水腐蚀；</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4.6.雾化室：耐腐蚀抗氧化材质雾化室，带防爆塞设计；</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4.7.气体控制：可燃气采用流量计自动控制，自动设置燃烧条件,选择元素分析最佳燃助比；</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4.8.安全保护功能：采用火焰监视器实时监控、气体压力保护、断电保护、断气保护、废液液面检测、燃气泄漏保护，当出现异常时，自动切断燃气，安全熄火，确保操作人员和设备的安全；</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4.9.定期提醒功能：在笑气-乙炔火焰模式下，软件定期提醒操作者进行积碳处理，防止意外情况发生；</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4.10.防回火功能：在火焰状态下，出现主机意外断电、乙炔泄漏报警等意外情况，可自动将过量的空气引入燃烧器，而使火焰熄灭，防止意外回火的发生；</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4.11.背景校正技术：横向塞曼模式；</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4.12.磁场强度：磁感应强度达到1特斯拉以上；</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4.13.背景校正能力：＞120倍@1Abs，最大校正≥ 3.0Abs；</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4.14.检出限：Cu＜0.004ug/ml；</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▲4.15.精密度：Cu＜0.5%；</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5.数据处理</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5.1.测量方式:火焰法吸收法、石墨炉法、火焰发射法、氢化物法；</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5.2.计算方式：连续、峰高、峰面积；</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5.3.浓度计算方式:标准曲线法(可选择1次、2次、3次式及椭圆）；标准添加法及内插法；</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5.4.校正曲线：多达40个标准点的各种校正曲线法供选择；</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5.5.灵敏度校正：对某个标准样品进行测量，然后根据测量结果进行灵敏度的校正；</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5.6.重复测量次数:1～20次，自动计算平均值、给出标准偏差和相对标准偏差；</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5.7.批量导入功能：批量导入样品信息包括样品名称、重量、体积和稀释倍数等；</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5.8.结果打印:参数打印、数据结果打印、图形打印；</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 xml:space="preserve">6．自动进样器： </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▲6.1.样品盘杯位数：</w:t>
            </w:r>
            <w:r>
              <w:rPr>
                <w:rFonts w:hint="eastAsia" w:ascii="Times New Roman" w:hAnsi="Times New Roman" w:eastAsia="宋体" w:cs="Times New Roman"/>
              </w:rPr>
              <w:t>≥155杯位；</w:t>
            </w:r>
          </w:p>
          <w:p w14:paraId="3205BF78">
            <w:pPr>
              <w:widowControl/>
              <w:spacing w:line="360" w:lineRule="auto"/>
              <w:jc w:val="left"/>
              <w:textAlignment w:val="center"/>
              <w:rPr>
                <w:rFonts w:ascii="宋体" w:hAnsi="宋体" w:eastAsia="宋体" w:cs="宋体"/>
                <w:kern w:val="0"/>
                <w:szCs w:val="21"/>
                <w:lang w:bidi="ar"/>
              </w:rPr>
            </w:pPr>
            <w:r>
              <w:rPr>
                <w:rFonts w:hint="eastAsia" w:ascii="宋体" w:hAnsi="宋体" w:eastAsia="宋体" w:cs="宋体"/>
                <w:color w:val="000000"/>
                <w:kern w:val="0"/>
                <w:szCs w:val="21"/>
                <w:lang w:bidi="ar"/>
              </w:rPr>
              <w:t>6.2.注射器容积：500μL；</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6.3.进样范围：5～50uL（增量0.1uL）；</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6.4.进样准确度：±5%(10uL)；</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6.5.进样重复性：&lt;2%(10uL)；</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6.6.在线稀释倍数：1～20倍；</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6.7.混合稀释倍数：1～120倍；</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6.8.清洗瓶容积：0.8L；</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6.9.自动清洗功能:每次进样前对样品管进行自动清洗，减少样品残留；</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6.10.欠压保护功能:自动检测气体压力，气体小于 0.2Mpa 压力欠压报警；</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6.11.添加基体改进剂:最多可以添加 3种基体改进剂；</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7.主要配置：</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原子吸收光谱仪一套，包含石墨炉系统、石墨炉自动进样器、热解石墨管10个、石墨炉可视系统1套、中文工作站1套，中文操作说明书1套、空心阴极灯：8个、循环水冷却装置1套、控制终端1台</w:t>
            </w:r>
          </w:p>
        </w:tc>
      </w:tr>
      <w:tr w14:paraId="7F929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24F7C2B8">
            <w:pPr>
              <w:spacing w:line="360" w:lineRule="auto"/>
              <w:jc w:val="center"/>
              <w:rPr>
                <w:rFonts w:hint="eastAsia" w:ascii="宋体" w:hAnsi="宋体" w:eastAsia="宋体" w:cs="Times New Roman"/>
                <w:szCs w:val="21"/>
              </w:rPr>
            </w:pPr>
            <w:r>
              <w:rPr>
                <w:rFonts w:hint="eastAsia" w:ascii="宋体" w:hAnsi="宋体" w:eastAsia="宋体" w:cs="Times New Roman"/>
                <w:szCs w:val="21"/>
              </w:rPr>
              <w:t>7</w:t>
            </w:r>
          </w:p>
        </w:tc>
        <w:tc>
          <w:tcPr>
            <w:tcW w:w="1090" w:type="dxa"/>
            <w:tcBorders>
              <w:top w:val="single" w:color="auto" w:sz="4" w:space="0"/>
              <w:left w:val="nil"/>
              <w:bottom w:val="single" w:color="auto" w:sz="4" w:space="0"/>
              <w:right w:val="single" w:color="auto" w:sz="4" w:space="0"/>
            </w:tcBorders>
            <w:noWrap/>
            <w:vAlign w:val="center"/>
          </w:tcPr>
          <w:p w14:paraId="1FB784E0">
            <w:pPr>
              <w:widowControl/>
              <w:jc w:val="center"/>
              <w:textAlignment w:val="center"/>
              <w:rPr>
                <w:rFonts w:ascii="宋体" w:hAnsi="宋体" w:eastAsia="宋体" w:cs="宋体"/>
                <w:kern w:val="0"/>
                <w:szCs w:val="21"/>
                <w:lang w:bidi="ar"/>
              </w:rPr>
            </w:pPr>
            <w:r>
              <w:rPr>
                <w:rFonts w:hint="eastAsia" w:ascii="宋体" w:hAnsi="宋体" w:eastAsia="宋体" w:cs="宋体"/>
                <w:color w:val="000000"/>
                <w:kern w:val="0"/>
                <w:sz w:val="22"/>
                <w:szCs w:val="22"/>
                <w:lang w:bidi="ar"/>
              </w:rPr>
              <w:t>紫外-可见光谱仪</w:t>
            </w:r>
          </w:p>
        </w:tc>
        <w:tc>
          <w:tcPr>
            <w:tcW w:w="780" w:type="dxa"/>
            <w:tcBorders>
              <w:top w:val="single" w:color="auto" w:sz="4" w:space="0"/>
              <w:left w:val="nil"/>
              <w:bottom w:val="single" w:color="auto" w:sz="4" w:space="0"/>
              <w:right w:val="single" w:color="auto" w:sz="4" w:space="0"/>
            </w:tcBorders>
            <w:noWrap/>
            <w:vAlign w:val="center"/>
          </w:tcPr>
          <w:p w14:paraId="51683B31">
            <w:pPr>
              <w:widowControl/>
              <w:jc w:val="center"/>
              <w:textAlignment w:val="center"/>
              <w:rPr>
                <w:rFonts w:ascii="Times New Roman" w:hAnsi="Times New Roman" w:eastAsia="宋体" w:cs="Times New Roman"/>
                <w:szCs w:val="21"/>
              </w:rPr>
            </w:pPr>
            <w:r>
              <w:rPr>
                <w:rFonts w:hint="eastAsia" w:ascii="Times New Roman" w:hAnsi="Times New Roman" w:eastAsia="宋体" w:cs="Times New Roman"/>
              </w:rPr>
              <w:t>1台</w:t>
            </w:r>
          </w:p>
        </w:tc>
        <w:tc>
          <w:tcPr>
            <w:tcW w:w="7277" w:type="dxa"/>
            <w:tcBorders>
              <w:top w:val="single" w:color="auto" w:sz="4" w:space="0"/>
              <w:left w:val="nil"/>
              <w:bottom w:val="single" w:color="auto" w:sz="4" w:space="0"/>
              <w:right w:val="single" w:color="auto" w:sz="4" w:space="0"/>
            </w:tcBorders>
            <w:noWrap/>
            <w:vAlign w:val="center"/>
          </w:tcPr>
          <w:p w14:paraId="1A9B0CCB">
            <w:pPr>
              <w:widowControl/>
              <w:numPr>
                <w:ilvl w:val="0"/>
                <w:numId w:val="3"/>
              </w:numPr>
              <w:spacing w:line="360" w:lineRule="auto"/>
              <w:jc w:val="left"/>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技术指标：</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1.▲波长范围：185-900nm</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 xml:space="preserve">2.▲波长准确度：±0.1nm（氘灯656.1nm） </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3.波长重复性：≤0.05nm（氘灯656.1nm）</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4.▲光谱带宽：六档可调</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5.▲杂散光：≤0.0001%T(NaI，220nm）</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 xml:space="preserve">             ≤0.0001%T（NaNO</w:t>
            </w:r>
            <w:r>
              <w:rPr>
                <w:rFonts w:hint="eastAsia" w:ascii="宋体" w:hAnsi="宋体" w:eastAsia="宋体" w:cs="宋体"/>
                <w:color w:val="000000"/>
                <w:kern w:val="0"/>
                <w:szCs w:val="21"/>
                <w:vertAlign w:val="subscript"/>
                <w:lang w:bidi="ar"/>
              </w:rPr>
              <w:t>2</w:t>
            </w:r>
            <w:r>
              <w:rPr>
                <w:rFonts w:hint="eastAsia" w:ascii="宋体" w:hAnsi="宋体" w:eastAsia="宋体" w:cs="宋体"/>
                <w:color w:val="000000"/>
                <w:kern w:val="0"/>
                <w:szCs w:val="21"/>
                <w:lang w:bidi="ar"/>
              </w:rPr>
              <w:t>，360nm)</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6.▲光度范围：-4.0A～4.0A</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7.光度准确度：±0.004A @2.0A</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 xml:space="preserve">                ±0.003A @1.0A</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 xml:space="preserve">                ±0.002A @0.5A</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 xml:space="preserve">               （NIST930D/NIST1930标准滤光片）</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 xml:space="preserve">                ±0.3%</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 xml:space="preserve">8.光度重复性：≤0.00016A@1.0A </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 xml:space="preserve">                ≤0.00008A@0.5A </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 xml:space="preserve">               （NIST930D标准滤光片,546.1nm，10次测量标准偏差）</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 xml:space="preserve">                ≤0.1%</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9.基线平直度（吸光度）：±0.0008A</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10.噪声：≤0.00005A (RMS)</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11.光源：内置氘灯、钨灯、汞灯，自动切换</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12.▲光学系统：混合C-T双单器系统</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13.检测器：R928光电倍增管</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14.▲百万分之一杂光、注塑外壳、网络化，无单机操作双单色器，双光束,PMT接收</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二、性能指标：</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超低杂散光-光度范围宽达-4.0Abs～4.0Abs：混合C-T双单器光学系统，采用特殊涂层高反射率光学器件，在保证光学系统高分辨率的同时，有效提高了系统光通量，实现仪器220nm杂散光指标优于0.0001%，340nm、360nm杂散光指标优于0.0001%。</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2.宽波长范围-实现深紫外区测量：仪器紫外光源选用高性能氘灯，检测器选用紫外增强高灵敏度光电倍增管，实现185nm～900nm的宽波长范围，在氮气吹扫时可实现185nm以下深紫外测量。</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3.自动光谱带宽扫描-测量数据更加精准：仪器采用立式三缝组合连续可变狭缝设计，可自动进行光谱带宽扫描，并识别样品分子共振吸收最强时的光谱带宽，从而确定最佳实验条件。</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4.开放式仪器应用平台-方便用户二次开发：仪器采用模块化设计，提供开放式光学平台及电器接口，方便科研人员根据工作需要进行二次开发。</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5.内置三种光源-方便用户进行波长校准：仪器除了提供高性能氘灯、长寿命钨灯两种工作光源外，还内置了波长校准光源，方便用户在需要时进行波长校准，保证测量数据的准确可靠。</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▲6.高效空气阻隔光学系统-充分保障仪器使用寿命：</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 xml:space="preserve">   仪器光学系统采用全密封结构设计，实现了与外界环境的高效隔离，防止光学器件因灰尘和腐蚀性气体侵入所导致的性能下降，充分保障仪器使用寿命。</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7.具有分析助手软件：可实现光度测量、定量测量、三维光谱扫描、时间扫描、最佳测量光谱带宽自动分析</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▲8.具有附件自动识别功能：无需用户设置配置的附件，使用简单便捷。</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9.可配套连接和主机同厂的X、Y、Z轴三维直角坐标式紫外自动进样器，可实现主机和自动进样器之间的反控，代替手动操作，批量样品处理，辅助主机实现自动化测试，并通过紫外可见分光光度计的软件能直接反控自动进样器。一体化取样针设计及清洗液在线更新功能，保证清洗充分，避免交叉污染，降低测量误差。有3个独立的样品区，提供2种不同的样品盘支架，可任意组合使用，最大可支持54个样品连续,样品盘可以任意更换；操作软件简单实用，方便用户灵活自定义检测方法并保存。</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三、配置清单：</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1.双光束紫外可见分光光度计 1台</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2.石英比色皿 1对</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3.紫外仪器控制软件 1套</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4.必备工具1套</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5.控制终端1套</w:t>
            </w:r>
          </w:p>
          <w:p w14:paraId="3BB6A40E">
            <w:pPr>
              <w:widowControl/>
              <w:spacing w:line="360" w:lineRule="auto"/>
              <w:jc w:val="left"/>
              <w:textAlignment w:val="center"/>
              <w:rPr>
                <w:rFonts w:hint="eastAsia" w:ascii="宋体" w:hAnsi="宋体" w:eastAsia="宋体" w:cs="宋体"/>
                <w:color w:val="000000"/>
                <w:kern w:val="0"/>
                <w:szCs w:val="21"/>
                <w:lang w:bidi="ar"/>
              </w:rPr>
            </w:pPr>
            <w:r>
              <w:rPr>
                <w:rFonts w:hint="eastAsia" w:ascii="Times New Roman" w:hAnsi="Times New Roman" w:eastAsia="宋体" w:cs="Times New Roman"/>
              </w:rPr>
              <w:t>6.镉离子印迹1套</w:t>
            </w:r>
          </w:p>
        </w:tc>
      </w:tr>
      <w:tr w14:paraId="79583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67D45CF3">
            <w:pPr>
              <w:spacing w:line="360" w:lineRule="auto"/>
              <w:jc w:val="center"/>
              <w:rPr>
                <w:rFonts w:hint="eastAsia" w:ascii="宋体" w:hAnsi="宋体" w:eastAsia="宋体" w:cs="Times New Roman"/>
                <w:szCs w:val="21"/>
              </w:rPr>
            </w:pPr>
            <w:r>
              <w:rPr>
                <w:rFonts w:hint="eastAsia" w:ascii="宋体" w:hAnsi="宋体" w:eastAsia="宋体" w:cs="Times New Roman"/>
                <w:szCs w:val="21"/>
              </w:rPr>
              <w:t>8</w:t>
            </w:r>
          </w:p>
        </w:tc>
        <w:tc>
          <w:tcPr>
            <w:tcW w:w="1090" w:type="dxa"/>
            <w:tcBorders>
              <w:top w:val="single" w:color="auto" w:sz="4" w:space="0"/>
              <w:left w:val="nil"/>
              <w:bottom w:val="single" w:color="auto" w:sz="4" w:space="0"/>
              <w:right w:val="single" w:color="auto" w:sz="4" w:space="0"/>
            </w:tcBorders>
            <w:noWrap/>
            <w:vAlign w:val="center"/>
          </w:tcPr>
          <w:p w14:paraId="630F0D8B">
            <w:pPr>
              <w:widowControl/>
              <w:jc w:val="center"/>
              <w:textAlignment w:val="center"/>
              <w:rPr>
                <w:rFonts w:ascii="宋体" w:hAnsi="宋体" w:eastAsia="宋体" w:cs="宋体"/>
                <w:kern w:val="0"/>
                <w:szCs w:val="21"/>
                <w:lang w:bidi="ar"/>
              </w:rPr>
            </w:pPr>
            <w:r>
              <w:rPr>
                <w:rFonts w:hint="eastAsia" w:ascii="宋体" w:hAnsi="宋体" w:eastAsia="宋体" w:cs="宋体"/>
                <w:color w:val="000000"/>
                <w:kern w:val="0"/>
                <w:sz w:val="22"/>
                <w:szCs w:val="22"/>
                <w:lang w:bidi="ar"/>
              </w:rPr>
              <w:t>水分测定仪</w:t>
            </w:r>
          </w:p>
        </w:tc>
        <w:tc>
          <w:tcPr>
            <w:tcW w:w="780" w:type="dxa"/>
            <w:tcBorders>
              <w:top w:val="single" w:color="auto" w:sz="4" w:space="0"/>
              <w:left w:val="nil"/>
              <w:bottom w:val="single" w:color="auto" w:sz="4" w:space="0"/>
              <w:right w:val="single" w:color="auto" w:sz="4" w:space="0"/>
            </w:tcBorders>
            <w:noWrap/>
            <w:vAlign w:val="center"/>
          </w:tcPr>
          <w:p w14:paraId="5516E1A6">
            <w:pPr>
              <w:widowControl/>
              <w:jc w:val="center"/>
              <w:textAlignment w:val="center"/>
              <w:rPr>
                <w:rFonts w:ascii="Times New Roman" w:hAnsi="Times New Roman" w:eastAsia="宋体" w:cs="Times New Roman"/>
                <w:szCs w:val="21"/>
              </w:rPr>
            </w:pPr>
            <w:r>
              <w:rPr>
                <w:rFonts w:hint="eastAsia" w:ascii="Times New Roman" w:hAnsi="Times New Roman" w:eastAsia="宋体" w:cs="Times New Roman"/>
              </w:rPr>
              <w:t>1台</w:t>
            </w:r>
          </w:p>
        </w:tc>
        <w:tc>
          <w:tcPr>
            <w:tcW w:w="7277" w:type="dxa"/>
            <w:tcBorders>
              <w:top w:val="single" w:color="auto" w:sz="4" w:space="0"/>
              <w:left w:val="nil"/>
              <w:bottom w:val="single" w:color="auto" w:sz="4" w:space="0"/>
              <w:right w:val="single" w:color="auto" w:sz="4" w:space="0"/>
            </w:tcBorders>
            <w:noWrap/>
            <w:vAlign w:val="center"/>
          </w:tcPr>
          <w:p w14:paraId="7925251D">
            <w:pPr>
              <w:widowControl/>
              <w:spacing w:line="360" w:lineRule="auto"/>
              <w:jc w:val="left"/>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1.水分测量范围：0.093ugH</w:t>
            </w:r>
            <w:r>
              <w:rPr>
                <w:rFonts w:hint="eastAsia" w:ascii="宋体" w:hAnsi="宋体" w:eastAsia="宋体" w:cs="宋体"/>
                <w:color w:val="000000"/>
                <w:kern w:val="0"/>
                <w:szCs w:val="21"/>
                <w:vertAlign w:val="subscript"/>
                <w:lang w:bidi="ar"/>
              </w:rPr>
              <w:t>2</w:t>
            </w:r>
            <w:r>
              <w:rPr>
                <w:rFonts w:hint="eastAsia" w:ascii="宋体" w:hAnsi="宋体" w:eastAsia="宋体" w:cs="宋体"/>
                <w:color w:val="000000"/>
                <w:kern w:val="0"/>
                <w:szCs w:val="21"/>
                <w:lang w:bidi="ar"/>
              </w:rPr>
              <w:t>O~200mgH</w:t>
            </w:r>
            <w:r>
              <w:rPr>
                <w:rFonts w:hint="eastAsia" w:ascii="宋体" w:hAnsi="宋体" w:eastAsia="宋体" w:cs="宋体"/>
                <w:color w:val="000000"/>
                <w:kern w:val="0"/>
                <w:szCs w:val="21"/>
                <w:vertAlign w:val="subscript"/>
                <w:lang w:bidi="ar"/>
              </w:rPr>
              <w:t>2</w:t>
            </w:r>
            <w:r>
              <w:rPr>
                <w:rFonts w:hint="eastAsia" w:ascii="宋体" w:hAnsi="宋体" w:eastAsia="宋体" w:cs="宋体"/>
                <w:color w:val="000000"/>
                <w:kern w:val="0"/>
                <w:szCs w:val="21"/>
                <w:lang w:bidi="ar"/>
              </w:rPr>
              <w:t>O/0.0001%~100%</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推荐测试范围：10μgH</w:t>
            </w:r>
            <w:r>
              <w:rPr>
                <w:rFonts w:hint="eastAsia" w:ascii="宋体" w:hAnsi="宋体" w:eastAsia="宋体" w:cs="宋体"/>
                <w:color w:val="000000"/>
                <w:kern w:val="0"/>
                <w:szCs w:val="21"/>
                <w:vertAlign w:val="subscript"/>
                <w:lang w:bidi="ar"/>
              </w:rPr>
              <w:t>2</w:t>
            </w:r>
            <w:r>
              <w:rPr>
                <w:rFonts w:hint="eastAsia" w:ascii="宋体" w:hAnsi="宋体" w:eastAsia="宋体" w:cs="宋体"/>
                <w:color w:val="000000"/>
                <w:kern w:val="0"/>
                <w:szCs w:val="21"/>
                <w:lang w:bidi="ar"/>
              </w:rPr>
              <w:t>O~200mgH</w:t>
            </w:r>
            <w:r>
              <w:rPr>
                <w:rFonts w:hint="eastAsia" w:ascii="宋体" w:hAnsi="宋体" w:eastAsia="宋体" w:cs="宋体"/>
                <w:color w:val="000000"/>
                <w:kern w:val="0"/>
                <w:szCs w:val="21"/>
                <w:vertAlign w:val="subscript"/>
                <w:lang w:bidi="ar"/>
              </w:rPr>
              <w:t>2</w:t>
            </w:r>
            <w:r>
              <w:rPr>
                <w:rFonts w:hint="eastAsia" w:ascii="宋体" w:hAnsi="宋体" w:eastAsia="宋体" w:cs="宋体"/>
                <w:color w:val="000000"/>
                <w:kern w:val="0"/>
                <w:szCs w:val="21"/>
                <w:lang w:bidi="ar"/>
              </w:rPr>
              <w:t>O</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溴价溴指数参数：</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溴价：0～300gBr/100g 准确度：±3％±0.2gBr</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溴指数：0～1000mgBr/100g 准确度：±3％±0.2mgBr</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测量精度：0.01mgBr，检测下限：0.1mgBr</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2.极化电流:极化电流范围1~24μA；极化电流分辨率 0.01μA；极化电流误差范围 0.05μA</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3.电压量程 0-1999mV；电压分辨率 0.1mV；电压误差范围 ±0.2mV</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4.发生电极电解电流：1mA、2mA、5mA、10mA、20mA、50mA、100mA、200mA、400mA</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5.最大电解速率：37.34μgH</w:t>
            </w:r>
            <w:r>
              <w:rPr>
                <w:rFonts w:hint="eastAsia" w:ascii="宋体" w:hAnsi="宋体" w:eastAsia="宋体" w:cs="宋体"/>
                <w:color w:val="000000"/>
                <w:kern w:val="0"/>
                <w:szCs w:val="21"/>
                <w:vertAlign w:val="subscript"/>
                <w:lang w:bidi="ar"/>
              </w:rPr>
              <w:t>2</w:t>
            </w:r>
            <w:r>
              <w:rPr>
                <w:rFonts w:hint="eastAsia" w:ascii="宋体" w:hAnsi="宋体" w:eastAsia="宋体" w:cs="宋体"/>
                <w:color w:val="000000"/>
                <w:kern w:val="0"/>
                <w:szCs w:val="21"/>
                <w:lang w:bidi="ar"/>
              </w:rPr>
              <w:t>O/s(2240μgH</w:t>
            </w:r>
            <w:r>
              <w:rPr>
                <w:rFonts w:hint="eastAsia" w:ascii="宋体" w:hAnsi="宋体" w:eastAsia="宋体" w:cs="宋体"/>
                <w:color w:val="000000"/>
                <w:kern w:val="0"/>
                <w:szCs w:val="21"/>
                <w:vertAlign w:val="subscript"/>
                <w:lang w:bidi="ar"/>
              </w:rPr>
              <w:t>2</w:t>
            </w:r>
            <w:r>
              <w:rPr>
                <w:rFonts w:hint="eastAsia" w:ascii="宋体" w:hAnsi="宋体" w:eastAsia="宋体" w:cs="宋体"/>
                <w:color w:val="000000"/>
                <w:kern w:val="0"/>
                <w:szCs w:val="21"/>
                <w:lang w:bidi="ar"/>
              </w:rPr>
              <w:t>O/min)</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6.测量精度：≤0.2%</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7.测试分辨率：0.1μgH</w:t>
            </w:r>
            <w:r>
              <w:rPr>
                <w:rFonts w:hint="eastAsia" w:ascii="宋体" w:hAnsi="宋体" w:eastAsia="宋体" w:cs="宋体"/>
                <w:color w:val="000000"/>
                <w:kern w:val="0"/>
                <w:szCs w:val="21"/>
                <w:vertAlign w:val="subscript"/>
                <w:lang w:bidi="ar"/>
              </w:rPr>
              <w:t>2</w:t>
            </w:r>
            <w:r>
              <w:rPr>
                <w:rFonts w:hint="eastAsia" w:ascii="宋体" w:hAnsi="宋体" w:eastAsia="宋体" w:cs="宋体"/>
                <w:color w:val="000000"/>
                <w:kern w:val="0"/>
                <w:szCs w:val="21"/>
                <w:lang w:bidi="ar"/>
              </w:rPr>
              <w:t>O（0.093μgH</w:t>
            </w:r>
            <w:r>
              <w:rPr>
                <w:rFonts w:hint="eastAsia" w:ascii="宋体" w:hAnsi="宋体" w:eastAsia="宋体" w:cs="宋体"/>
                <w:color w:val="000000"/>
                <w:kern w:val="0"/>
                <w:szCs w:val="21"/>
                <w:vertAlign w:val="subscript"/>
                <w:lang w:bidi="ar"/>
              </w:rPr>
              <w:t>2</w:t>
            </w:r>
            <w:r>
              <w:rPr>
                <w:rFonts w:hint="eastAsia" w:ascii="宋体" w:hAnsi="宋体" w:eastAsia="宋体" w:cs="宋体"/>
                <w:color w:val="000000"/>
                <w:kern w:val="0"/>
                <w:szCs w:val="21"/>
                <w:lang w:bidi="ar"/>
              </w:rPr>
              <w:t>O）；显示分辨率：0.001ugH</w:t>
            </w:r>
            <w:r>
              <w:rPr>
                <w:rFonts w:hint="eastAsia" w:ascii="宋体" w:hAnsi="宋体" w:eastAsia="宋体" w:cs="宋体"/>
                <w:color w:val="000000"/>
                <w:kern w:val="0"/>
                <w:szCs w:val="21"/>
                <w:vertAlign w:val="subscript"/>
                <w:lang w:bidi="ar"/>
              </w:rPr>
              <w:t>2</w:t>
            </w:r>
            <w:r>
              <w:rPr>
                <w:rFonts w:hint="eastAsia" w:ascii="宋体" w:hAnsi="宋体" w:eastAsia="宋体" w:cs="宋体"/>
                <w:color w:val="000000"/>
                <w:kern w:val="0"/>
                <w:szCs w:val="21"/>
                <w:lang w:bidi="ar"/>
              </w:rPr>
              <w:t>O</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8.数据储存：存储空间 8G，可导出格式 Excel、PDF，具备数据检索功能，可快速查阅历史数据。</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9.结果单位显示：mg、%、ppm、mL、mg/mL、mg/g、mg/L、mg/kg 等</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10.具备废液防溢装置，防止废液瓶满后溢出</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11.200mL样品池，具备密闭安全的试剂管理系统，无需打开滴定杯即可实现试剂的自动更换，防止空气中的水分进入反应杯，更换试剂后平衡时间更短，减少操作人员与有毒试剂的接触。</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12.预设多个分析方法，空白值、水分、溴指数等一键即可快速开始测定。</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13.无需手动启动水分测定，样品加入后，设备可自动感应样品，开始测定。</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14.磁力搅拌器，支持手动、自动搅拌。</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15.具备开机向导及软件内置说明书。</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16.插板式试剂瓶防倒架，可自由组合兼容250mL、500mL、1000mL试剂瓶，瓶口径规格GL45。</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17.10寸TFT触摸屏</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18.审计追踪：所有对仪器进行的有效操作在后台都有记录。</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19.权限管理：4级，超级管理员、主管、操作员、IT；可在创建账户时二次勾选可赋予的操作权限</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20.具备密码有效期功能，到达设定时间强制修改密码、具备电子签名功能。</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21.具备相对漂移停止、绝对漂移停止、延时判断、最大时间停止四种判断逻辑</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22.具备屏保功能，可设定时间锁定屏幕，锁定屏幕时仪器后台仍可工作。</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23.通讯接口：Wi-Fi、USB、RS232、BNC</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24.质保:质量保证期三年,终身维修;</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卡氏样品加热器</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1.4寸彩色TFT 触摸屏独立控制</w:t>
            </w:r>
          </w:p>
          <w:p w14:paraId="2FF2ED1B">
            <w:pPr>
              <w:widowControl/>
              <w:spacing w:line="360" w:lineRule="auto"/>
              <w:jc w:val="left"/>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2.可适配全自动水分滴定仪和卡氏水分测定仪</w:t>
            </w:r>
          </w:p>
          <w:p w14:paraId="3E0DFB2F">
            <w:pPr>
              <w:widowControl/>
              <w:spacing w:line="360" w:lineRule="auto"/>
              <w:jc w:val="left"/>
              <w:textAlignment w:val="center"/>
              <w:rPr>
                <w:rFonts w:ascii="宋体" w:hAnsi="宋体" w:eastAsia="宋体" w:cs="宋体"/>
                <w:kern w:val="0"/>
                <w:szCs w:val="21"/>
                <w:lang w:bidi="ar"/>
              </w:rPr>
            </w:pPr>
            <w:r>
              <w:rPr>
                <w:rFonts w:hint="eastAsia" w:ascii="宋体" w:hAnsi="宋体" w:eastAsia="宋体" w:cs="宋体"/>
                <w:color w:val="000000"/>
                <w:kern w:val="0"/>
                <w:szCs w:val="21"/>
                <w:lang w:bidi="ar"/>
              </w:rPr>
              <w:t>3.可兼容10mL/20mL、钳口/ 螺纹口顶空瓶</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4.连通管路具备保温功能，防止气体提前冷凝</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5.具备5梯度升温功能</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6.温度范围：50-300℃，精度±3℃，分辨率0.1℃、稳定性（30分钟内）±0.5℃</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7.升温速率：15℃/min（50-200℃），5℃/min（200℃以上）</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8.内置空气泵，也可连接钢瓶气体</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9.气体流速范围：0-200mL/min，精度±10mL/min</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10.质保:质量保证期一年,终身维修;</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配置：</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1.库仑水分测定仪主机 1套</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2.磁力搅拌单元 1套</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3.卡式样品加热器</w:t>
            </w:r>
            <w:r>
              <w:rPr>
                <w:rFonts w:hint="eastAsia" w:ascii="宋体" w:hAnsi="宋体" w:eastAsia="宋体" w:cs="宋体"/>
                <w:color w:val="000000"/>
                <w:kern w:val="0"/>
                <w:szCs w:val="21"/>
                <w:lang w:val="en-US" w:eastAsia="zh-CN" w:bidi="ar"/>
              </w:rPr>
              <w:t>1套</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4.库伦水分测定杯模组 1套</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5.有隔膜发生电极 1套</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6.双铂电极 1套</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7.试剂瓶架 1套</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8.干燥管 4个</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9.10mL螺纹口测试瓶100个</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10.10mL螺纹口测试瓶盖 (含隔垫) 100个</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11.干燥瓶及管路 2套</w:t>
            </w:r>
          </w:p>
        </w:tc>
      </w:tr>
      <w:tr w14:paraId="1B318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0C2F08B2">
            <w:pPr>
              <w:spacing w:line="360" w:lineRule="auto"/>
              <w:jc w:val="center"/>
              <w:rPr>
                <w:rFonts w:hint="eastAsia" w:ascii="宋体" w:hAnsi="宋体" w:eastAsia="宋体" w:cs="Times New Roman"/>
                <w:szCs w:val="21"/>
              </w:rPr>
            </w:pPr>
            <w:r>
              <w:rPr>
                <w:rFonts w:hint="eastAsia" w:ascii="宋体" w:hAnsi="宋体" w:eastAsia="宋体" w:cs="Times New Roman"/>
                <w:szCs w:val="21"/>
              </w:rPr>
              <w:t>9</w:t>
            </w:r>
          </w:p>
        </w:tc>
        <w:tc>
          <w:tcPr>
            <w:tcW w:w="1090" w:type="dxa"/>
            <w:tcBorders>
              <w:top w:val="single" w:color="auto" w:sz="4" w:space="0"/>
              <w:left w:val="nil"/>
              <w:bottom w:val="single" w:color="auto" w:sz="4" w:space="0"/>
              <w:right w:val="single" w:color="auto" w:sz="4" w:space="0"/>
            </w:tcBorders>
            <w:noWrap/>
            <w:vAlign w:val="center"/>
          </w:tcPr>
          <w:p w14:paraId="32B8A432">
            <w:pPr>
              <w:widowControl/>
              <w:jc w:val="center"/>
              <w:textAlignment w:val="center"/>
              <w:rPr>
                <w:rFonts w:ascii="宋体" w:hAnsi="宋体" w:eastAsia="宋体" w:cs="宋体"/>
                <w:kern w:val="0"/>
                <w:szCs w:val="21"/>
                <w:lang w:bidi="ar"/>
              </w:rPr>
            </w:pPr>
            <w:r>
              <w:rPr>
                <w:rFonts w:hint="eastAsia" w:ascii="宋体" w:hAnsi="宋体" w:eastAsia="宋体" w:cs="宋体"/>
                <w:color w:val="000000"/>
                <w:kern w:val="0"/>
                <w:sz w:val="22"/>
                <w:szCs w:val="22"/>
                <w:lang w:bidi="ar"/>
              </w:rPr>
              <w:t>闪点仪</w:t>
            </w:r>
          </w:p>
        </w:tc>
        <w:tc>
          <w:tcPr>
            <w:tcW w:w="780" w:type="dxa"/>
            <w:tcBorders>
              <w:top w:val="single" w:color="auto" w:sz="4" w:space="0"/>
              <w:left w:val="nil"/>
              <w:bottom w:val="single" w:color="auto" w:sz="4" w:space="0"/>
              <w:right w:val="single" w:color="auto" w:sz="4" w:space="0"/>
            </w:tcBorders>
            <w:noWrap/>
            <w:vAlign w:val="center"/>
          </w:tcPr>
          <w:p w14:paraId="6761F469">
            <w:pPr>
              <w:widowControl/>
              <w:jc w:val="center"/>
              <w:textAlignment w:val="center"/>
              <w:rPr>
                <w:rFonts w:ascii="Times New Roman" w:hAnsi="Times New Roman" w:eastAsia="宋体" w:cs="Times New Roman"/>
                <w:szCs w:val="21"/>
              </w:rPr>
            </w:pPr>
            <w:r>
              <w:rPr>
                <w:rFonts w:hint="eastAsia" w:ascii="Times New Roman" w:hAnsi="Times New Roman" w:eastAsia="宋体" w:cs="Times New Roman"/>
              </w:rPr>
              <w:t>1台</w:t>
            </w:r>
          </w:p>
        </w:tc>
        <w:tc>
          <w:tcPr>
            <w:tcW w:w="7277" w:type="dxa"/>
            <w:tcBorders>
              <w:top w:val="single" w:color="auto" w:sz="4" w:space="0"/>
              <w:left w:val="nil"/>
              <w:bottom w:val="single" w:color="auto" w:sz="4" w:space="0"/>
              <w:right w:val="single" w:color="auto" w:sz="4" w:space="0"/>
            </w:tcBorders>
            <w:noWrap/>
            <w:vAlign w:val="center"/>
          </w:tcPr>
          <w:p w14:paraId="32E606E2">
            <w:pPr>
              <w:widowControl/>
              <w:spacing w:line="360" w:lineRule="auto"/>
              <w:jc w:val="left"/>
              <w:textAlignment w:val="center"/>
              <w:rPr>
                <w:rFonts w:ascii="宋体" w:hAnsi="宋体" w:eastAsia="宋体" w:cs="宋体"/>
                <w:kern w:val="0"/>
                <w:szCs w:val="21"/>
                <w:lang w:bidi="ar"/>
              </w:rPr>
            </w:pPr>
            <w:r>
              <w:rPr>
                <w:rFonts w:hint="eastAsia" w:ascii="宋体" w:hAnsi="宋体" w:eastAsia="宋体" w:cs="宋体"/>
                <w:color w:val="000000"/>
                <w:kern w:val="0"/>
                <w:szCs w:val="21"/>
                <w:lang w:bidi="ar"/>
              </w:rPr>
              <w:t>一、技术性能要求：</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1.依据GB/T3536 、ASTM D92标准要求设计制造，并具有燃点测试功能。仪器自动化程度高，能自动升降、自动控温、自动点火、自动测量、智能火苗保持、自动强制冷却。</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2.采用8英寸及以上彩色液晶触摸屏显示，可预设温度、试样名称、延后温度等参数；</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3.仪器能模拟跟踪显示温度与试验时间的函数曲线，并具有中文误操作软件提示修改功能；</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4.仪器自带大气压强传感器自动校正大气压强对试验结果的影响；</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▲5.采用集成了气点火头、电点火头、火苗保持传感器为一体的三合一点火头，电点火或气点火由软件控制自由切换，无需更换任何硬件，并具有能检测到火苗熄灭后自动引燃的功能；</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6.实验完成后强制冷却系统能快速为加热系统降温，10分钟内可进行下一次测试；</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二、技术参数要求：</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1.测量范围：室温～400℃</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2.分辨率：0.1℃</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 xml:space="preserve">3.重复性：≤4℃      </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4.再现性：≤8℃</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5.升温速度：符合GB/T3536、ASTM D92标准；</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6.炉膛冷却：强制风冷；</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7.点火方式：气电一体点火头，软件控制自由切换</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▲8.火苗保持：智能检测、自动引燃</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9.整机功率：不大于400W</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10.电源： AC 220V±10%， 50Hz±10%</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三、配置要求：</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1.仪器主机1台；</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2.油杯1个；</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3.点火枪1把；</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4.电源线1根</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5.卡箍2个；</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6.PU管6米；</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7.变径接头1个</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8.小型瓦斯气及连接管路1套</w:t>
            </w:r>
          </w:p>
        </w:tc>
      </w:tr>
      <w:tr w14:paraId="0E8BD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551C13C6">
            <w:pPr>
              <w:spacing w:line="360" w:lineRule="auto"/>
              <w:jc w:val="center"/>
              <w:rPr>
                <w:rFonts w:ascii="宋体" w:hAnsi="宋体" w:eastAsia="宋体" w:cs="Times New Roman"/>
                <w:szCs w:val="21"/>
              </w:rPr>
            </w:pPr>
            <w:r>
              <w:rPr>
                <w:rFonts w:hint="eastAsia" w:ascii="宋体" w:hAnsi="宋体" w:eastAsia="宋体" w:cs="Times New Roman"/>
                <w:szCs w:val="21"/>
              </w:rPr>
              <w:t>10</w:t>
            </w:r>
          </w:p>
        </w:tc>
        <w:tc>
          <w:tcPr>
            <w:tcW w:w="1090" w:type="dxa"/>
            <w:tcBorders>
              <w:top w:val="single" w:color="auto" w:sz="4" w:space="0"/>
              <w:left w:val="nil"/>
              <w:bottom w:val="single" w:color="auto" w:sz="4" w:space="0"/>
              <w:right w:val="single" w:color="auto" w:sz="4" w:space="0"/>
            </w:tcBorders>
            <w:noWrap/>
            <w:vAlign w:val="center"/>
          </w:tcPr>
          <w:p w14:paraId="7F1D58DE">
            <w:pPr>
              <w:widowControl/>
              <w:jc w:val="center"/>
              <w:textAlignment w:val="center"/>
              <w:rPr>
                <w:rFonts w:ascii="宋体" w:hAnsi="宋体" w:eastAsia="宋体" w:cs="宋体"/>
                <w:kern w:val="0"/>
                <w:szCs w:val="21"/>
                <w:lang w:bidi="ar"/>
              </w:rPr>
            </w:pPr>
            <w:r>
              <w:rPr>
                <w:rFonts w:hint="eastAsia" w:ascii="宋体" w:hAnsi="宋体" w:eastAsia="宋体" w:cs="宋体"/>
                <w:color w:val="000000"/>
                <w:kern w:val="0"/>
                <w:sz w:val="22"/>
                <w:szCs w:val="22"/>
                <w:lang w:bidi="ar"/>
              </w:rPr>
              <w:t>全自动 pH 值测试系统</w:t>
            </w:r>
          </w:p>
        </w:tc>
        <w:tc>
          <w:tcPr>
            <w:tcW w:w="780" w:type="dxa"/>
            <w:tcBorders>
              <w:top w:val="single" w:color="auto" w:sz="4" w:space="0"/>
              <w:left w:val="nil"/>
              <w:bottom w:val="single" w:color="auto" w:sz="4" w:space="0"/>
              <w:right w:val="single" w:color="auto" w:sz="4" w:space="0"/>
            </w:tcBorders>
            <w:noWrap/>
            <w:vAlign w:val="center"/>
          </w:tcPr>
          <w:p w14:paraId="56496A87">
            <w:pPr>
              <w:widowControl/>
              <w:jc w:val="center"/>
              <w:textAlignment w:val="center"/>
              <w:rPr>
                <w:rFonts w:ascii="Times New Roman" w:hAnsi="Times New Roman" w:eastAsia="宋体" w:cs="Times New Roman"/>
                <w:szCs w:val="21"/>
              </w:rPr>
            </w:pPr>
            <w:r>
              <w:rPr>
                <w:rFonts w:hint="eastAsia" w:ascii="Times New Roman" w:hAnsi="Times New Roman" w:eastAsia="宋体" w:cs="Times New Roman"/>
                <w:szCs w:val="21"/>
              </w:rPr>
              <w:t>1套</w:t>
            </w:r>
          </w:p>
        </w:tc>
        <w:tc>
          <w:tcPr>
            <w:tcW w:w="7277" w:type="dxa"/>
            <w:tcBorders>
              <w:top w:val="single" w:color="auto" w:sz="4" w:space="0"/>
              <w:left w:val="nil"/>
              <w:bottom w:val="single" w:color="auto" w:sz="4" w:space="0"/>
              <w:right w:val="single" w:color="auto" w:sz="4" w:space="0"/>
            </w:tcBorders>
            <w:noWrap/>
            <w:vAlign w:val="center"/>
          </w:tcPr>
          <w:p w14:paraId="5680F178">
            <w:pPr>
              <w:widowControl/>
              <w:spacing w:line="360" w:lineRule="auto"/>
              <w:jc w:val="left"/>
              <w:textAlignment w:val="center"/>
              <w:rPr>
                <w:rFonts w:ascii="宋体" w:hAnsi="宋体" w:eastAsia="宋体" w:cs="宋体"/>
                <w:kern w:val="0"/>
                <w:szCs w:val="21"/>
                <w:lang w:bidi="ar"/>
              </w:rPr>
            </w:pPr>
            <w:r>
              <w:rPr>
                <w:rFonts w:hint="eastAsia" w:ascii="宋体" w:hAnsi="宋体" w:eastAsia="宋体" w:cs="宋体"/>
                <w:color w:val="000000"/>
                <w:kern w:val="0"/>
                <w:szCs w:val="21"/>
                <w:lang w:bidi="ar"/>
              </w:rPr>
              <w:t>（一）适用标准：</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GB/T 7573-2009，GB/T 7573-2025，QB/T 2724-2018</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（二）技术指标：</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▲1.测试位数：≥80位</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2.并行电极：至少配置4个电极并行测试（配备中优质电极）；</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3.振荡区数：至少设置3个独立振荡区，并且振荡速度可调；</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4.电极清洗：360°可清洗；</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5.电极干燥：空气风干；</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6.清洗干燥模式：原位清洗干燥或指定区域清洗干燥 ；</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▲7.测试模式：可选择双平行样、三平行样等模式，自动计算结果。一轮可进行多组双平行样或多组三平行样或部分/全部单样测试，每组测完之后清洗电极；</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8.电极测试pH过程，可选择测试瓶是否震荡；</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9.测试效率：每批次所有子样应在3-4小时之内完成，包含所有程序如校准、加液、震荡等；</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10.测试精度：（pH值：±0.01pH，mV：±1mV，温度：±0.3℃）；平行样品之间测试差异≤0.2个pH单位；</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11.自动校正、自动识别缓冲液，自动终点锁定，自动温度补偿，电极状态显示，随时提醒电极使用情况；</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12.加液精度：±0.5ml；</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13.校准：5点，线性/分段，4组预定义缓冲液组；</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14.占地长度≤2.5米，占地宽度≤1.5米；</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15.pH值测量范围：pH：0-14.00，mV：-2000-2000 mV，温度：-5°C-105°C；</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▲16.软件原始记录模板可自定义编辑保存（数据及报表输出，报表格式、统计方式可根据用户要求更改制作，以及数据的保存以及方便后续能调出数据）；</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17.可采用序列模式进行测试，输入样品编号后，检测结果可自动填入对应的样品位置并保存。</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（三）基本配置硬件：</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1.整机1套，包含pH测试仪新型号电极套（配备中优质电极）；</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2.250ml测试瓶（含盖）≥200个；</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3.配套的静音空压机（运行噪音低≤65dB）1台；</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4.进液桶1套（≥40L）；</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5.专用数据处理及输出设备1台（套），配备多个USB接口及串口，可稳定连接仪器及其他外设；</w:t>
            </w:r>
            <w:r>
              <w:rPr>
                <w:rFonts w:hint="eastAsia" w:ascii="宋体" w:hAnsi="宋体" w:eastAsia="宋体" w:cs="宋体"/>
                <w:color w:val="000000"/>
                <w:kern w:val="0"/>
                <w:szCs w:val="21"/>
                <w:highlight w:val="yellow"/>
                <w:lang w:bidi="ar"/>
              </w:rPr>
              <w:br w:type="textWrapping"/>
            </w:r>
            <w:r>
              <w:rPr>
                <w:rFonts w:hint="eastAsia" w:ascii="宋体" w:hAnsi="宋体" w:eastAsia="宋体" w:cs="宋体"/>
                <w:color w:val="000000"/>
                <w:kern w:val="0"/>
                <w:szCs w:val="21"/>
                <w:lang w:bidi="ar"/>
              </w:rPr>
              <w:t>6.免费更换与设备匹配的新型电极2次；</w:t>
            </w:r>
            <w:r>
              <w:rPr>
                <w:rFonts w:hint="eastAsia" w:ascii="宋体" w:hAnsi="宋体" w:eastAsia="宋体" w:cs="宋体"/>
                <w:color w:val="000000"/>
                <w:kern w:val="0"/>
                <w:szCs w:val="21"/>
                <w:highlight w:val="yellow"/>
                <w:lang w:bidi="ar"/>
              </w:rPr>
              <w:br w:type="textWrapping"/>
            </w:r>
            <w:r>
              <w:rPr>
                <w:rFonts w:hint="eastAsia" w:ascii="宋体" w:hAnsi="宋体" w:eastAsia="宋体" w:cs="宋体"/>
                <w:color w:val="000000"/>
                <w:kern w:val="0"/>
                <w:szCs w:val="21"/>
                <w:lang w:bidi="ar"/>
              </w:rPr>
              <w:t>7.校准缓冲液配送250ml≥8套，根据需求提供；</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（四）其他要求：</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1.免费安装、调试设备，系统软件免费更新升级，提供免费的操作及维护培训；</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2.保修期至少1年，保修期后提供终身维修并自带第三方校准/检定证书；</w:t>
            </w:r>
          </w:p>
        </w:tc>
      </w:tr>
      <w:tr w14:paraId="29C7E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3E2E0F05">
            <w:pPr>
              <w:spacing w:line="360" w:lineRule="auto"/>
              <w:jc w:val="center"/>
              <w:rPr>
                <w:rFonts w:ascii="宋体" w:hAnsi="宋体" w:eastAsia="宋体" w:cs="Times New Roman"/>
                <w:szCs w:val="21"/>
              </w:rPr>
            </w:pPr>
            <w:r>
              <w:rPr>
                <w:rFonts w:hint="eastAsia" w:ascii="宋体" w:hAnsi="宋体" w:eastAsia="宋体" w:cs="Times New Roman"/>
                <w:szCs w:val="21"/>
              </w:rPr>
              <w:t>11</w:t>
            </w:r>
          </w:p>
        </w:tc>
        <w:tc>
          <w:tcPr>
            <w:tcW w:w="1090" w:type="dxa"/>
            <w:tcBorders>
              <w:top w:val="single" w:color="auto" w:sz="4" w:space="0"/>
              <w:left w:val="nil"/>
              <w:bottom w:val="single" w:color="auto" w:sz="4" w:space="0"/>
              <w:right w:val="single" w:color="auto" w:sz="4" w:space="0"/>
            </w:tcBorders>
            <w:noWrap/>
            <w:vAlign w:val="center"/>
          </w:tcPr>
          <w:p w14:paraId="028C6E15">
            <w:pPr>
              <w:widowControl/>
              <w:jc w:val="center"/>
              <w:textAlignment w:val="center"/>
              <w:rPr>
                <w:rFonts w:ascii="宋体" w:hAnsi="宋体" w:eastAsia="宋体" w:cs="宋体"/>
                <w:kern w:val="0"/>
                <w:szCs w:val="21"/>
                <w:lang w:bidi="ar"/>
              </w:rPr>
            </w:pPr>
            <w:r>
              <w:rPr>
                <w:rFonts w:hint="eastAsia" w:ascii="宋体" w:hAnsi="宋体" w:eastAsia="宋体" w:cs="宋体"/>
                <w:color w:val="000000"/>
                <w:kern w:val="0"/>
                <w:sz w:val="22"/>
                <w:szCs w:val="22"/>
                <w:lang w:bidi="ar"/>
              </w:rPr>
              <w:t>电子万能材料试验机</w:t>
            </w:r>
          </w:p>
        </w:tc>
        <w:tc>
          <w:tcPr>
            <w:tcW w:w="780" w:type="dxa"/>
            <w:tcBorders>
              <w:top w:val="single" w:color="auto" w:sz="4" w:space="0"/>
              <w:left w:val="nil"/>
              <w:bottom w:val="single" w:color="auto" w:sz="4" w:space="0"/>
              <w:right w:val="single" w:color="auto" w:sz="4" w:space="0"/>
            </w:tcBorders>
            <w:noWrap/>
            <w:vAlign w:val="center"/>
          </w:tcPr>
          <w:p w14:paraId="387FA441">
            <w:pPr>
              <w:widowControl/>
              <w:jc w:val="center"/>
              <w:textAlignment w:val="center"/>
              <w:rPr>
                <w:rFonts w:ascii="Times New Roman" w:hAnsi="Times New Roman" w:eastAsia="宋体" w:cs="Times New Roman"/>
                <w:szCs w:val="21"/>
              </w:rPr>
            </w:pPr>
            <w:r>
              <w:rPr>
                <w:rFonts w:hint="eastAsia" w:ascii="Times New Roman" w:hAnsi="Times New Roman" w:eastAsia="宋体" w:cs="Times New Roman"/>
                <w:szCs w:val="21"/>
              </w:rPr>
              <w:t>1台</w:t>
            </w:r>
          </w:p>
        </w:tc>
        <w:tc>
          <w:tcPr>
            <w:tcW w:w="7277" w:type="dxa"/>
            <w:tcBorders>
              <w:top w:val="single" w:color="auto" w:sz="4" w:space="0"/>
              <w:left w:val="nil"/>
              <w:bottom w:val="single" w:color="auto" w:sz="4" w:space="0"/>
              <w:right w:val="single" w:color="auto" w:sz="4" w:space="0"/>
            </w:tcBorders>
            <w:noWrap/>
            <w:vAlign w:val="center"/>
          </w:tcPr>
          <w:p w14:paraId="1D51E53E">
            <w:pPr>
              <w:widowControl/>
              <w:spacing w:line="360" w:lineRule="auto"/>
              <w:jc w:val="left"/>
              <w:textAlignment w:val="center"/>
              <w:rPr>
                <w:rFonts w:ascii="宋体" w:hAnsi="宋体" w:eastAsia="宋体" w:cs="宋体"/>
                <w:kern w:val="0"/>
                <w:szCs w:val="21"/>
                <w:lang w:bidi="ar"/>
              </w:rPr>
            </w:pPr>
            <w:r>
              <w:rPr>
                <w:rFonts w:hint="eastAsia" w:ascii="宋体" w:hAnsi="宋体" w:eastAsia="宋体" w:cs="宋体"/>
                <w:color w:val="000000"/>
                <w:kern w:val="0"/>
                <w:szCs w:val="21"/>
                <w:lang w:bidi="ar"/>
              </w:rPr>
              <w:t>一、双立柱主机系统</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1.1、额定载荷值 5 kN；</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1.2、横梁行程不小于 1200 mm</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1.3、横向试验空间不小于 600 mm；</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1.4、全载荷试验速度范围：试验速度范围：0.0005~1500 mm/min（无级变速）.</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1.5、试验返回速度：不小于550 mm/min</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二、载荷传感器：5kN传感器 1/1~1/500试验力精度±0.5%</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三、测试精度要求</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▲3.1、载荷测量精度：传感器量程的 0.4%～100%内，载荷误差不大于示值的±0.5%；</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▲3.2、横梁位移精度：显示值的±0.1%以内，但显示值在10mm以下则为±0.01 mm。</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3.3、横梁移动速度精度：误差不大于示值的±0.1%；横梁位移控制分辨率：0.0025μm</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3.4、所有传感器均具有自识别功能；全程无级测量。</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3.5、载荷自动平衡、故障判断及指示功能，横梁位移微调功能。</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四、控制系统</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4.1、控制测量系统：计算机控制；</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4.2、电气控制：采用数字信号处理器技术；</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▲4.3、数据采集：有效多通道同步数据采集频率不低于 1000 Hz；</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4.4、外部数字信号输入：不少于2通道。</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4.5、可脱离计算机进行实验、测量、数据采集（可U盘导出）。</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4.6、与计算机连接采用通用USB型接口。</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五、配置清单</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5.1、电子万能试验机   1台</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5.2、传感器（5KN、500N）各1套</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5.3、5kN气动平推夹具1套， 夹块5副（带橡胶夹面）；顶破夹具1套（带两套样品夹持器，配抛光钢球直径为25 mm±0.02mm 和 38 mm±0.02 mm的顶杆）；</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5.4 500N气动平推夹具1套，平面夹具用橡胶夹块1副（带橡胶夹面）</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5.5、静音空压机   1台</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5.6、控制主机1套；</w:t>
            </w:r>
            <w:r>
              <w:rPr>
                <w:rFonts w:hint="eastAsia" w:ascii="宋体" w:hAnsi="宋体" w:eastAsia="宋体" w:cs="宋体"/>
                <w:color w:val="000000"/>
                <w:kern w:val="0"/>
                <w:szCs w:val="21"/>
                <w:highlight w:val="yellow"/>
                <w:lang w:bidi="ar"/>
              </w:rPr>
              <w:br w:type="textWrapping"/>
            </w:r>
            <w:r>
              <w:rPr>
                <w:rFonts w:hint="eastAsia" w:ascii="宋体" w:hAnsi="宋体" w:eastAsia="宋体" w:cs="宋体"/>
                <w:color w:val="000000"/>
                <w:kern w:val="0"/>
                <w:szCs w:val="21"/>
                <w:lang w:bidi="ar"/>
              </w:rPr>
              <w:t>5.7、操作控制软件1套。</w:t>
            </w:r>
          </w:p>
        </w:tc>
      </w:tr>
      <w:tr w14:paraId="33E91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5718AA4F">
            <w:pPr>
              <w:spacing w:line="360" w:lineRule="auto"/>
              <w:jc w:val="center"/>
              <w:rPr>
                <w:rFonts w:ascii="宋体" w:hAnsi="宋体" w:eastAsia="宋体" w:cs="Times New Roman"/>
                <w:szCs w:val="21"/>
              </w:rPr>
            </w:pPr>
            <w:r>
              <w:rPr>
                <w:rFonts w:hint="eastAsia" w:ascii="宋体" w:hAnsi="宋体" w:eastAsia="宋体" w:cs="Times New Roman"/>
                <w:szCs w:val="21"/>
              </w:rPr>
              <w:t>12</w:t>
            </w:r>
          </w:p>
        </w:tc>
        <w:tc>
          <w:tcPr>
            <w:tcW w:w="1090" w:type="dxa"/>
            <w:tcBorders>
              <w:top w:val="single" w:color="auto" w:sz="4" w:space="0"/>
              <w:left w:val="nil"/>
              <w:bottom w:val="single" w:color="auto" w:sz="4" w:space="0"/>
              <w:right w:val="single" w:color="auto" w:sz="4" w:space="0"/>
            </w:tcBorders>
            <w:noWrap/>
            <w:vAlign w:val="center"/>
          </w:tcPr>
          <w:p w14:paraId="473B0F14">
            <w:pPr>
              <w:widowControl/>
              <w:jc w:val="center"/>
              <w:textAlignment w:val="center"/>
              <w:rPr>
                <w:rFonts w:ascii="宋体" w:hAnsi="宋体" w:eastAsia="宋体" w:cs="宋体"/>
                <w:kern w:val="0"/>
                <w:szCs w:val="21"/>
                <w:lang w:bidi="ar"/>
              </w:rPr>
            </w:pPr>
            <w:r>
              <w:rPr>
                <w:rFonts w:hint="eastAsia" w:ascii="宋体" w:hAnsi="宋体" w:eastAsia="宋体" w:cs="宋体"/>
                <w:color w:val="000000"/>
                <w:kern w:val="0"/>
                <w:sz w:val="22"/>
                <w:szCs w:val="22"/>
                <w:lang w:bidi="ar"/>
              </w:rPr>
              <w:t>热重分析仪</w:t>
            </w:r>
          </w:p>
        </w:tc>
        <w:tc>
          <w:tcPr>
            <w:tcW w:w="780" w:type="dxa"/>
            <w:tcBorders>
              <w:top w:val="single" w:color="auto" w:sz="4" w:space="0"/>
              <w:left w:val="nil"/>
              <w:bottom w:val="single" w:color="auto" w:sz="4" w:space="0"/>
              <w:right w:val="single" w:color="auto" w:sz="4" w:space="0"/>
            </w:tcBorders>
            <w:noWrap/>
            <w:vAlign w:val="center"/>
          </w:tcPr>
          <w:p w14:paraId="651BA179">
            <w:pPr>
              <w:widowControl/>
              <w:jc w:val="center"/>
              <w:textAlignment w:val="center"/>
              <w:rPr>
                <w:rFonts w:ascii="Times New Roman" w:hAnsi="Times New Roman" w:eastAsia="宋体" w:cs="Times New Roman"/>
                <w:szCs w:val="21"/>
              </w:rPr>
            </w:pPr>
            <w:r>
              <w:rPr>
                <w:rFonts w:hint="eastAsia" w:ascii="Times New Roman" w:hAnsi="Times New Roman" w:eastAsia="宋体" w:cs="Times New Roman"/>
                <w:szCs w:val="21"/>
              </w:rPr>
              <w:t>1台</w:t>
            </w:r>
          </w:p>
        </w:tc>
        <w:tc>
          <w:tcPr>
            <w:tcW w:w="7277" w:type="dxa"/>
            <w:tcBorders>
              <w:top w:val="single" w:color="auto" w:sz="4" w:space="0"/>
              <w:left w:val="nil"/>
              <w:bottom w:val="single" w:color="auto" w:sz="4" w:space="0"/>
              <w:right w:val="single" w:color="auto" w:sz="4" w:space="0"/>
            </w:tcBorders>
            <w:noWrap/>
            <w:vAlign w:val="center"/>
          </w:tcPr>
          <w:p w14:paraId="1C4FE287">
            <w:pPr>
              <w:widowControl/>
              <w:spacing w:line="360" w:lineRule="auto"/>
              <w:jc w:val="left"/>
              <w:textAlignment w:val="center"/>
              <w:rPr>
                <w:rFonts w:hint="default" w:ascii="宋体" w:hAnsi="宋体" w:eastAsia="宋体" w:cs="宋体"/>
                <w:color w:val="000000"/>
                <w:kern w:val="0"/>
                <w:szCs w:val="21"/>
                <w:highlight w:val="yellow"/>
                <w:lang w:val="en-US" w:eastAsia="zh-CN" w:bidi="ar"/>
              </w:rPr>
            </w:pPr>
            <w:r>
              <w:rPr>
                <w:rFonts w:hint="eastAsia" w:ascii="宋体" w:hAnsi="宋体" w:eastAsia="宋体" w:cs="宋体"/>
                <w:color w:val="000000"/>
                <w:kern w:val="0"/>
                <w:szCs w:val="21"/>
                <w:lang w:bidi="ar"/>
              </w:rPr>
              <w:t>1.功能和用途：测试材料的重量随温度变化的各项指标，可测试材料的添加剂含量，热稳定性能，水分测定，居里点温度，分解动力学，氧化诱导等等。也可实现TG-IR、TG-GCMS、TG-IR-MS、TG-IR-GCMS等多种模式联用分析功能。</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2.技术性能</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▲2.1、炉体设计：耐腐蚀陶瓷EGA炉体，垂直式，顶部进样方式，装换样品方便，配置自动进样器</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2.2、最大样品量：不小于1500mg</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2.3、称量准确度：±0.005%，称量精度(重现性)：±0.005%</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2.4、天平灵敏度：0.1µg</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▲2.5、动态基线漂移（10℃/min速率，50℃扫描到1000℃）：＜30µg</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2.6、最高温度：不小于1100℃</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2.7、温度准确度：±0.5℃，温度精度(重现性)：±0.1℃</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2.8、升温速率：0.1℃－300℃/min</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▲2.9、冷却时间：从1100℃降至100℃小于10分钟</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2.10、气体自动控制：四路质量流量控制器控制（气体流速0.1-200.0 mL/min）</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2.11、气氛：静态或者动态，在全量程温度范围内可使用氮、氧、氢、二氧化碳、空气、氦气及其他惰性或活性气体。</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2.12、配备全彩显示大触摸屏，可以控制仪器方法，控制自动进样器等功能。</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2.13、联用拓展性：可方便后续实现TG-IR、TG-GCMS、TG-IR-MS、TG-IR-GCMS等多种模式联用拓展分析功能。</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3.系统配置</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3.1、热重分析仪TGA主机（含必要工具、校正标准物质和连接管路） 1套</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3.2、控制分析软件 1套</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3.3、循环水浴制冷机（提高控温能力, 拓展低温区间） 1套</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3.4、原装标准陶瓷坩埚 3套</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3.5、国产标准陶瓷坩埚 100套</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3.6、控制主机及配套输出设备1套</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3.7、50位自动进样器</w:t>
            </w:r>
            <w:r>
              <w:rPr>
                <w:rFonts w:hint="eastAsia" w:ascii="宋体" w:hAnsi="宋体" w:eastAsia="宋体" w:cs="宋体"/>
                <w:color w:val="000000"/>
                <w:kern w:val="0"/>
                <w:szCs w:val="21"/>
                <w:lang w:val="en-US" w:eastAsia="zh-CN" w:bidi="ar"/>
              </w:rPr>
              <w:t>1套</w:t>
            </w:r>
          </w:p>
          <w:p w14:paraId="5FD19BA1">
            <w:pPr>
              <w:widowControl/>
              <w:spacing w:line="360" w:lineRule="auto"/>
              <w:jc w:val="left"/>
              <w:textAlignment w:val="center"/>
              <w:rPr>
                <w:rFonts w:ascii="宋体" w:hAnsi="宋体" w:eastAsia="宋体" w:cs="宋体"/>
                <w:kern w:val="0"/>
                <w:szCs w:val="21"/>
                <w:lang w:bidi="ar"/>
              </w:rPr>
            </w:pPr>
            <w:r>
              <w:rPr>
                <w:rFonts w:hint="eastAsia" w:ascii="宋体" w:hAnsi="宋体" w:eastAsia="宋体" w:cs="宋体"/>
                <w:color w:val="000000"/>
                <w:kern w:val="0"/>
                <w:szCs w:val="21"/>
                <w:lang w:bidi="ar"/>
              </w:rPr>
              <w:t>3.8、高纯氮气钢瓶（含气、减压阀） 1套</w:t>
            </w:r>
          </w:p>
        </w:tc>
      </w:tr>
      <w:tr w14:paraId="7967A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23" w:type="dxa"/>
            <w:gridSpan w:val="4"/>
            <w:tcBorders>
              <w:left w:val="single" w:color="auto" w:sz="4" w:space="0"/>
              <w:right w:val="single" w:color="auto" w:sz="4" w:space="0"/>
            </w:tcBorders>
            <w:noWrap/>
            <w:vAlign w:val="center"/>
          </w:tcPr>
          <w:p w14:paraId="4E203B44">
            <w:pPr>
              <w:widowControl/>
              <w:spacing w:line="360" w:lineRule="auto"/>
              <w:jc w:val="left"/>
              <w:textAlignment w:val="center"/>
              <w:rPr>
                <w:rFonts w:ascii="宋体" w:hAnsi="宋体" w:eastAsia="宋体" w:cs="宋体"/>
                <w:kern w:val="0"/>
                <w:szCs w:val="21"/>
                <w:lang w:bidi="ar"/>
              </w:rPr>
            </w:pPr>
            <w:r>
              <w:rPr>
                <w:rFonts w:hint="eastAsia" w:ascii="宋体" w:hAnsi="宋体" w:eastAsia="宋体" w:cs="宋体"/>
                <w:b/>
                <w:bCs/>
                <w:kern w:val="0"/>
                <w:szCs w:val="21"/>
                <w:lang w:bidi="ar"/>
              </w:rPr>
              <w:t>商务要求</w:t>
            </w:r>
          </w:p>
        </w:tc>
      </w:tr>
      <w:tr w14:paraId="3AA9F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6" w:type="dxa"/>
            <w:gridSpan w:val="2"/>
            <w:tcBorders>
              <w:top w:val="single" w:color="auto" w:sz="4" w:space="0"/>
              <w:left w:val="single" w:color="auto" w:sz="4" w:space="0"/>
              <w:bottom w:val="single" w:color="auto" w:sz="4" w:space="0"/>
              <w:right w:val="single" w:color="auto" w:sz="4" w:space="0"/>
            </w:tcBorders>
            <w:noWrap/>
            <w:vAlign w:val="center"/>
          </w:tcPr>
          <w:p w14:paraId="0B915A63">
            <w:pPr>
              <w:snapToGrid w:val="0"/>
              <w:spacing w:line="360" w:lineRule="auto"/>
              <w:jc w:val="center"/>
              <w:rPr>
                <w:rFonts w:ascii="宋体" w:hAnsi="宋体" w:eastAsia="宋体" w:cs="宋体"/>
                <w:szCs w:val="21"/>
              </w:rPr>
            </w:pPr>
            <w:r>
              <w:rPr>
                <w:rFonts w:hint="eastAsia" w:ascii="宋体" w:hAnsi="宋体" w:eastAsia="宋体" w:cs="宋体"/>
                <w:szCs w:val="21"/>
              </w:rPr>
              <w:t>投标报价</w:t>
            </w:r>
          </w:p>
        </w:tc>
        <w:tc>
          <w:tcPr>
            <w:tcW w:w="8057" w:type="dxa"/>
            <w:gridSpan w:val="2"/>
            <w:tcBorders>
              <w:top w:val="single" w:color="auto" w:sz="4" w:space="0"/>
              <w:left w:val="nil"/>
              <w:bottom w:val="single" w:color="auto" w:sz="4" w:space="0"/>
              <w:right w:val="single" w:color="auto" w:sz="4" w:space="0"/>
            </w:tcBorders>
            <w:noWrap/>
            <w:vAlign w:val="center"/>
          </w:tcPr>
          <w:p w14:paraId="2A27749A">
            <w:pPr>
              <w:snapToGrid w:val="0"/>
              <w:spacing w:line="360" w:lineRule="auto"/>
              <w:jc w:val="left"/>
              <w:rPr>
                <w:rFonts w:ascii="Times New Roman" w:hAnsi="Times New Roman" w:eastAsia="宋体" w:cs="Times New Roman"/>
                <w:szCs w:val="21"/>
              </w:rPr>
            </w:pPr>
            <w:r>
              <w:rPr>
                <w:rFonts w:hint="eastAsia" w:ascii="Times New Roman" w:hAnsi="Times New Roman" w:eastAsia="宋体" w:cs="Times New Roman"/>
                <w:szCs w:val="21"/>
              </w:rPr>
              <w:t>投标报价为采购人指定地点的现场交货价，包括：</w:t>
            </w:r>
          </w:p>
          <w:p w14:paraId="78BA5145">
            <w:pPr>
              <w:snapToGrid w:val="0"/>
              <w:spacing w:line="360" w:lineRule="auto"/>
              <w:jc w:val="left"/>
              <w:rPr>
                <w:rFonts w:ascii="Times New Roman" w:hAnsi="Times New Roman" w:eastAsia="宋体" w:cs="Times New Roman"/>
                <w:szCs w:val="21"/>
              </w:rPr>
            </w:pPr>
            <w:r>
              <w:rPr>
                <w:rFonts w:hint="eastAsia" w:ascii="Times New Roman" w:hAnsi="Times New Roman" w:eastAsia="宋体" w:cs="Times New Roman"/>
                <w:szCs w:val="21"/>
              </w:rPr>
              <w:t>（1）货物的价格：包括货款、安装调试费、验收费（含检定、校准费，如有）；</w:t>
            </w:r>
          </w:p>
          <w:p w14:paraId="7D487D4A">
            <w:pPr>
              <w:snapToGrid w:val="0"/>
              <w:spacing w:line="360" w:lineRule="auto"/>
              <w:jc w:val="left"/>
              <w:rPr>
                <w:rFonts w:ascii="Times New Roman" w:hAnsi="Times New Roman" w:eastAsia="宋体" w:cs="Times New Roman"/>
                <w:szCs w:val="21"/>
              </w:rPr>
            </w:pPr>
            <w:r>
              <w:rPr>
                <w:rFonts w:hint="eastAsia" w:ascii="Times New Roman" w:hAnsi="Times New Roman" w:eastAsia="宋体" w:cs="Times New Roman"/>
                <w:szCs w:val="21"/>
              </w:rPr>
              <w:t>（2）货物的标准附件、备品备件、专用工具的价格。</w:t>
            </w:r>
          </w:p>
          <w:p w14:paraId="2A3C1C26">
            <w:pPr>
              <w:snapToGrid w:val="0"/>
              <w:spacing w:line="360" w:lineRule="auto"/>
              <w:jc w:val="left"/>
              <w:rPr>
                <w:rFonts w:ascii="Times New Roman" w:hAnsi="Times New Roman" w:eastAsia="宋体" w:cs="Times New Roman"/>
                <w:szCs w:val="21"/>
              </w:rPr>
            </w:pPr>
            <w:r>
              <w:rPr>
                <w:rFonts w:hint="eastAsia" w:ascii="Times New Roman" w:hAnsi="Times New Roman" w:eastAsia="宋体" w:cs="Times New Roman"/>
                <w:szCs w:val="21"/>
              </w:rPr>
              <w:t>（3）运输、装卸、调试、培训、技术支持、售后服务费。</w:t>
            </w:r>
          </w:p>
        </w:tc>
      </w:tr>
      <w:tr w14:paraId="7A172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6" w:type="dxa"/>
            <w:gridSpan w:val="2"/>
            <w:tcBorders>
              <w:top w:val="single" w:color="auto" w:sz="4" w:space="0"/>
              <w:left w:val="single" w:color="auto" w:sz="4" w:space="0"/>
              <w:bottom w:val="single" w:color="auto" w:sz="4" w:space="0"/>
              <w:right w:val="single" w:color="auto" w:sz="4" w:space="0"/>
            </w:tcBorders>
            <w:noWrap/>
            <w:vAlign w:val="center"/>
          </w:tcPr>
          <w:p w14:paraId="718E2D2E">
            <w:pPr>
              <w:spacing w:line="360" w:lineRule="auto"/>
              <w:ind w:leftChars="-51" w:right="-107" w:rightChars="-51" w:hanging="107" w:hangingChars="51"/>
              <w:jc w:val="center"/>
              <w:rPr>
                <w:rFonts w:ascii="宋体" w:hAnsi="宋体" w:eastAsia="宋体" w:cs="宋体"/>
                <w:szCs w:val="21"/>
              </w:rPr>
            </w:pPr>
            <w:r>
              <w:rPr>
                <w:rFonts w:hint="eastAsia" w:ascii="宋体" w:hAnsi="宋体" w:eastAsia="宋体" w:cs="宋体"/>
                <w:szCs w:val="21"/>
              </w:rPr>
              <w:t>合同签订时间</w:t>
            </w:r>
          </w:p>
        </w:tc>
        <w:tc>
          <w:tcPr>
            <w:tcW w:w="8057" w:type="dxa"/>
            <w:gridSpan w:val="2"/>
            <w:tcBorders>
              <w:top w:val="single" w:color="auto" w:sz="4" w:space="0"/>
              <w:left w:val="nil"/>
              <w:bottom w:val="single" w:color="auto" w:sz="4" w:space="0"/>
              <w:right w:val="single" w:color="auto" w:sz="4" w:space="0"/>
            </w:tcBorders>
            <w:noWrap/>
            <w:vAlign w:val="center"/>
          </w:tcPr>
          <w:p w14:paraId="5CD00963">
            <w:pPr>
              <w:spacing w:line="360" w:lineRule="auto"/>
              <w:rPr>
                <w:rFonts w:ascii="Times New Roman" w:hAnsi="Times New Roman" w:eastAsia="宋体" w:cs="Times New Roman"/>
                <w:szCs w:val="21"/>
              </w:rPr>
            </w:pPr>
            <w:r>
              <w:rPr>
                <w:rFonts w:hint="eastAsia" w:ascii="Times New Roman" w:hAnsi="Times New Roman" w:eastAsia="宋体" w:cs="Times New Roman"/>
              </w:rPr>
              <w:t>中标通知书发出后25日内</w:t>
            </w:r>
          </w:p>
        </w:tc>
      </w:tr>
      <w:tr w14:paraId="345E6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6" w:type="dxa"/>
            <w:gridSpan w:val="2"/>
            <w:tcBorders>
              <w:top w:val="single" w:color="auto" w:sz="4" w:space="0"/>
              <w:left w:val="single" w:color="auto" w:sz="4" w:space="0"/>
              <w:bottom w:val="single" w:color="auto" w:sz="4" w:space="0"/>
              <w:right w:val="single" w:color="auto" w:sz="4" w:space="0"/>
            </w:tcBorders>
            <w:noWrap/>
            <w:vAlign w:val="center"/>
          </w:tcPr>
          <w:p w14:paraId="36469D40">
            <w:pPr>
              <w:spacing w:line="360" w:lineRule="auto"/>
              <w:ind w:leftChars="-51" w:right="-107" w:rightChars="-51" w:hanging="107" w:hangingChars="51"/>
              <w:jc w:val="center"/>
              <w:rPr>
                <w:rFonts w:ascii="宋体" w:hAnsi="宋体" w:eastAsia="宋体" w:cs="宋体"/>
                <w:szCs w:val="21"/>
              </w:rPr>
            </w:pPr>
            <w:r>
              <w:rPr>
                <w:rFonts w:hint="eastAsia" w:ascii="宋体" w:hAnsi="宋体" w:eastAsia="宋体" w:cs="宋体"/>
                <w:szCs w:val="21"/>
              </w:rPr>
              <w:t>质保期</w:t>
            </w:r>
          </w:p>
        </w:tc>
        <w:tc>
          <w:tcPr>
            <w:tcW w:w="8057" w:type="dxa"/>
            <w:gridSpan w:val="2"/>
            <w:tcBorders>
              <w:top w:val="single" w:color="auto" w:sz="4" w:space="0"/>
              <w:left w:val="nil"/>
              <w:bottom w:val="single" w:color="auto" w:sz="4" w:space="0"/>
              <w:right w:val="single" w:color="auto" w:sz="4" w:space="0"/>
            </w:tcBorders>
            <w:noWrap/>
            <w:vAlign w:val="center"/>
          </w:tcPr>
          <w:p w14:paraId="7E804F05">
            <w:pPr>
              <w:spacing w:line="360" w:lineRule="auto"/>
              <w:rPr>
                <w:rFonts w:ascii="Times New Roman" w:hAnsi="Times New Roman" w:eastAsia="宋体" w:cs="Times New Roman"/>
              </w:rPr>
            </w:pPr>
            <w:r>
              <w:rPr>
                <w:rFonts w:hint="eastAsia" w:ascii="宋体" w:hAnsi="宋体" w:eastAsia="宋体" w:cs="宋体"/>
                <w:szCs w:val="21"/>
              </w:rPr>
              <w:t>按国家有关规定实行产品“三包”，货物（易耗品除外）质保期不少于一年，分项设备有质保期要求的按其要求。保修期自安装调试验收合格，并以双方最终验收报告签字日开始计算。保修期内，中标供应商将负责处理并解决故障，并免费更换有故障的零、部件，一切费用由中标供应商负责。</w:t>
            </w:r>
          </w:p>
        </w:tc>
      </w:tr>
      <w:tr w14:paraId="1BDB5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6" w:type="dxa"/>
            <w:gridSpan w:val="2"/>
            <w:tcBorders>
              <w:top w:val="single" w:color="auto" w:sz="4" w:space="0"/>
              <w:left w:val="single" w:color="auto" w:sz="4" w:space="0"/>
              <w:bottom w:val="single" w:color="auto" w:sz="4" w:space="0"/>
              <w:right w:val="single" w:color="auto" w:sz="4" w:space="0"/>
            </w:tcBorders>
            <w:noWrap/>
            <w:vAlign w:val="center"/>
          </w:tcPr>
          <w:p w14:paraId="122503C2">
            <w:pPr>
              <w:spacing w:line="360" w:lineRule="auto"/>
              <w:jc w:val="center"/>
              <w:rPr>
                <w:rFonts w:ascii="宋体" w:hAnsi="宋体" w:eastAsia="宋体" w:cs="宋体"/>
                <w:szCs w:val="21"/>
              </w:rPr>
            </w:pPr>
            <w:r>
              <w:rPr>
                <w:rFonts w:hint="eastAsia" w:ascii="宋体" w:hAnsi="宋体" w:eastAsia="宋体" w:cs="宋体"/>
                <w:szCs w:val="21"/>
              </w:rPr>
              <w:t>售后技术服务要求</w:t>
            </w:r>
          </w:p>
        </w:tc>
        <w:tc>
          <w:tcPr>
            <w:tcW w:w="8057" w:type="dxa"/>
            <w:gridSpan w:val="2"/>
            <w:tcBorders>
              <w:top w:val="single" w:color="auto" w:sz="4" w:space="0"/>
              <w:left w:val="nil"/>
              <w:bottom w:val="single" w:color="auto" w:sz="4" w:space="0"/>
              <w:right w:val="single" w:color="auto" w:sz="4" w:space="0"/>
            </w:tcBorders>
            <w:noWrap/>
            <w:vAlign w:val="center"/>
          </w:tcPr>
          <w:p w14:paraId="00FED191">
            <w:pPr>
              <w:spacing w:line="360" w:lineRule="auto"/>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1.</w:t>
            </w:r>
            <w:r>
              <w:rPr>
                <w:rFonts w:hint="eastAsia" w:ascii="宋体" w:hAnsi="宋体" w:eastAsia="宋体" w:cs="宋体"/>
                <w:szCs w:val="21"/>
              </w:rPr>
              <w:t>售后技术服务包括</w:t>
            </w:r>
            <w:r>
              <w:rPr>
                <w:rFonts w:hint="eastAsia" w:ascii="宋体" w:hAnsi="宋体" w:eastAsia="宋体" w:cs="宋体"/>
                <w:kern w:val="0"/>
                <w:szCs w:val="21"/>
                <w:shd w:val="clear" w:color="auto" w:fill="FFFFFF"/>
              </w:rPr>
              <w:t>送货上门、安装调试、现场培训2～3名相关人员至掌握设备操作及日常维护等，投标报价应包含为实施项目所必须的售后技术服务。分项设备要求产品生产厂家提供技术人员培训的，按其要求执行。</w:t>
            </w:r>
          </w:p>
          <w:p w14:paraId="13062846">
            <w:pPr>
              <w:spacing w:line="360" w:lineRule="auto"/>
              <w:rPr>
                <w:rFonts w:ascii="宋体" w:hAnsi="宋体" w:eastAsia="宋体" w:cs="宋体"/>
                <w:kern w:val="0"/>
                <w:szCs w:val="21"/>
                <w:shd w:val="clear" w:color="auto" w:fill="FFFFFF"/>
              </w:rPr>
            </w:pPr>
            <w:r>
              <w:rPr>
                <w:rFonts w:hint="eastAsia" w:ascii="宋体" w:hAnsi="宋体" w:eastAsia="宋体" w:cs="宋体"/>
                <w:szCs w:val="21"/>
                <w:shd w:val="clear" w:color="auto" w:fill="FFFFFF"/>
              </w:rPr>
              <w:t>2.设备出现故障后，中标供应商负责需要2小时内做出响应，24小时内派工程师到现场进行故障排除，48小时内故障无法修复的，需要立即提供与原设备技术参数要求相同或高于原设备技术参数要求的备用产品，以保证采购人的正常工作。</w:t>
            </w:r>
          </w:p>
          <w:p w14:paraId="1055C836">
            <w:pPr>
              <w:spacing w:line="360" w:lineRule="auto"/>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3.软件在维保期内免费维修及完善性升级</w:t>
            </w:r>
          </w:p>
          <w:p w14:paraId="6A2093B1">
            <w:pPr>
              <w:spacing w:line="360" w:lineRule="auto"/>
              <w:rPr>
                <w:rFonts w:ascii="宋体" w:hAnsi="宋体" w:eastAsia="宋体" w:cs="宋体"/>
                <w:szCs w:val="21"/>
              </w:rPr>
            </w:pPr>
            <w:r>
              <w:rPr>
                <w:rFonts w:hint="eastAsia" w:ascii="宋体" w:hAnsi="宋体" w:eastAsia="宋体" w:cs="宋体"/>
                <w:szCs w:val="21"/>
                <w:shd w:val="clear" w:color="auto" w:fill="FFFFFF"/>
              </w:rPr>
              <w:t>4.投标文件提供培训方案，培训内容、培训措施符合项目实施的实际情况。</w:t>
            </w:r>
          </w:p>
        </w:tc>
      </w:tr>
      <w:tr w14:paraId="0D855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6" w:type="dxa"/>
            <w:gridSpan w:val="2"/>
            <w:tcBorders>
              <w:top w:val="single" w:color="auto" w:sz="4" w:space="0"/>
              <w:left w:val="single" w:color="auto" w:sz="4" w:space="0"/>
              <w:bottom w:val="single" w:color="auto" w:sz="4" w:space="0"/>
              <w:right w:val="single" w:color="auto" w:sz="4" w:space="0"/>
            </w:tcBorders>
            <w:noWrap/>
            <w:vAlign w:val="center"/>
          </w:tcPr>
          <w:p w14:paraId="0732A760">
            <w:pPr>
              <w:spacing w:line="360" w:lineRule="auto"/>
              <w:jc w:val="center"/>
              <w:rPr>
                <w:rFonts w:ascii="宋体" w:hAnsi="宋体" w:eastAsia="宋体" w:cs="宋体"/>
                <w:szCs w:val="21"/>
              </w:rPr>
            </w:pPr>
            <w:r>
              <w:rPr>
                <w:rFonts w:hint="eastAsia" w:ascii="宋体" w:hAnsi="宋体" w:eastAsia="宋体" w:cs="宋体"/>
                <w:szCs w:val="21"/>
              </w:rPr>
              <w:t>交货时间及地点</w:t>
            </w:r>
          </w:p>
        </w:tc>
        <w:tc>
          <w:tcPr>
            <w:tcW w:w="8057" w:type="dxa"/>
            <w:gridSpan w:val="2"/>
            <w:tcBorders>
              <w:top w:val="single" w:color="auto" w:sz="4" w:space="0"/>
              <w:left w:val="nil"/>
              <w:bottom w:val="single" w:color="auto" w:sz="4" w:space="0"/>
              <w:right w:val="single" w:color="auto" w:sz="4" w:space="0"/>
            </w:tcBorders>
            <w:noWrap/>
            <w:vAlign w:val="center"/>
          </w:tcPr>
          <w:p w14:paraId="78AC2CD6">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交付使用期：自合同签订之日起90天内验收合格并交付使用。</w:t>
            </w:r>
          </w:p>
          <w:p w14:paraId="24E471F0">
            <w:pPr>
              <w:spacing w:line="360" w:lineRule="auto"/>
              <w:rPr>
                <w:rFonts w:ascii="宋体" w:hAnsi="宋体" w:eastAsia="宋体" w:cs="宋体"/>
                <w:kern w:val="0"/>
                <w:szCs w:val="21"/>
                <w:shd w:val="clear" w:color="auto" w:fill="FFFFFF"/>
              </w:rPr>
            </w:pPr>
            <w:r>
              <w:rPr>
                <w:rFonts w:hint="eastAsia" w:ascii="宋体" w:hAnsi="宋体" w:eastAsia="宋体" w:cs="宋体"/>
                <w:szCs w:val="21"/>
                <w:shd w:val="clear" w:color="auto" w:fill="FFFFFF"/>
              </w:rPr>
              <w:t>交货地点：南宁市采购人指定地点。</w:t>
            </w:r>
          </w:p>
        </w:tc>
      </w:tr>
      <w:tr w14:paraId="5C3A3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6" w:type="dxa"/>
            <w:gridSpan w:val="2"/>
            <w:tcBorders>
              <w:top w:val="single" w:color="auto" w:sz="4" w:space="0"/>
              <w:left w:val="single" w:color="auto" w:sz="4" w:space="0"/>
              <w:bottom w:val="single" w:color="auto" w:sz="4" w:space="0"/>
              <w:right w:val="single" w:color="auto" w:sz="4" w:space="0"/>
            </w:tcBorders>
            <w:noWrap/>
            <w:vAlign w:val="center"/>
          </w:tcPr>
          <w:p w14:paraId="62027825">
            <w:pPr>
              <w:spacing w:line="360" w:lineRule="auto"/>
              <w:jc w:val="center"/>
              <w:rPr>
                <w:rFonts w:ascii="宋体" w:hAnsi="宋体" w:eastAsia="宋体" w:cs="宋体"/>
                <w:szCs w:val="21"/>
              </w:rPr>
            </w:pPr>
            <w:r>
              <w:rPr>
                <w:rFonts w:hint="eastAsia" w:ascii="宋体" w:hAnsi="宋体" w:eastAsia="宋体" w:cs="宋体"/>
                <w:szCs w:val="21"/>
              </w:rPr>
              <w:t>其它要求</w:t>
            </w:r>
          </w:p>
        </w:tc>
        <w:tc>
          <w:tcPr>
            <w:tcW w:w="8057" w:type="dxa"/>
            <w:gridSpan w:val="2"/>
            <w:tcBorders>
              <w:top w:val="single" w:color="auto" w:sz="4" w:space="0"/>
              <w:left w:val="nil"/>
              <w:bottom w:val="single" w:color="auto" w:sz="4" w:space="0"/>
              <w:right w:val="single" w:color="auto" w:sz="4" w:space="0"/>
            </w:tcBorders>
            <w:noWrap/>
            <w:vAlign w:val="center"/>
          </w:tcPr>
          <w:p w14:paraId="547DCA6B">
            <w:pPr>
              <w:spacing w:line="360" w:lineRule="auto"/>
              <w:rPr>
                <w:rFonts w:ascii="宋体" w:hAnsi="宋体" w:eastAsia="宋体" w:cs="宋体"/>
                <w:szCs w:val="21"/>
                <w:shd w:val="clear" w:color="auto" w:fill="FFFFFF"/>
              </w:rPr>
            </w:pPr>
            <w:r>
              <w:rPr>
                <w:rFonts w:hint="eastAsia" w:ascii="宋体" w:hAnsi="宋体" w:eastAsia="宋体" w:cs="宋体"/>
                <w:szCs w:val="21"/>
              </w:rPr>
              <w:t>投标人必须根据招标要求的技术参数及配置中的每项指标要求，如实逐项填写技术规格偏离表。</w:t>
            </w:r>
          </w:p>
        </w:tc>
      </w:tr>
      <w:tr w14:paraId="45D74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6" w:type="dxa"/>
            <w:gridSpan w:val="2"/>
            <w:tcBorders>
              <w:top w:val="single" w:color="auto" w:sz="4" w:space="0"/>
              <w:left w:val="single" w:color="auto" w:sz="4" w:space="0"/>
              <w:bottom w:val="single" w:color="auto" w:sz="4" w:space="0"/>
              <w:right w:val="single" w:color="auto" w:sz="4" w:space="0"/>
            </w:tcBorders>
            <w:noWrap/>
            <w:vAlign w:val="center"/>
          </w:tcPr>
          <w:p w14:paraId="0B3C9B57">
            <w:pPr>
              <w:spacing w:line="360" w:lineRule="auto"/>
              <w:jc w:val="center"/>
              <w:rPr>
                <w:rFonts w:ascii="宋体" w:hAnsi="宋体" w:eastAsia="宋体" w:cs="宋体"/>
                <w:szCs w:val="21"/>
              </w:rPr>
            </w:pPr>
            <w:r>
              <w:rPr>
                <w:rFonts w:hint="eastAsia" w:ascii="宋体" w:hAnsi="宋体" w:eastAsia="宋体" w:cs="宋体"/>
                <w:szCs w:val="21"/>
              </w:rPr>
              <w:t>付款方式</w:t>
            </w:r>
          </w:p>
        </w:tc>
        <w:tc>
          <w:tcPr>
            <w:tcW w:w="8057" w:type="dxa"/>
            <w:gridSpan w:val="2"/>
            <w:tcBorders>
              <w:top w:val="single" w:color="auto" w:sz="4" w:space="0"/>
              <w:left w:val="nil"/>
              <w:bottom w:val="single" w:color="auto" w:sz="4" w:space="0"/>
              <w:right w:val="single" w:color="auto" w:sz="4" w:space="0"/>
            </w:tcBorders>
            <w:noWrap/>
            <w:vAlign w:val="center"/>
          </w:tcPr>
          <w:p w14:paraId="352F76AA">
            <w:pPr>
              <w:spacing w:line="360" w:lineRule="auto"/>
              <w:rPr>
                <w:rFonts w:hint="eastAsia" w:ascii="宋体" w:hAnsi="宋体" w:eastAsia="宋体" w:cs="宋体"/>
                <w:szCs w:val="21"/>
              </w:rPr>
            </w:pPr>
            <w:r>
              <w:rPr>
                <w:rFonts w:hint="eastAsia" w:ascii="宋体" w:hAnsi="宋体" w:eastAsia="宋体" w:cs="宋体"/>
                <w:szCs w:val="21"/>
              </w:rPr>
              <w:t>本合同分四期支付，合同生效后且中标供应商已按时足额支付履约保证金后10个工作日内支付预付款(即合同金额50%)；已到货设备金额超过合同总金额的65%后10个工作日内采购人支付合同进度款(合同金额15%)；已到货设备金额超过合同总金额的80%后10个工作日内采购人支付合同进度款(合同金额15%)；验收合格后10个工作日内采购人支付尾款(合同金额20%)。每次付款前，中标供应商必须先行开具并交付当期足额增值税专用发票给采购人，否则采购人有权顺延付款时间。采购人以银行转账、支票或汇票方式付款，如中标供应商未提交合法有效发票、交付完整付款资料或存在违约情形的，采购人有权顺延付款或暂不付款且不承担逾期付款责任。</w:t>
            </w:r>
          </w:p>
        </w:tc>
      </w:tr>
      <w:tr w14:paraId="2CAA5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6" w:type="dxa"/>
            <w:gridSpan w:val="2"/>
            <w:tcBorders>
              <w:top w:val="single" w:color="auto" w:sz="4" w:space="0"/>
              <w:left w:val="single" w:color="auto" w:sz="4" w:space="0"/>
              <w:bottom w:val="single" w:color="auto" w:sz="4" w:space="0"/>
              <w:right w:val="single" w:color="auto" w:sz="4" w:space="0"/>
            </w:tcBorders>
            <w:noWrap/>
            <w:vAlign w:val="center"/>
          </w:tcPr>
          <w:p w14:paraId="5C022700">
            <w:pPr>
              <w:spacing w:line="360" w:lineRule="auto"/>
              <w:jc w:val="center"/>
              <w:rPr>
                <w:rFonts w:ascii="宋体" w:hAnsi="宋体" w:eastAsia="宋体" w:cs="宋体"/>
                <w:szCs w:val="21"/>
              </w:rPr>
            </w:pPr>
            <w:r>
              <w:rPr>
                <w:rFonts w:hint="eastAsia" w:ascii="宋体" w:hAnsi="宋体" w:eastAsia="宋体" w:cs="宋体"/>
                <w:szCs w:val="21"/>
              </w:rPr>
              <w:t>履约保证金</w:t>
            </w:r>
          </w:p>
        </w:tc>
        <w:tc>
          <w:tcPr>
            <w:tcW w:w="8057" w:type="dxa"/>
            <w:gridSpan w:val="2"/>
            <w:tcBorders>
              <w:top w:val="single" w:color="auto" w:sz="4" w:space="0"/>
              <w:left w:val="nil"/>
              <w:bottom w:val="single" w:color="auto" w:sz="4" w:space="0"/>
              <w:right w:val="single" w:color="auto" w:sz="4" w:space="0"/>
            </w:tcBorders>
            <w:noWrap/>
            <w:vAlign w:val="center"/>
          </w:tcPr>
          <w:p w14:paraId="1A58C8C7">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1.履约保证金金额：按中标总金额的2%。</w:t>
            </w:r>
          </w:p>
          <w:p w14:paraId="7E3D525F">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2.履约保证金递交方式：中标人在收到中标通知后5个工作日内以银行转账、支票、汇票、本票或者金融机构、担保机构出具的保函等非现金方式向采购人提交。</w:t>
            </w:r>
          </w:p>
          <w:p w14:paraId="49A3455D">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3.履约保证金退付方式、时间及条件：若中标供应商不能履行或不完全履行合同，履约保证金不予退还；若中标供应商完全履行合同，且货物验收合格后，中标供应商凭履约保证金财务凭证到采购人财务部门办理退还手续，办理手续后十个工作日内由采购人无息退还。</w:t>
            </w:r>
          </w:p>
          <w:p w14:paraId="323B5B96">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4.缴纳履约保证金的指定账户：</w:t>
            </w:r>
          </w:p>
          <w:p w14:paraId="2A627E49">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开户名称：广西壮族自治区产品质量检验研究院</w:t>
            </w:r>
          </w:p>
          <w:p w14:paraId="5547FD64">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开户银行：工行南宁市民族支行</w:t>
            </w:r>
          </w:p>
          <w:p w14:paraId="6BE8F28F">
            <w:pPr>
              <w:spacing w:line="360" w:lineRule="auto"/>
              <w:rPr>
                <w:rFonts w:ascii="宋体" w:hAnsi="宋体" w:eastAsia="宋体" w:cs="宋体"/>
                <w:szCs w:val="21"/>
              </w:rPr>
            </w:pPr>
            <w:r>
              <w:rPr>
                <w:rFonts w:hint="eastAsia" w:ascii="宋体" w:hAnsi="宋体" w:eastAsia="宋体" w:cs="宋体"/>
                <w:szCs w:val="21"/>
                <w:shd w:val="clear" w:color="auto" w:fill="FFFFFF"/>
              </w:rPr>
              <w:t>银行账号：2102109209249002028</w:t>
            </w:r>
          </w:p>
        </w:tc>
      </w:tr>
      <w:tr w14:paraId="673F0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6" w:type="dxa"/>
            <w:gridSpan w:val="2"/>
            <w:tcBorders>
              <w:top w:val="single" w:color="auto" w:sz="4" w:space="0"/>
              <w:left w:val="single" w:color="auto" w:sz="4" w:space="0"/>
              <w:bottom w:val="single" w:color="auto" w:sz="4" w:space="0"/>
              <w:right w:val="single" w:color="auto" w:sz="4" w:space="0"/>
            </w:tcBorders>
            <w:noWrap/>
            <w:vAlign w:val="center"/>
          </w:tcPr>
          <w:p w14:paraId="5D88DBB8">
            <w:pPr>
              <w:spacing w:line="360" w:lineRule="auto"/>
              <w:jc w:val="center"/>
              <w:rPr>
                <w:rFonts w:ascii="宋体" w:hAnsi="宋体" w:eastAsia="宋体" w:cs="宋体"/>
                <w:szCs w:val="21"/>
              </w:rPr>
            </w:pPr>
            <w:r>
              <w:rPr>
                <w:rFonts w:hint="eastAsia" w:ascii="宋体" w:hAnsi="宋体" w:eastAsia="宋体" w:cs="宋体"/>
                <w:szCs w:val="21"/>
              </w:rPr>
              <w:t>验收标准</w:t>
            </w:r>
          </w:p>
        </w:tc>
        <w:tc>
          <w:tcPr>
            <w:tcW w:w="8057" w:type="dxa"/>
            <w:gridSpan w:val="2"/>
            <w:tcBorders>
              <w:top w:val="single" w:color="auto" w:sz="4" w:space="0"/>
              <w:left w:val="nil"/>
              <w:bottom w:val="single" w:color="auto" w:sz="4" w:space="0"/>
              <w:right w:val="single" w:color="auto" w:sz="4" w:space="0"/>
            </w:tcBorders>
            <w:noWrap/>
            <w:vAlign w:val="center"/>
          </w:tcPr>
          <w:p w14:paraId="7F71E900">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1.检查供货范围或服务范围</w:t>
            </w:r>
          </w:p>
          <w:p w14:paraId="2F162F99">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货物类：产品到达现场后，中标供应商应在采购人单位人员在场情况下当面开箱，共同清点、检查外观，作出开箱记录，双方签字确认。中标供应商应保证货物到达采购人所在地完好无损，如有缺漏、损坏，由中标人负责调换、补齐或赔偿。</w:t>
            </w:r>
          </w:p>
          <w:p w14:paraId="5A89F91A">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服务类：根据招标文件检查服务内容是否满足要求。</w:t>
            </w:r>
          </w:p>
          <w:p w14:paraId="1540FC5D">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2.中标供应商应提供完备的技术或服务资料、装箱单和合格证等，并派遣专业人员进行现场安装调试。验收合格条件如下：</w:t>
            </w:r>
          </w:p>
          <w:p w14:paraId="07079376">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2.1货物或服务技术参数与投标文件中技术需求偏离表或证明材料一致，性能或指标达到规定的标准，否则，以实际货物或服务技术参数与投标文件技术需求偏离表参数或证明材料比较，按如下情况处理：</w:t>
            </w:r>
          </w:p>
          <w:p w14:paraId="0AFCBA74">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1）中标供应商投标文件技术需求偏离表或证明材料中满足或优于的技术参数，在验收时实际不满足技术参数要求的，视为供货商违约，采购人有权终止合同拒收货物，并追究中标供应商责任，同时报财政部门备案。</w:t>
            </w:r>
          </w:p>
          <w:p w14:paraId="21607D96">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2）中标供应商投标文件技术需求偏离表或证明材料中优于的技术参数，在验收时实际仅满足并未优于技术参数要求的，视为供货商违约，采购人有权终止合同拒收货物，并追究中标供应商责任，同时报财政部门备案。</w:t>
            </w:r>
          </w:p>
          <w:p w14:paraId="683B29B3">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（3）中标供应商投标文件技术需求偏离表或证明材料中满足的技术参数，在验收时实际优于技术参数的要求，以满足技术参数的要求验收。</w:t>
            </w:r>
          </w:p>
          <w:p w14:paraId="483D861B">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4）中标供应商投标文件技术需求偏离表或证明材料中优于的技术参数，在验收时实际也优于技术参数的要求，但没有达到技术需求偏离表或证明材料中优于的程度，视为不满足投标承诺，按验收不合格，违约处理。</w:t>
            </w:r>
          </w:p>
          <w:p w14:paraId="13CF8B15">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5）实际货物与投标货物型号不一致的，验收时不论实际是优于还是满足技术参数的要求，采购人均有权终止合同拒收货物。如影响货物或服务的使用、质量、档次及采购人需求的，还可视为供货商违约，追究中标供应商责任，同时报财政部门备案。</w:t>
            </w:r>
          </w:p>
          <w:p w14:paraId="3BCFDDF7">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2.2技术资料、装箱单、合格证等资料齐全。</w:t>
            </w:r>
          </w:p>
          <w:p w14:paraId="26A97A17">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2.3在测试或试运行期间所出现的问题得到解决，并运行或工作正常。</w:t>
            </w:r>
          </w:p>
          <w:p w14:paraId="35D0F317">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2.4在规定时间内完成交货及验收，并经采购人确认。</w:t>
            </w:r>
          </w:p>
          <w:p w14:paraId="006BEBD5">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3.产品或服务在安装调试并试运行符合要求后，还必须负责完成原有设备及软件系统的重新部署安装、集成、调试并能整体通过测试顺利运行，运行顺畅才作为最终验收。</w:t>
            </w:r>
          </w:p>
          <w:p w14:paraId="736C8AB4">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4.中标供应商提供的货物或服务未达到招标文件规定要求，且对采购人造成损失的，由中标供应商承担一切责任，并赔偿所造成的损失。</w:t>
            </w:r>
          </w:p>
          <w:p w14:paraId="3FBEA156">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5.采购人需要制造商对中标供应商交付的产品或服务（包括质量、参数等）进行确认的，制造商应予以配合并出具书面意见，相关配合事项由中标供应商与制造商协调。</w:t>
            </w:r>
          </w:p>
          <w:p w14:paraId="315B9DCC">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6.产品包装材料归采购人所有。</w:t>
            </w:r>
          </w:p>
          <w:p w14:paraId="296524E1">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7.其他验收要求按第五章《拟签订的合同文本》执行，未尽事宜按照《关于印发广西壮族自治区政府采购项目履约验收管理办法的通知》[桂财采〔2015〕22号]以及《财政部关于进一步加强政府采购需求和履约验收管理的指导意见》[财库〔2016〕205号]规定执行。</w:t>
            </w:r>
          </w:p>
        </w:tc>
      </w:tr>
      <w:tr w14:paraId="0F73E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6" w:type="dxa"/>
            <w:gridSpan w:val="2"/>
            <w:tcBorders>
              <w:top w:val="single" w:color="auto" w:sz="4" w:space="0"/>
              <w:left w:val="single" w:color="auto" w:sz="4" w:space="0"/>
              <w:bottom w:val="single" w:color="auto" w:sz="4" w:space="0"/>
              <w:right w:val="single" w:color="auto" w:sz="4" w:space="0"/>
            </w:tcBorders>
            <w:noWrap/>
            <w:vAlign w:val="center"/>
          </w:tcPr>
          <w:p w14:paraId="7798BFE5">
            <w:pPr>
              <w:snapToGrid w:val="0"/>
              <w:spacing w:line="360" w:lineRule="auto"/>
              <w:jc w:val="center"/>
              <w:rPr>
                <w:rFonts w:ascii="宋体" w:hAnsi="宋体" w:eastAsia="宋体" w:cs="宋体"/>
                <w:b/>
                <w:bCs/>
                <w:szCs w:val="21"/>
              </w:rPr>
            </w:pPr>
            <w:r>
              <w:rPr>
                <w:rFonts w:hint="eastAsia" w:ascii="宋体" w:hAnsi="宋体" w:eastAsia="宋体" w:cs="宋体"/>
                <w:b/>
                <w:bCs/>
                <w:szCs w:val="21"/>
              </w:rPr>
              <w:t>其他说明</w:t>
            </w:r>
          </w:p>
        </w:tc>
        <w:tc>
          <w:tcPr>
            <w:tcW w:w="8057" w:type="dxa"/>
            <w:gridSpan w:val="2"/>
            <w:tcBorders>
              <w:top w:val="single" w:color="auto" w:sz="4" w:space="0"/>
              <w:left w:val="nil"/>
              <w:bottom w:val="single" w:color="auto" w:sz="4" w:space="0"/>
              <w:right w:val="single" w:color="auto" w:sz="4" w:space="0"/>
            </w:tcBorders>
            <w:noWrap/>
            <w:vAlign w:val="center"/>
          </w:tcPr>
          <w:p w14:paraId="3BB49F14">
            <w:pPr>
              <w:snapToGrid w:val="0"/>
              <w:spacing w:line="360" w:lineRule="auto"/>
              <w:jc w:val="left"/>
              <w:rPr>
                <w:rFonts w:hint="eastAsia" w:ascii="宋体" w:hAnsi="宋体" w:eastAsia="宋体" w:cs="宋体"/>
                <w:szCs w:val="21"/>
              </w:rPr>
            </w:pPr>
            <w:r>
              <w:rPr>
                <w:rFonts w:hint="eastAsia" w:ascii="宋体" w:hAnsi="宋体" w:eastAsia="宋体" w:cs="宋体"/>
                <w:szCs w:val="21"/>
              </w:rPr>
              <w:t>一、进口产品说明：</w:t>
            </w:r>
          </w:p>
          <w:p w14:paraId="55E4EAC3">
            <w:pPr>
              <w:snapToGrid w:val="0"/>
              <w:spacing w:line="360" w:lineRule="auto"/>
              <w:jc w:val="left"/>
              <w:rPr>
                <w:rFonts w:hint="eastAsia" w:ascii="宋体" w:hAnsi="宋体" w:eastAsia="宋体" w:cs="宋体"/>
                <w:szCs w:val="21"/>
              </w:rPr>
            </w:pPr>
            <w:r>
              <w:rPr>
                <w:rFonts w:hint="eastAsia" w:ascii="宋体" w:hAnsi="宋体" w:eastAsia="宋体" w:cs="宋体"/>
                <w:szCs w:val="21"/>
              </w:rPr>
              <w:t>□本项目已按规定办妥进口产品采购审核手续，投标产品可选用进口产品；但如选用进口产品时必须为全套原装进口产品（即通过中国海关报关验放进入中国境内且产自关境外的产品）并</w:t>
            </w:r>
            <w:r>
              <w:rPr>
                <w:rFonts w:hint="eastAsia" w:ascii="宋体" w:hAnsi="宋体" w:eastAsia="宋体" w:cs="宋体"/>
                <w:kern w:val="0"/>
                <w:szCs w:val="21"/>
                <w:lang w:bidi="ar"/>
              </w:rPr>
              <w:t>提供原厂商或中国大陆有效代理商出具有效授权书原件和有效的售后服务承诺书原件</w:t>
            </w:r>
            <w:r>
              <w:rPr>
                <w:rFonts w:hint="eastAsia" w:ascii="宋体" w:hAnsi="宋体" w:eastAsia="宋体" w:cs="宋体"/>
                <w:szCs w:val="21"/>
              </w:rPr>
              <w:t>，同时投标人必须负责办理进口产品所有相关手续并承担所有费用。优先采购向我国企业转让技术、与我国企业签订消化吸收再创新方案的投标人的进口产品。其他货物不接受进口产品参与投标，否则作无效投标处理。</w:t>
            </w:r>
          </w:p>
          <w:p w14:paraId="46098BF4">
            <w:pPr>
              <w:snapToGrid w:val="0"/>
              <w:spacing w:line="360" w:lineRule="auto"/>
              <w:jc w:val="left"/>
              <w:rPr>
                <w:rFonts w:hint="eastAsia" w:ascii="宋体" w:hAnsi="宋体" w:eastAsia="宋体" w:cs="宋体"/>
                <w:szCs w:val="21"/>
              </w:rPr>
            </w:pPr>
            <w:r>
              <w:rPr>
                <w:rFonts w:hint="eastAsia" w:ascii="宋体" w:hAnsi="宋体" w:eastAsia="宋体" w:cs="宋体"/>
                <w:szCs w:val="21"/>
              </w:rPr>
              <w:t>☑本项目货物所涉及的货物不接受进口产品（即通过中国海关报关验放进入中国境内且产自关境外的产品）参与投标，如有进口产品参与投标的作无效投标处理。</w:t>
            </w:r>
          </w:p>
          <w:p w14:paraId="5F5A81DE">
            <w:pPr>
              <w:snapToGrid w:val="0"/>
              <w:spacing w:line="360" w:lineRule="auto"/>
              <w:jc w:val="left"/>
              <w:rPr>
                <w:rFonts w:hint="eastAsia" w:ascii="宋体" w:hAnsi="宋体" w:eastAsia="宋体" w:cs="宋体"/>
                <w:kern w:val="0"/>
                <w:szCs w:val="21"/>
                <w:lang w:bidi="ar"/>
              </w:rPr>
            </w:pPr>
            <w:r>
              <w:rPr>
                <w:rFonts w:hint="eastAsia" w:ascii="宋体" w:hAnsi="宋体" w:eastAsia="宋体" w:cs="宋体"/>
                <w:kern w:val="0"/>
                <w:szCs w:val="21"/>
                <w:lang w:bidi="ar"/>
              </w:rPr>
              <w:t>二、根据《国务院办公厅关于在政府采购中实施本国产品标准及相关政策的通知》（国办发〔2025〕34号）的规定，政府采购活动中既有本国产品又有非本国产品参与竞争的，依法对符合政策要求的本国产品给予价格评审优惠，具体详见“第四章 评标方法和评标标准”。产品在中国境内生产的组件成本，按照《中国境内生产的组件成本核算基本规则》（见附件3）计算。</w:t>
            </w:r>
          </w:p>
          <w:p w14:paraId="4EA12BE5">
            <w:pPr>
              <w:snapToGrid w:val="0"/>
              <w:spacing w:line="360" w:lineRule="auto"/>
              <w:jc w:val="left"/>
              <w:rPr>
                <w:rFonts w:hint="eastAsia" w:ascii="宋体" w:hAnsi="宋体" w:eastAsia="宋体" w:cs="宋体"/>
                <w:kern w:val="0"/>
                <w:szCs w:val="21"/>
                <w:lang w:bidi="ar"/>
              </w:rPr>
            </w:pPr>
            <w:r>
              <w:rPr>
                <w:rFonts w:hint="eastAsia" w:ascii="宋体" w:hAnsi="宋体" w:eastAsia="宋体" w:cs="宋体"/>
                <w:kern w:val="0"/>
                <w:szCs w:val="21"/>
                <w:lang w:bidi="ar"/>
              </w:rPr>
              <w:t>三、与本项目有关的设计图纸、技术规范、文件等附件资料及其获取方式：</w:t>
            </w:r>
          </w:p>
          <w:p w14:paraId="4EA49E57">
            <w:pPr>
              <w:snapToGrid w:val="0"/>
              <w:spacing w:line="360" w:lineRule="auto"/>
              <w:jc w:val="left"/>
              <w:rPr>
                <w:rFonts w:hint="eastAsia" w:ascii="宋体" w:hAnsi="宋体" w:eastAsia="宋体" w:cs="宋体"/>
                <w:kern w:val="0"/>
                <w:szCs w:val="21"/>
                <w:lang w:bidi="ar"/>
              </w:rPr>
            </w:pPr>
            <w:r>
              <w:rPr>
                <w:rFonts w:hint="eastAsia" w:ascii="宋体" w:hAnsi="宋体" w:eastAsia="宋体" w:cs="宋体"/>
                <w:kern w:val="0"/>
                <w:szCs w:val="21"/>
                <w:lang w:bidi="ar"/>
              </w:rPr>
              <w:t>文件或者资料名称：无</w:t>
            </w:r>
          </w:p>
          <w:p w14:paraId="18818EDB">
            <w:pPr>
              <w:snapToGrid w:val="0"/>
              <w:spacing w:line="360" w:lineRule="auto"/>
              <w:jc w:val="left"/>
              <w:rPr>
                <w:rFonts w:hint="eastAsia" w:ascii="宋体" w:hAnsi="宋体" w:eastAsia="宋体" w:cs="宋体"/>
                <w:kern w:val="0"/>
                <w:szCs w:val="21"/>
                <w:lang w:bidi="ar"/>
              </w:rPr>
            </w:pPr>
            <w:r>
              <w:rPr>
                <w:rFonts w:hint="eastAsia" w:ascii="宋体" w:hAnsi="宋体" w:eastAsia="宋体" w:cs="宋体"/>
                <w:kern w:val="0"/>
                <w:szCs w:val="21"/>
                <w:lang w:bidi="ar"/>
              </w:rPr>
              <w:t xml:space="preserve">公布渠道或者获取方式：无        </w:t>
            </w:r>
          </w:p>
          <w:p w14:paraId="53F1F78A">
            <w:pPr>
              <w:snapToGrid w:val="0"/>
              <w:spacing w:line="360" w:lineRule="auto"/>
              <w:jc w:val="left"/>
              <w:rPr>
                <w:rFonts w:hint="eastAsia" w:ascii="宋体" w:hAnsi="宋体" w:eastAsia="宋体" w:cs="宋体"/>
                <w:szCs w:val="21"/>
                <w:shd w:val="clear" w:color="auto" w:fill="FFFFFF"/>
              </w:rPr>
            </w:pPr>
            <w:r>
              <w:rPr>
                <w:rFonts w:hint="eastAsia" w:ascii="宋体" w:hAnsi="宋体" w:eastAsia="宋体" w:cs="宋体"/>
                <w:szCs w:val="21"/>
                <w:shd w:val="clear" w:color="auto" w:fill="FFFFFF"/>
              </w:rPr>
              <w:t>四、核心产品：</w:t>
            </w:r>
          </w:p>
          <w:p w14:paraId="02E452EB">
            <w:pPr>
              <w:snapToGrid w:val="0"/>
              <w:spacing w:line="360" w:lineRule="auto"/>
              <w:jc w:val="left"/>
              <w:rPr>
                <w:rFonts w:hint="eastAsia" w:ascii="宋体" w:hAnsi="宋体" w:eastAsia="宋体" w:cs="宋体"/>
                <w:szCs w:val="21"/>
              </w:rPr>
            </w:pPr>
            <w:r>
              <w:rPr>
                <w:rFonts w:hint="eastAsia" w:ascii="宋体" w:hAnsi="宋体" w:eastAsia="宋体" w:cs="宋体"/>
                <w:szCs w:val="21"/>
              </w:rPr>
              <w:t>本项目的核心产品为“需求一览表”中第</w:t>
            </w:r>
            <w:r>
              <w:rPr>
                <w:rFonts w:hint="eastAsia" w:ascii="宋体" w:hAnsi="宋体" w:eastAsia="宋体" w:cs="宋体"/>
                <w:szCs w:val="21"/>
                <w:u w:val="single"/>
              </w:rPr>
              <w:t xml:space="preserve"> 5 </w:t>
            </w:r>
            <w:r>
              <w:rPr>
                <w:rFonts w:hint="eastAsia" w:ascii="宋体" w:hAnsi="宋体" w:eastAsia="宋体" w:cs="宋体"/>
                <w:szCs w:val="21"/>
              </w:rPr>
              <w:t>项产品：</w:t>
            </w:r>
            <w:r>
              <w:rPr>
                <w:rFonts w:hint="eastAsia" w:ascii="宋体" w:hAnsi="宋体" w:eastAsia="宋体" w:cs="宋体"/>
                <w:szCs w:val="21"/>
                <w:u w:val="single"/>
              </w:rPr>
              <w:t xml:space="preserve">液相色谱串联质谱联用仪 </w:t>
            </w:r>
            <w:r>
              <w:rPr>
                <w:rFonts w:hint="eastAsia" w:ascii="宋体" w:hAnsi="宋体" w:eastAsia="宋体" w:cs="宋体"/>
                <w:szCs w:val="21"/>
              </w:rPr>
              <w:t>。</w:t>
            </w:r>
          </w:p>
        </w:tc>
      </w:tr>
    </w:tbl>
    <w:p w14:paraId="014BDBA2">
      <w:pPr>
        <w:spacing w:line="428" w:lineRule="exact"/>
        <w:ind w:left="119"/>
        <w:rPr>
          <w:rFonts w:hint="eastAsia" w:ascii="宋体" w:hAnsi="宋体" w:eastAsia="宋体" w:cs="宋体"/>
          <w:b/>
          <w:bCs/>
          <w:sz w:val="24"/>
        </w:rPr>
      </w:pPr>
      <w:r>
        <w:rPr>
          <w:rFonts w:hint="eastAsia" w:ascii="宋体" w:hAnsi="宋体" w:eastAsia="宋体" w:cs="宋体"/>
          <w:b/>
          <w:bCs/>
          <w:sz w:val="24"/>
        </w:rPr>
        <w:br w:type="page"/>
      </w:r>
    </w:p>
    <w:tbl>
      <w:tblPr>
        <w:tblStyle w:val="4"/>
        <w:tblW w:w="96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6"/>
        <w:gridCol w:w="1090"/>
        <w:gridCol w:w="780"/>
        <w:gridCol w:w="7277"/>
      </w:tblGrid>
      <w:tr w14:paraId="4302E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23" w:type="dxa"/>
            <w:gridSpan w:val="4"/>
            <w:tcBorders>
              <w:top w:val="single" w:color="auto" w:sz="4" w:space="0"/>
              <w:left w:val="single" w:color="auto" w:sz="4" w:space="0"/>
              <w:right w:val="single" w:color="auto" w:sz="4" w:space="0"/>
            </w:tcBorders>
            <w:noWrap/>
            <w:vAlign w:val="center"/>
          </w:tcPr>
          <w:p w14:paraId="31945C70">
            <w:pPr>
              <w:snapToGrid w:val="0"/>
              <w:spacing w:line="360" w:lineRule="exact"/>
              <w:ind w:left="-107" w:leftChars="-51" w:right="-107" w:rightChars="-51"/>
              <w:jc w:val="center"/>
              <w:rPr>
                <w:rFonts w:hint="eastAsia" w:ascii="宋体" w:hAnsi="宋体" w:eastAsia="宋体" w:cs="宋体"/>
                <w:b/>
                <w:szCs w:val="21"/>
              </w:rPr>
            </w:pPr>
            <w:r>
              <w:rPr>
                <w:rFonts w:hint="eastAsia" w:ascii="宋体" w:hAnsi="宋体" w:eastAsia="宋体" w:cs="宋体"/>
                <w:b/>
                <w:szCs w:val="21"/>
              </w:rPr>
              <w:t>需求一览表（标项三）</w:t>
            </w:r>
          </w:p>
        </w:tc>
      </w:tr>
      <w:tr w14:paraId="663F0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top w:val="single" w:color="auto" w:sz="4" w:space="0"/>
              <w:left w:val="single" w:color="auto" w:sz="4" w:space="0"/>
              <w:right w:val="single" w:color="auto" w:sz="4" w:space="0"/>
            </w:tcBorders>
            <w:noWrap/>
            <w:vAlign w:val="center"/>
          </w:tcPr>
          <w:p w14:paraId="73552C7B">
            <w:pPr>
              <w:snapToGrid w:val="0"/>
              <w:spacing w:line="360" w:lineRule="exact"/>
              <w:jc w:val="center"/>
              <w:rPr>
                <w:rFonts w:ascii="宋体" w:hAnsi="宋体" w:eastAsia="宋体" w:cs="宋体"/>
                <w:b/>
                <w:szCs w:val="21"/>
              </w:rPr>
            </w:pPr>
            <w:r>
              <w:rPr>
                <w:rFonts w:hint="eastAsia" w:ascii="宋体" w:hAnsi="宋体" w:eastAsia="宋体" w:cs="宋体"/>
                <w:b/>
                <w:szCs w:val="21"/>
              </w:rPr>
              <w:t>序号</w:t>
            </w:r>
          </w:p>
        </w:tc>
        <w:tc>
          <w:tcPr>
            <w:tcW w:w="1090" w:type="dxa"/>
            <w:tcBorders>
              <w:top w:val="single" w:color="auto" w:sz="4" w:space="0"/>
              <w:left w:val="nil"/>
              <w:bottom w:val="single" w:color="auto" w:sz="4" w:space="0"/>
              <w:right w:val="single" w:color="auto" w:sz="4" w:space="0"/>
            </w:tcBorders>
            <w:noWrap/>
            <w:vAlign w:val="center"/>
          </w:tcPr>
          <w:p w14:paraId="605434DC">
            <w:pPr>
              <w:snapToGrid w:val="0"/>
              <w:spacing w:line="360" w:lineRule="exact"/>
              <w:jc w:val="center"/>
              <w:rPr>
                <w:rFonts w:ascii="宋体" w:hAnsi="宋体" w:eastAsia="宋体" w:cs="宋体"/>
                <w:b/>
                <w:szCs w:val="21"/>
              </w:rPr>
            </w:pPr>
            <w:r>
              <w:rPr>
                <w:rFonts w:hint="eastAsia" w:ascii="宋体" w:hAnsi="宋体" w:eastAsia="宋体" w:cs="宋体"/>
                <w:b/>
                <w:szCs w:val="21"/>
              </w:rPr>
              <w:t>标的名称</w:t>
            </w:r>
          </w:p>
        </w:tc>
        <w:tc>
          <w:tcPr>
            <w:tcW w:w="780" w:type="dxa"/>
            <w:tcBorders>
              <w:top w:val="single" w:color="auto" w:sz="4" w:space="0"/>
              <w:left w:val="nil"/>
              <w:bottom w:val="single" w:color="auto" w:sz="4" w:space="0"/>
              <w:right w:val="single" w:color="auto" w:sz="4" w:space="0"/>
            </w:tcBorders>
            <w:noWrap/>
            <w:vAlign w:val="center"/>
          </w:tcPr>
          <w:p w14:paraId="5E3B3E58">
            <w:pPr>
              <w:snapToGrid w:val="0"/>
              <w:spacing w:line="360" w:lineRule="exact"/>
              <w:ind w:left="-107" w:leftChars="-51" w:right="-107" w:rightChars="-51"/>
              <w:jc w:val="center"/>
              <w:rPr>
                <w:rFonts w:ascii="宋体" w:hAnsi="宋体" w:eastAsia="宋体" w:cs="宋体"/>
                <w:b/>
                <w:szCs w:val="21"/>
              </w:rPr>
            </w:pPr>
            <w:r>
              <w:rPr>
                <w:rFonts w:hint="eastAsia" w:ascii="宋体" w:hAnsi="宋体" w:eastAsia="宋体" w:cs="宋体"/>
                <w:b/>
                <w:szCs w:val="21"/>
              </w:rPr>
              <w:t>数量及单位</w:t>
            </w:r>
          </w:p>
        </w:tc>
        <w:tc>
          <w:tcPr>
            <w:tcW w:w="7277" w:type="dxa"/>
            <w:tcBorders>
              <w:top w:val="single" w:color="auto" w:sz="4" w:space="0"/>
              <w:left w:val="nil"/>
              <w:bottom w:val="single" w:color="auto" w:sz="4" w:space="0"/>
              <w:right w:val="single" w:color="auto" w:sz="4" w:space="0"/>
            </w:tcBorders>
            <w:noWrap/>
            <w:vAlign w:val="center"/>
          </w:tcPr>
          <w:p w14:paraId="69E22890">
            <w:pPr>
              <w:snapToGrid w:val="0"/>
              <w:spacing w:line="360" w:lineRule="exact"/>
              <w:ind w:left="-107" w:leftChars="-51" w:right="-107" w:rightChars="-51"/>
              <w:jc w:val="center"/>
              <w:rPr>
                <w:rFonts w:ascii="宋体" w:hAnsi="宋体" w:eastAsia="宋体" w:cs="宋体"/>
                <w:b/>
                <w:szCs w:val="21"/>
              </w:rPr>
            </w:pPr>
            <w:r>
              <w:rPr>
                <w:rFonts w:hint="eastAsia" w:ascii="宋体" w:hAnsi="宋体" w:eastAsia="宋体" w:cs="宋体"/>
                <w:b/>
                <w:szCs w:val="21"/>
              </w:rPr>
              <w:t>技术参数及配置</w:t>
            </w:r>
          </w:p>
        </w:tc>
      </w:tr>
      <w:tr w14:paraId="6FF2D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39064CB3">
            <w:pPr>
              <w:spacing w:line="360" w:lineRule="auto"/>
              <w:jc w:val="center"/>
              <w:rPr>
                <w:rFonts w:ascii="Times New Roman" w:hAnsi="Times New Roman" w:eastAsia="宋体" w:cs="Times New Roman"/>
                <w:szCs w:val="21"/>
              </w:rPr>
            </w:pPr>
            <w:r>
              <w:rPr>
                <w:rFonts w:hint="eastAsia" w:ascii="宋体" w:hAnsi="宋体" w:eastAsia="宋体" w:cs="Times New Roman"/>
                <w:szCs w:val="21"/>
              </w:rPr>
              <w:t>1</w:t>
            </w:r>
          </w:p>
        </w:tc>
        <w:tc>
          <w:tcPr>
            <w:tcW w:w="1090" w:type="dxa"/>
            <w:tcBorders>
              <w:top w:val="single" w:color="auto" w:sz="4" w:space="0"/>
              <w:left w:val="nil"/>
              <w:bottom w:val="single" w:color="auto" w:sz="4" w:space="0"/>
              <w:right w:val="single" w:color="auto" w:sz="4" w:space="0"/>
            </w:tcBorders>
            <w:noWrap/>
            <w:vAlign w:val="center"/>
          </w:tcPr>
          <w:p w14:paraId="08C95DCA">
            <w:pPr>
              <w:widowControl/>
              <w:jc w:val="center"/>
              <w:textAlignment w:val="center"/>
              <w:rPr>
                <w:rFonts w:ascii="Times New Roman" w:hAnsi="Times New Roman" w:eastAsia="宋体" w:cs="Times New Roman"/>
                <w:szCs w:val="21"/>
              </w:rPr>
            </w:pPr>
            <w:r>
              <w:rPr>
                <w:rFonts w:hint="eastAsia" w:ascii="宋体" w:hAnsi="宋体" w:eastAsia="宋体" w:cs="宋体"/>
                <w:color w:val="000000"/>
                <w:kern w:val="0"/>
                <w:sz w:val="22"/>
                <w:szCs w:val="22"/>
                <w:lang w:bidi="ar"/>
              </w:rPr>
              <w:t>超纯水机</w:t>
            </w:r>
          </w:p>
        </w:tc>
        <w:tc>
          <w:tcPr>
            <w:tcW w:w="780" w:type="dxa"/>
            <w:tcBorders>
              <w:top w:val="single" w:color="auto" w:sz="4" w:space="0"/>
              <w:left w:val="nil"/>
              <w:bottom w:val="single" w:color="auto" w:sz="4" w:space="0"/>
              <w:right w:val="single" w:color="auto" w:sz="4" w:space="0"/>
            </w:tcBorders>
            <w:noWrap/>
            <w:vAlign w:val="center"/>
          </w:tcPr>
          <w:p w14:paraId="58983F80">
            <w:pPr>
              <w:widowControl/>
              <w:jc w:val="center"/>
              <w:textAlignment w:val="center"/>
              <w:rPr>
                <w:rFonts w:ascii="Times New Roman" w:hAnsi="Times New Roman" w:eastAsia="宋体" w:cs="Times New Roman"/>
                <w:szCs w:val="21"/>
              </w:rPr>
            </w:pPr>
            <w:r>
              <w:rPr>
                <w:rFonts w:hint="eastAsia" w:ascii="Times New Roman" w:hAnsi="Times New Roman" w:eastAsia="宋体" w:cs="Times New Roman"/>
                <w:szCs w:val="21"/>
              </w:rPr>
              <w:t>1台</w:t>
            </w:r>
          </w:p>
        </w:tc>
        <w:tc>
          <w:tcPr>
            <w:tcW w:w="7277" w:type="dxa"/>
            <w:tcBorders>
              <w:top w:val="single" w:color="auto" w:sz="4" w:space="0"/>
              <w:left w:val="nil"/>
              <w:bottom w:val="single" w:color="auto" w:sz="4" w:space="0"/>
              <w:right w:val="single" w:color="auto" w:sz="4" w:space="0"/>
            </w:tcBorders>
            <w:noWrap/>
            <w:vAlign w:val="center"/>
          </w:tcPr>
          <w:p w14:paraId="6D92C2D4">
            <w:pPr>
              <w:widowControl/>
              <w:spacing w:line="360" w:lineRule="auto"/>
              <w:jc w:val="left"/>
              <w:textAlignment w:val="center"/>
              <w:rPr>
                <w:rFonts w:ascii="宋体" w:hAnsi="宋体" w:eastAsia="宋体" w:cs="宋体"/>
                <w:szCs w:val="21"/>
              </w:rPr>
            </w:pPr>
            <w:r>
              <w:rPr>
                <w:rFonts w:hint="eastAsia" w:ascii="宋体" w:hAnsi="宋体" w:eastAsia="宋体" w:cs="宋体"/>
                <w:color w:val="000000"/>
                <w:kern w:val="0"/>
                <w:sz w:val="22"/>
                <w:szCs w:val="22"/>
                <w:lang w:bidi="ar"/>
              </w:rPr>
              <w:t>一、主机技术参数</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1.1、进水条件：以自来水作为进水水源，进水硬度高的地区，</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进水压力0.1-0.4MPa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1.2、产水水质：RO水电导率≤进水电导率x2%、有机物去除率&gt;99%，当分子量&gt;200道尔顿时、颗粒和微生物去除率&gt;99%、去离子产水≥15MΩ.cm@25℃、产水速度≥60L/H。</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1.3、主机采用多级独立过滤系统（三级预处理组件、反渗透膜组件、离子交换组件、双波长紫外灯、终端除菌）制作出实验室一级水、内置20升钢制压力水箱（储存RO水），避免纯水与空气接触带来的污染 、配有约7英寸触摸屏控制系统、主机外壳材质选用ABS阻燃工程塑料、双波长(185nm&amp;254nm)UV紫外灯组件，有效杀菌降低TOC</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二、末端主机技术参数</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2.1、进水条件：反渗透水、纯化水、蒸馏水或去离子水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2.2、产水水质：电阻率18.2MΩ.cm@25℃、重金属离子＜0.01ppb、细菌＜0.01cfu/ml、颗粒物（＞0.22μm）＜1/ml、总有机碳(TOC)≤2ppb、热原(内毒素)&lt;0.001Eu/ml、核糖核酸酶（RNases)&lt;1pg/ml、脱氧核糖核酸酶（DNases)&lt;5pg/ml。</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2.3、具有手动取水及定量取水两种取水方式可选择、取水时显示当前取水流量、累计取水量、取水水质、水温以及水箱储水量、定量取水功能，从10ml-999999ml任意设定、定质取水功能，从1-18.25 MΩ.cm任意设定、高精度电导和电阻率监测仪，电导电极常数达到1.0cm-1，电阻电极常数达到0.02cm-1，带温度自动补偿功能，温度灵敏度达到0.1℃，确保水质监测的准确性，具有超纯水全管路加消毒药片消毒功能，可实现循环消毒、取水口消毒、水箱补水、手动排污。</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2.4、配置带有8英寸触摸屏带TOC显示的远程取水臂，自带循环管路，实现超纯水持续循环，保持最高级别水质，取水臂支架，可自由上下移动，具备定量取水功能，可实时显示超纯水电阻率、水温、流速和取水量信息</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2.5、采用特殊的EDI技术及模块，无需添加软化剂、化学再生或更换DI柱即可稳定获得5MΩ.cm(25℃)以上，典型值15MΩ.cm(25℃)以上，TOC&lt;30ppb的Ⅱ级纯水，可降低运行成本和减少废水排放</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2.6、系统配备同品牌60升储水箱，由HDPE聚乙烯材料制造，外层加入抗UV助剂，内层使用纯PE原料，水箱需采用锥形底设计，桶体桶底部安装有排水阀，可排空水箱储水，水箱需标配复合空气滤器，可吸附CO</w:t>
            </w:r>
            <w:r>
              <w:rPr>
                <w:rFonts w:hint="eastAsia" w:ascii="宋体" w:hAnsi="宋体" w:eastAsia="宋体" w:cs="宋体"/>
                <w:color w:val="000000"/>
                <w:kern w:val="0"/>
                <w:sz w:val="22"/>
                <w:szCs w:val="22"/>
                <w:vertAlign w:val="subscript"/>
                <w:lang w:bidi="ar"/>
              </w:rPr>
              <w:t>2</w:t>
            </w:r>
            <w:r>
              <w:rPr>
                <w:rFonts w:hint="eastAsia" w:ascii="宋体" w:hAnsi="宋体" w:eastAsia="宋体" w:cs="宋体"/>
                <w:color w:val="000000"/>
                <w:kern w:val="0"/>
                <w:sz w:val="22"/>
                <w:szCs w:val="22"/>
                <w:lang w:bidi="ar"/>
              </w:rPr>
              <w:t>和有机物，水箱需具有独立的LCD显示功能，采用压力传感器进行液位测量，水箱液面等信息均可通过水箱LCD显示屏同步显示，水箱内表面光洁度Ra≤0.6um，达到无菌水箱标准、供货时随机提供具备资质的检测机构出具的检测报告扫描件佐证该项技术指标；</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▲2.7、管道材料耐液体化学试剂性能测试无可见变化，供货时须提供具备资质的检测机构出具的检测报告扫描件佐证该项技术指标；</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2.8、仪器柜带进水排水水池一张：规格≥1450*745*850MM，全钢1.0MM厚镀锌钢板表面内胆采用防酸碱、防腐蚀不与硫酸盐酸反应喷涂技术，门板为密封结构、层板可随意自由调节高度，绝缘防腐层板材质一次冲压成型压力测试承重≥400kg/块（相当于4KN以上）、绝缘材料涂层（根据静电敏感环境区分标准，电阻率高于10的12次方以上为绝缘体）、高温650度以上烧制而成具有耐钢制尖锐物品刮不脱涂层特点（650度以上5分钟测试表面无可见变化为合格），经高温烧制后可承受分析纯浓硫酸测试浸泡24小时（24小时浸泡测试表面涂层无变化为合格）、（24小时浸泡测试表面涂层无变化为合格）{检测方法：测试条件:硫酸(AR)，完全浸泡，23℃℃，24h}、表面经刀或金属利器剐蹭后倒入98%强酸或者饱和氢氧化钠浸泡30天无腐蚀反应，供货时须提供具备资质的检测机构出具的检测报告扫描件佐证该项技术指标</w:t>
            </w:r>
            <w:r>
              <w:rPr>
                <w:rFonts w:hint="eastAsia" w:ascii="Times New Roman" w:hAnsi="Times New Roman" w:eastAsia="宋体" w:cs="Times New Roman"/>
              </w:rPr>
              <w:t>；</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三.配置清单</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1.超纯水系统1台</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2.痕量元素型终端超纯水机1台</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3.预处理纯化柱1根</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4.颗粒活性炭纯化柱1根</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5.活性炭棒纯化柱1根</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6.RO反渗透膜1根</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7.超纯化柱1组</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8.(185&amp;254nm)双波长紫外灯组件1组</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9.超滤组件1组</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10.精密纯化柱1个</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11.双连体超痕量纯化柱1组</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12.EDI模块一组</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13.60升PE液位水箱1套</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14.0.2μm终端过滤器2个</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15.超纯水远程取水臂1个</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16.仪器柜带进水排水水池一张</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附件包、说明书等辅助工具1套</w:t>
            </w:r>
          </w:p>
        </w:tc>
      </w:tr>
      <w:tr w14:paraId="736F1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3AFC8F4D">
            <w:pPr>
              <w:spacing w:line="360" w:lineRule="auto"/>
              <w:jc w:val="center"/>
              <w:rPr>
                <w:rFonts w:hint="eastAsia" w:ascii="宋体" w:hAnsi="宋体" w:eastAsia="宋体" w:cs="Times New Roman"/>
                <w:szCs w:val="21"/>
              </w:rPr>
            </w:pPr>
            <w:r>
              <w:rPr>
                <w:rFonts w:hint="eastAsia" w:ascii="宋体" w:hAnsi="宋体" w:eastAsia="宋体" w:cs="Times New Roman"/>
                <w:szCs w:val="21"/>
              </w:rPr>
              <w:t>2</w:t>
            </w:r>
          </w:p>
        </w:tc>
        <w:tc>
          <w:tcPr>
            <w:tcW w:w="1090" w:type="dxa"/>
            <w:tcBorders>
              <w:top w:val="single" w:color="auto" w:sz="4" w:space="0"/>
              <w:left w:val="nil"/>
              <w:bottom w:val="single" w:color="auto" w:sz="4" w:space="0"/>
              <w:right w:val="single" w:color="auto" w:sz="4" w:space="0"/>
            </w:tcBorders>
            <w:noWrap/>
            <w:vAlign w:val="center"/>
          </w:tcPr>
          <w:p w14:paraId="1E2B37AF">
            <w:pPr>
              <w:widowControl/>
              <w:jc w:val="center"/>
              <w:textAlignment w:val="center"/>
              <w:rPr>
                <w:rFonts w:ascii="Times New Roman" w:hAnsi="Times New Roman" w:eastAsia="宋体" w:cs="Times New Roman"/>
                <w:szCs w:val="21"/>
              </w:rPr>
            </w:pPr>
            <w:r>
              <w:rPr>
                <w:rFonts w:hint="eastAsia" w:ascii="宋体" w:hAnsi="宋体" w:eastAsia="宋体" w:cs="宋体"/>
                <w:color w:val="000000"/>
                <w:kern w:val="0"/>
                <w:sz w:val="22"/>
                <w:szCs w:val="22"/>
                <w:lang w:bidi="ar"/>
              </w:rPr>
              <w:t>高效液相色谱仪</w:t>
            </w:r>
          </w:p>
        </w:tc>
        <w:tc>
          <w:tcPr>
            <w:tcW w:w="780" w:type="dxa"/>
            <w:tcBorders>
              <w:top w:val="single" w:color="auto" w:sz="4" w:space="0"/>
              <w:left w:val="nil"/>
              <w:bottom w:val="single" w:color="auto" w:sz="4" w:space="0"/>
              <w:right w:val="single" w:color="auto" w:sz="4" w:space="0"/>
            </w:tcBorders>
            <w:noWrap/>
            <w:vAlign w:val="center"/>
          </w:tcPr>
          <w:p w14:paraId="3E6E22ED">
            <w:pPr>
              <w:widowControl/>
              <w:jc w:val="center"/>
              <w:textAlignment w:val="center"/>
              <w:rPr>
                <w:rFonts w:ascii="Times New Roman" w:hAnsi="Times New Roman" w:eastAsia="宋体" w:cs="Times New Roman"/>
                <w:szCs w:val="21"/>
              </w:rPr>
            </w:pPr>
            <w:r>
              <w:rPr>
                <w:rFonts w:hint="eastAsia" w:ascii="Times New Roman" w:hAnsi="Times New Roman" w:eastAsia="宋体" w:cs="Times New Roman"/>
              </w:rPr>
              <w:t>1台</w:t>
            </w:r>
          </w:p>
        </w:tc>
        <w:tc>
          <w:tcPr>
            <w:tcW w:w="7277" w:type="dxa"/>
            <w:tcBorders>
              <w:top w:val="single" w:color="auto" w:sz="4" w:space="0"/>
              <w:left w:val="nil"/>
              <w:bottom w:val="single" w:color="auto" w:sz="4" w:space="0"/>
              <w:right w:val="single" w:color="auto" w:sz="4" w:space="0"/>
            </w:tcBorders>
            <w:noWrap/>
            <w:vAlign w:val="center"/>
          </w:tcPr>
          <w:p w14:paraId="38FE5AA1">
            <w:pPr>
              <w:widowControl/>
              <w:spacing w:line="360" w:lineRule="auto"/>
              <w:jc w:val="left"/>
              <w:textAlignment w:val="center"/>
              <w:rPr>
                <w:rFonts w:ascii="宋体" w:hAnsi="宋体" w:eastAsia="宋体" w:cs="宋体"/>
                <w:szCs w:val="21"/>
              </w:rPr>
            </w:pPr>
            <w:r>
              <w:rPr>
                <w:rFonts w:hint="eastAsia" w:ascii="宋体" w:hAnsi="宋体" w:eastAsia="宋体" w:cs="宋体"/>
                <w:color w:val="000000"/>
                <w:kern w:val="0"/>
                <w:sz w:val="22"/>
                <w:szCs w:val="22"/>
                <w:lang w:bidi="ar"/>
              </w:rPr>
              <w:t>1.操作环境</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1.1工作电压：220V ±10%，单相</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1.2工作温度：4-35℃</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1.3相对湿度：小于80%</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2.系统控制器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2.1可连接单元：溶剂输送单元：4个，自动进样器：1个，柱温箱：4个，检测器：3个</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2.2最多可连接单元：8(含溶剂输送单元)</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2.3操作温度范围：4~35℃</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2.4电源：由输液单元提供</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2.5工作站：工作站控制；</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3.输液泵</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3.1泵型：必须为微体积并联双柱塞泵，不接受串联方式</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3.2物理双泵头 ：无需脉冲阻尼器，减少系统体积，如果是阻尼器设计则视为不满足</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▲3.3流速范围：0.0001-8.0000mL/min，流速范围0.0001精确到小数点后</w:t>
            </w:r>
            <w:r>
              <w:rPr>
                <w:rFonts w:hint="eastAsia" w:ascii="宋体" w:hAnsi="宋体" w:eastAsia="宋体" w:cs="宋体"/>
                <w:color w:val="000000"/>
                <w:kern w:val="0"/>
                <w:sz w:val="22"/>
                <w:szCs w:val="22"/>
                <w:lang w:val="en-US" w:eastAsia="zh-CN" w:bidi="ar"/>
              </w:rPr>
              <w:t>4</w:t>
            </w:r>
            <w:r>
              <w:rPr>
                <w:rFonts w:hint="eastAsia" w:ascii="宋体" w:hAnsi="宋体" w:eastAsia="宋体" w:cs="宋体"/>
                <w:color w:val="000000"/>
                <w:kern w:val="0"/>
                <w:sz w:val="22"/>
                <w:szCs w:val="22"/>
                <w:lang w:bidi="ar"/>
              </w:rPr>
              <w:t>位（投标文件提供软件操作界面截图）</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3.4耐压：44Mpa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3.5流速精确度：≤0.062％RSD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3.6混合器控温 ：可实现流动相快速、稳定混合</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3.7梯度型：高压梯度(2种或3种溶剂)；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3.8浓度梯度范围：0~100%(0.1%步进)</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3.9自我诊断/自我恢复：自动检测到批处理分析过程中意外混入的气泡，自动执行排气，快速恢复至正常分析状态。</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3.10智能流量控制功能，使流速逐步上升至目标流速防止瞬间高压损害色谱柱。</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3.11 pH范围：1–14</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4.脱气机</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4.1流路数目：5路</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4.2脱气流路体积：400µL/每流路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5.可升级流动相精灵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▲5.1流动相精灵：自动计算批处理分析所需流动相总量，实时监测余量并可推送提醒信息至智能终端</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5.2可监测流动相数量：≥2</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6.自动进样器</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6.1线性：≥0.9999%</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6.2耐压：44 Mpa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6.3进样周期：≦6.7秒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6.4进样速度：4秒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6.5样品数量 ：160位(1.5mL/2mL样品瓶)</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6.6样品数量扩展：最多可扩展至16000个 样品</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6.7交叉污染 ： ≤0.0005%</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6.8针外润洗和进样口冲洗：标配</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6.9针外壁送液清洗：可扩展支持两路清洗液</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6.10针内壁清洗：可扩展支持3路清洗液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6.11 双进样模式 ：可扩展为支持两条独立流路同时分析</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▲6.12支持多种自动前处理功能：样品稀释、添加、混合、共进样功能、自动衍生等</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6.13智能化样品冷却机制 ，智能控制样品仓内气流走向，充分保持其内部温度，防止样品仓门打开时外部热空气侵入影响样品仓内温度，并放置冷凝的发生。</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7.柱温箱</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▲7.1温度控制型：为保证温度均一性，必须为强制空气循环控温，不接受半导体控温。</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7.2温度控制范围：室温-10℃~95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7.3双重漏液传感器 ：含气体和液体双重传感器</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7.4色谱柱容量：单个柱温箱内可放置250mm×5根；300mm×3根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7.5内置混合器：支持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8.高灵敏度荧光检测器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8.1光源：氙灯</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8.2波长范围： 200~900 nm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8.3光谱带宽：20nm</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8.4波长准确度：±2nm</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8.5波长精度：±0.2nm</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▲8.6S/N：水的拉曼峰≥S/N2000，暗背景下≥S/N10000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8.7检测池：体积12μL，最大耐压2Mpa</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▲8.8池温控制范围：室温-10℃~40℃，1℃步进</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9.二极管阵列检测器</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▲9.1 光源：氘灯和钨灯双光源（投标文件提供软件界面截图证明）</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9.2 二极管数量：1024</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9.3 波长范围：190~750nm</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9.4 漂移：≤0.4×10</w:t>
            </w:r>
            <w:r>
              <w:rPr>
                <w:rFonts w:hint="eastAsia" w:ascii="宋体" w:hAnsi="宋体" w:eastAsia="宋体" w:cs="宋体"/>
                <w:color w:val="000000"/>
                <w:kern w:val="0"/>
                <w:sz w:val="22"/>
                <w:szCs w:val="22"/>
                <w:vertAlign w:val="superscript"/>
                <w:lang w:bidi="ar"/>
              </w:rPr>
              <w:t>-3</w:t>
            </w:r>
            <w:r>
              <w:rPr>
                <w:rFonts w:hint="eastAsia" w:ascii="宋体" w:hAnsi="宋体" w:eastAsia="宋体" w:cs="宋体"/>
                <w:color w:val="000000"/>
                <w:kern w:val="0"/>
                <w:sz w:val="22"/>
                <w:szCs w:val="22"/>
                <w:lang w:bidi="ar"/>
              </w:rPr>
              <w:t>AU/h</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9.5 噪音：≤4.5×10</w:t>
            </w:r>
            <w:r>
              <w:rPr>
                <w:rFonts w:hint="eastAsia" w:ascii="宋体" w:hAnsi="宋体" w:eastAsia="宋体" w:cs="宋体"/>
                <w:color w:val="000000"/>
                <w:kern w:val="0"/>
                <w:sz w:val="22"/>
                <w:szCs w:val="22"/>
                <w:vertAlign w:val="superscript"/>
                <w:lang w:bidi="ar"/>
              </w:rPr>
              <w:t>-6</w:t>
            </w:r>
            <w:r>
              <w:rPr>
                <w:rFonts w:hint="eastAsia" w:ascii="宋体" w:hAnsi="宋体" w:eastAsia="宋体" w:cs="宋体"/>
                <w:color w:val="000000"/>
                <w:kern w:val="0"/>
                <w:sz w:val="22"/>
                <w:szCs w:val="22"/>
                <w:lang w:bidi="ar"/>
              </w:rPr>
              <w:t>AU</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9.6 线性：≥2.4AU</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9.7 温度系数：≤0.3×10</w:t>
            </w:r>
            <w:r>
              <w:rPr>
                <w:rFonts w:hint="eastAsia" w:ascii="宋体" w:hAnsi="宋体" w:eastAsia="宋体" w:cs="宋体"/>
                <w:color w:val="000000"/>
                <w:kern w:val="0"/>
                <w:sz w:val="22"/>
                <w:szCs w:val="22"/>
                <w:vertAlign w:val="superscript"/>
                <w:lang w:bidi="ar"/>
              </w:rPr>
              <w:t>-3</w:t>
            </w:r>
            <w:r>
              <w:rPr>
                <w:rFonts w:hint="eastAsia" w:ascii="宋体" w:hAnsi="宋体" w:eastAsia="宋体" w:cs="宋体"/>
                <w:color w:val="000000"/>
                <w:kern w:val="0"/>
                <w:sz w:val="22"/>
                <w:szCs w:val="22"/>
                <w:lang w:bidi="ar"/>
              </w:rPr>
              <w:t>AU/℃</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9.8 标准池：光程：10mm、池体积：12μL，从进口管前端到流通池中央的体积≥45uL</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▲9.9控温单元：光源，光路系统，流通池，流通池温控：19~50℃、1℃步进（投标文件提供软件操作界面截图）</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9.10 UV截止功能 内置UV截止滤光片(开/关可选)</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9.11可实现共流出化合物的基线分离；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9.12 具有智能动态范围扩展功能；</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9.13流通池ID/光源ID功能：识别流通池与光源的ID，录入数据文件与系统检查报告</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10.色谱工作站</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10.1可将报告、分析结果以及所有操作日志全部汇总到一个PDF文件（报告集）中。制作简单，在安全管理到位的数据库内生成、保管，具有数据完整性功能。另外具有自动峰识别功能、智能峰解卷积功能、动态范围扩展功能；</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10.2具备接入网络化数据管理软件控制同品牌色谱、光谱、质谱，提高仪器网络化管理的便捷及实验室数据的合规（投标文件提供软件截图证明）</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11应用要求：</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11.1.参考GB5009.236-2023食品中维生素D的测定，样品完成制备和皂化步骤后定容过滤取样，样品直接采用在线固相萃取-二维液相色谱法分析，一次进样同时分析维生素A、D2、D3和维生素E的5种同分异构体</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11.2.采用二极管阵列检测器的分析，利用标配软件具备的一键智能提取杂质或共洗脱峰色谱图和光谱图的解析功能，实现重叠峰的准确定量与定性</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12.配置清单</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12.1高精度输液泵   一套</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12.2低压梯度   一套</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12.3五通道脱气机   一套</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12.4制冷自动进样器   一套</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12.5制冷柱温箱   一套</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12.6高灵敏度荧光检测器   一套</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12.7二极管阵列检测器   一套</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12.8色谱工作站  一套</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12.9 系统控制器   一套</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12.10消耗品包（包含： 接头、配管、2mL样品瓶500个、1L流动相瓶5个）   一套</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12.11色谱柱1根</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12.12 控制主机及配套输出设备1套</w:t>
            </w:r>
          </w:p>
        </w:tc>
      </w:tr>
      <w:tr w14:paraId="3737E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7A20BC00">
            <w:pPr>
              <w:spacing w:line="360" w:lineRule="auto"/>
              <w:jc w:val="center"/>
              <w:rPr>
                <w:rFonts w:hint="eastAsia" w:ascii="宋体" w:hAnsi="宋体" w:eastAsia="宋体" w:cs="Times New Roman"/>
                <w:szCs w:val="21"/>
              </w:rPr>
            </w:pPr>
            <w:r>
              <w:rPr>
                <w:rFonts w:hint="eastAsia" w:ascii="宋体" w:hAnsi="宋体" w:eastAsia="宋体" w:cs="Times New Roman"/>
                <w:szCs w:val="21"/>
              </w:rPr>
              <w:t>3</w:t>
            </w:r>
          </w:p>
        </w:tc>
        <w:tc>
          <w:tcPr>
            <w:tcW w:w="1090" w:type="dxa"/>
            <w:tcBorders>
              <w:top w:val="single" w:color="auto" w:sz="4" w:space="0"/>
              <w:left w:val="nil"/>
              <w:bottom w:val="single" w:color="auto" w:sz="4" w:space="0"/>
              <w:right w:val="single" w:color="auto" w:sz="4" w:space="0"/>
            </w:tcBorders>
            <w:noWrap/>
            <w:vAlign w:val="center"/>
          </w:tcPr>
          <w:p w14:paraId="7BB59564">
            <w:pPr>
              <w:widowControl/>
              <w:jc w:val="center"/>
              <w:textAlignment w:val="center"/>
              <w:rPr>
                <w:rFonts w:ascii="Times New Roman" w:hAnsi="Times New Roman" w:eastAsia="宋体" w:cs="Times New Roman"/>
                <w:szCs w:val="21"/>
              </w:rPr>
            </w:pPr>
            <w:r>
              <w:rPr>
                <w:rFonts w:hint="eastAsia" w:ascii="宋体" w:hAnsi="宋体" w:eastAsia="宋体" w:cs="宋体"/>
                <w:color w:val="000000"/>
                <w:kern w:val="0"/>
                <w:sz w:val="22"/>
                <w:szCs w:val="22"/>
                <w:lang w:bidi="ar"/>
              </w:rPr>
              <w:t>高效液相色谱仪</w:t>
            </w:r>
          </w:p>
        </w:tc>
        <w:tc>
          <w:tcPr>
            <w:tcW w:w="780" w:type="dxa"/>
            <w:tcBorders>
              <w:top w:val="single" w:color="auto" w:sz="4" w:space="0"/>
              <w:left w:val="nil"/>
              <w:bottom w:val="single" w:color="auto" w:sz="4" w:space="0"/>
              <w:right w:val="single" w:color="auto" w:sz="4" w:space="0"/>
            </w:tcBorders>
            <w:noWrap/>
            <w:vAlign w:val="center"/>
          </w:tcPr>
          <w:p w14:paraId="538B10CD">
            <w:pPr>
              <w:widowControl/>
              <w:jc w:val="center"/>
              <w:textAlignment w:val="center"/>
              <w:rPr>
                <w:rFonts w:ascii="Times New Roman" w:hAnsi="Times New Roman" w:eastAsia="宋体" w:cs="Times New Roman"/>
                <w:szCs w:val="21"/>
              </w:rPr>
            </w:pPr>
            <w:r>
              <w:rPr>
                <w:rFonts w:hint="eastAsia" w:ascii="Times New Roman" w:hAnsi="Times New Roman" w:eastAsia="宋体" w:cs="Times New Roman"/>
              </w:rPr>
              <w:t>1台</w:t>
            </w:r>
          </w:p>
        </w:tc>
        <w:tc>
          <w:tcPr>
            <w:tcW w:w="7277" w:type="dxa"/>
            <w:tcBorders>
              <w:top w:val="single" w:color="auto" w:sz="4" w:space="0"/>
              <w:left w:val="nil"/>
              <w:bottom w:val="single" w:color="auto" w:sz="4" w:space="0"/>
              <w:right w:val="single" w:color="auto" w:sz="4" w:space="0"/>
            </w:tcBorders>
            <w:noWrap/>
            <w:vAlign w:val="center"/>
          </w:tcPr>
          <w:p w14:paraId="3B972EFF">
            <w:pPr>
              <w:widowControl/>
              <w:spacing w:line="360" w:lineRule="auto"/>
              <w:jc w:val="left"/>
              <w:textAlignment w:val="center"/>
              <w:rPr>
                <w:rFonts w:ascii="Times New Roman" w:hAnsi="Times New Roman" w:eastAsia="宋体" w:cs="Times New Roman"/>
              </w:rPr>
            </w:pPr>
            <w:r>
              <w:rPr>
                <w:rFonts w:hint="eastAsia" w:ascii="宋体" w:hAnsi="宋体" w:eastAsia="宋体" w:cs="宋体"/>
                <w:color w:val="000000"/>
                <w:kern w:val="0"/>
                <w:sz w:val="22"/>
                <w:szCs w:val="22"/>
                <w:lang w:bidi="ar"/>
              </w:rPr>
              <w:t>1.输液泵单元</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1.1 四元梯度泵，内置真空脱气机，标配在线柱塞清洗，串联双柱塞往复泵</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▲1.2  标配5通道在线脱气机，其中1通道对洗针液实现在线脱气</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▲1.3最大耐压≥ 70MPa (10000 PSI)</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1.4流速范围：0.001 -10.000 mL/min（增量0.001mL/min)</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1.5流量精度：≤0.06% RSD</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1.6流量准确度：±0.5%</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▲1.7压力脉动抑制技术，压力脉动：≤1% (@1mL/min,水,背压&gt;10Mpa)</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1.8梯度准确度：±0.5%</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1.9梯度重复性：≤0.2% SD</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▲1.10 可设置智能延迟体积缩减模式</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 二极管阵列检测器</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▲2.1波长范围: 190-800 nm，可编程波长时间程序</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2.2光源: 氘灯、钨灯（标准配置），侧面氘灯定位系统，可方便快速更换氘灯。</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2.3光谱带宽: 6 nm</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2.4波长准确度: ±1 nm</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2.5噪声: ±0.35×10</w:t>
            </w:r>
            <w:r>
              <w:rPr>
                <w:rFonts w:hint="eastAsia" w:ascii="宋体" w:hAnsi="宋体" w:eastAsia="宋体" w:cs="宋体"/>
                <w:color w:val="000000"/>
                <w:kern w:val="0"/>
                <w:sz w:val="22"/>
                <w:szCs w:val="22"/>
                <w:vertAlign w:val="superscript"/>
                <w:lang w:bidi="ar"/>
              </w:rPr>
              <w:t>-5</w:t>
            </w:r>
            <w:r>
              <w:rPr>
                <w:rFonts w:hint="eastAsia" w:ascii="宋体" w:hAnsi="宋体" w:eastAsia="宋体" w:cs="宋体"/>
                <w:color w:val="000000"/>
                <w:kern w:val="0"/>
                <w:sz w:val="22"/>
                <w:szCs w:val="22"/>
                <w:lang w:bidi="ar"/>
              </w:rPr>
              <w:t xml:space="preserve"> AU</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2.6漂移: 1×10</w:t>
            </w:r>
            <w:r>
              <w:rPr>
                <w:rFonts w:hint="eastAsia" w:ascii="宋体" w:hAnsi="宋体" w:eastAsia="宋体" w:cs="宋体"/>
                <w:color w:val="000000"/>
                <w:kern w:val="0"/>
                <w:sz w:val="22"/>
                <w:szCs w:val="22"/>
                <w:vertAlign w:val="superscript"/>
                <w:lang w:bidi="ar"/>
              </w:rPr>
              <w:t xml:space="preserve">-4 </w:t>
            </w:r>
            <w:r>
              <w:rPr>
                <w:rFonts w:hint="eastAsia" w:ascii="宋体" w:hAnsi="宋体" w:eastAsia="宋体" w:cs="宋体"/>
                <w:color w:val="000000"/>
                <w:kern w:val="0"/>
                <w:sz w:val="22"/>
                <w:szCs w:val="22"/>
                <w:lang w:bidi="ar"/>
              </w:rPr>
              <w:t xml:space="preserve"> AU/Hr</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2.7波长精度: 0.1 nm</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2.8 二极管阵列：1024像素</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2.9线性范围: &gt;2.0AU (ASTM)</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▲2.10最大采样率: 100Hz</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▲2.11同时采集通道数量：不低于8通道，全光谱扫描</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2.12最小检测浓度: 1×10</w:t>
            </w:r>
            <w:r>
              <w:rPr>
                <w:rFonts w:hint="eastAsia" w:ascii="宋体" w:hAnsi="宋体" w:eastAsia="宋体" w:cs="宋体"/>
                <w:color w:val="000000"/>
                <w:kern w:val="0"/>
                <w:sz w:val="22"/>
                <w:szCs w:val="22"/>
                <w:vertAlign w:val="superscript"/>
                <w:lang w:bidi="ar"/>
              </w:rPr>
              <w:t>-8</w:t>
            </w:r>
            <w:r>
              <w:rPr>
                <w:rFonts w:hint="eastAsia" w:ascii="宋体" w:hAnsi="宋体" w:eastAsia="宋体" w:cs="宋体"/>
                <w:color w:val="000000"/>
                <w:kern w:val="0"/>
                <w:sz w:val="22"/>
                <w:szCs w:val="22"/>
                <w:lang w:bidi="ar"/>
              </w:rPr>
              <w:t xml:space="preserve"> g/mL</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3.自动进样器</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3.1 进样范围：0.1-100 μL</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3.2 温度控制：在 4-40 ℃ 的范围内进行样品冷却和加热</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▲3.3控制功能：具备自动洗针程序，柱前自动衍生功能，柱前样品自动稀释，自动混合等控制功能</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3.4 进样重复性：≤0.25% RSD</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▲3.5 可实现多溶剂洗针和自动反冲进样口功能</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3.6交叉污染&lt;0.0025%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▲3.7 标配智能进样同步功能，可设置重叠进样模式</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4. 柱温箱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▲4.1控温范围: 4℃-90℃，具备升温/降温功能</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4.2温度准确度: ±0.5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4.3温度稳定性: ±0.05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4.4 控温类型：帕尔贴控温</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4.5柱容量：同时容纳不少于3根 300mm色谱柱或≥100mm柱长色谱柱8根</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4.6自动切换阀：可选配柱切换阀，实现色谱柱切换</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4.7 标配高灵敏度漏液传感器</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5. 色谱工作站</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5.1法规适用性: 符合FDA 21 CFR Part11/GMP/GLP规范，数据库版，有效保证数据安全，自动备份，电子签名，审计追踪，用户多级权限管理</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5.2 用户管理: 强大的完善用户管理功能，可设置访问权限方便管理，满足各种场合对不同登入者对设备访问权限的控制</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5.3易用性: 图形化的监控界面，可随时掌握设备状态，简单易用</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5.4数据处理: 强大的数据处理功能，提供多种积分功能和计算方法</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▲5.5丰富功能:自动峰宽，自动阈值算法，自适应采集数据，自动调节算法达到最佳积分效果，并可实现手动分割峰功能</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5.6报告：内置多种报告格式，用户也可编辑个性化的报告模板</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5.7 早期维护预警功能：记录主要耗材累计时间和更换次数，提醒定期维护更换</w:t>
            </w:r>
          </w:p>
        </w:tc>
      </w:tr>
      <w:tr w14:paraId="06533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595EA8B8">
            <w:pPr>
              <w:spacing w:line="360" w:lineRule="auto"/>
              <w:jc w:val="center"/>
              <w:rPr>
                <w:rFonts w:hint="eastAsia" w:ascii="宋体" w:hAnsi="宋体" w:eastAsia="宋体" w:cs="Times New Roman"/>
                <w:szCs w:val="21"/>
              </w:rPr>
            </w:pPr>
            <w:r>
              <w:rPr>
                <w:rFonts w:hint="eastAsia" w:ascii="宋体" w:hAnsi="宋体" w:eastAsia="宋体" w:cs="Times New Roman"/>
                <w:szCs w:val="21"/>
              </w:rPr>
              <w:t>4</w:t>
            </w:r>
          </w:p>
        </w:tc>
        <w:tc>
          <w:tcPr>
            <w:tcW w:w="1090" w:type="dxa"/>
            <w:tcBorders>
              <w:top w:val="single" w:color="auto" w:sz="4" w:space="0"/>
              <w:left w:val="nil"/>
              <w:bottom w:val="single" w:color="auto" w:sz="4" w:space="0"/>
              <w:right w:val="single" w:color="auto" w:sz="4" w:space="0"/>
            </w:tcBorders>
            <w:noWrap/>
            <w:vAlign w:val="center"/>
          </w:tcPr>
          <w:p w14:paraId="42B5A00B">
            <w:pPr>
              <w:widowControl/>
              <w:jc w:val="center"/>
              <w:textAlignment w:val="center"/>
              <w:rPr>
                <w:rFonts w:ascii="Times New Roman" w:hAnsi="Times New Roman" w:eastAsia="宋体" w:cs="Times New Roman"/>
                <w:szCs w:val="21"/>
              </w:rPr>
            </w:pPr>
            <w:r>
              <w:rPr>
                <w:rFonts w:hint="eastAsia" w:ascii="宋体" w:hAnsi="宋体" w:eastAsia="宋体" w:cs="宋体"/>
                <w:color w:val="000000"/>
                <w:kern w:val="0"/>
                <w:sz w:val="22"/>
                <w:szCs w:val="22"/>
                <w:lang w:bidi="ar"/>
              </w:rPr>
              <w:t>高效液相色谱仪</w:t>
            </w:r>
          </w:p>
        </w:tc>
        <w:tc>
          <w:tcPr>
            <w:tcW w:w="780" w:type="dxa"/>
            <w:tcBorders>
              <w:top w:val="single" w:color="auto" w:sz="4" w:space="0"/>
              <w:left w:val="nil"/>
              <w:bottom w:val="single" w:color="auto" w:sz="4" w:space="0"/>
              <w:right w:val="single" w:color="auto" w:sz="4" w:space="0"/>
            </w:tcBorders>
            <w:noWrap/>
            <w:vAlign w:val="center"/>
          </w:tcPr>
          <w:p w14:paraId="26104102">
            <w:pPr>
              <w:widowControl/>
              <w:jc w:val="center"/>
              <w:textAlignment w:val="center"/>
              <w:rPr>
                <w:rFonts w:ascii="Times New Roman" w:hAnsi="Times New Roman" w:eastAsia="宋体" w:cs="Times New Roman"/>
                <w:szCs w:val="21"/>
              </w:rPr>
            </w:pPr>
            <w:r>
              <w:rPr>
                <w:rFonts w:hint="eastAsia" w:ascii="Times New Roman" w:hAnsi="Times New Roman" w:eastAsia="宋体" w:cs="Times New Roman"/>
              </w:rPr>
              <w:t>1台</w:t>
            </w:r>
          </w:p>
        </w:tc>
        <w:tc>
          <w:tcPr>
            <w:tcW w:w="7277" w:type="dxa"/>
            <w:tcBorders>
              <w:top w:val="single" w:color="auto" w:sz="4" w:space="0"/>
              <w:left w:val="nil"/>
              <w:bottom w:val="single" w:color="auto" w:sz="4" w:space="0"/>
              <w:right w:val="single" w:color="auto" w:sz="4" w:space="0"/>
            </w:tcBorders>
            <w:noWrap/>
            <w:vAlign w:val="center"/>
          </w:tcPr>
          <w:p w14:paraId="1EA0C52A">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1.泵系统</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1.1 溶剂数：四元</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1.2输液原理：串联式双柱塞往复泵，自动脉冲抑制，无需阻尼器。</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1.3 脉冲抑制方式：高速反馈，实时控制</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 梯度模式：高频混合模式HFM，无混合器条件下的可实现优越梯度重现性</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1.5 最大输液压力：62MPa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1.6 流速范围：0.001-10.000ml/min，增量0.001ml/min</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1.7 系统延迟体积：700μL，并不随反压变化。</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1.8 流速精密度：≦ 0.05%RSD</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1.9 流量准确度：±0.5%</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1.10 梯度准确度：±0.5%，与背压无关</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1.11 在线脱气机：5个独立通道，（A、B、C、D、AS1）</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1.12 柱塞清洗：自动清洗</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1.13 压力补偿：自动连续补偿</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▲1.14进、出口阀串联阀芯设计</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1.15 漏液报警</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1.16 超压保护</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▲1.18 三级溶剂过滤</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2.自动进样器</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2.1 进样方式：直接进样（FTN）方式</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2.2 样品数：120个（标准样品瓶），扩展样品数：192（96 孔微孔板×2）</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2.3 标准进样体积：0.1－100μL，可扩展至1mL</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2.4进样准确度：±1%</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2.5 进样重复性：&lt;0.25% RSD</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▲2.6 样品残留量：≦ 0.003%</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▲2.7 样品室温度范围：1°C（室温-24℃）-45°C</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▲2.8 温度控制方式：帕尔帖加热/冷却模块＋空气循环</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2.9 漏液报警</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2.10 样品盘检测功能</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2.11样品瓶检测功能</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3.柱温箱</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▲3.1 控温方式：帕尔帖加热/冷却模块＋空气循环</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▲3.2 带有流动相预加热功能</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3.3 温度设定范围：1- 90℃</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3.4 温度准确度：±1℃</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3.5 色谱柱容量：30cm×3根</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▲3.6 可扩展功能：可增加两个切换阀来满足用户的扩展使用需求</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3.7 漏液报警</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3.8 过热保护功能</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4.检测器</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w:t>
            </w:r>
            <w:r>
              <w:rPr>
                <w:rFonts w:hint="eastAsia" w:ascii="宋体" w:hAnsi="宋体" w:eastAsia="宋体" w:cs="宋体"/>
                <w:color w:val="000000"/>
                <w:kern w:val="0"/>
                <w:sz w:val="22"/>
                <w:szCs w:val="22"/>
                <w:lang w:val="en-US" w:eastAsia="zh-CN" w:bidi="ar"/>
              </w:rPr>
              <w:t>1</w:t>
            </w:r>
            <w:r>
              <w:rPr>
                <w:rFonts w:hint="eastAsia" w:ascii="宋体" w:hAnsi="宋体" w:eastAsia="宋体" w:cs="宋体"/>
                <w:color w:val="000000"/>
                <w:kern w:val="0"/>
                <w:sz w:val="22"/>
                <w:szCs w:val="22"/>
                <w:lang w:bidi="ar"/>
              </w:rPr>
              <w:t xml:space="preserve"> 二极管阵列检测器：</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w:t>
            </w:r>
            <w:r>
              <w:rPr>
                <w:rFonts w:hint="eastAsia" w:ascii="宋体" w:hAnsi="宋体" w:eastAsia="宋体" w:cs="宋体"/>
                <w:color w:val="000000"/>
                <w:kern w:val="0"/>
                <w:sz w:val="22"/>
                <w:szCs w:val="22"/>
                <w:lang w:val="en-US" w:eastAsia="zh-CN" w:bidi="ar"/>
              </w:rPr>
              <w:t>1</w:t>
            </w:r>
            <w:r>
              <w:rPr>
                <w:rFonts w:hint="eastAsia" w:ascii="宋体" w:hAnsi="宋体" w:eastAsia="宋体" w:cs="宋体"/>
                <w:color w:val="000000"/>
                <w:kern w:val="0"/>
                <w:sz w:val="22"/>
                <w:szCs w:val="22"/>
                <w:lang w:bidi="ar"/>
              </w:rPr>
              <w:t>.1 二极管数：1024位</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w:t>
            </w:r>
            <w:r>
              <w:rPr>
                <w:rFonts w:hint="eastAsia" w:ascii="宋体" w:hAnsi="宋体" w:eastAsia="宋体" w:cs="宋体"/>
                <w:color w:val="000000"/>
                <w:kern w:val="0"/>
                <w:sz w:val="22"/>
                <w:szCs w:val="22"/>
                <w:lang w:val="en-US" w:eastAsia="zh-CN" w:bidi="ar"/>
              </w:rPr>
              <w:t>1</w:t>
            </w:r>
            <w:r>
              <w:rPr>
                <w:rFonts w:hint="eastAsia" w:ascii="宋体" w:hAnsi="宋体" w:eastAsia="宋体" w:cs="宋体"/>
                <w:color w:val="000000"/>
                <w:kern w:val="0"/>
                <w:sz w:val="22"/>
                <w:szCs w:val="22"/>
                <w:lang w:bidi="ar"/>
              </w:rPr>
              <w:t>.2 光源：D2灯，W灯，Hg灯</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w:t>
            </w:r>
            <w:r>
              <w:rPr>
                <w:rFonts w:hint="eastAsia" w:ascii="宋体" w:hAnsi="宋体" w:eastAsia="宋体" w:cs="宋体"/>
                <w:color w:val="000000"/>
                <w:kern w:val="0"/>
                <w:sz w:val="22"/>
                <w:szCs w:val="22"/>
                <w:lang w:val="en-US" w:eastAsia="zh-CN" w:bidi="ar"/>
              </w:rPr>
              <w:t>1</w:t>
            </w:r>
            <w:r>
              <w:rPr>
                <w:rFonts w:hint="eastAsia" w:ascii="宋体" w:hAnsi="宋体" w:eastAsia="宋体" w:cs="宋体"/>
                <w:color w:val="000000"/>
                <w:kern w:val="0"/>
                <w:sz w:val="22"/>
                <w:szCs w:val="22"/>
                <w:lang w:bidi="ar"/>
              </w:rPr>
              <w:t>.3 波长范围：190～900nm</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w:t>
            </w:r>
            <w:r>
              <w:rPr>
                <w:rFonts w:hint="eastAsia" w:ascii="宋体" w:hAnsi="宋体" w:eastAsia="宋体" w:cs="宋体"/>
                <w:color w:val="000000"/>
                <w:kern w:val="0"/>
                <w:sz w:val="22"/>
                <w:szCs w:val="22"/>
                <w:lang w:val="en-US" w:eastAsia="zh-CN" w:bidi="ar"/>
              </w:rPr>
              <w:t>1</w:t>
            </w:r>
            <w:r>
              <w:rPr>
                <w:rFonts w:hint="eastAsia" w:ascii="宋体" w:hAnsi="宋体" w:eastAsia="宋体" w:cs="宋体"/>
                <w:color w:val="000000"/>
                <w:kern w:val="0"/>
                <w:sz w:val="22"/>
                <w:szCs w:val="22"/>
                <w:lang w:bidi="ar"/>
              </w:rPr>
              <w:t>.4 波长准确度：±1nm</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w:t>
            </w:r>
            <w:r>
              <w:rPr>
                <w:rFonts w:hint="eastAsia" w:ascii="宋体" w:hAnsi="宋体" w:eastAsia="宋体" w:cs="宋体"/>
                <w:color w:val="000000"/>
                <w:kern w:val="0"/>
                <w:sz w:val="22"/>
                <w:szCs w:val="22"/>
                <w:lang w:val="en-US" w:eastAsia="zh-CN" w:bidi="ar"/>
              </w:rPr>
              <w:t>1</w:t>
            </w:r>
            <w:r>
              <w:rPr>
                <w:rFonts w:hint="eastAsia" w:ascii="宋体" w:hAnsi="宋体" w:eastAsia="宋体" w:cs="宋体"/>
                <w:color w:val="000000"/>
                <w:kern w:val="0"/>
                <w:sz w:val="22"/>
                <w:szCs w:val="22"/>
                <w:lang w:bidi="ar"/>
              </w:rPr>
              <w:t>.5 狭缝宽度：1nm，2nm，4nm 软件可调</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w:t>
            </w:r>
            <w:r>
              <w:rPr>
                <w:rFonts w:hint="eastAsia" w:ascii="宋体" w:hAnsi="宋体" w:eastAsia="宋体" w:cs="宋体"/>
                <w:color w:val="000000"/>
                <w:kern w:val="0"/>
                <w:sz w:val="22"/>
                <w:szCs w:val="22"/>
                <w:lang w:val="en-US" w:eastAsia="zh-CN" w:bidi="ar"/>
              </w:rPr>
              <w:t>1</w:t>
            </w:r>
            <w:r>
              <w:rPr>
                <w:rFonts w:hint="eastAsia" w:ascii="宋体" w:hAnsi="宋体" w:eastAsia="宋体" w:cs="宋体"/>
                <w:color w:val="000000"/>
                <w:kern w:val="0"/>
                <w:sz w:val="22"/>
                <w:szCs w:val="22"/>
                <w:lang w:bidi="ar"/>
              </w:rPr>
              <w:t>.6 噪音：＜0.5×10</w:t>
            </w:r>
            <w:r>
              <w:rPr>
                <w:rFonts w:hint="eastAsia" w:ascii="宋体" w:hAnsi="宋体" w:eastAsia="宋体" w:cs="宋体"/>
                <w:color w:val="000000"/>
                <w:kern w:val="0"/>
                <w:sz w:val="22"/>
                <w:szCs w:val="22"/>
                <w:vertAlign w:val="superscript"/>
                <w:lang w:bidi="ar"/>
              </w:rPr>
              <w:t>-5</w:t>
            </w:r>
            <w:r>
              <w:rPr>
                <w:rFonts w:hint="eastAsia" w:ascii="宋体" w:hAnsi="宋体" w:eastAsia="宋体" w:cs="宋体"/>
                <w:color w:val="000000"/>
                <w:kern w:val="0"/>
                <w:sz w:val="22"/>
                <w:szCs w:val="22"/>
                <w:lang w:bidi="ar"/>
              </w:rPr>
              <w:t>AU</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w:t>
            </w:r>
            <w:r>
              <w:rPr>
                <w:rFonts w:hint="eastAsia" w:ascii="宋体" w:hAnsi="宋体" w:eastAsia="宋体" w:cs="宋体"/>
                <w:color w:val="000000"/>
                <w:kern w:val="0"/>
                <w:sz w:val="22"/>
                <w:szCs w:val="22"/>
                <w:lang w:val="en-US" w:eastAsia="zh-CN" w:bidi="ar"/>
              </w:rPr>
              <w:t>1</w:t>
            </w:r>
            <w:r>
              <w:rPr>
                <w:rFonts w:hint="eastAsia" w:ascii="宋体" w:hAnsi="宋体" w:eastAsia="宋体" w:cs="宋体"/>
                <w:color w:val="000000"/>
                <w:kern w:val="0"/>
                <w:sz w:val="22"/>
                <w:szCs w:val="22"/>
                <w:lang w:bidi="ar"/>
              </w:rPr>
              <w:t>.7 漂移：＜0.4×10</w:t>
            </w:r>
            <w:r>
              <w:rPr>
                <w:rFonts w:hint="eastAsia" w:ascii="宋体" w:hAnsi="宋体" w:eastAsia="宋体" w:cs="宋体"/>
                <w:color w:val="000000"/>
                <w:kern w:val="0"/>
                <w:sz w:val="22"/>
                <w:szCs w:val="22"/>
                <w:vertAlign w:val="superscript"/>
                <w:lang w:bidi="ar"/>
              </w:rPr>
              <w:t>-3</w:t>
            </w:r>
            <w:r>
              <w:rPr>
                <w:rFonts w:hint="eastAsia" w:ascii="宋体" w:hAnsi="宋体" w:eastAsia="宋体" w:cs="宋体"/>
                <w:color w:val="000000"/>
                <w:kern w:val="0"/>
                <w:sz w:val="22"/>
                <w:szCs w:val="22"/>
                <w:lang w:bidi="ar"/>
              </w:rPr>
              <w:t xml:space="preserve">AU/hr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w:t>
            </w:r>
            <w:r>
              <w:rPr>
                <w:rFonts w:hint="eastAsia" w:ascii="宋体" w:hAnsi="宋体" w:eastAsia="宋体" w:cs="宋体"/>
                <w:color w:val="000000"/>
                <w:kern w:val="0"/>
                <w:sz w:val="22"/>
                <w:szCs w:val="22"/>
                <w:lang w:val="en-US" w:eastAsia="zh-CN" w:bidi="ar"/>
              </w:rPr>
              <w:t>1</w:t>
            </w:r>
            <w:r>
              <w:rPr>
                <w:rFonts w:hint="eastAsia" w:ascii="宋体" w:hAnsi="宋体" w:eastAsia="宋体" w:cs="宋体"/>
                <w:color w:val="000000"/>
                <w:kern w:val="0"/>
                <w:sz w:val="22"/>
                <w:szCs w:val="22"/>
                <w:lang w:bidi="ar"/>
              </w:rPr>
              <w:t>.8 波长校验：利用内置Hg灯254nm特征谱线，自动校验</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w:t>
            </w:r>
            <w:r>
              <w:rPr>
                <w:rFonts w:hint="eastAsia" w:ascii="宋体" w:hAnsi="宋体" w:eastAsia="宋体" w:cs="宋体"/>
                <w:color w:val="000000"/>
                <w:kern w:val="0"/>
                <w:sz w:val="22"/>
                <w:szCs w:val="22"/>
                <w:lang w:val="en-US" w:eastAsia="zh-CN" w:bidi="ar"/>
              </w:rPr>
              <w:t>1</w:t>
            </w:r>
            <w:r>
              <w:rPr>
                <w:rFonts w:hint="eastAsia" w:ascii="宋体" w:hAnsi="宋体" w:eastAsia="宋体" w:cs="宋体"/>
                <w:color w:val="000000"/>
                <w:kern w:val="0"/>
                <w:sz w:val="22"/>
                <w:szCs w:val="22"/>
                <w:lang w:bidi="ar"/>
              </w:rPr>
              <w:t>.9 最大采样频率：160Hz</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w:t>
            </w:r>
            <w:r>
              <w:rPr>
                <w:rFonts w:hint="eastAsia" w:ascii="宋体" w:hAnsi="宋体" w:eastAsia="宋体" w:cs="宋体"/>
                <w:color w:val="000000"/>
                <w:kern w:val="0"/>
                <w:sz w:val="22"/>
                <w:szCs w:val="22"/>
                <w:lang w:val="en-US" w:eastAsia="zh-CN" w:bidi="ar"/>
              </w:rPr>
              <w:t>1</w:t>
            </w:r>
            <w:r>
              <w:rPr>
                <w:rFonts w:hint="eastAsia" w:ascii="宋体" w:hAnsi="宋体" w:eastAsia="宋体" w:cs="宋体"/>
                <w:color w:val="000000"/>
                <w:kern w:val="0"/>
                <w:sz w:val="22"/>
                <w:szCs w:val="22"/>
                <w:lang w:bidi="ar"/>
              </w:rPr>
              <w:t>.10 流通池：石英、SUS、氟树脂</w:t>
            </w:r>
          </w:p>
          <w:p w14:paraId="4914EF1A">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4.</w:t>
            </w:r>
            <w:r>
              <w:rPr>
                <w:rFonts w:hint="eastAsia" w:ascii="宋体" w:hAnsi="宋体" w:eastAsia="宋体" w:cs="宋体"/>
                <w:color w:val="000000"/>
                <w:kern w:val="0"/>
                <w:sz w:val="22"/>
                <w:szCs w:val="22"/>
                <w:lang w:val="en-US" w:eastAsia="zh-CN" w:bidi="ar"/>
              </w:rPr>
              <w:t>1</w:t>
            </w:r>
            <w:r>
              <w:rPr>
                <w:rFonts w:hint="eastAsia" w:ascii="宋体" w:hAnsi="宋体" w:eastAsia="宋体" w:cs="宋体"/>
                <w:color w:val="000000"/>
                <w:kern w:val="0"/>
                <w:sz w:val="22"/>
                <w:szCs w:val="22"/>
                <w:lang w:bidi="ar"/>
              </w:rPr>
              <w:t>.11 流通池耐压：1.0 MPa</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w:t>
            </w:r>
            <w:r>
              <w:rPr>
                <w:rFonts w:hint="eastAsia" w:ascii="宋体" w:hAnsi="宋体" w:eastAsia="宋体" w:cs="宋体"/>
                <w:color w:val="000000"/>
                <w:kern w:val="0"/>
                <w:sz w:val="22"/>
                <w:szCs w:val="22"/>
                <w:lang w:val="en-US" w:eastAsia="zh-CN" w:bidi="ar"/>
              </w:rPr>
              <w:t>1</w:t>
            </w:r>
            <w:r>
              <w:rPr>
                <w:rFonts w:hint="eastAsia" w:ascii="宋体" w:hAnsi="宋体" w:eastAsia="宋体" w:cs="宋体"/>
                <w:color w:val="000000"/>
                <w:kern w:val="0"/>
                <w:sz w:val="22"/>
                <w:szCs w:val="22"/>
                <w:lang w:bidi="ar"/>
              </w:rPr>
              <w:t>.13 光谱参比背景拟合：多通道独立模式，参比波长按通道定义（提供软件截图）</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w:t>
            </w:r>
            <w:r>
              <w:rPr>
                <w:rFonts w:hint="eastAsia" w:ascii="宋体" w:hAnsi="宋体" w:eastAsia="宋体" w:cs="宋体"/>
                <w:color w:val="000000"/>
                <w:kern w:val="0"/>
                <w:sz w:val="22"/>
                <w:szCs w:val="22"/>
                <w:lang w:val="en-US" w:eastAsia="zh-CN" w:bidi="ar"/>
              </w:rPr>
              <w:t>1</w:t>
            </w:r>
            <w:r>
              <w:rPr>
                <w:rFonts w:hint="eastAsia" w:ascii="宋体" w:hAnsi="宋体" w:eastAsia="宋体" w:cs="宋体"/>
                <w:color w:val="000000"/>
                <w:kern w:val="0"/>
                <w:sz w:val="22"/>
                <w:szCs w:val="22"/>
                <w:lang w:bidi="ar"/>
              </w:rPr>
              <w:t>.14 整体一次成型光学室</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5.数据管理系统</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▲5.1 提供国内自研、原厂源代码的数据管理系统，同时可配置网络版，双数据库，原始数据存储在数据库中（投标文件需要提供截图证明文件）</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5.2 数据管理系统为中文版，包括操作界面、数据分析、在线帮助等</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5.3 所有数据均存储在数据库中，包括原始数据、分析方法、分析报告、审计追踪记录等</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5.4 具备数据安全性设计，具有电子记录、电子签名等功能，包括审计追踪、权限分配等</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5.5 多种数据备份还原方式可选，包括冷备份、热备份、增量备份、定时备份等</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▲5.6 批处理方法可在不同项目之间执行（投标文件需要提供截图证明文件）</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项目之间的数据比较（投标文件需要提供截图证明文件）</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5.7 积分功能全面，可设定最小面积、最小高度、峰谷到峰谷、强迫垂线、按时间需求积分等（投标文件需要提供截图证明文件）</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5.8仪器配置：四元梯度泵系统1套，控温自动进样器1套，加热/冷却柱温箱1套，二极管阵列检测器（DAD）1套，组织器1套、色谱柱3只，合规色谱工作站1套，控制主机及配套输出设备1套，  </w:t>
            </w:r>
          </w:p>
          <w:p w14:paraId="4281FFF2">
            <w:pPr>
              <w:widowControl/>
              <w:spacing w:line="360" w:lineRule="auto"/>
              <w:jc w:val="left"/>
              <w:textAlignment w:val="center"/>
              <w:rPr>
                <w:rFonts w:ascii="宋体" w:hAnsi="宋体" w:eastAsia="宋体" w:cs="宋体"/>
                <w:szCs w:val="21"/>
              </w:rPr>
            </w:pPr>
            <w:r>
              <w:rPr>
                <w:rFonts w:hint="eastAsia" w:ascii="宋体" w:hAnsi="宋体" w:eastAsia="宋体" w:cs="宋体"/>
                <w:color w:val="000000"/>
                <w:kern w:val="0"/>
                <w:sz w:val="22"/>
                <w:szCs w:val="22"/>
                <w:lang w:bidi="ar"/>
              </w:rPr>
              <w:t>5.9 质保期：3年</w:t>
            </w:r>
          </w:p>
        </w:tc>
      </w:tr>
      <w:tr w14:paraId="59277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0BD15CCB">
            <w:pPr>
              <w:spacing w:line="360" w:lineRule="auto"/>
              <w:jc w:val="center"/>
              <w:rPr>
                <w:rFonts w:hint="eastAsia" w:ascii="宋体" w:hAnsi="宋体" w:eastAsia="宋体" w:cs="Times New Roman"/>
                <w:szCs w:val="21"/>
              </w:rPr>
            </w:pPr>
            <w:r>
              <w:rPr>
                <w:rFonts w:hint="eastAsia" w:ascii="宋体" w:hAnsi="宋体" w:eastAsia="宋体" w:cs="Times New Roman"/>
                <w:szCs w:val="21"/>
              </w:rPr>
              <w:t>5</w:t>
            </w:r>
          </w:p>
        </w:tc>
        <w:tc>
          <w:tcPr>
            <w:tcW w:w="1090" w:type="dxa"/>
            <w:tcBorders>
              <w:top w:val="single" w:color="auto" w:sz="4" w:space="0"/>
              <w:left w:val="nil"/>
              <w:bottom w:val="single" w:color="auto" w:sz="4" w:space="0"/>
              <w:right w:val="single" w:color="auto" w:sz="4" w:space="0"/>
            </w:tcBorders>
            <w:noWrap/>
            <w:vAlign w:val="center"/>
          </w:tcPr>
          <w:p w14:paraId="75A4C0DA">
            <w:pPr>
              <w:widowControl/>
              <w:jc w:val="center"/>
              <w:textAlignment w:val="center"/>
              <w:rPr>
                <w:rFonts w:ascii="Times New Roman" w:hAnsi="Times New Roman" w:eastAsia="宋体" w:cs="Times New Roman"/>
                <w:szCs w:val="21"/>
              </w:rPr>
            </w:pPr>
            <w:r>
              <w:rPr>
                <w:rFonts w:hint="eastAsia" w:ascii="宋体" w:hAnsi="宋体" w:eastAsia="宋体" w:cs="宋体"/>
                <w:color w:val="000000"/>
                <w:kern w:val="0"/>
                <w:sz w:val="22"/>
                <w:szCs w:val="22"/>
                <w:lang w:bidi="ar"/>
              </w:rPr>
              <w:t>高效液相色谱仪</w:t>
            </w:r>
          </w:p>
        </w:tc>
        <w:tc>
          <w:tcPr>
            <w:tcW w:w="780" w:type="dxa"/>
            <w:tcBorders>
              <w:top w:val="single" w:color="auto" w:sz="4" w:space="0"/>
              <w:left w:val="nil"/>
              <w:bottom w:val="single" w:color="auto" w:sz="4" w:space="0"/>
              <w:right w:val="single" w:color="auto" w:sz="4" w:space="0"/>
            </w:tcBorders>
            <w:noWrap/>
            <w:vAlign w:val="center"/>
          </w:tcPr>
          <w:p w14:paraId="0FDB6FA2">
            <w:pPr>
              <w:widowControl/>
              <w:jc w:val="center"/>
              <w:textAlignment w:val="center"/>
              <w:rPr>
                <w:rFonts w:ascii="Times New Roman" w:hAnsi="Times New Roman" w:eastAsia="宋体" w:cs="Times New Roman"/>
                <w:szCs w:val="21"/>
              </w:rPr>
            </w:pPr>
            <w:r>
              <w:rPr>
                <w:rFonts w:hint="eastAsia" w:ascii="Times New Roman" w:hAnsi="Times New Roman" w:eastAsia="宋体" w:cs="Times New Roman"/>
              </w:rPr>
              <w:t>1台</w:t>
            </w:r>
          </w:p>
        </w:tc>
        <w:tc>
          <w:tcPr>
            <w:tcW w:w="7277" w:type="dxa"/>
            <w:tcBorders>
              <w:top w:val="single" w:color="auto" w:sz="4" w:space="0"/>
              <w:left w:val="nil"/>
              <w:bottom w:val="single" w:color="auto" w:sz="4" w:space="0"/>
              <w:right w:val="single" w:color="auto" w:sz="4" w:space="0"/>
            </w:tcBorders>
            <w:noWrap/>
            <w:vAlign w:val="center"/>
          </w:tcPr>
          <w:p w14:paraId="0C353374">
            <w:pPr>
              <w:widowControl/>
              <w:spacing w:line="360" w:lineRule="auto"/>
              <w:jc w:val="left"/>
              <w:textAlignment w:val="center"/>
              <w:rPr>
                <w:rFonts w:ascii="宋体" w:hAnsi="宋体" w:eastAsia="宋体" w:cs="宋体"/>
                <w:szCs w:val="21"/>
              </w:rPr>
            </w:pPr>
            <w:r>
              <w:rPr>
                <w:rFonts w:hint="eastAsia" w:ascii="宋体" w:hAnsi="宋体" w:eastAsia="宋体" w:cs="宋体"/>
                <w:color w:val="000000"/>
                <w:kern w:val="0"/>
                <w:sz w:val="22"/>
                <w:szCs w:val="22"/>
                <w:lang w:bidi="ar"/>
              </w:rPr>
              <w:t>1.工作条件</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1.1环境温度：5℃-35℃，环境温度波动不大于2℃/小时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1.2相对湿度：20%-80%，无冷凝</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2.参数说明</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2.1系统设计：</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2.1.1系统采用模块化设计，各模块可以自由搭配，便于应用范围的拓宽及后期维护成本的降低</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▲2.1.2连续耐用性 ：连续进样500针，目标物茶碱（50 μg/mL，10 μL）的保留时间RSD≤0.5%，峰面积RSD≤0.5% （配置是二元泵+UVD时使用）</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▲2.1.3长期耐用性：每个工作日重复 7次进样，连续测试三个月，目标物萘（1.0×10-4 g/mL，10 μL）保留时间RSD≤0.5%，峰面积RSD≤1.0%（配置是二元泵+UVD时使用）</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2.1.4实际样品测试：</w:t>
            </w:r>
            <w:r>
              <w:rPr>
                <w:rFonts w:hint="eastAsia" w:ascii="宋体" w:hAnsi="宋体" w:eastAsia="宋体" w:cs="宋体"/>
                <w:color w:val="000000"/>
                <w:kern w:val="0"/>
                <w:sz w:val="22"/>
                <w:szCs w:val="22"/>
                <w:lang w:bidi="ar"/>
              </w:rPr>
              <w:br w:type="textWrapping"/>
            </w:r>
            <w:r>
              <w:rPr>
                <w:rFonts w:ascii="Wingdings 2" w:hAnsi="Wingdings 2" w:eastAsia="Wingdings 2" w:cs="Wingdings 2"/>
                <w:color w:val="000000"/>
                <w:kern w:val="0"/>
                <w:sz w:val="22"/>
                <w:szCs w:val="22"/>
                <w:lang w:bidi="ar"/>
              </w:rPr>
              <w:t></w:t>
            </w:r>
            <w:r>
              <w:rPr>
                <w:rFonts w:hint="eastAsia" w:ascii="宋体" w:hAnsi="宋体" w:eastAsia="宋体" w:cs="宋体"/>
                <w:color w:val="000000"/>
                <w:kern w:val="0"/>
                <w:sz w:val="22"/>
                <w:szCs w:val="22"/>
                <w:lang w:bidi="ar"/>
              </w:rPr>
              <w:t>中药领域：人参样品测试中，人参皂苷Rg1、Re和Rb1的理论塔板数&gt;60000，分离度&gt;2.0；3种皂苷的仪器检出限&lt;0.02 μg/mL，仪器定量限&lt;0.04 μg/mL；重复性测试中，3种皂苷保留时间的RSD&lt;0.2%，峰面积的RSD&lt;1.0%。（参照《中国药典2020年版》西洋参）</w:t>
            </w:r>
            <w:r>
              <w:rPr>
                <w:rFonts w:hint="eastAsia" w:ascii="宋体" w:hAnsi="宋体" w:eastAsia="宋体" w:cs="宋体"/>
                <w:color w:val="000000"/>
                <w:kern w:val="0"/>
                <w:sz w:val="22"/>
                <w:szCs w:val="22"/>
                <w:lang w:bidi="ar"/>
              </w:rPr>
              <w:br w:type="textWrapping"/>
            </w:r>
            <w:r>
              <w:rPr>
                <w:rFonts w:ascii="Wingdings 2" w:hAnsi="Wingdings 2" w:eastAsia="Wingdings 2" w:cs="Wingdings 2"/>
                <w:color w:val="000000"/>
                <w:kern w:val="0"/>
                <w:sz w:val="22"/>
                <w:szCs w:val="22"/>
                <w:lang w:bidi="ar"/>
              </w:rPr>
              <w:t></w:t>
            </w:r>
            <w:r>
              <w:rPr>
                <w:rFonts w:hint="eastAsia" w:ascii="宋体" w:hAnsi="宋体" w:eastAsia="宋体" w:cs="宋体"/>
                <w:color w:val="000000"/>
                <w:kern w:val="0"/>
                <w:sz w:val="22"/>
                <w:szCs w:val="22"/>
                <w:lang w:bidi="ar"/>
              </w:rPr>
              <w:t>化药领域：阿奇霉素样品测试中，理论塔板数&gt;12000；仪器检出限&lt;1.5 μg/mL，仪器定量限&lt;4.5 μg/mL；重复性测试中，保留时间的RSD&lt;0.2%，峰面积的RSD&lt;0.5%。（参照《中国药典2020年版》阿奇霉素）</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2.2四元低压梯度泵</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2.2.1泵体型：往复式串联双柱塞泵（悬挂式浮动柱塞设计）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2.2.2流量范围：0.001-10.000 mL/min，设置步长0.001 mL/min</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2.2.3流量设定值误差：±0.5%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2.2.4流量稳定性：RSD≤0.06%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2.2.5梯度误差：±1%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2.2.6梯度重复性：≤0.15%SD （固定通道下，梯度百分比的标准偏差）</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2.2.7通道一致性：≤0.5%SD（不同通道下，梯度百分比的标准偏差）</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2.2.8最大耐压：60 MPa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2.2.9压力脉动：≤0.05 MPa或≤设定的1%（取较大值），纯水0-62 MPa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2.2.10脱气单元：最多5通道</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2.2.11自动在线清洗功能（标配）</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▲2.2.12内置四通道独立式设计比例阀（各通道运行状态实时监控并独立维护）、真空脱气机、seal wash系统；(投标文件提供实物照片)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2.2.13混合器：多路径乱序涡旋混合设计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2.2.14安全防护：漏液检测、压力上下限保护</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▲2.2.15排空功能：支持软件及仪器面板物理按键排空(投标文件提供实物照片)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2.2.16具有智能延迟体积功能，确保方法在新系统上的运行效果与原系统一致</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2.3自动进样器（控温版）</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2.3.1进样方式：吸入式进样方式，支持常规进样、低损耗进样（样品损耗量＜20 uL）、携带进样（样品无损耗）、满环携带进样</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2.3.2样品位数：108位（2×54位1.5 mL样品瓶） ，可选配192位（2×96孔板）</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2.3.3进样体积：0 μL-100 μL（标配100 μL定量环）</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2.3.4进样重复性：常规进样：RSD≤0.5%（5 μL、10 μL），RSD≤1%（2 μL）；携带进样：RSD≤1.0%（5 μL）；常规低损耗进样：RSD≤0.5%（10 μL）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2.3.5进样线性：线性相关系数r≥0.999</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2.3.6两次分析间的进样时间：低至5 s（启用重叠进样时）</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2.3.7样品交叉污染/样品残留：＜0.003% （一次洗针）</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▲2.3.8样品室控温范围： 4℃-45℃（同时具备除湿功能）</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2.3.9安全防护：漏液检测、空瓶检测</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2.4立式柱温箱</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2.4.1温度控制范围：4℃-90℃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2.4.2温度设定值误差：±0.5℃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2.4.3温度稳定性：±0.05℃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2.4.4控温原理：半导体控温结合强制空气对流模式或静止空气模式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2.4.5升温速率：10 min从25℃升温至40℃</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2.4.6降温速率：10 min从50℃降温至20℃</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2.4.7安全措施：a. 软件及硬件的过温保护；b. 有机气体和热敏电阻双重漏液传感器</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2.4.8切换阀：最多支持两个</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2.4.9色谱柱识别器：最多支持4个，色谱柱信息存储芯片</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2.4.10可安装色谱柱数量：4根300 mm、8根100 mm</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2.5紫外-可见光检测器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▲2.5.1光源：透射式氘灯和钨灯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2.5.2波长范围：190-900 nm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2.5.3最高采样率：100 Hz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2.5.4光谱带宽：8 nm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2.5.5波长准确度：±1 nm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2.5.6波长精度：±0.1 nm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2.5.7噪声：≤5×10</w:t>
            </w:r>
            <w:r>
              <w:rPr>
                <w:rFonts w:hint="eastAsia" w:ascii="宋体" w:hAnsi="宋体" w:eastAsia="宋体" w:cs="宋体"/>
                <w:color w:val="000000"/>
                <w:kern w:val="0"/>
                <w:sz w:val="22"/>
                <w:szCs w:val="22"/>
                <w:vertAlign w:val="superscript"/>
                <w:lang w:bidi="ar"/>
              </w:rPr>
              <w:t>-6</w:t>
            </w:r>
            <w:r>
              <w:rPr>
                <w:rFonts w:hint="eastAsia" w:ascii="宋体" w:hAnsi="宋体" w:eastAsia="宋体" w:cs="宋体"/>
                <w:color w:val="000000"/>
                <w:kern w:val="0"/>
                <w:sz w:val="22"/>
                <w:szCs w:val="22"/>
                <w:lang w:bidi="ar"/>
              </w:rPr>
              <w:t xml:space="preserve"> AU（空池，254 nm波长，1 Hz采样率，2 s时间常数，ASTM）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2.5.8漂移：≤1×10</w:t>
            </w:r>
            <w:r>
              <w:rPr>
                <w:rFonts w:hint="eastAsia" w:ascii="宋体" w:hAnsi="宋体" w:eastAsia="宋体" w:cs="宋体"/>
                <w:color w:val="000000"/>
                <w:kern w:val="0"/>
                <w:sz w:val="22"/>
                <w:szCs w:val="22"/>
                <w:vertAlign w:val="superscript"/>
                <w:lang w:bidi="ar"/>
              </w:rPr>
              <w:t>-4</w:t>
            </w:r>
            <w:r>
              <w:rPr>
                <w:rFonts w:hint="eastAsia" w:ascii="宋体" w:hAnsi="宋体" w:eastAsia="宋体" w:cs="宋体"/>
                <w:color w:val="000000"/>
                <w:kern w:val="0"/>
                <w:sz w:val="22"/>
                <w:szCs w:val="22"/>
                <w:lang w:bidi="ar"/>
              </w:rPr>
              <w:t xml:space="preserve"> AU/h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2.5.9线性范围：0.0001-2.5 AU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2.5.10流通池光程：10 mm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2.5.11流通池体积：12 μL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2.5.12流通池耐压：10 MPa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2.5.13波长校正：内置汞灯</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2.5.14安全防护：漏液检测，光源室过温保护</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2.5.15具备波长时间程序</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2.5.16具备停泵扫描功能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2.6荧光检测器</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2.6.1光源：氙灯150 W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2.6.2波长范围：激发波长：0 nm，200-850 nm；发射波长：0 nm，250-900 nm（731 nm以上波长要求更换光电倍增管）</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2.6.3光谱带宽：激发段：15 nm 发射端：15 nm、30 nm（可变狭缝）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2.6.4波长准确度：±3 nm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2.6.5波长重复性：±0.5 nm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2.6.6信噪比：发射端光谱带宽设定为15 nm时，水拉曼峰的S／N比为900以上（基线法），水拉曼峰的S／N比为675以上（切线法）；发射端光谱带宽设定为30 nm时，水拉曼峰的S／N比为4000以上（BG噪音法），波长：350 nm、时间常数：2.0秒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2.6.7流通池体积：12 μL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2.6.8流通池最大耐压： 1.0 MPa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2.6.9时间常数：7档可设置（0.05、0.1、0.5、1、2、4、8）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2.6.10自动校零范围：0 - 1000 FLU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2.6.11GLP支持功能：光源时间及更换记录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2.6.12波长时间程序：程序数：9 设置时间：最多为600分钟，增量为0.1分钟 编程参数：测量波长（Ex和Em），基线处理，PMT增益</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2.7原厂标准版色谱工作站</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2.7.1数据安全性：工作站采用数据库管理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2.7.2备份还原：支持按项目、按时间备份，防止数据丢失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2.7.3权限管理：拥有多级用户权限管理</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2.7.4审计跟踪：详细记录操作者、修改时间、修改原因、修改内容、仪器的运行过程、仪器的报警等信息</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2.7.5历史记录：对方法、序列、谱图、校准、报告的每一次修改都会生成新的版本记录，不会覆盖旧的版本记录，历史记录可查询</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2.7.6数据处理：提供25种以上的积分事件和3种定量计算方法，并支持噪声和漂移的计算，可区分自动积分和手动积分，支持建立校准曲线，自动计算样品含量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▲2.7.7背景谱图功能：可设置最多五张背景谱图，谱图的颜色和粗细可调，方便识别。（投标文件提供软件截图）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2.7.8一测多评功能：自动计算各物质相对保留时间</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2.7.9报告编辑：内置多种模板，可输出定制化报告</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2.7.10系统适应性计算：支持多个国家药典系统适应性计算（Ch.P、USP、EP、JP）</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2.7.11界面设计：谱图文件支持通道筛选功能，多波长检测条件下可通过该功能筛选任意波长所有谱图。（投标文件提供软件截图）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▲2.7.12内置完整中国药典、中国兽药典方法库（超过200种方法），可直接检索，并调取使用。（投标文件提供软件截图）</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3.产品清单</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3.1四元泵 1台</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3.2自动进样器 1套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3.3柱温箱1套</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3.4紫外检测器 1套</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3.5荧光检测器 1套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3.6色谱工作站及输出设备 1套</w:t>
            </w:r>
          </w:p>
        </w:tc>
      </w:tr>
      <w:tr w14:paraId="20F3F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6BE0F19F">
            <w:pPr>
              <w:spacing w:line="360" w:lineRule="auto"/>
              <w:jc w:val="center"/>
              <w:rPr>
                <w:rFonts w:hint="eastAsia" w:ascii="宋体" w:hAnsi="宋体" w:eastAsia="宋体" w:cs="Times New Roman"/>
                <w:szCs w:val="21"/>
              </w:rPr>
            </w:pPr>
            <w:r>
              <w:rPr>
                <w:rFonts w:hint="eastAsia" w:ascii="宋体" w:hAnsi="宋体" w:eastAsia="宋体" w:cs="Times New Roman"/>
                <w:szCs w:val="21"/>
              </w:rPr>
              <w:t>6</w:t>
            </w:r>
          </w:p>
        </w:tc>
        <w:tc>
          <w:tcPr>
            <w:tcW w:w="1090" w:type="dxa"/>
            <w:tcBorders>
              <w:top w:val="single" w:color="auto" w:sz="4" w:space="0"/>
              <w:left w:val="nil"/>
              <w:bottom w:val="single" w:color="auto" w:sz="4" w:space="0"/>
              <w:right w:val="single" w:color="auto" w:sz="4" w:space="0"/>
            </w:tcBorders>
            <w:noWrap/>
            <w:vAlign w:val="center"/>
          </w:tcPr>
          <w:p w14:paraId="0955AE07">
            <w:pPr>
              <w:widowControl/>
              <w:jc w:val="center"/>
              <w:textAlignment w:val="center"/>
              <w:rPr>
                <w:rFonts w:ascii="宋体" w:hAnsi="宋体" w:eastAsia="宋体" w:cs="宋体"/>
                <w:kern w:val="0"/>
                <w:szCs w:val="21"/>
                <w:lang w:bidi="ar"/>
              </w:rPr>
            </w:pPr>
            <w:r>
              <w:rPr>
                <w:rFonts w:hint="eastAsia" w:ascii="宋体" w:hAnsi="宋体" w:eastAsia="宋体" w:cs="宋体"/>
                <w:color w:val="000000"/>
                <w:kern w:val="0"/>
                <w:sz w:val="22"/>
                <w:szCs w:val="22"/>
                <w:lang w:bidi="ar"/>
              </w:rPr>
              <w:t>超高效液相色谱仪</w:t>
            </w:r>
          </w:p>
        </w:tc>
        <w:tc>
          <w:tcPr>
            <w:tcW w:w="780" w:type="dxa"/>
            <w:tcBorders>
              <w:top w:val="single" w:color="auto" w:sz="4" w:space="0"/>
              <w:left w:val="nil"/>
              <w:bottom w:val="single" w:color="auto" w:sz="4" w:space="0"/>
              <w:right w:val="single" w:color="auto" w:sz="4" w:space="0"/>
            </w:tcBorders>
            <w:noWrap/>
            <w:vAlign w:val="center"/>
          </w:tcPr>
          <w:p w14:paraId="74589D10">
            <w:pPr>
              <w:widowControl/>
              <w:jc w:val="center"/>
              <w:textAlignment w:val="center"/>
              <w:rPr>
                <w:rFonts w:ascii="Times New Roman" w:hAnsi="Times New Roman" w:eastAsia="宋体" w:cs="Times New Roman"/>
                <w:szCs w:val="21"/>
              </w:rPr>
            </w:pPr>
            <w:r>
              <w:rPr>
                <w:rFonts w:hint="eastAsia" w:ascii="Times New Roman" w:hAnsi="Times New Roman" w:eastAsia="宋体" w:cs="Times New Roman"/>
              </w:rPr>
              <w:t>1台</w:t>
            </w:r>
          </w:p>
        </w:tc>
        <w:tc>
          <w:tcPr>
            <w:tcW w:w="7277" w:type="dxa"/>
            <w:tcBorders>
              <w:top w:val="single" w:color="auto" w:sz="4" w:space="0"/>
              <w:left w:val="nil"/>
              <w:bottom w:val="single" w:color="auto" w:sz="4" w:space="0"/>
              <w:right w:val="single" w:color="auto" w:sz="4" w:space="0"/>
            </w:tcBorders>
            <w:noWrap/>
            <w:vAlign w:val="center"/>
          </w:tcPr>
          <w:p w14:paraId="240138B4">
            <w:pPr>
              <w:widowControl/>
              <w:spacing w:line="360" w:lineRule="auto"/>
              <w:jc w:val="left"/>
              <w:textAlignment w:val="center"/>
              <w:rPr>
                <w:rFonts w:ascii="宋体" w:hAnsi="宋体" w:eastAsia="宋体" w:cs="宋体"/>
                <w:kern w:val="0"/>
                <w:szCs w:val="21"/>
                <w:lang w:bidi="ar"/>
              </w:rPr>
            </w:pPr>
            <w:r>
              <w:rPr>
                <w:rFonts w:hint="eastAsia" w:ascii="宋体" w:hAnsi="宋体" w:eastAsia="宋体" w:cs="宋体"/>
                <w:color w:val="000000"/>
                <w:kern w:val="0"/>
                <w:sz w:val="22"/>
                <w:szCs w:val="22"/>
                <w:lang w:bidi="ar"/>
              </w:rPr>
              <w:t>1.操作环境</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1.1工作电压：220V ±10%，单相</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1.2工作温度：4-35℃</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1.3相对湿度：小于80%</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2.系统控制器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2.1可连接单元：溶剂输送单元：4个，自动进样器：1个，柱温箱：4个，检测器：3个</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2.2最多可连接单元：8(含溶剂输送单元)</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2.3操作温度范围：4~35℃</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2.4电源：由输液单元提供</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2.5工作站：工作站控制；</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3.输液泵</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▲3.1泵型：必须为微体积并联双柱塞泵，不接受串联方式</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▲3.2物理双泵头 ：无需脉冲阻尼器，减少系统体积，如果是阻尼器设计则视为不满足</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▲3.3流速范围：0.0001-8.0000mL/min，流速范围0.0001精确到小数点后</w:t>
            </w:r>
            <w:r>
              <w:rPr>
                <w:rFonts w:hint="eastAsia" w:ascii="宋体" w:hAnsi="宋体" w:eastAsia="宋体" w:cs="宋体"/>
                <w:color w:val="000000"/>
                <w:kern w:val="0"/>
                <w:sz w:val="22"/>
                <w:szCs w:val="22"/>
                <w:lang w:val="en-US" w:eastAsia="zh-CN" w:bidi="ar"/>
              </w:rPr>
              <w:t>4</w:t>
            </w:r>
            <w:r>
              <w:rPr>
                <w:rFonts w:hint="eastAsia" w:ascii="宋体" w:hAnsi="宋体" w:eastAsia="宋体" w:cs="宋体"/>
                <w:color w:val="000000"/>
                <w:kern w:val="0"/>
                <w:sz w:val="22"/>
                <w:szCs w:val="22"/>
                <w:lang w:bidi="ar"/>
              </w:rPr>
              <w:t>位（投标文件提供软件操作界面截图）</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3.4耐压：105Mpa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3.5流速精确度：≤0.062％RSD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3.6混合器控温 ：可实现流动相快速、稳定混合</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3.7梯度型：高压梯度(2种或3种溶剂)；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3.8浓度梯度范围：0~100%(0.1%步进)</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3.9自我诊断/自我恢复：自动检测到批处理分析过程中意外混入的气泡，自动执行排气，快速恢复至正常分析状态。</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3.10智能流量控制功能，使流速逐步上升至目标流速防止瞬间高压损害色谱柱。</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3.11 pH范围：1–14</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4.脱气机</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4.1流路数目：5路</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4.2脱气流路体积：400µL/每流路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5.可升级流动相精灵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5.1流动相精灵：自动计算批处理分析所需流动相总量，实时监测余量并可推送提醒信息至智能终端</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5.2可监测流动相数量：≥2</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6.自动进样器</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6.1线性：≥0.9999%</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6.2耐压：105Mpa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6.3进样周期：≦6.7秒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6.4进样速度：4秒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6.5样品数量：160位(1.5mL/2mL样品瓶)</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6.6样品数量扩展：最多可扩展至16000个 样品</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6.7交叉污染： ≤0.0005%</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6.8针外润洗和进样口冲洗：标配</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6.9针外壁送液清洗：可扩展支持两路清洗液</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6.10针内壁清洗：可扩展支持3路清洗液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6.11 双进样模式：可扩展为支持两条独立流路同时分析</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▲6.12支持多种自动前处理功能：样品稀释、添加、混合、共进样功能、自动衍生等</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6.13智能化样品冷却机制 ，智能控制样品仓内气流走向，充分保持其内部温度，防止样品仓门打开时外部热空气侵入影响样品仓内温度，并防止冷凝的发生。</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7.柱温箱</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▲7.1温度控制型：为保证温度均一性，必须为强制空气循环控温，不接受半导体控温。</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7.2温度控制范围：室温-10℃~95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7.3双重漏液传感器 ：含气体和液体双重传感器</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7.4色谱柱容量：单个柱温箱内可放置250mm×5根；300mm×3根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7.5内置混合器：支持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8.二极管阵列检测器</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▲8.1 光源：氘灯和钨灯双光源，投标文件提供软件界面截图证明</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8.2 二极管数量：1024</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8.3 波长范围：190~750nm</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8.4 漂移：≤0.4×10</w:t>
            </w:r>
            <w:r>
              <w:rPr>
                <w:rFonts w:hint="eastAsia" w:ascii="宋体" w:hAnsi="宋体" w:eastAsia="宋体" w:cs="宋体"/>
                <w:color w:val="000000"/>
                <w:kern w:val="0"/>
                <w:sz w:val="22"/>
                <w:szCs w:val="22"/>
                <w:vertAlign w:val="superscript"/>
                <w:lang w:bidi="ar"/>
              </w:rPr>
              <w:t>-3</w:t>
            </w:r>
            <w:r>
              <w:rPr>
                <w:rFonts w:hint="eastAsia" w:ascii="宋体" w:hAnsi="宋体" w:eastAsia="宋体" w:cs="宋体"/>
                <w:color w:val="000000"/>
                <w:kern w:val="0"/>
                <w:sz w:val="22"/>
                <w:szCs w:val="22"/>
                <w:lang w:bidi="ar"/>
              </w:rPr>
              <w:t>AU/h</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8.5 噪音：≤4.5×10</w:t>
            </w:r>
            <w:r>
              <w:rPr>
                <w:rFonts w:hint="eastAsia" w:ascii="宋体" w:hAnsi="宋体" w:eastAsia="宋体" w:cs="宋体"/>
                <w:color w:val="000000"/>
                <w:kern w:val="0"/>
                <w:sz w:val="22"/>
                <w:szCs w:val="22"/>
                <w:vertAlign w:val="superscript"/>
                <w:lang w:bidi="ar"/>
              </w:rPr>
              <w:t>-6</w:t>
            </w:r>
            <w:r>
              <w:rPr>
                <w:rFonts w:hint="eastAsia" w:ascii="宋体" w:hAnsi="宋体" w:eastAsia="宋体" w:cs="宋体"/>
                <w:color w:val="000000"/>
                <w:kern w:val="0"/>
                <w:sz w:val="22"/>
                <w:szCs w:val="22"/>
                <w:lang w:bidi="ar"/>
              </w:rPr>
              <w:t>AU</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8.6 线性：≥2.4AU</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8.7 温度系数：≤0.3×10</w:t>
            </w:r>
            <w:r>
              <w:rPr>
                <w:rFonts w:hint="eastAsia" w:ascii="宋体" w:hAnsi="宋体" w:eastAsia="宋体" w:cs="宋体"/>
                <w:color w:val="000000"/>
                <w:kern w:val="0"/>
                <w:sz w:val="22"/>
                <w:szCs w:val="22"/>
                <w:vertAlign w:val="superscript"/>
                <w:lang w:bidi="ar"/>
              </w:rPr>
              <w:t>-3</w:t>
            </w:r>
            <w:r>
              <w:rPr>
                <w:rFonts w:hint="eastAsia" w:ascii="宋体" w:hAnsi="宋体" w:eastAsia="宋体" w:cs="宋体"/>
                <w:color w:val="000000"/>
                <w:kern w:val="0"/>
                <w:sz w:val="22"/>
                <w:szCs w:val="22"/>
                <w:lang w:bidi="ar"/>
              </w:rPr>
              <w:t>AU/℃</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8.8 标准池：光程：10mm、池体积：12μL，从进口管前端到流通池中央的体积≥45uL</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▲8.9控温单元：光源，光路系统，流通池，流通池温控：19~50℃、1℃步进（投标文件提供软件操作界面截图）</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8.10 UV截止功能 内置UV截止滤光片(开/关可选)</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8.11实现共流出化合物的基线分离；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8.12 具有智能动态范围扩展功能</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8.13流通池ID/光源ID功能：识别流通池与光源的ID，录入数据文件与系统检查报告</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9.色谱工作站</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9.1可将报告、分析结果以及所有操作日志全部汇总到一个PDF文件（报告集）中。制作简单，在安全管理到位的数据库内生成、保管，具有数据完整性功能。另外具有自动峰识别功能、智能峰解卷积功能、动态范围扩展功能；</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9.2具备接入网络化数据管理软件控制同品牌色谱、光谱、质谱，提高仪器网络化管理的便捷及实验室数据的合规（投标文件提供软件截图证明）</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10应用要求：</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10.1.参考GB5009.236-2023食品中维生素D的测定，样品完成制备和皂化步骤后定容过滤取样，样品直接采用在线固相萃取-二维液相色谱法分析，一次进样同时分析维生素A、D2、D3和维生素E的5种同分异构体</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10.2.采用二极管阵列检测器的分析，利用标配软件具备的一键智能提取杂质或共洗脱峰色谱图和光谱图的解析功能，实现重叠峰的准确定量与定性</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11.配置清单</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11.1高精度输液泵   一套</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11.2低压梯度   一套</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11.3五通道脱气机   一套</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11.4制冷自动进样器   一套</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11.5制冷柱温箱   一套</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11.6二极管阵列检测器   一套</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11.7色谱工作站  一套</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11.8 系统控制器   一套</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11.9消耗品包（包含： 接头、配管、2mL样品瓶500个、1L流动相瓶5个）   一套</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11.10色谱柱1根</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11.11控制主机及配套输出设备1套</w:t>
            </w:r>
          </w:p>
        </w:tc>
      </w:tr>
      <w:tr w14:paraId="0B4A8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4B6BDF7D">
            <w:pPr>
              <w:spacing w:line="360" w:lineRule="auto"/>
              <w:jc w:val="center"/>
              <w:rPr>
                <w:rFonts w:hint="eastAsia" w:ascii="宋体" w:hAnsi="宋体" w:eastAsia="宋体" w:cs="Times New Roman"/>
                <w:szCs w:val="21"/>
              </w:rPr>
            </w:pPr>
            <w:r>
              <w:rPr>
                <w:rFonts w:hint="eastAsia" w:ascii="宋体" w:hAnsi="宋体" w:eastAsia="宋体" w:cs="Times New Roman"/>
                <w:szCs w:val="21"/>
              </w:rPr>
              <w:t>7</w:t>
            </w:r>
          </w:p>
        </w:tc>
        <w:tc>
          <w:tcPr>
            <w:tcW w:w="1090" w:type="dxa"/>
            <w:tcBorders>
              <w:top w:val="single" w:color="auto" w:sz="4" w:space="0"/>
              <w:left w:val="nil"/>
              <w:bottom w:val="single" w:color="auto" w:sz="4" w:space="0"/>
              <w:right w:val="single" w:color="auto" w:sz="4" w:space="0"/>
            </w:tcBorders>
            <w:noWrap/>
            <w:vAlign w:val="center"/>
          </w:tcPr>
          <w:p w14:paraId="48A641E0">
            <w:pPr>
              <w:widowControl/>
              <w:jc w:val="center"/>
              <w:textAlignment w:val="center"/>
              <w:rPr>
                <w:rFonts w:ascii="宋体" w:hAnsi="宋体" w:eastAsia="宋体" w:cs="宋体"/>
                <w:kern w:val="0"/>
                <w:szCs w:val="21"/>
                <w:lang w:bidi="ar"/>
              </w:rPr>
            </w:pPr>
            <w:r>
              <w:rPr>
                <w:rFonts w:hint="eastAsia" w:ascii="宋体" w:hAnsi="宋体" w:eastAsia="宋体" w:cs="宋体"/>
                <w:color w:val="000000"/>
                <w:kern w:val="0"/>
                <w:sz w:val="22"/>
                <w:szCs w:val="22"/>
                <w:lang w:bidi="ar"/>
              </w:rPr>
              <w:t>电感耦合等离子体发射光谱仪</w:t>
            </w:r>
          </w:p>
        </w:tc>
        <w:tc>
          <w:tcPr>
            <w:tcW w:w="780" w:type="dxa"/>
            <w:tcBorders>
              <w:top w:val="single" w:color="auto" w:sz="4" w:space="0"/>
              <w:left w:val="nil"/>
              <w:bottom w:val="single" w:color="auto" w:sz="4" w:space="0"/>
              <w:right w:val="single" w:color="auto" w:sz="4" w:space="0"/>
            </w:tcBorders>
            <w:noWrap/>
            <w:vAlign w:val="center"/>
          </w:tcPr>
          <w:p w14:paraId="631B5CA2">
            <w:pPr>
              <w:widowControl/>
              <w:jc w:val="center"/>
              <w:textAlignment w:val="center"/>
              <w:rPr>
                <w:rFonts w:ascii="Times New Roman" w:hAnsi="Times New Roman" w:eastAsia="宋体" w:cs="Times New Roman"/>
                <w:szCs w:val="21"/>
              </w:rPr>
            </w:pPr>
            <w:r>
              <w:rPr>
                <w:rFonts w:hint="eastAsia" w:ascii="Times New Roman" w:hAnsi="Times New Roman" w:eastAsia="宋体" w:cs="Times New Roman"/>
              </w:rPr>
              <w:t>1台</w:t>
            </w:r>
          </w:p>
        </w:tc>
        <w:tc>
          <w:tcPr>
            <w:tcW w:w="7277" w:type="dxa"/>
            <w:tcBorders>
              <w:top w:val="single" w:color="auto" w:sz="4" w:space="0"/>
              <w:left w:val="nil"/>
              <w:bottom w:val="single" w:color="auto" w:sz="4" w:space="0"/>
              <w:right w:val="single" w:color="auto" w:sz="4" w:space="0"/>
            </w:tcBorders>
            <w:noWrap/>
            <w:vAlign w:val="center"/>
          </w:tcPr>
          <w:p w14:paraId="1B338F1B">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1.技术要求</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1.1 进样系统：</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1.1.1 高效同心雾化器或平行通道雾化器，保证仪器高灵敏度的同时具有良好的耐盐特性，可选有机进样器、高盐雾化器、氢氟酸雾化器。</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1.1.2  雾化室类型可选常规雾化室、耐高盐雾化室、耐氢氟酸雾化室、有机雾化室等；</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1.1.3 分体设计的可拆卸式石英炬管，预准直的炬管座内置式气路连接。</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1.1.4 气路部分均采用高精度的质量流量计控制，其中等离子体气流量控制精度≤1L/min，辅助气流量控制精度≤0.01L/min，雾化器流量控制精度≤0.01L/min</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▲1.1</w:t>
            </w:r>
            <w:r>
              <w:rPr>
                <w:rFonts w:hint="eastAsia" w:ascii="宋体" w:hAnsi="宋体" w:eastAsia="宋体" w:cs="宋体"/>
                <w:color w:val="000000"/>
                <w:kern w:val="0"/>
                <w:sz w:val="22"/>
                <w:szCs w:val="22"/>
                <w:lang w:val="en-US" w:eastAsia="zh-CN" w:bidi="ar"/>
              </w:rPr>
              <w:t>.</w:t>
            </w:r>
            <w:r>
              <w:rPr>
                <w:rFonts w:hint="eastAsia" w:ascii="宋体" w:hAnsi="宋体" w:eastAsia="宋体" w:cs="宋体"/>
                <w:color w:val="000000"/>
                <w:kern w:val="0"/>
                <w:sz w:val="22"/>
                <w:szCs w:val="22"/>
                <w:lang w:bidi="ar"/>
              </w:rPr>
              <w:t>5 进样系统：手动/自动进样器；不低于200孔位自动进样器，</w:t>
            </w:r>
            <w:r>
              <w:rPr>
                <w:rFonts w:hint="eastAsia" w:ascii="Times New Roman" w:hAnsi="Times New Roman" w:eastAsia="宋体" w:cs="Times New Roman"/>
              </w:rPr>
              <w:t>满足大批量进样需求，</w:t>
            </w:r>
            <w:r>
              <w:rPr>
                <w:rFonts w:hint="eastAsia" w:ascii="宋体" w:hAnsi="宋体" w:eastAsia="宋体" w:cs="宋体"/>
                <w:color w:val="000000"/>
                <w:kern w:val="0"/>
                <w:sz w:val="22"/>
                <w:szCs w:val="22"/>
                <w:lang w:bidi="ar"/>
              </w:rPr>
              <w:t>样品管体积≥15mL，XYZ三轴进样系统</w:t>
            </w:r>
          </w:p>
          <w:p w14:paraId="68C15222">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1.1.6进样方式可选无机液体进样、有机液化进样、氢化物发生进样等</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1.2 检测器</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▲1.2.1 检测单元：≥100万像素CCD固态检测器，一次曝光，在光谱仪波长范围内具有连续像素，能任意选择波长，全谱段响应，且具有防溢出功能设计；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▲1.2.2 采用高效半导体进行检测器恒温，恒温温度不低于-15℃；（投标文件须响应具体的温度数值，恒温温度提供软件截图）</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1.2.3 高紫外量子化效率，无镀膜，量子化效率不低于75%，具有极宽的动态范围和极快的信号处理速度</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1.3光学系统：.稳定高效的中阶梯光栅光学系统</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▲1.3.1 恒温温度≤36℃，精密度±0.1℃，驱氩气； (投标文件须响应具体的数值，恒温温度提供软件截图）</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1.3.2 中阶梯光栅石英棱镜二维分光系统，不接受CaF</w:t>
            </w:r>
            <w:r>
              <w:rPr>
                <w:rFonts w:hint="eastAsia" w:ascii="宋体" w:hAnsi="宋体" w:eastAsia="宋体" w:cs="宋体"/>
                <w:color w:val="000000"/>
                <w:kern w:val="0"/>
                <w:sz w:val="22"/>
                <w:szCs w:val="22"/>
                <w:vertAlign w:val="subscript"/>
                <w:lang w:bidi="ar"/>
              </w:rPr>
              <w:t>2</w:t>
            </w:r>
            <w:r>
              <w:rPr>
                <w:rFonts w:hint="eastAsia" w:ascii="宋体" w:hAnsi="宋体" w:eastAsia="宋体" w:cs="宋体"/>
                <w:color w:val="000000"/>
                <w:kern w:val="0"/>
                <w:sz w:val="22"/>
                <w:szCs w:val="22"/>
                <w:lang w:bidi="ar"/>
              </w:rPr>
              <w:t>棱镜系统，中阶梯光栅刻线密度≥80条/毫米；</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▲1.3.3 焦距:≤400mm；</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▲1.3.4 波长范围：165-870nm，全波长覆盖；可测Al 167.079nm，Cs894.347nm谱线。（投标文件提供Al 167.079nm，Cs894.347nm谱线的测量截图）</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▲1.3.5 波长校正: 每次点火，仅用C、N、Ar谱线，自动进行光谱位置校正无须波长校正溶液；</w:t>
            </w:r>
          </w:p>
          <w:p w14:paraId="1DF85408">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▲1.3.6 利用无干扰的氖的特征谱线，对光谱的细微偏移进行实时校正，确保长期稳定性；</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1.3.7吹扫型光室：对189nm以下波长测定，选择氩气进行光路吹扫；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1.3.8光学分辨率（FWHM）：≤7pm @200 nm；</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1.4等离子体：</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▲1.4.1 自激式全固态射频电源，可调范围不小于550-1600W，连续1W可调；</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1.4.2 垂直炬管，轴向、径向双向观测；具备轴向衰减，径向衰减功能；</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▲1.4.3 提供≤600W超低功率待机；（投标文件须响应具体的数值，提供设置界面截图）</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1.4.4 RF源频率40.68MHz或者27.12MHz；功率稳定性: ≤0.1%，频率稳定性：≤0.01%</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1.4.5 尾焰去除方式：空气切割或者冷锥去尾焰，如使用空气切割需配置空气压缩机；</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1.5 软件要求：</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1.5.1 图形化操作界面，软件操作方便、直观，具有定性、半定量、定量分析功能。</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1.5.2 具有全谱采集功能，软件上可直接获取完整全谱图。</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1.5.3 具有多种干扰校正方法和实时背景扣除功能：如标准比较法、内标法、干扰元素校正系数法（IEC）、标准加入曲线法等，丰富了用户多种分析研究的手段。</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1.5.4 具有可视化炬焰观测模块。</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▲1.5.5 可集成同品牌超级微波消解仪，自动化分析仪器平台实现消解到测试的全流程自动分析。</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▲1.5.6 可用于金属或岩石或地矿等的钙，镁元素的测定，且经过标准物质验证，准确度小于2%。</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1.6性能要求：</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1.6.1 分析速度：约每分钟200条谱线；</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1.6.2 测定谱线的线性动态范围：≥10</w:t>
            </w:r>
            <w:r>
              <w:rPr>
                <w:rFonts w:hint="eastAsia" w:ascii="宋体" w:hAnsi="宋体" w:eastAsia="宋体" w:cs="宋体"/>
                <w:color w:val="000000"/>
                <w:kern w:val="0"/>
                <w:sz w:val="22"/>
                <w:szCs w:val="22"/>
                <w:vertAlign w:val="superscript"/>
                <w:lang w:bidi="ar"/>
              </w:rPr>
              <w:t>5</w:t>
            </w:r>
            <w:r>
              <w:rPr>
                <w:rFonts w:hint="eastAsia" w:ascii="宋体" w:hAnsi="宋体" w:eastAsia="宋体" w:cs="宋体"/>
                <w:color w:val="000000"/>
                <w:kern w:val="0"/>
                <w:sz w:val="22"/>
                <w:szCs w:val="22"/>
                <w:lang w:bidi="ar"/>
              </w:rPr>
              <w:t>（以Mn257.6nm 来测定，相关系数≥0.999）；</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▲1.6.3 精密度：测定1ppm或10ppm多元素混合标准溶液，重复测定十次的RSD≤0.5%；</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▲1.6.4 稳定性：测定1ppm或10ppm多元素混合标准溶液，4小时的长时间稳定性RSD≤1%；</w:t>
            </w:r>
          </w:p>
          <w:p w14:paraId="7EA06D17">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 xml:space="preserve">1.6.5 检出限：(单位ug/L，按JJG768-2005规定的元素)         </w:t>
            </w:r>
          </w:p>
          <w:p w14:paraId="65AE6BAA">
            <w:pPr>
              <w:widowControl/>
              <w:spacing w:line="360" w:lineRule="auto"/>
              <w:jc w:val="left"/>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Zn213.8检出限0.5、Ni221.6检出限1、Mn257.6检出限0.5、Cr283.5检出限1、Cu324.7检出限1、Ba455.4检出限0.3。</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 配置要求</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2.1电感耦合等离子体发射光谱仪主机 1台</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2.2 波长范围至870nm的光学系统1套</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2.3 全自动氖或汞灯波长校正装置1套</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2.4 石英进样系统1套（含石英旋流雾化室，石英同心雾化器，石英炬管，雾化室连接管，中心管）</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w:t>
            </w:r>
            <w:r>
              <w:rPr>
                <w:rFonts w:hint="eastAsia" w:ascii="宋体" w:hAnsi="宋体" w:eastAsia="宋体" w:cs="宋体"/>
                <w:color w:val="000000"/>
                <w:kern w:val="0"/>
                <w:sz w:val="22"/>
                <w:szCs w:val="22"/>
                <w:lang w:val="en-US" w:eastAsia="zh-CN" w:bidi="ar"/>
              </w:rPr>
              <w:t>5</w:t>
            </w:r>
            <w:r>
              <w:rPr>
                <w:rFonts w:hint="eastAsia" w:ascii="宋体" w:hAnsi="宋体" w:eastAsia="宋体" w:cs="宋体"/>
                <w:color w:val="000000"/>
                <w:kern w:val="0"/>
                <w:sz w:val="22"/>
                <w:szCs w:val="22"/>
                <w:lang w:bidi="ar"/>
              </w:rPr>
              <w:t xml:space="preserve"> 耐高盐雾化器  1套</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w:t>
            </w:r>
            <w:r>
              <w:rPr>
                <w:rFonts w:hint="eastAsia" w:ascii="宋体" w:hAnsi="宋体" w:eastAsia="宋体" w:cs="宋体"/>
                <w:color w:val="000000"/>
                <w:kern w:val="0"/>
                <w:sz w:val="22"/>
                <w:szCs w:val="22"/>
                <w:lang w:val="en-US" w:eastAsia="zh-CN" w:bidi="ar"/>
              </w:rPr>
              <w:t>6</w:t>
            </w:r>
            <w:r>
              <w:rPr>
                <w:rFonts w:hint="eastAsia" w:ascii="宋体" w:hAnsi="宋体" w:eastAsia="宋体" w:cs="宋体"/>
                <w:color w:val="000000"/>
                <w:kern w:val="0"/>
                <w:sz w:val="22"/>
                <w:szCs w:val="22"/>
                <w:lang w:bidi="ar"/>
              </w:rPr>
              <w:t xml:space="preserve"> ICP专用操作软件</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w:t>
            </w:r>
            <w:r>
              <w:rPr>
                <w:rFonts w:hint="eastAsia" w:ascii="宋体" w:hAnsi="宋体" w:eastAsia="宋体" w:cs="宋体"/>
                <w:color w:val="000000"/>
                <w:kern w:val="0"/>
                <w:sz w:val="22"/>
                <w:szCs w:val="22"/>
                <w:lang w:val="en-US" w:eastAsia="zh-CN" w:bidi="ar"/>
              </w:rPr>
              <w:t>7</w:t>
            </w:r>
            <w:r>
              <w:rPr>
                <w:rFonts w:hint="eastAsia" w:ascii="宋体" w:hAnsi="宋体" w:eastAsia="宋体" w:cs="宋体"/>
                <w:color w:val="000000"/>
                <w:kern w:val="0"/>
                <w:sz w:val="22"/>
                <w:szCs w:val="22"/>
                <w:lang w:bidi="ar"/>
              </w:rPr>
              <w:t>安装附件包（含水路气路连接管1套，耐高温排风管1个，用户手册1份）</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w:t>
            </w:r>
            <w:r>
              <w:rPr>
                <w:rFonts w:hint="eastAsia" w:ascii="宋体" w:hAnsi="宋体" w:eastAsia="宋体" w:cs="宋体"/>
                <w:color w:val="000000"/>
                <w:kern w:val="0"/>
                <w:sz w:val="22"/>
                <w:szCs w:val="22"/>
                <w:lang w:val="en-US" w:eastAsia="zh-CN" w:bidi="ar"/>
              </w:rPr>
              <w:t>8</w:t>
            </w:r>
            <w:r>
              <w:rPr>
                <w:rFonts w:hint="eastAsia" w:ascii="宋体" w:hAnsi="宋体" w:eastAsia="宋体" w:cs="宋体"/>
                <w:color w:val="000000"/>
                <w:kern w:val="0"/>
                <w:sz w:val="22"/>
                <w:szCs w:val="22"/>
                <w:lang w:bidi="ar"/>
              </w:rPr>
              <w:t xml:space="preserve"> ≥200位自动进样器，含15mL样品管</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w:t>
            </w:r>
            <w:r>
              <w:rPr>
                <w:rFonts w:hint="eastAsia" w:ascii="宋体" w:hAnsi="宋体" w:eastAsia="宋体" w:cs="宋体"/>
                <w:color w:val="000000"/>
                <w:kern w:val="0"/>
                <w:sz w:val="22"/>
                <w:szCs w:val="22"/>
                <w:lang w:val="en-US" w:eastAsia="zh-CN" w:bidi="ar"/>
              </w:rPr>
              <w:t>9</w:t>
            </w:r>
            <w:r>
              <w:rPr>
                <w:rFonts w:hint="eastAsia" w:ascii="宋体" w:hAnsi="宋体" w:eastAsia="宋体" w:cs="宋体"/>
                <w:color w:val="000000"/>
                <w:kern w:val="0"/>
                <w:sz w:val="22"/>
                <w:szCs w:val="22"/>
                <w:lang w:bidi="ar"/>
              </w:rPr>
              <w:t>冷却循环水系统，制冷量1490W，温度范围5-35℃。</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w:t>
            </w:r>
            <w:r>
              <w:rPr>
                <w:rFonts w:hint="eastAsia" w:ascii="宋体" w:hAnsi="宋体" w:eastAsia="宋体" w:cs="宋体"/>
                <w:color w:val="000000"/>
                <w:kern w:val="0"/>
                <w:sz w:val="22"/>
                <w:szCs w:val="22"/>
                <w:lang w:val="en-US" w:eastAsia="zh-CN" w:bidi="ar"/>
              </w:rPr>
              <w:t>10</w:t>
            </w:r>
            <w:r>
              <w:rPr>
                <w:rFonts w:hint="eastAsia" w:ascii="宋体" w:hAnsi="宋体" w:eastAsia="宋体" w:cs="宋体"/>
                <w:color w:val="000000"/>
                <w:kern w:val="0"/>
                <w:sz w:val="22"/>
                <w:szCs w:val="22"/>
                <w:lang w:bidi="ar"/>
              </w:rPr>
              <w:t>控制主机一套，含操作系统</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w:t>
            </w:r>
            <w:r>
              <w:rPr>
                <w:rFonts w:hint="eastAsia" w:ascii="宋体" w:hAnsi="宋体" w:eastAsia="宋体" w:cs="宋体"/>
                <w:color w:val="000000"/>
                <w:kern w:val="0"/>
                <w:sz w:val="22"/>
                <w:szCs w:val="22"/>
                <w:lang w:val="en-US" w:eastAsia="zh-CN" w:bidi="ar"/>
              </w:rPr>
              <w:t>11</w:t>
            </w:r>
            <w:r>
              <w:rPr>
                <w:rFonts w:hint="eastAsia" w:ascii="宋体" w:hAnsi="宋体" w:eastAsia="宋体" w:cs="宋体"/>
                <w:kern w:val="0"/>
                <w:sz w:val="22"/>
                <w:szCs w:val="22"/>
                <w:lang w:bidi="ar"/>
              </w:rPr>
              <w:t>投标人应对该设备的安装调试与电路连接改造以及持续使用提供保障服务</w:t>
            </w:r>
            <w:r>
              <w:rPr>
                <w:rFonts w:hint="eastAsia" w:ascii="宋体" w:hAnsi="宋体" w:eastAsia="宋体" w:cs="宋体"/>
                <w:color w:val="000000"/>
                <w:kern w:val="0"/>
                <w:sz w:val="22"/>
                <w:szCs w:val="22"/>
                <w:highlight w:val="yellow"/>
                <w:lang w:bidi="ar"/>
              </w:rPr>
              <w:br w:type="textWrapping"/>
            </w:r>
            <w:r>
              <w:rPr>
                <w:rFonts w:hint="eastAsia" w:ascii="宋体" w:hAnsi="宋体" w:eastAsia="宋体" w:cs="宋体"/>
                <w:color w:val="000000"/>
                <w:kern w:val="0"/>
                <w:sz w:val="22"/>
                <w:szCs w:val="22"/>
                <w:lang w:bidi="ar"/>
              </w:rPr>
              <w:t>2.</w:t>
            </w:r>
            <w:r>
              <w:rPr>
                <w:rFonts w:hint="eastAsia" w:ascii="宋体" w:hAnsi="宋体" w:eastAsia="宋体" w:cs="宋体"/>
                <w:color w:val="000000"/>
                <w:kern w:val="0"/>
                <w:sz w:val="22"/>
                <w:szCs w:val="22"/>
                <w:lang w:val="en-US" w:eastAsia="zh-CN" w:bidi="ar"/>
              </w:rPr>
              <w:t>12</w:t>
            </w:r>
            <w:r>
              <w:rPr>
                <w:rFonts w:hint="eastAsia" w:ascii="宋体" w:hAnsi="宋体" w:eastAsia="宋体" w:cs="宋体"/>
                <w:color w:val="000000"/>
                <w:kern w:val="0"/>
                <w:sz w:val="22"/>
                <w:szCs w:val="22"/>
                <w:lang w:bidi="ar"/>
              </w:rPr>
              <w:t xml:space="preserve"> 额外耗材1套（带扩口进样泵管12根，带扩口排废泵管12根，石墨垫片2片）</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 服务要求</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3.1提供仪器的详细操作说明书。</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3.2现场免费安装、调试、培训，维修响应时间一般情况≤24小时，到现场时间小于72小时；为用户提供培训（2人次，不少于4天）。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3.3仪器安装调试合格后制造商提供保修期一年，制造商终生提供维修服务和技术支持。</w:t>
            </w:r>
          </w:p>
        </w:tc>
      </w:tr>
      <w:tr w14:paraId="04201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6BBCD89B">
            <w:pPr>
              <w:spacing w:line="360" w:lineRule="auto"/>
              <w:jc w:val="center"/>
              <w:rPr>
                <w:rFonts w:hint="eastAsia" w:ascii="宋体" w:hAnsi="宋体" w:eastAsia="宋体" w:cs="Times New Roman"/>
                <w:szCs w:val="21"/>
              </w:rPr>
            </w:pPr>
            <w:r>
              <w:rPr>
                <w:rFonts w:hint="eastAsia" w:ascii="宋体" w:hAnsi="宋体" w:eastAsia="宋体" w:cs="Times New Roman"/>
                <w:szCs w:val="21"/>
              </w:rPr>
              <w:t>8</w:t>
            </w:r>
          </w:p>
        </w:tc>
        <w:tc>
          <w:tcPr>
            <w:tcW w:w="1090" w:type="dxa"/>
            <w:tcBorders>
              <w:top w:val="single" w:color="auto" w:sz="4" w:space="0"/>
              <w:left w:val="nil"/>
              <w:bottom w:val="single" w:color="auto" w:sz="4" w:space="0"/>
              <w:right w:val="single" w:color="auto" w:sz="4" w:space="0"/>
            </w:tcBorders>
            <w:noWrap/>
            <w:vAlign w:val="center"/>
          </w:tcPr>
          <w:p w14:paraId="796A879E">
            <w:pPr>
              <w:widowControl/>
              <w:jc w:val="center"/>
              <w:textAlignment w:val="center"/>
              <w:rPr>
                <w:rFonts w:ascii="宋体" w:hAnsi="宋体" w:eastAsia="宋体" w:cs="宋体"/>
                <w:kern w:val="0"/>
                <w:szCs w:val="21"/>
                <w:lang w:bidi="ar"/>
              </w:rPr>
            </w:pPr>
            <w:r>
              <w:rPr>
                <w:rFonts w:hint="eastAsia" w:ascii="宋体" w:hAnsi="宋体" w:eastAsia="宋体" w:cs="宋体"/>
                <w:color w:val="000000"/>
                <w:kern w:val="0"/>
                <w:sz w:val="22"/>
                <w:szCs w:val="22"/>
                <w:lang w:bidi="ar"/>
              </w:rPr>
              <w:t>全自动凯氏定氮仪</w:t>
            </w:r>
          </w:p>
        </w:tc>
        <w:tc>
          <w:tcPr>
            <w:tcW w:w="780" w:type="dxa"/>
            <w:tcBorders>
              <w:top w:val="single" w:color="auto" w:sz="4" w:space="0"/>
              <w:left w:val="nil"/>
              <w:bottom w:val="single" w:color="auto" w:sz="4" w:space="0"/>
              <w:right w:val="single" w:color="auto" w:sz="4" w:space="0"/>
            </w:tcBorders>
            <w:noWrap/>
            <w:vAlign w:val="center"/>
          </w:tcPr>
          <w:p w14:paraId="2498D2E1">
            <w:pPr>
              <w:widowControl/>
              <w:jc w:val="center"/>
              <w:textAlignment w:val="center"/>
              <w:rPr>
                <w:rFonts w:ascii="Times New Roman" w:hAnsi="Times New Roman" w:eastAsia="宋体" w:cs="Times New Roman"/>
                <w:szCs w:val="21"/>
              </w:rPr>
            </w:pPr>
            <w:r>
              <w:rPr>
                <w:rFonts w:hint="eastAsia" w:ascii="Times New Roman" w:hAnsi="Times New Roman" w:eastAsia="宋体" w:cs="Times New Roman"/>
              </w:rPr>
              <w:t>1台</w:t>
            </w:r>
          </w:p>
        </w:tc>
        <w:tc>
          <w:tcPr>
            <w:tcW w:w="7277" w:type="dxa"/>
            <w:tcBorders>
              <w:top w:val="single" w:color="auto" w:sz="4" w:space="0"/>
              <w:left w:val="nil"/>
              <w:bottom w:val="single" w:color="auto" w:sz="4" w:space="0"/>
              <w:right w:val="single" w:color="auto" w:sz="4" w:space="0"/>
            </w:tcBorders>
            <w:noWrap/>
            <w:vAlign w:val="center"/>
          </w:tcPr>
          <w:p w14:paraId="1314EAEF">
            <w:pPr>
              <w:widowControl/>
              <w:spacing w:line="360" w:lineRule="auto"/>
              <w:jc w:val="left"/>
              <w:textAlignment w:val="center"/>
              <w:rPr>
                <w:rFonts w:ascii="宋体" w:hAnsi="宋体" w:eastAsia="宋体" w:cs="宋体"/>
                <w:kern w:val="0"/>
                <w:szCs w:val="21"/>
                <w:lang w:bidi="ar"/>
              </w:rPr>
            </w:pPr>
            <w:r>
              <w:rPr>
                <w:rFonts w:hint="eastAsia" w:ascii="宋体" w:hAnsi="宋体" w:eastAsia="宋体" w:cs="宋体"/>
                <w:color w:val="000000"/>
                <w:kern w:val="0"/>
                <w:sz w:val="22"/>
                <w:szCs w:val="22"/>
                <w:lang w:bidi="ar"/>
              </w:rPr>
              <w:t>一、工作条件：</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1.电源：220 VAC ±10% 50Hz；</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2.温度：操作环境10-35˚C；</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3.冷凝水压：0.02MPa-1MPa；</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4.冷凝水温度：≤20℃；</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二、功能参数</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1.仪器配置：全自动凯氏定氮仪，含蒸馏系统、滴定系统、软件系统、进样系统；</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2.主机基础要求：蒸馏滴定一体机，不接受另配滴定器模式；</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2.1 采用国家标准的凯氏定氮方法：浓硫酸环境消解样品、碱性环境蒸汽蒸馏、硼酸吸收、指示剂滴定终点颜色判定法；</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2.2 检测范围：0.1-240mgN；</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2.3 回收率≥99.5%（1-240mgN）；</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2.4 重复性误差：RSD≤0.5%（1-240mgN）；</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▲2.5 滴定精度：0.2μL/步,0.4μL/步,1.0 μL/步三档可选；</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2.6 测定样品重量：固体≤5g   液体≤20ml；</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2.7 全自动加碱加酸加稀释剂、全自动蒸馏滴定、全自动排废、全自动清洗、全自动校正、全自动消化管排空、全自动故障检测、全自动溶液液位监测、全自动超温监测、全自动计算结果、输出、打印；</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2.8  10寸彩色触摸显示系统，使用安卓操作系统；</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▲2.9 采用三级用户名加密码形式登录，并可对密码进行老化设置，内置用户权限分级规则，仪器操作可溯源，使仪器的实验数据更加的真实安全；</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▲2.10 云服务功能,能够通过LAN或者WIFI连接网络，将实验方法和测试结果上传到云端储存或者从云端下载到本地；</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2.11 批量测试功能，能够批量的输入样品信息，减少用户的工作量，使测试方便快捷，提高测试的效率；</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2.12 机身可存储80万及以上条数据，满足各类规范中关于文件、记录保存时限的要求；</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2.13 测试结果具备两种报告格式，标题可编辑，满足不同客户需求；</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2.14 机器具有PDF和XML两种输出方式；</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2.15 接口：USB，LAN，RS232，CAN，WIFI；</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2.16 可以对接LIMS实验室信息管理系统，数据统一管理，方便快捷。</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2.17 可以增配对接自动进样器，测试过程无人值守，节省人力成本。</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2.18 结果高低限报警功能，及时提示实验人员结果异常，避免批次结果受损；</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蒸馏系统</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▲3.1 蒸汽流量30-100%可调；</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3.2 蒸馏模式：双蒸馏模式可选；</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3.3 蒸馏时间：0—6000S 连续可调；</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▲3.4 采用金属材质蒸馏发生器，具有压力传感器、温度传感器、温度保护开关、分离式液位监测等多重保护；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3.5 仪器实时监测馏出液温度，并可根据温度自动调节冷凝水流量，在保证冷凝效果的同时降低冷凝水的消耗；</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3.6 防溅瓶采用耐碱液腐蚀的高分子材质；</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3.7 接收杯上盖可随时拆卸，无需借助工具，便于清洗接收杯等部件；</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滴定系统</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▲4.1 仪器采用正压式进液，可有效避免滴定过程气泡产生，滴定酸桶内置在主机箱体内，配备滴定酸液位监测系统，保证实验正常进行；</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4.2 直线电机微控滴定系统，具备边蒸馏边滴定功能，减少测试时间，提高测试准确性；</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4.3采用柱塞泵式滴定系统，配合进口标准25mL滴定管,也可根据需要选配5mL及10mL滴定管，保证实验的准确性；</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4.4 具备边蒸馏边滴定和变速度变体积滴定技术，减少测试时间，提高测试准确性；</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4.5 滴定颜色设置和微调功能，共三种颜色判定，可支持凯氏定氮各指示剂种类及配比，满足各类标准需要；</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4.6采用金属冷凝方式，温度传感器置于冷凝瓶冷凝水的出水处，保证馏出液的温度不超温，保证测试结果的准确性；</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进样系统</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▲5.1进样器容量≥24支300ml消化管；</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5.2批次处理：与凯氏定氮仪配合，一次可连续进行24个实验，实现真正无人值守工作。</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5.3进样方式采用转盘式进样，转盘速度：≥0.04r/s；</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5.4消化管顶杆顶出速度：≥40mm/s；</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5.5进样器内置溶液桶容积：4个15L溶液桶；</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5.6消化管上升位置由双传感器共同控制，保证消化管位置的准确性；</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5.7电源：24VDC，可直接与凯氏定氮仪连接，无需其他外界电源；</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5.8额定功率：40W；</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5.9接口：CAN；</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6.石墨消解仪功能参数</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6.1 消化能力： ≥20个样品；</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6.2 加热方式：采用红外一体式加热及高纯石墨传导；</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6.3 控温方式：PID 控温；嵌入式软件控温技术；</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6.4 控温范围:室温+5℃～450℃（从室温到400℃≤25 分钟）；</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6.5 升温计时方式：消解开始计时或达至设定温度计时两种可选；</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6.6 显示系统：4.3寸真彩液晶显示屏；</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6.7 隔热方式：陶瓷及风道隔热；</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6.8 控温精度：±1℃；</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6.9 消化管容量：300ml（满容量水，20℃）</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6.10 表面外壳需喷涂特氟龙涂层，防止消解过程中产生的酸气或酸液对仪器的腐蚀；</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6.11 自动检测加热单元工作故障并可判断出故障模块，便于维护；</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6.12具备过压、过流、过热报警，故障自动报警功能；</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6.13 具备导流槽结构，防止酸液腐蚀仪器；</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6.14石墨表面处理方式：要求采用气相沉积技术，防止石墨高温氧化。</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7、排废系统</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7.1 PFA密封盖废气收集罩，防腐耐温；</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7.2 自来水真空泵，保证足够负压；</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7.3 具备滴盘设计，防止消解结束酸液滴落污损实验台。</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8、仪器配置</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8.1 全自动凯氏定氮仪主机1台；</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8.2 定氮操作系统软件1套；</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8.3 20孔石墨消解仪1台；</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8.4 24位自动进样器1套；</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8.</w:t>
            </w:r>
            <w:r>
              <w:rPr>
                <w:rFonts w:hint="eastAsia" w:ascii="宋体" w:hAnsi="宋体" w:eastAsia="宋体" w:cs="宋体"/>
                <w:color w:val="000000"/>
                <w:kern w:val="0"/>
                <w:sz w:val="22"/>
                <w:szCs w:val="22"/>
                <w:lang w:val="en-US" w:eastAsia="zh-CN" w:bidi="ar"/>
              </w:rPr>
              <w:t>5</w:t>
            </w:r>
            <w:r>
              <w:rPr>
                <w:rFonts w:hint="eastAsia" w:ascii="宋体" w:hAnsi="宋体" w:eastAsia="宋体" w:cs="宋体"/>
                <w:color w:val="000000"/>
                <w:kern w:val="0"/>
                <w:sz w:val="22"/>
                <w:szCs w:val="22"/>
                <w:lang w:bidi="ar"/>
              </w:rPr>
              <w:t xml:space="preserve"> 300ML消化管40支；</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8.</w:t>
            </w:r>
            <w:r>
              <w:rPr>
                <w:rFonts w:hint="eastAsia" w:ascii="宋体" w:hAnsi="宋体" w:eastAsia="宋体" w:cs="宋体"/>
                <w:color w:val="000000"/>
                <w:kern w:val="0"/>
                <w:sz w:val="22"/>
                <w:szCs w:val="22"/>
                <w:lang w:val="en-US" w:eastAsia="zh-CN" w:bidi="ar"/>
              </w:rPr>
              <w:t>6</w:t>
            </w:r>
            <w:r>
              <w:rPr>
                <w:rFonts w:hint="eastAsia" w:ascii="宋体" w:hAnsi="宋体" w:eastAsia="宋体" w:cs="宋体"/>
                <w:color w:val="000000"/>
                <w:kern w:val="0"/>
                <w:sz w:val="22"/>
                <w:szCs w:val="22"/>
                <w:lang w:bidi="ar"/>
              </w:rPr>
              <w:t xml:space="preserve"> 消化管架2个；</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8.</w:t>
            </w:r>
            <w:r>
              <w:rPr>
                <w:rFonts w:hint="eastAsia" w:ascii="宋体" w:hAnsi="宋体" w:eastAsia="宋体" w:cs="宋体"/>
                <w:color w:val="000000"/>
                <w:kern w:val="0"/>
                <w:sz w:val="22"/>
                <w:szCs w:val="22"/>
                <w:lang w:val="en-US" w:eastAsia="zh-CN" w:bidi="ar"/>
              </w:rPr>
              <w:t>7</w:t>
            </w:r>
            <w:r>
              <w:rPr>
                <w:rFonts w:hint="eastAsia" w:ascii="宋体" w:hAnsi="宋体" w:eastAsia="宋体" w:cs="宋体"/>
                <w:color w:val="000000"/>
                <w:kern w:val="0"/>
                <w:sz w:val="22"/>
                <w:szCs w:val="22"/>
                <w:lang w:bidi="ar"/>
              </w:rPr>
              <w:t xml:space="preserve"> 消解排废系统1套；</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8.</w:t>
            </w:r>
            <w:r>
              <w:rPr>
                <w:rFonts w:hint="eastAsia" w:ascii="宋体" w:hAnsi="宋体" w:eastAsia="宋体" w:cs="宋体"/>
                <w:color w:val="000000"/>
                <w:kern w:val="0"/>
                <w:sz w:val="22"/>
                <w:szCs w:val="22"/>
                <w:lang w:val="en-US" w:eastAsia="zh-CN" w:bidi="ar"/>
              </w:rPr>
              <w:t>8</w:t>
            </w:r>
            <w:r>
              <w:rPr>
                <w:rFonts w:hint="eastAsia" w:ascii="宋体" w:hAnsi="宋体" w:eastAsia="宋体" w:cs="宋体"/>
                <w:color w:val="000000"/>
                <w:kern w:val="0"/>
                <w:sz w:val="22"/>
                <w:szCs w:val="22"/>
                <w:lang w:bidi="ar"/>
              </w:rPr>
              <w:t xml:space="preserve"> 密封消化管20根；</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8.</w:t>
            </w:r>
            <w:r>
              <w:rPr>
                <w:rFonts w:hint="eastAsia" w:ascii="宋体" w:hAnsi="宋体" w:eastAsia="宋体" w:cs="宋体"/>
                <w:color w:val="000000"/>
                <w:kern w:val="0"/>
                <w:sz w:val="22"/>
                <w:szCs w:val="22"/>
                <w:lang w:val="en-US" w:eastAsia="zh-CN" w:bidi="ar"/>
              </w:rPr>
              <w:t>9</w:t>
            </w:r>
            <w:r>
              <w:rPr>
                <w:rFonts w:hint="eastAsia" w:ascii="宋体" w:hAnsi="宋体" w:eastAsia="宋体" w:cs="宋体"/>
                <w:color w:val="000000"/>
                <w:kern w:val="0"/>
                <w:sz w:val="22"/>
                <w:szCs w:val="22"/>
                <w:lang w:bidi="ar"/>
              </w:rPr>
              <w:t xml:space="preserve"> 催化剂片1箱。</w:t>
            </w:r>
          </w:p>
        </w:tc>
      </w:tr>
      <w:tr w14:paraId="4227F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33C4A4FE">
            <w:pPr>
              <w:spacing w:line="360" w:lineRule="auto"/>
              <w:jc w:val="center"/>
              <w:rPr>
                <w:rFonts w:hint="eastAsia" w:ascii="宋体" w:hAnsi="宋体" w:eastAsia="宋体" w:cs="Times New Roman"/>
                <w:szCs w:val="21"/>
              </w:rPr>
            </w:pPr>
            <w:r>
              <w:rPr>
                <w:rFonts w:hint="eastAsia" w:ascii="宋体" w:hAnsi="宋体" w:eastAsia="宋体" w:cs="Times New Roman"/>
                <w:szCs w:val="21"/>
              </w:rPr>
              <w:t>9</w:t>
            </w:r>
          </w:p>
        </w:tc>
        <w:tc>
          <w:tcPr>
            <w:tcW w:w="1090" w:type="dxa"/>
            <w:tcBorders>
              <w:top w:val="single" w:color="auto" w:sz="4" w:space="0"/>
              <w:left w:val="nil"/>
              <w:bottom w:val="single" w:color="auto" w:sz="4" w:space="0"/>
              <w:right w:val="single" w:color="auto" w:sz="4" w:space="0"/>
            </w:tcBorders>
            <w:noWrap/>
            <w:vAlign w:val="center"/>
          </w:tcPr>
          <w:p w14:paraId="6AD235DB">
            <w:pPr>
              <w:widowControl/>
              <w:jc w:val="center"/>
              <w:textAlignment w:val="center"/>
              <w:rPr>
                <w:rFonts w:ascii="宋体" w:hAnsi="宋体" w:eastAsia="宋体" w:cs="宋体"/>
                <w:kern w:val="0"/>
                <w:szCs w:val="21"/>
                <w:lang w:bidi="ar"/>
              </w:rPr>
            </w:pPr>
            <w:r>
              <w:rPr>
                <w:rFonts w:hint="eastAsia" w:ascii="宋体" w:hAnsi="宋体" w:eastAsia="宋体" w:cs="宋体"/>
                <w:color w:val="000000"/>
                <w:kern w:val="0"/>
                <w:sz w:val="22"/>
                <w:szCs w:val="22"/>
                <w:lang w:bidi="ar"/>
              </w:rPr>
              <w:t>盐雾试验箱</w:t>
            </w:r>
          </w:p>
        </w:tc>
        <w:tc>
          <w:tcPr>
            <w:tcW w:w="780" w:type="dxa"/>
            <w:tcBorders>
              <w:top w:val="single" w:color="auto" w:sz="4" w:space="0"/>
              <w:left w:val="nil"/>
              <w:bottom w:val="single" w:color="auto" w:sz="4" w:space="0"/>
              <w:right w:val="single" w:color="auto" w:sz="4" w:space="0"/>
            </w:tcBorders>
            <w:noWrap/>
            <w:vAlign w:val="center"/>
          </w:tcPr>
          <w:p w14:paraId="3934EFDD">
            <w:pPr>
              <w:widowControl/>
              <w:jc w:val="center"/>
              <w:textAlignment w:val="center"/>
              <w:rPr>
                <w:rFonts w:ascii="Times New Roman" w:hAnsi="Times New Roman" w:eastAsia="宋体" w:cs="Times New Roman"/>
                <w:szCs w:val="21"/>
              </w:rPr>
            </w:pPr>
            <w:r>
              <w:rPr>
                <w:rFonts w:hint="eastAsia" w:ascii="Times New Roman" w:hAnsi="Times New Roman" w:eastAsia="宋体" w:cs="Times New Roman"/>
                <w:szCs w:val="21"/>
              </w:rPr>
              <w:t>1台</w:t>
            </w:r>
          </w:p>
        </w:tc>
        <w:tc>
          <w:tcPr>
            <w:tcW w:w="7277" w:type="dxa"/>
            <w:tcBorders>
              <w:top w:val="single" w:color="auto" w:sz="4" w:space="0"/>
              <w:left w:val="nil"/>
              <w:bottom w:val="single" w:color="auto" w:sz="4" w:space="0"/>
              <w:right w:val="single" w:color="auto" w:sz="4" w:space="0"/>
            </w:tcBorders>
            <w:noWrap/>
            <w:vAlign w:val="center"/>
          </w:tcPr>
          <w:p w14:paraId="145F3D3E">
            <w:pPr>
              <w:widowControl/>
              <w:spacing w:line="360" w:lineRule="auto"/>
              <w:jc w:val="left"/>
              <w:textAlignment w:val="center"/>
              <w:rPr>
                <w:rFonts w:ascii="宋体" w:hAnsi="宋体" w:eastAsia="宋体" w:cs="宋体"/>
                <w:kern w:val="0"/>
                <w:szCs w:val="21"/>
                <w:lang w:bidi="ar"/>
              </w:rPr>
            </w:pPr>
            <w:r>
              <w:rPr>
                <w:rFonts w:hint="eastAsia" w:ascii="宋体" w:hAnsi="宋体" w:eastAsia="宋体" w:cs="宋体"/>
                <w:color w:val="000000"/>
                <w:kern w:val="0"/>
                <w:sz w:val="22"/>
                <w:szCs w:val="22"/>
                <w:lang w:bidi="ar"/>
              </w:rPr>
              <w:t>1.试验室尺寸：约60*45*40cm</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2.外箱尺寸：约107*60*118cm</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3.设备材质：ＰＶＣ板材</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4.试验室温度：NSS ACSS 35℃±1℃/CASS50℃±1℃</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5.饱和压力桶温度：NSS ACSS 47℃±1℃/CASS63℃±1℃</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6.试验室容积：108L</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7.压水箱容积：15L</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8.压缩空气压力：1.00±0.1kgf/cm</w:t>
            </w:r>
            <w:r>
              <w:rPr>
                <w:rFonts w:hint="eastAsia" w:ascii="宋体" w:hAnsi="宋体" w:eastAsia="宋体" w:cs="宋体"/>
                <w:color w:val="000000"/>
                <w:kern w:val="0"/>
                <w:sz w:val="22"/>
                <w:szCs w:val="22"/>
                <w:vertAlign w:val="superscript"/>
                <w:lang w:bidi="ar"/>
              </w:rPr>
              <w:t>2</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9.试验室湿度：85%RH以上</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10.喷雾方式：连续式喷雾/间隙式喷雾</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11.喷雾量：1.0~2.0ml/80cm</w:t>
            </w:r>
            <w:r>
              <w:rPr>
                <w:rFonts w:hint="eastAsia" w:ascii="宋体" w:hAnsi="宋体" w:eastAsia="宋体" w:cs="宋体"/>
                <w:color w:val="000000"/>
                <w:kern w:val="0"/>
                <w:sz w:val="22"/>
                <w:szCs w:val="22"/>
                <w:vertAlign w:val="superscript"/>
                <w:lang w:bidi="ar"/>
              </w:rPr>
              <w:t>2</w:t>
            </w:r>
            <w:r>
              <w:rPr>
                <w:rFonts w:hint="eastAsia" w:ascii="宋体" w:hAnsi="宋体" w:eastAsia="宋体" w:cs="宋体"/>
                <w:color w:val="000000"/>
                <w:kern w:val="0"/>
                <w:sz w:val="22"/>
                <w:szCs w:val="22"/>
                <w:lang w:bidi="ar"/>
              </w:rPr>
              <w:t>/h</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12.电源：AC 1φ200V 10A</w:t>
            </w:r>
          </w:p>
        </w:tc>
      </w:tr>
      <w:tr w14:paraId="2604B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49FF9F5A">
            <w:pPr>
              <w:spacing w:line="360" w:lineRule="auto"/>
              <w:jc w:val="center"/>
              <w:rPr>
                <w:rFonts w:ascii="宋体" w:hAnsi="宋体" w:eastAsia="宋体" w:cs="Times New Roman"/>
                <w:szCs w:val="21"/>
              </w:rPr>
            </w:pPr>
            <w:r>
              <w:rPr>
                <w:rFonts w:hint="eastAsia" w:ascii="宋体" w:hAnsi="宋体" w:eastAsia="宋体" w:cs="Times New Roman"/>
                <w:szCs w:val="21"/>
              </w:rPr>
              <w:t>10</w:t>
            </w:r>
          </w:p>
        </w:tc>
        <w:tc>
          <w:tcPr>
            <w:tcW w:w="1090" w:type="dxa"/>
            <w:tcBorders>
              <w:top w:val="single" w:color="auto" w:sz="4" w:space="0"/>
              <w:left w:val="nil"/>
              <w:bottom w:val="single" w:color="auto" w:sz="4" w:space="0"/>
              <w:right w:val="single" w:color="auto" w:sz="4" w:space="0"/>
            </w:tcBorders>
            <w:noWrap/>
            <w:vAlign w:val="center"/>
          </w:tcPr>
          <w:p w14:paraId="534210AE">
            <w:pPr>
              <w:widowControl/>
              <w:jc w:val="center"/>
              <w:textAlignment w:val="center"/>
              <w:rPr>
                <w:rFonts w:ascii="宋体" w:hAnsi="宋体" w:eastAsia="宋体" w:cs="宋体"/>
                <w:kern w:val="0"/>
                <w:szCs w:val="21"/>
                <w:lang w:bidi="ar"/>
              </w:rPr>
            </w:pPr>
            <w:r>
              <w:rPr>
                <w:rFonts w:hint="eastAsia" w:ascii="宋体" w:hAnsi="宋体" w:eastAsia="宋体" w:cs="宋体"/>
                <w:color w:val="000000"/>
                <w:kern w:val="0"/>
                <w:sz w:val="22"/>
                <w:szCs w:val="22"/>
                <w:lang w:bidi="ar"/>
              </w:rPr>
              <w:t>电池充放电测试系统</w:t>
            </w:r>
          </w:p>
        </w:tc>
        <w:tc>
          <w:tcPr>
            <w:tcW w:w="780" w:type="dxa"/>
            <w:tcBorders>
              <w:top w:val="single" w:color="auto" w:sz="4" w:space="0"/>
              <w:left w:val="nil"/>
              <w:bottom w:val="single" w:color="auto" w:sz="4" w:space="0"/>
              <w:right w:val="single" w:color="auto" w:sz="4" w:space="0"/>
            </w:tcBorders>
            <w:noWrap/>
            <w:vAlign w:val="center"/>
          </w:tcPr>
          <w:p w14:paraId="6183CA98">
            <w:pPr>
              <w:widowControl/>
              <w:jc w:val="center"/>
              <w:textAlignment w:val="center"/>
              <w:rPr>
                <w:rFonts w:ascii="Times New Roman" w:hAnsi="Times New Roman" w:eastAsia="宋体" w:cs="Times New Roman"/>
                <w:szCs w:val="21"/>
              </w:rPr>
            </w:pPr>
            <w:r>
              <w:rPr>
                <w:rFonts w:hint="eastAsia" w:ascii="Times New Roman" w:hAnsi="Times New Roman" w:eastAsia="宋体" w:cs="Times New Roman"/>
              </w:rPr>
              <w:t>1套</w:t>
            </w:r>
          </w:p>
        </w:tc>
        <w:tc>
          <w:tcPr>
            <w:tcW w:w="7277" w:type="dxa"/>
            <w:tcBorders>
              <w:top w:val="single" w:color="auto" w:sz="4" w:space="0"/>
              <w:left w:val="nil"/>
              <w:bottom w:val="single" w:color="auto" w:sz="4" w:space="0"/>
              <w:right w:val="single" w:color="auto" w:sz="4" w:space="0"/>
            </w:tcBorders>
            <w:noWrap/>
            <w:vAlign w:val="center"/>
          </w:tcPr>
          <w:p w14:paraId="5BBDD4BE">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1.电源电压：0~48V，精度±(0.1%+0.025%FS)</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2.电源电流：0~10A，精度±(0.1%+0.08%FS)</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3.负载电压：48V</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4.负载电流：10A</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5.功率：240W</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6.分辨率：电压 1mV；电流 1mA</w:t>
            </w:r>
          </w:p>
        </w:tc>
      </w:tr>
      <w:tr w14:paraId="1C39F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24C7ABD0">
            <w:pPr>
              <w:spacing w:line="360" w:lineRule="auto"/>
              <w:jc w:val="center"/>
              <w:rPr>
                <w:rFonts w:ascii="宋体" w:hAnsi="宋体" w:eastAsia="宋体" w:cs="Times New Roman"/>
                <w:szCs w:val="21"/>
              </w:rPr>
            </w:pPr>
            <w:r>
              <w:rPr>
                <w:rFonts w:hint="eastAsia" w:ascii="宋体" w:hAnsi="宋体" w:eastAsia="宋体" w:cs="Times New Roman"/>
                <w:szCs w:val="21"/>
              </w:rPr>
              <w:t>11</w:t>
            </w:r>
          </w:p>
        </w:tc>
        <w:tc>
          <w:tcPr>
            <w:tcW w:w="1090" w:type="dxa"/>
            <w:tcBorders>
              <w:top w:val="single" w:color="auto" w:sz="4" w:space="0"/>
              <w:left w:val="nil"/>
              <w:bottom w:val="single" w:color="auto" w:sz="4" w:space="0"/>
              <w:right w:val="single" w:color="auto" w:sz="4" w:space="0"/>
            </w:tcBorders>
            <w:noWrap/>
            <w:vAlign w:val="center"/>
          </w:tcPr>
          <w:p w14:paraId="74FF4F16">
            <w:pPr>
              <w:widowControl/>
              <w:jc w:val="center"/>
              <w:textAlignment w:val="center"/>
              <w:rPr>
                <w:rFonts w:ascii="宋体" w:hAnsi="宋体" w:eastAsia="宋体" w:cs="宋体"/>
                <w:kern w:val="0"/>
                <w:szCs w:val="21"/>
                <w:lang w:bidi="ar"/>
              </w:rPr>
            </w:pPr>
            <w:r>
              <w:rPr>
                <w:rFonts w:hint="eastAsia" w:ascii="宋体" w:hAnsi="宋体" w:eastAsia="宋体" w:cs="宋体"/>
                <w:color w:val="000000"/>
                <w:kern w:val="0"/>
                <w:sz w:val="22"/>
                <w:szCs w:val="22"/>
                <w:lang w:bidi="ar"/>
              </w:rPr>
              <w:t>电池充放电测试系统</w:t>
            </w:r>
          </w:p>
        </w:tc>
        <w:tc>
          <w:tcPr>
            <w:tcW w:w="780" w:type="dxa"/>
            <w:tcBorders>
              <w:top w:val="single" w:color="auto" w:sz="4" w:space="0"/>
              <w:left w:val="nil"/>
              <w:bottom w:val="single" w:color="auto" w:sz="4" w:space="0"/>
              <w:right w:val="single" w:color="auto" w:sz="4" w:space="0"/>
            </w:tcBorders>
            <w:noWrap/>
            <w:vAlign w:val="center"/>
          </w:tcPr>
          <w:p w14:paraId="14900641">
            <w:pPr>
              <w:widowControl/>
              <w:jc w:val="center"/>
              <w:textAlignment w:val="center"/>
              <w:rPr>
                <w:rFonts w:ascii="Times New Roman" w:hAnsi="Times New Roman" w:eastAsia="宋体" w:cs="Times New Roman"/>
                <w:szCs w:val="21"/>
              </w:rPr>
            </w:pPr>
            <w:r>
              <w:rPr>
                <w:rFonts w:hint="eastAsia" w:ascii="Times New Roman" w:hAnsi="Times New Roman" w:eastAsia="宋体" w:cs="Times New Roman"/>
              </w:rPr>
              <w:t>1套</w:t>
            </w:r>
          </w:p>
        </w:tc>
        <w:tc>
          <w:tcPr>
            <w:tcW w:w="7277" w:type="dxa"/>
            <w:tcBorders>
              <w:top w:val="single" w:color="auto" w:sz="4" w:space="0"/>
              <w:left w:val="nil"/>
              <w:bottom w:val="single" w:color="auto" w:sz="4" w:space="0"/>
              <w:right w:val="single" w:color="auto" w:sz="4" w:space="0"/>
            </w:tcBorders>
            <w:noWrap/>
            <w:vAlign w:val="center"/>
          </w:tcPr>
          <w:p w14:paraId="513EE262">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1.充放电电压范围：20-120V.</w:t>
            </w:r>
          </w:p>
          <w:p w14:paraId="4945CCEF">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2.充放电电流范围：3-200A；</w:t>
            </w:r>
          </w:p>
          <w:p w14:paraId="64167CCF">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3.电压精度范围：±0.5%；</w:t>
            </w:r>
          </w:p>
          <w:p w14:paraId="5C0F72D3">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4.电流精度范围：±0.5%.</w:t>
            </w:r>
          </w:p>
          <w:p w14:paraId="0E245A87">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5.软件要求分析和控制分开，具备自动数据保存，数据库及通信方式定制，上位机具备二次升级。软件锁相控制技术，有源整流、逆变总发射谐波THDI≤5%。设备高效率实现电能回馈电网。</w:t>
            </w:r>
          </w:p>
        </w:tc>
      </w:tr>
      <w:tr w14:paraId="0D083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24B999C0">
            <w:pPr>
              <w:spacing w:line="360" w:lineRule="auto"/>
              <w:jc w:val="center"/>
              <w:rPr>
                <w:rFonts w:ascii="宋体" w:hAnsi="宋体" w:eastAsia="宋体" w:cs="Times New Roman"/>
                <w:szCs w:val="21"/>
              </w:rPr>
            </w:pPr>
            <w:r>
              <w:rPr>
                <w:rFonts w:hint="eastAsia" w:ascii="宋体" w:hAnsi="宋体" w:eastAsia="宋体" w:cs="Times New Roman"/>
                <w:szCs w:val="21"/>
              </w:rPr>
              <w:t>12</w:t>
            </w:r>
          </w:p>
        </w:tc>
        <w:tc>
          <w:tcPr>
            <w:tcW w:w="1090" w:type="dxa"/>
            <w:tcBorders>
              <w:top w:val="single" w:color="auto" w:sz="4" w:space="0"/>
              <w:left w:val="nil"/>
              <w:bottom w:val="single" w:color="auto" w:sz="4" w:space="0"/>
              <w:right w:val="single" w:color="auto" w:sz="4" w:space="0"/>
            </w:tcBorders>
            <w:noWrap/>
            <w:vAlign w:val="center"/>
          </w:tcPr>
          <w:p w14:paraId="52EE0444">
            <w:pPr>
              <w:widowControl/>
              <w:jc w:val="center"/>
              <w:textAlignment w:val="center"/>
              <w:rPr>
                <w:rFonts w:ascii="宋体" w:hAnsi="宋体" w:eastAsia="宋体" w:cs="宋体"/>
                <w:kern w:val="0"/>
                <w:szCs w:val="21"/>
                <w:lang w:bidi="ar"/>
              </w:rPr>
            </w:pPr>
            <w:r>
              <w:rPr>
                <w:rFonts w:hint="eastAsia" w:ascii="宋体" w:hAnsi="宋体" w:eastAsia="宋体" w:cs="宋体"/>
                <w:color w:val="000000"/>
                <w:kern w:val="0"/>
                <w:sz w:val="22"/>
                <w:szCs w:val="22"/>
                <w:lang w:bidi="ar"/>
              </w:rPr>
              <w:t>电池充放电测试系统</w:t>
            </w:r>
          </w:p>
        </w:tc>
        <w:tc>
          <w:tcPr>
            <w:tcW w:w="780" w:type="dxa"/>
            <w:tcBorders>
              <w:top w:val="single" w:color="auto" w:sz="4" w:space="0"/>
              <w:left w:val="nil"/>
              <w:bottom w:val="single" w:color="auto" w:sz="4" w:space="0"/>
              <w:right w:val="single" w:color="auto" w:sz="4" w:space="0"/>
            </w:tcBorders>
            <w:noWrap/>
            <w:vAlign w:val="center"/>
          </w:tcPr>
          <w:p w14:paraId="4C4BFCFF">
            <w:pPr>
              <w:widowControl/>
              <w:jc w:val="center"/>
              <w:textAlignment w:val="center"/>
              <w:rPr>
                <w:rFonts w:ascii="Times New Roman" w:hAnsi="Times New Roman" w:eastAsia="宋体" w:cs="Times New Roman"/>
                <w:szCs w:val="21"/>
              </w:rPr>
            </w:pPr>
            <w:r>
              <w:rPr>
                <w:rFonts w:hint="eastAsia" w:ascii="Times New Roman" w:hAnsi="Times New Roman" w:eastAsia="宋体" w:cs="Times New Roman"/>
              </w:rPr>
              <w:t>1套</w:t>
            </w:r>
          </w:p>
        </w:tc>
        <w:tc>
          <w:tcPr>
            <w:tcW w:w="7277" w:type="dxa"/>
            <w:tcBorders>
              <w:top w:val="single" w:color="auto" w:sz="4" w:space="0"/>
              <w:left w:val="nil"/>
              <w:bottom w:val="single" w:color="auto" w:sz="4" w:space="0"/>
              <w:right w:val="single" w:color="auto" w:sz="4" w:space="0"/>
            </w:tcBorders>
            <w:noWrap/>
            <w:vAlign w:val="center"/>
          </w:tcPr>
          <w:p w14:paraId="0917859D">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1.充放电电压范围：20-120V.</w:t>
            </w:r>
          </w:p>
          <w:p w14:paraId="69EF6225">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2.充放电电流范围：2-150A；</w:t>
            </w:r>
          </w:p>
          <w:p w14:paraId="2FC194A8">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3.电压精度范围：±0.5%；</w:t>
            </w:r>
          </w:p>
          <w:p w14:paraId="03EE4479">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4.电流精度范围：±0.5%；</w:t>
            </w:r>
          </w:p>
          <w:p w14:paraId="648ECE75">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5.软件要求分析和控制分开，具备自动数据保存。数据库及通信方式定制，上位机具备二次升级。软件锁相控制技术，有源整流、逆变总发射谐波THDI≤5%。设备高效率实现电能回馈电网。</w:t>
            </w:r>
          </w:p>
        </w:tc>
      </w:tr>
      <w:tr w14:paraId="0C550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0EE6C87E">
            <w:pPr>
              <w:spacing w:line="360" w:lineRule="auto"/>
              <w:jc w:val="center"/>
              <w:rPr>
                <w:rFonts w:ascii="宋体" w:hAnsi="宋体" w:eastAsia="宋体" w:cs="Times New Roman"/>
                <w:szCs w:val="21"/>
              </w:rPr>
            </w:pPr>
            <w:r>
              <w:rPr>
                <w:rFonts w:hint="eastAsia" w:ascii="宋体" w:hAnsi="宋体" w:eastAsia="宋体" w:cs="Times New Roman"/>
                <w:szCs w:val="21"/>
              </w:rPr>
              <w:t>13</w:t>
            </w:r>
          </w:p>
        </w:tc>
        <w:tc>
          <w:tcPr>
            <w:tcW w:w="1090" w:type="dxa"/>
            <w:tcBorders>
              <w:top w:val="single" w:color="auto" w:sz="4" w:space="0"/>
              <w:left w:val="nil"/>
              <w:bottom w:val="single" w:color="auto" w:sz="4" w:space="0"/>
              <w:right w:val="single" w:color="auto" w:sz="4" w:space="0"/>
            </w:tcBorders>
            <w:noWrap/>
            <w:vAlign w:val="center"/>
          </w:tcPr>
          <w:p w14:paraId="37CC3447">
            <w:pPr>
              <w:widowControl/>
              <w:jc w:val="center"/>
              <w:textAlignment w:val="center"/>
              <w:rPr>
                <w:rFonts w:ascii="宋体" w:hAnsi="宋体" w:eastAsia="宋体" w:cs="宋体"/>
                <w:kern w:val="0"/>
                <w:szCs w:val="21"/>
                <w:lang w:bidi="ar"/>
              </w:rPr>
            </w:pPr>
            <w:r>
              <w:rPr>
                <w:rFonts w:hint="eastAsia" w:ascii="宋体" w:hAnsi="宋体" w:eastAsia="宋体" w:cs="宋体"/>
                <w:color w:val="000000"/>
                <w:kern w:val="0"/>
                <w:sz w:val="22"/>
                <w:szCs w:val="22"/>
                <w:lang w:bidi="ar"/>
              </w:rPr>
              <w:t>光电直读光谱仪（火花直读光谱仪）</w:t>
            </w:r>
          </w:p>
        </w:tc>
        <w:tc>
          <w:tcPr>
            <w:tcW w:w="780" w:type="dxa"/>
            <w:tcBorders>
              <w:top w:val="single" w:color="auto" w:sz="4" w:space="0"/>
              <w:left w:val="nil"/>
              <w:bottom w:val="single" w:color="auto" w:sz="4" w:space="0"/>
              <w:right w:val="single" w:color="auto" w:sz="4" w:space="0"/>
            </w:tcBorders>
            <w:noWrap/>
            <w:vAlign w:val="center"/>
          </w:tcPr>
          <w:p w14:paraId="2E537CD5">
            <w:pPr>
              <w:widowControl/>
              <w:jc w:val="center"/>
              <w:textAlignment w:val="center"/>
              <w:rPr>
                <w:rFonts w:ascii="Times New Roman" w:hAnsi="Times New Roman" w:eastAsia="宋体" w:cs="Times New Roman"/>
                <w:szCs w:val="21"/>
              </w:rPr>
            </w:pPr>
            <w:r>
              <w:rPr>
                <w:rFonts w:hint="eastAsia" w:ascii="Times New Roman" w:hAnsi="Times New Roman" w:eastAsia="宋体" w:cs="Times New Roman"/>
                <w:szCs w:val="21"/>
              </w:rPr>
              <w:t>1台</w:t>
            </w:r>
          </w:p>
        </w:tc>
        <w:tc>
          <w:tcPr>
            <w:tcW w:w="7277" w:type="dxa"/>
            <w:tcBorders>
              <w:top w:val="single" w:color="auto" w:sz="4" w:space="0"/>
              <w:left w:val="nil"/>
              <w:bottom w:val="single" w:color="auto" w:sz="4" w:space="0"/>
              <w:right w:val="single" w:color="auto" w:sz="4" w:space="0"/>
            </w:tcBorders>
            <w:noWrap/>
            <w:vAlign w:val="center"/>
          </w:tcPr>
          <w:p w14:paraId="6BE751F1">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 xml:space="preserve">1.火花直读光谱仪 </w:t>
            </w:r>
          </w:p>
          <w:p w14:paraId="674A1FBC">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 xml:space="preserve">1.1 技术要求 </w:t>
            </w:r>
          </w:p>
          <w:p w14:paraId="2CD3D88F">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 xml:space="preserve">1.1.1 设备技术性能必须符合本供货要求的技术指标及要求，供货品目必须按照配置清单提供。 </w:t>
            </w:r>
          </w:p>
          <w:p w14:paraId="0F22D559">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 xml:space="preserve">1.1.2 该设备主要用于金属材料化学成分定量分析。 </w:t>
            </w:r>
          </w:p>
          <w:p w14:paraId="7D2D9D36">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 xml:space="preserve">1.1.3 供货时必须提供设备出厂合格证以及主要外购附件、配件合格证。 </w:t>
            </w:r>
          </w:p>
          <w:p w14:paraId="0885545D">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1.2 设备要求和主要技术参数</w:t>
            </w:r>
          </w:p>
          <w:p w14:paraId="5BC589E1">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 xml:space="preserve">1.2.1 设备主机要求 </w:t>
            </w:r>
          </w:p>
          <w:p w14:paraId="64D7243D">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1.2.1.1 该设备需符合：</w:t>
            </w:r>
          </w:p>
          <w:p w14:paraId="52AE4B49">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GB/T 4336-2016 《碳素钢和中低合金钢多元素含量的测定火花放电原子发射光谱法（常规法）》</w:t>
            </w:r>
          </w:p>
          <w:p w14:paraId="4E550107">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GB/T 11170-2008 《不锈钢多元素含量的测定火花放电原 子发射光谱法（常规法）》</w:t>
            </w:r>
          </w:p>
          <w:p w14:paraId="0A6BDC00">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1.2.1.2 检测基体要求：铁基，铜基，锌基，镍基，铅基，钛基。</w:t>
            </w:r>
          </w:p>
          <w:p w14:paraId="26DA81B3">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▲1.2.1.3提供丝状小样品夹具，可分析0.8mm以上规则丝状小样品，丝状小样品夹具须采用密封盖，弹簧，样品架套，样品架分体结构设计，样品适用性广，易用性高。</w:t>
            </w:r>
          </w:p>
          <w:p w14:paraId="789F10CA">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▲1.2.1.4 充氩型、单个光室。</w:t>
            </w:r>
          </w:p>
          <w:p w14:paraId="2298C8B0">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 xml:space="preserve">光学系统须采用充氩方式而非抽真空方式，采用阀岛设计方式的集成气路，实现充氩流程的自动化与精确控制，须具有长流程和短流程两种充氩方式，满足各种场景下使用需求。光室为单个光室，采用直射式采光，不使用光导纤维采光导光，降低后期故障率。 </w:t>
            </w:r>
          </w:p>
          <w:p w14:paraId="09D1F618">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▲1.2.1.5 仪器须内置微型氩气净化器，避免因氩气问题污染光学系统。</w:t>
            </w:r>
          </w:p>
          <w:p w14:paraId="36243BA3">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▲1.2.1.6 恒温控制：两级全自动恒温系统，要求光学系统采用硅胶加热膜加热，并全部紧贴光学系统实现加热全覆盖，加热均匀、稳定，温度控制精度须在±0.2℃。</w:t>
            </w:r>
          </w:p>
          <w:p w14:paraId="14642F43">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1.2.1.7 波长范围：140-790nm ，后期元素扩展性好。</w:t>
            </w:r>
          </w:p>
          <w:p w14:paraId="56840B70">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 xml:space="preserve">▲1.2.1.8 光栅焦距：≥450mm，以提高分光效果，降低各个谱线之间的干扰，确保仪器的灵敏度与准确度。 </w:t>
            </w:r>
          </w:p>
          <w:p w14:paraId="282B4F38">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 xml:space="preserve">1.2.1.9 光栅：高发光全息光栅，刻线为 2700 条/mm。 </w:t>
            </w:r>
          </w:p>
          <w:p w14:paraId="2507E263">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 xml:space="preserve">1.2.1.10 分辨率：优于 0.01nm。 </w:t>
            </w:r>
          </w:p>
          <w:p w14:paraId="41F41219">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▲1.2.1.11 所有高分辨CMOS检测器每片像素数不少于4000。</w:t>
            </w:r>
          </w:p>
          <w:p w14:paraId="4B096D02">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 xml:space="preserve">1.2.1.12 控制及数据获取电子单元：16 位模/数转换微处理器。 </w:t>
            </w:r>
          </w:p>
          <w:p w14:paraId="0D0C7905">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 xml:space="preserve">1.2.1.13 分析时间：可通过软件设定，对于钢铁样品的分析应在 10-30 秒内完成。 </w:t>
            </w:r>
          </w:p>
          <w:p w14:paraId="7E320927">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 xml:space="preserve">1.2.1.14 同轴自旋式气路激发台，具有自旋气路，激发充分，减少清理次数，减轻工作量。 </w:t>
            </w:r>
          </w:p>
          <w:p w14:paraId="1D65684C">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1.2.1.15 要求配有一体化透镜隔离阀，采用分体式设计，透镜夹具有定位装置，易于维护。透镜前无需球阀，一体化透镜直接提起自动隔断激发台与光学系统气氛，以防止因日常维护导致的光室污染造成强度下降，且可以避免误操作引起的光学系统污染。</w:t>
            </w:r>
          </w:p>
          <w:p w14:paraId="41F20724">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▲1.2.1.16 激发台须采用上盖、铜中间板、底座独立结构，并均为金属材质，便于拆装并利于火花台散热。激发台内部须有一体化集尘杯，内部采用自旋气路，减少激发台内部积灰。</w:t>
            </w:r>
          </w:p>
          <w:p w14:paraId="00F3B198">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1.2.1.17设备到货后提供国家级计量校准部门校准证书一份。</w:t>
            </w:r>
          </w:p>
          <w:p w14:paraId="138F992B">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1.2.2 软件功能要求：</w:t>
            </w:r>
          </w:p>
          <w:p w14:paraId="38DFE199">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 xml:space="preserve">1.2.2.1 软件应具有清理维护到期提醒功能。 </w:t>
            </w:r>
          </w:p>
          <w:p w14:paraId="267E78B6">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1.2.2.2 软件应具虚拟类标功能，可以实现多块样品不同元素组合虚拟出一块类型标准化样品，让非标样品分析更高效、更准确。同时，要求实现虚拟样品类型标准化系数保存功能，牌号切换时可直接调用虚拟类标系数，直接进行复杂样品分析，提高分析效率。</w:t>
            </w:r>
          </w:p>
          <w:p w14:paraId="71E73E20">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1.2.2.3 仪器须采用多块样品进行全局标准化，通过覆盖各元素全分析范围的强度-浓度数据点，实现更精确的全范围校正，保证校正结果准确可靠。</w:t>
            </w:r>
          </w:p>
          <w:p w14:paraId="4E561EBD">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1.2.2.4软件须具备像素校正功能，并能够查看原始强度、上一次强度、当前强度等信息，全面监测仪器状态。</w:t>
            </w:r>
          </w:p>
          <w:p w14:paraId="7DAFDEEF">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1.2.2.5 软件须具有牌号限制功能，自动判断元素含量是否超标并用不同颜色显示。</w:t>
            </w:r>
          </w:p>
          <w:p w14:paraId="582FB99A">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1.2.2.6 软件应具有灵活的交互性，表格数据与excel，word自由切换拷贝，打印格式可编辑。</w:t>
            </w:r>
          </w:p>
          <w:p w14:paraId="77BFFBD3">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1.2.2.7 激发光源：要求光源控制板、光源点火板、光源电源板采用插拔式独立板卡设计而非一体化激发光源，热/电干扰最小，确保板卡长期稳定运行。同时，可对单板进行升级，升级成本低。</w:t>
            </w:r>
          </w:p>
          <w:p w14:paraId="08B5CA87">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▲1.2.2.8光源激发采用光纤控制方式，有效避免了高能脉冲放电产生的电磁干扰，确保了信号传输的稳定性和测量数据的准确性。</w:t>
            </w:r>
          </w:p>
          <w:p w14:paraId="1ED7D6A5">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 xml:space="preserve">1.2.2.9 积分采集：可进行分组式积分，实现一次激发，分组曝光；可独立控制不同 CMOS 的积分曝光时间和曝光次数，根据基体材料和元素特性设定曝光时间和曝光次数，提升仪器的稳定性。应具备二次积分功能，根据分析元素强度设置不同积分条件，提升仪器分析精度。 </w:t>
            </w:r>
          </w:p>
          <w:p w14:paraId="7BF2F6AE">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 xml:space="preserve">1.2.2.10 曲线分段跳转自动控制：元素含量高低曲线分段，自动匹配，分析范围广。 </w:t>
            </w:r>
          </w:p>
          <w:p w14:paraId="23D21144">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 xml:space="preserve">1.2.2.11 采集系统：网口传输方式，数据传输稳定、可靠；多线程数据采集，采集速度快、频率高。 </w:t>
            </w:r>
          </w:p>
          <w:p w14:paraId="385578B9">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1.2.2.12 仪器电磁兼容性须满足GB/T 17626.3-2023 射频电磁场辐射抗扰度要求，保证仪器长期稳定运行。</w:t>
            </w:r>
          </w:p>
          <w:p w14:paraId="7848D416">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1.2.2.13 仪器工作温度须保证在5℃-35℃。</w:t>
            </w:r>
          </w:p>
          <w:p w14:paraId="46508F6A">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 xml:space="preserve">1.3 设备主要配置及备件 </w:t>
            </w:r>
          </w:p>
          <w:p w14:paraId="7ECE7C10">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 xml:space="preserve">1.3.1 工作站 1 套； </w:t>
            </w:r>
          </w:p>
          <w:p w14:paraId="761CF2C1">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1.3.</w:t>
            </w:r>
            <w:r>
              <w:rPr>
                <w:rFonts w:hint="eastAsia" w:ascii="宋体" w:hAnsi="宋体" w:eastAsia="宋体" w:cs="宋体"/>
                <w:color w:val="000000"/>
                <w:kern w:val="0"/>
                <w:sz w:val="22"/>
                <w:szCs w:val="22"/>
                <w:lang w:val="en-US" w:eastAsia="zh-CN" w:bidi="ar"/>
              </w:rPr>
              <w:t>2</w:t>
            </w:r>
            <w:r>
              <w:rPr>
                <w:rFonts w:hint="eastAsia" w:ascii="宋体" w:hAnsi="宋体" w:eastAsia="宋体" w:cs="宋体"/>
                <w:color w:val="000000"/>
                <w:kern w:val="0"/>
                <w:sz w:val="22"/>
                <w:szCs w:val="22"/>
                <w:lang w:bidi="ar"/>
              </w:rPr>
              <w:t xml:space="preserve"> 净化交流 3KVA 稳压电源 1 台； </w:t>
            </w:r>
          </w:p>
          <w:p w14:paraId="167BB379">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1.3.</w:t>
            </w:r>
            <w:r>
              <w:rPr>
                <w:rFonts w:hint="eastAsia" w:ascii="宋体" w:hAnsi="宋体" w:eastAsia="宋体" w:cs="宋体"/>
                <w:color w:val="000000"/>
                <w:kern w:val="0"/>
                <w:sz w:val="22"/>
                <w:szCs w:val="22"/>
                <w:lang w:val="en-US" w:eastAsia="zh-CN" w:bidi="ar"/>
              </w:rPr>
              <w:t>3</w:t>
            </w:r>
            <w:r>
              <w:rPr>
                <w:rFonts w:hint="eastAsia" w:ascii="宋体" w:hAnsi="宋体" w:eastAsia="宋体" w:cs="宋体"/>
                <w:color w:val="000000"/>
                <w:kern w:val="0"/>
                <w:sz w:val="22"/>
                <w:szCs w:val="22"/>
                <w:lang w:bidi="ar"/>
              </w:rPr>
              <w:t xml:space="preserve"> 光谱磨样机 1 台； </w:t>
            </w:r>
          </w:p>
          <w:p w14:paraId="7A3E92BF">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1.3.</w:t>
            </w:r>
            <w:r>
              <w:rPr>
                <w:rFonts w:hint="eastAsia" w:ascii="宋体" w:hAnsi="宋体" w:eastAsia="宋体" w:cs="宋体"/>
                <w:color w:val="000000"/>
                <w:kern w:val="0"/>
                <w:sz w:val="22"/>
                <w:szCs w:val="22"/>
                <w:lang w:val="en-US" w:eastAsia="zh-CN" w:bidi="ar"/>
              </w:rPr>
              <w:t>4</w:t>
            </w:r>
            <w:r>
              <w:rPr>
                <w:rFonts w:hint="eastAsia" w:ascii="宋体" w:hAnsi="宋体" w:eastAsia="宋体" w:cs="宋体"/>
                <w:color w:val="000000"/>
                <w:kern w:val="0"/>
                <w:sz w:val="22"/>
                <w:szCs w:val="22"/>
                <w:lang w:bidi="ar"/>
              </w:rPr>
              <w:t xml:space="preserve"> 仪器常用备品备件 1 套； </w:t>
            </w:r>
          </w:p>
          <w:p w14:paraId="63FFCA21">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1.3.</w:t>
            </w:r>
            <w:r>
              <w:rPr>
                <w:rFonts w:hint="eastAsia" w:ascii="宋体" w:hAnsi="宋体" w:eastAsia="宋体" w:cs="宋体"/>
                <w:color w:val="000000"/>
                <w:kern w:val="0"/>
                <w:sz w:val="22"/>
                <w:szCs w:val="22"/>
                <w:lang w:val="en-US" w:eastAsia="zh-CN" w:bidi="ar"/>
              </w:rPr>
              <w:t>5</w:t>
            </w:r>
            <w:r>
              <w:rPr>
                <w:rFonts w:hint="eastAsia" w:ascii="宋体" w:hAnsi="宋体" w:eastAsia="宋体" w:cs="宋体"/>
                <w:color w:val="000000"/>
                <w:kern w:val="0"/>
                <w:sz w:val="22"/>
                <w:szCs w:val="22"/>
                <w:lang w:bidi="ar"/>
              </w:rPr>
              <w:t xml:space="preserve"> 标准样品块 </w:t>
            </w:r>
          </w:p>
          <w:p w14:paraId="70941CC8">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1.3.</w:t>
            </w:r>
            <w:r>
              <w:rPr>
                <w:rFonts w:hint="eastAsia" w:ascii="宋体" w:hAnsi="宋体" w:eastAsia="宋体" w:cs="宋体"/>
                <w:color w:val="000000"/>
                <w:kern w:val="0"/>
                <w:sz w:val="22"/>
                <w:szCs w:val="22"/>
                <w:lang w:val="en-US" w:eastAsia="zh-CN" w:bidi="ar"/>
              </w:rPr>
              <w:t>5</w:t>
            </w:r>
            <w:r>
              <w:rPr>
                <w:rFonts w:hint="eastAsia" w:ascii="宋体" w:hAnsi="宋体" w:eastAsia="宋体" w:cs="宋体"/>
                <w:color w:val="000000"/>
                <w:kern w:val="0"/>
                <w:sz w:val="22"/>
                <w:szCs w:val="22"/>
                <w:lang w:bidi="ar"/>
              </w:rPr>
              <w:t xml:space="preserve">.1 工作曲线全局标准样品 1 套（须使用物理多点校准）； </w:t>
            </w:r>
          </w:p>
          <w:p w14:paraId="6B9AB760">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1.3.</w:t>
            </w:r>
            <w:r>
              <w:rPr>
                <w:rFonts w:hint="eastAsia" w:ascii="宋体" w:hAnsi="宋体" w:eastAsia="宋体" w:cs="宋体"/>
                <w:color w:val="000000"/>
                <w:kern w:val="0"/>
                <w:sz w:val="22"/>
                <w:szCs w:val="22"/>
                <w:lang w:val="en-US" w:eastAsia="zh-CN" w:bidi="ar"/>
              </w:rPr>
              <w:t>5</w:t>
            </w:r>
            <w:r>
              <w:rPr>
                <w:rFonts w:hint="eastAsia" w:ascii="宋体" w:hAnsi="宋体" w:eastAsia="宋体" w:cs="宋体"/>
                <w:color w:val="000000"/>
                <w:kern w:val="0"/>
                <w:sz w:val="22"/>
                <w:szCs w:val="22"/>
                <w:lang w:bidi="ar"/>
              </w:rPr>
              <w:t>.2 类型标准样品 5块可根据客户需求来配置。</w:t>
            </w:r>
          </w:p>
          <w:p w14:paraId="676E9B2F">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1.3.</w:t>
            </w:r>
            <w:r>
              <w:rPr>
                <w:rFonts w:hint="eastAsia" w:ascii="宋体" w:hAnsi="宋体" w:eastAsia="宋体" w:cs="宋体"/>
                <w:color w:val="000000"/>
                <w:kern w:val="0"/>
                <w:sz w:val="22"/>
                <w:szCs w:val="22"/>
                <w:lang w:val="en-US" w:eastAsia="zh-CN" w:bidi="ar"/>
              </w:rPr>
              <w:t>6</w:t>
            </w:r>
            <w:r>
              <w:rPr>
                <w:rFonts w:hint="eastAsia" w:ascii="宋体" w:hAnsi="宋体" w:eastAsia="宋体" w:cs="宋体"/>
                <w:color w:val="000000"/>
                <w:kern w:val="0"/>
                <w:sz w:val="22"/>
                <w:szCs w:val="22"/>
                <w:lang w:bidi="ar"/>
              </w:rPr>
              <w:t xml:space="preserve"> 氩气钢瓶用减压阀 1 套； </w:t>
            </w:r>
          </w:p>
          <w:p w14:paraId="7303BA46">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1.3.</w:t>
            </w:r>
            <w:r>
              <w:rPr>
                <w:rFonts w:hint="eastAsia" w:ascii="宋体" w:hAnsi="宋体" w:eastAsia="宋体" w:cs="宋体"/>
                <w:color w:val="000000"/>
                <w:kern w:val="0"/>
                <w:sz w:val="22"/>
                <w:szCs w:val="22"/>
                <w:lang w:val="en-US" w:eastAsia="zh-CN" w:bidi="ar"/>
              </w:rPr>
              <w:t>7</w:t>
            </w:r>
            <w:r>
              <w:rPr>
                <w:rFonts w:hint="eastAsia" w:ascii="宋体" w:hAnsi="宋体" w:eastAsia="宋体" w:cs="宋体"/>
                <w:color w:val="000000"/>
                <w:kern w:val="0"/>
                <w:sz w:val="22"/>
                <w:szCs w:val="22"/>
                <w:lang w:bidi="ar"/>
              </w:rPr>
              <w:t xml:space="preserve"> 专用工具 1 套； </w:t>
            </w:r>
          </w:p>
          <w:p w14:paraId="4C08898B">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1.3.</w:t>
            </w:r>
            <w:r>
              <w:rPr>
                <w:rFonts w:hint="eastAsia" w:ascii="宋体" w:hAnsi="宋体" w:eastAsia="宋体" w:cs="宋体"/>
                <w:color w:val="000000"/>
                <w:kern w:val="0"/>
                <w:sz w:val="22"/>
                <w:szCs w:val="22"/>
                <w:lang w:val="en-US" w:eastAsia="zh-CN" w:bidi="ar"/>
              </w:rPr>
              <w:t>8</w:t>
            </w:r>
            <w:r>
              <w:rPr>
                <w:rFonts w:hint="eastAsia" w:ascii="宋体" w:hAnsi="宋体" w:eastAsia="宋体" w:cs="宋体"/>
                <w:color w:val="000000"/>
                <w:kern w:val="0"/>
                <w:sz w:val="22"/>
                <w:szCs w:val="22"/>
                <w:lang w:bidi="ar"/>
              </w:rPr>
              <w:t xml:space="preserve"> 多孔插排 1 个。 </w:t>
            </w:r>
          </w:p>
          <w:p w14:paraId="0B392AD0">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 xml:space="preserve">1.4 相关资料 </w:t>
            </w:r>
          </w:p>
          <w:p w14:paraId="3D51EE1D">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 xml:space="preserve">1.4.1 产品说明书 2 套； </w:t>
            </w:r>
          </w:p>
          <w:p w14:paraId="53ED2865">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 xml:space="preserve">1.4.2 软件备份(U 盘) 1 份；  </w:t>
            </w:r>
          </w:p>
        </w:tc>
      </w:tr>
      <w:tr w14:paraId="45D30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5C1836F6">
            <w:pPr>
              <w:spacing w:line="360" w:lineRule="auto"/>
              <w:jc w:val="center"/>
              <w:rPr>
                <w:rFonts w:ascii="宋体" w:hAnsi="宋体" w:eastAsia="宋体" w:cs="Times New Roman"/>
                <w:szCs w:val="21"/>
              </w:rPr>
            </w:pPr>
            <w:r>
              <w:rPr>
                <w:rFonts w:hint="eastAsia" w:ascii="宋体" w:hAnsi="宋体" w:eastAsia="宋体" w:cs="Times New Roman"/>
                <w:szCs w:val="21"/>
              </w:rPr>
              <w:t>14</w:t>
            </w:r>
          </w:p>
        </w:tc>
        <w:tc>
          <w:tcPr>
            <w:tcW w:w="1090" w:type="dxa"/>
            <w:tcBorders>
              <w:top w:val="single" w:color="auto" w:sz="4" w:space="0"/>
              <w:left w:val="nil"/>
              <w:bottom w:val="single" w:color="auto" w:sz="4" w:space="0"/>
              <w:right w:val="single" w:color="auto" w:sz="4" w:space="0"/>
            </w:tcBorders>
            <w:noWrap/>
            <w:vAlign w:val="center"/>
          </w:tcPr>
          <w:p w14:paraId="7927AE0C">
            <w:pPr>
              <w:widowControl/>
              <w:jc w:val="center"/>
              <w:textAlignment w:val="center"/>
              <w:rPr>
                <w:rFonts w:ascii="宋体" w:hAnsi="宋体" w:eastAsia="宋体" w:cs="宋体"/>
                <w:kern w:val="0"/>
                <w:szCs w:val="21"/>
                <w:lang w:bidi="ar"/>
              </w:rPr>
            </w:pPr>
            <w:r>
              <w:rPr>
                <w:rFonts w:hint="eastAsia" w:ascii="宋体" w:hAnsi="宋体" w:eastAsia="宋体" w:cs="宋体"/>
                <w:color w:val="000000"/>
                <w:kern w:val="0"/>
                <w:sz w:val="22"/>
                <w:szCs w:val="22"/>
                <w:lang w:bidi="ar"/>
              </w:rPr>
              <w:t>紫外老化试验箱</w:t>
            </w:r>
          </w:p>
        </w:tc>
        <w:tc>
          <w:tcPr>
            <w:tcW w:w="780" w:type="dxa"/>
            <w:tcBorders>
              <w:top w:val="single" w:color="auto" w:sz="4" w:space="0"/>
              <w:left w:val="nil"/>
              <w:bottom w:val="single" w:color="auto" w:sz="4" w:space="0"/>
              <w:right w:val="single" w:color="auto" w:sz="4" w:space="0"/>
            </w:tcBorders>
            <w:noWrap/>
            <w:vAlign w:val="center"/>
          </w:tcPr>
          <w:p w14:paraId="52879164">
            <w:pPr>
              <w:widowControl/>
              <w:jc w:val="center"/>
              <w:textAlignment w:val="center"/>
              <w:rPr>
                <w:rFonts w:ascii="Times New Roman" w:hAnsi="Times New Roman" w:eastAsia="宋体" w:cs="Times New Roman"/>
                <w:szCs w:val="21"/>
              </w:rPr>
            </w:pPr>
            <w:r>
              <w:rPr>
                <w:rFonts w:hint="eastAsia" w:ascii="Times New Roman" w:hAnsi="Times New Roman" w:eastAsia="宋体" w:cs="Times New Roman"/>
                <w:szCs w:val="21"/>
              </w:rPr>
              <w:t>1台</w:t>
            </w:r>
          </w:p>
        </w:tc>
        <w:tc>
          <w:tcPr>
            <w:tcW w:w="7277" w:type="dxa"/>
            <w:tcBorders>
              <w:top w:val="single" w:color="auto" w:sz="4" w:space="0"/>
              <w:left w:val="nil"/>
              <w:bottom w:val="single" w:color="auto" w:sz="4" w:space="0"/>
              <w:right w:val="single" w:color="auto" w:sz="4" w:space="0"/>
            </w:tcBorders>
            <w:noWrap/>
            <w:vAlign w:val="center"/>
          </w:tcPr>
          <w:p w14:paraId="558E6E2C">
            <w:pPr>
              <w:widowControl/>
              <w:spacing w:line="360" w:lineRule="auto"/>
              <w:jc w:val="left"/>
              <w:textAlignment w:val="center"/>
              <w:rPr>
                <w:rFonts w:ascii="宋体" w:hAnsi="宋体" w:eastAsia="宋体" w:cs="宋体"/>
                <w:kern w:val="0"/>
                <w:szCs w:val="21"/>
                <w:lang w:bidi="ar"/>
              </w:rPr>
            </w:pPr>
            <w:r>
              <w:rPr>
                <w:rFonts w:hint="eastAsia" w:ascii="宋体" w:hAnsi="宋体" w:eastAsia="宋体" w:cs="宋体"/>
                <w:color w:val="000000"/>
                <w:kern w:val="0"/>
                <w:sz w:val="22"/>
                <w:szCs w:val="22"/>
                <w:lang w:bidi="ar"/>
              </w:rPr>
              <w:t>1.有效辐照区域：约W1100*D550*H400mm</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2.机器外型尺寸：约W1300*D700*H1700mm （以实物为准）</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3.机器重量：约100kg</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4.灯管型号及数量:共8支，平行安装在试验箱的顶部</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5.灯管的中心距离:70mm</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6.试件离灯表面的最近平行面距离:50mm</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7.波长范围:UVB-313波长范围295nm以下</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8.辐照度范围:1.2W／m</w:t>
            </w:r>
            <w:r>
              <w:rPr>
                <w:rFonts w:hint="eastAsia" w:ascii="宋体" w:hAnsi="宋体" w:eastAsia="宋体" w:cs="宋体"/>
                <w:color w:val="000000"/>
                <w:kern w:val="0"/>
                <w:sz w:val="22"/>
                <w:szCs w:val="22"/>
                <w:vertAlign w:val="superscript"/>
                <w:lang w:bidi="ar"/>
              </w:rPr>
              <w:t>2</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9.温度解析精度:0.1℃</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10.光照温度范围：50℃~80℃／温度容差为±2℃</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11.冷凝温度范围：40℃~60℃／温度容差为±2℃，湿度大于95%以上（只显示不可控）</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12.黑板传感器：铝材料与铂电阻并联合成，温度范围：30~80℃／容差为±1℃</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13.加湿水槽深度：不大于25mm,并有供水自动，自动控制</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14.淋雨喷嘴数量：4只，共一排。</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15.建议使用环境：5~40℃、距离墙600mm</w:t>
            </w:r>
          </w:p>
        </w:tc>
      </w:tr>
      <w:tr w14:paraId="16007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0CCE95DC">
            <w:pPr>
              <w:spacing w:line="360" w:lineRule="auto"/>
              <w:jc w:val="center"/>
              <w:rPr>
                <w:rFonts w:ascii="宋体" w:hAnsi="宋体" w:eastAsia="宋体" w:cs="Times New Roman"/>
                <w:szCs w:val="21"/>
              </w:rPr>
            </w:pPr>
            <w:r>
              <w:rPr>
                <w:rFonts w:hint="eastAsia" w:ascii="宋体" w:hAnsi="宋体" w:eastAsia="宋体" w:cs="Times New Roman"/>
                <w:szCs w:val="21"/>
              </w:rPr>
              <w:t>15</w:t>
            </w:r>
          </w:p>
        </w:tc>
        <w:tc>
          <w:tcPr>
            <w:tcW w:w="1090" w:type="dxa"/>
            <w:tcBorders>
              <w:top w:val="single" w:color="auto" w:sz="4" w:space="0"/>
              <w:left w:val="nil"/>
              <w:bottom w:val="single" w:color="auto" w:sz="4" w:space="0"/>
              <w:right w:val="single" w:color="auto" w:sz="4" w:space="0"/>
            </w:tcBorders>
            <w:noWrap/>
            <w:vAlign w:val="center"/>
          </w:tcPr>
          <w:p w14:paraId="71854109">
            <w:pPr>
              <w:widowControl/>
              <w:jc w:val="center"/>
              <w:textAlignment w:val="center"/>
              <w:rPr>
                <w:rFonts w:ascii="宋体" w:hAnsi="宋体" w:eastAsia="宋体" w:cs="宋体"/>
                <w:kern w:val="0"/>
                <w:szCs w:val="21"/>
                <w:lang w:bidi="ar"/>
              </w:rPr>
            </w:pPr>
            <w:r>
              <w:rPr>
                <w:rFonts w:hint="eastAsia" w:ascii="宋体" w:hAnsi="宋体" w:eastAsia="宋体" w:cs="宋体"/>
                <w:color w:val="000000"/>
                <w:kern w:val="0"/>
                <w:sz w:val="22"/>
                <w:szCs w:val="22"/>
                <w:lang w:bidi="ar"/>
              </w:rPr>
              <w:t>高低温试验箱</w:t>
            </w:r>
          </w:p>
        </w:tc>
        <w:tc>
          <w:tcPr>
            <w:tcW w:w="780" w:type="dxa"/>
            <w:tcBorders>
              <w:top w:val="single" w:color="auto" w:sz="4" w:space="0"/>
              <w:left w:val="nil"/>
              <w:bottom w:val="single" w:color="auto" w:sz="4" w:space="0"/>
              <w:right w:val="single" w:color="auto" w:sz="4" w:space="0"/>
            </w:tcBorders>
            <w:noWrap/>
            <w:vAlign w:val="center"/>
          </w:tcPr>
          <w:p w14:paraId="4DDBAAEC">
            <w:pPr>
              <w:widowControl/>
              <w:jc w:val="center"/>
              <w:textAlignment w:val="center"/>
              <w:rPr>
                <w:rFonts w:ascii="Times New Roman" w:hAnsi="Times New Roman" w:eastAsia="宋体" w:cs="Times New Roman"/>
                <w:szCs w:val="21"/>
              </w:rPr>
            </w:pPr>
            <w:r>
              <w:rPr>
                <w:rFonts w:hint="eastAsia" w:ascii="Times New Roman" w:hAnsi="Times New Roman" w:eastAsia="宋体" w:cs="Times New Roman"/>
                <w:szCs w:val="21"/>
              </w:rPr>
              <w:t>1台</w:t>
            </w:r>
          </w:p>
        </w:tc>
        <w:tc>
          <w:tcPr>
            <w:tcW w:w="7277" w:type="dxa"/>
            <w:tcBorders>
              <w:top w:val="single" w:color="auto" w:sz="4" w:space="0"/>
              <w:left w:val="nil"/>
              <w:bottom w:val="single" w:color="auto" w:sz="4" w:space="0"/>
              <w:right w:val="single" w:color="auto" w:sz="4" w:space="0"/>
            </w:tcBorders>
            <w:noWrap/>
            <w:vAlign w:val="center"/>
          </w:tcPr>
          <w:p w14:paraId="2FE6845E">
            <w:pPr>
              <w:numPr>
                <w:ilvl w:val="0"/>
                <w:numId w:val="0"/>
              </w:numPr>
              <w:spacing w:before="120" w:after="120" w:line="360" w:lineRule="auto"/>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val="en-US" w:eastAsia="zh-CN" w:bidi="ar"/>
              </w:rPr>
              <w:t>1.</w:t>
            </w:r>
            <w:r>
              <w:rPr>
                <w:rFonts w:hint="eastAsia" w:ascii="宋体" w:hAnsi="宋体" w:eastAsia="宋体" w:cs="宋体"/>
                <w:color w:val="000000"/>
                <w:kern w:val="0"/>
                <w:sz w:val="22"/>
                <w:szCs w:val="22"/>
                <w:lang w:bidi="ar"/>
              </w:rPr>
              <w:t>温度：</w:t>
            </w:r>
            <w:r>
              <w:rPr>
                <w:rFonts w:hint="eastAsia" w:ascii="宋体" w:hAnsi="宋体" w:eastAsia="宋体" w:cs="Times New Roman"/>
                <w:spacing w:val="10"/>
              </w:rPr>
              <w:t>室温＋</w:t>
            </w:r>
            <w:r>
              <w:rPr>
                <w:rFonts w:ascii="宋体" w:hAnsi="宋体" w:eastAsia="宋体" w:cs="Times New Roman"/>
                <w:spacing w:val="10"/>
              </w:rPr>
              <w:t>10</w:t>
            </w:r>
            <w:r>
              <w:rPr>
                <w:rFonts w:hint="eastAsia" w:ascii="宋体" w:hAnsi="宋体" w:eastAsia="宋体" w:cs="Times New Roman"/>
                <w:spacing w:val="10"/>
              </w:rPr>
              <w:t>℃～3</w:t>
            </w:r>
            <w:r>
              <w:rPr>
                <w:rFonts w:ascii="宋体" w:hAnsi="宋体" w:eastAsia="宋体" w:cs="Times New Roman"/>
                <w:spacing w:val="10"/>
              </w:rPr>
              <w:t>00</w:t>
            </w:r>
            <w:r>
              <w:rPr>
                <w:rFonts w:hint="eastAsia" w:ascii="宋体" w:hAnsi="宋体" w:eastAsia="宋体" w:cs="Times New Roman"/>
                <w:spacing w:val="10"/>
              </w:rPr>
              <w:t>℃</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2.自然换气次数：8-20次/h</w:t>
            </w:r>
          </w:p>
          <w:p w14:paraId="58B31419">
            <w:pPr>
              <w:spacing w:before="120" w:after="120" w:line="360" w:lineRule="auto"/>
              <w:rPr>
                <w:rFonts w:hint="eastAsia" w:ascii="宋体" w:hAnsi="宋体" w:eastAsia="宋体" w:cs="Times New Roman"/>
                <w:spacing w:val="10"/>
              </w:rPr>
            </w:pPr>
            <w:r>
              <w:rPr>
                <w:rFonts w:hint="eastAsia" w:ascii="宋体" w:hAnsi="宋体" w:eastAsia="宋体" w:cs="Times New Roman"/>
                <w:spacing w:val="10"/>
              </w:rPr>
              <w:t>3.温度波动度：≤3℃（3</w:t>
            </w:r>
            <w:r>
              <w:rPr>
                <w:rFonts w:ascii="宋体" w:hAnsi="宋体" w:eastAsia="宋体" w:cs="Times New Roman"/>
                <w:spacing w:val="10"/>
              </w:rPr>
              <w:t>00</w:t>
            </w:r>
            <w:r>
              <w:rPr>
                <w:rFonts w:hint="eastAsia" w:ascii="宋体" w:hAnsi="宋体" w:eastAsia="宋体" w:cs="Times New Roman"/>
                <w:spacing w:val="10"/>
              </w:rPr>
              <w:t>℃以下）</w:t>
            </w:r>
          </w:p>
          <w:p w14:paraId="6CD2D23C">
            <w:pPr>
              <w:spacing w:before="120" w:after="120" w:line="360" w:lineRule="auto"/>
              <w:rPr>
                <w:rFonts w:hint="eastAsia" w:ascii="宋体" w:hAnsi="宋体" w:eastAsia="宋体" w:cs="Times New Roman"/>
                <w:spacing w:val="10"/>
              </w:rPr>
            </w:pPr>
            <w:r>
              <w:rPr>
                <w:rFonts w:hint="eastAsia" w:ascii="宋体" w:hAnsi="宋体" w:eastAsia="宋体" w:cs="Times New Roman"/>
                <w:spacing w:val="10"/>
              </w:rPr>
              <w:t>4.温度均匀性：≤±</w:t>
            </w:r>
            <w:r>
              <w:rPr>
                <w:rFonts w:ascii="宋体" w:hAnsi="宋体" w:eastAsia="宋体" w:cs="Times New Roman"/>
                <w:spacing w:val="10"/>
              </w:rPr>
              <w:t>2</w:t>
            </w:r>
            <w:r>
              <w:rPr>
                <w:rFonts w:hint="eastAsia" w:ascii="宋体" w:hAnsi="宋体" w:eastAsia="宋体" w:cs="Times New Roman"/>
                <w:spacing w:val="10"/>
              </w:rPr>
              <w:t>℃（3</w:t>
            </w:r>
            <w:r>
              <w:rPr>
                <w:rFonts w:ascii="宋体" w:hAnsi="宋体" w:eastAsia="宋体" w:cs="Times New Roman"/>
                <w:spacing w:val="10"/>
              </w:rPr>
              <w:t>00</w:t>
            </w:r>
            <w:r>
              <w:rPr>
                <w:rFonts w:hint="eastAsia" w:ascii="宋体" w:hAnsi="宋体" w:eastAsia="宋体" w:cs="Times New Roman"/>
                <w:spacing w:val="10"/>
              </w:rPr>
              <w:t>℃以下）</w:t>
            </w:r>
          </w:p>
          <w:p w14:paraId="0876A233">
            <w:pPr>
              <w:widowControl/>
              <w:spacing w:line="360" w:lineRule="auto"/>
              <w:jc w:val="left"/>
              <w:textAlignment w:val="center"/>
              <w:rPr>
                <w:rFonts w:ascii="宋体" w:hAnsi="宋体" w:eastAsia="宋体" w:cs="宋体"/>
                <w:kern w:val="0"/>
                <w:szCs w:val="21"/>
                <w:lang w:bidi="ar"/>
              </w:rPr>
            </w:pPr>
            <w:r>
              <w:rPr>
                <w:rFonts w:hint="eastAsia" w:ascii="宋体" w:hAnsi="宋体" w:eastAsia="宋体" w:cs="Times New Roman"/>
                <w:spacing w:val="10"/>
              </w:rPr>
              <w:t>5.加热功率：40</w:t>
            </w:r>
            <w:r>
              <w:rPr>
                <w:rFonts w:ascii="宋体" w:hAnsi="宋体" w:eastAsia="宋体" w:cs="Times New Roman"/>
                <w:spacing w:val="10"/>
              </w:rPr>
              <w:t>00W</w:t>
            </w:r>
          </w:p>
        </w:tc>
      </w:tr>
      <w:tr w14:paraId="79B40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17CD3B38">
            <w:pPr>
              <w:spacing w:line="360" w:lineRule="auto"/>
              <w:jc w:val="center"/>
              <w:rPr>
                <w:rFonts w:ascii="宋体" w:hAnsi="宋体" w:eastAsia="宋体" w:cs="Times New Roman"/>
                <w:szCs w:val="21"/>
              </w:rPr>
            </w:pPr>
            <w:r>
              <w:rPr>
                <w:rFonts w:hint="eastAsia" w:ascii="宋体" w:hAnsi="宋体" w:eastAsia="宋体" w:cs="Times New Roman"/>
                <w:szCs w:val="21"/>
              </w:rPr>
              <w:t>16</w:t>
            </w:r>
          </w:p>
        </w:tc>
        <w:tc>
          <w:tcPr>
            <w:tcW w:w="1090" w:type="dxa"/>
            <w:tcBorders>
              <w:top w:val="single" w:color="auto" w:sz="4" w:space="0"/>
              <w:left w:val="nil"/>
              <w:bottom w:val="single" w:color="auto" w:sz="4" w:space="0"/>
              <w:right w:val="single" w:color="auto" w:sz="4" w:space="0"/>
            </w:tcBorders>
            <w:noWrap/>
            <w:vAlign w:val="center"/>
          </w:tcPr>
          <w:p w14:paraId="31B4FA17">
            <w:pPr>
              <w:widowControl/>
              <w:jc w:val="center"/>
              <w:textAlignment w:val="center"/>
              <w:rPr>
                <w:rFonts w:ascii="宋体" w:hAnsi="宋体" w:eastAsia="宋体" w:cs="宋体"/>
                <w:kern w:val="0"/>
                <w:szCs w:val="21"/>
                <w:lang w:bidi="ar"/>
              </w:rPr>
            </w:pPr>
            <w:r>
              <w:rPr>
                <w:rFonts w:hint="eastAsia" w:ascii="宋体" w:hAnsi="宋体" w:eastAsia="宋体" w:cs="宋体"/>
                <w:color w:val="000000"/>
                <w:kern w:val="0"/>
                <w:sz w:val="22"/>
                <w:szCs w:val="22"/>
                <w:lang w:bidi="ar"/>
              </w:rPr>
              <w:t>高低温试验箱</w:t>
            </w:r>
          </w:p>
        </w:tc>
        <w:tc>
          <w:tcPr>
            <w:tcW w:w="780" w:type="dxa"/>
            <w:tcBorders>
              <w:top w:val="single" w:color="auto" w:sz="4" w:space="0"/>
              <w:left w:val="nil"/>
              <w:bottom w:val="single" w:color="auto" w:sz="4" w:space="0"/>
              <w:right w:val="single" w:color="auto" w:sz="4" w:space="0"/>
            </w:tcBorders>
            <w:noWrap/>
            <w:vAlign w:val="center"/>
          </w:tcPr>
          <w:p w14:paraId="31D0934A">
            <w:pPr>
              <w:widowControl/>
              <w:jc w:val="center"/>
              <w:textAlignment w:val="center"/>
              <w:rPr>
                <w:rFonts w:ascii="Times New Roman" w:hAnsi="Times New Roman" w:eastAsia="宋体" w:cs="Times New Roman"/>
                <w:szCs w:val="21"/>
              </w:rPr>
            </w:pPr>
            <w:r>
              <w:rPr>
                <w:rFonts w:hint="eastAsia" w:ascii="Times New Roman" w:hAnsi="Times New Roman" w:eastAsia="宋体" w:cs="Times New Roman"/>
                <w:szCs w:val="21"/>
              </w:rPr>
              <w:t>1台</w:t>
            </w:r>
          </w:p>
        </w:tc>
        <w:tc>
          <w:tcPr>
            <w:tcW w:w="7277" w:type="dxa"/>
            <w:tcBorders>
              <w:top w:val="single" w:color="auto" w:sz="4" w:space="0"/>
              <w:left w:val="nil"/>
              <w:bottom w:val="single" w:color="auto" w:sz="4" w:space="0"/>
              <w:right w:val="single" w:color="auto" w:sz="4" w:space="0"/>
            </w:tcBorders>
            <w:noWrap/>
            <w:vAlign w:val="center"/>
          </w:tcPr>
          <w:p w14:paraId="45EB265B">
            <w:pPr>
              <w:widowControl/>
              <w:numPr>
                <w:ilvl w:val="0"/>
                <w:numId w:val="0"/>
              </w:numPr>
              <w:spacing w:before="120" w:after="120" w:line="280" w:lineRule="exact"/>
              <w:jc w:val="left"/>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val="en-US" w:eastAsia="zh-CN" w:bidi="ar"/>
              </w:rPr>
              <w:t>1.</w:t>
            </w:r>
            <w:r>
              <w:rPr>
                <w:rFonts w:hint="eastAsia" w:ascii="宋体" w:hAnsi="宋体" w:eastAsia="宋体" w:cs="宋体"/>
                <w:color w:val="000000"/>
                <w:kern w:val="0"/>
                <w:sz w:val="22"/>
                <w:szCs w:val="22"/>
                <w:lang w:bidi="ar"/>
              </w:rPr>
              <w:t>温度：</w:t>
            </w:r>
            <w:r>
              <w:rPr>
                <w:rFonts w:hint="eastAsia" w:ascii="宋体" w:hAnsi="宋体" w:eastAsia="宋体" w:cs="Times New Roman"/>
                <w:spacing w:val="10"/>
              </w:rPr>
              <w:t>室温＋</w:t>
            </w:r>
            <w:r>
              <w:rPr>
                <w:rFonts w:ascii="宋体" w:hAnsi="宋体" w:eastAsia="宋体" w:cs="Times New Roman"/>
                <w:spacing w:val="10"/>
              </w:rPr>
              <w:t>10</w:t>
            </w:r>
            <w:r>
              <w:rPr>
                <w:rFonts w:hint="eastAsia" w:ascii="宋体" w:hAnsi="宋体" w:eastAsia="宋体" w:cs="Times New Roman"/>
                <w:spacing w:val="10"/>
              </w:rPr>
              <w:t>℃～3</w:t>
            </w:r>
            <w:r>
              <w:rPr>
                <w:rFonts w:ascii="宋体" w:hAnsi="宋体" w:eastAsia="宋体" w:cs="Times New Roman"/>
                <w:spacing w:val="10"/>
              </w:rPr>
              <w:t>00</w:t>
            </w:r>
            <w:r>
              <w:rPr>
                <w:rFonts w:hint="eastAsia" w:ascii="宋体" w:hAnsi="宋体" w:eastAsia="宋体" w:cs="Times New Roman"/>
                <w:spacing w:val="10"/>
              </w:rPr>
              <w:t>℃</w:t>
            </w:r>
          </w:p>
          <w:p w14:paraId="6B2580DD">
            <w:pPr>
              <w:widowControl/>
              <w:numPr>
                <w:ilvl w:val="0"/>
                <w:numId w:val="0"/>
              </w:numPr>
              <w:spacing w:before="120" w:after="120" w:line="280" w:lineRule="exact"/>
              <w:jc w:val="left"/>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2.自然换气次数：8-20次/h</w:t>
            </w:r>
          </w:p>
          <w:p w14:paraId="690DD308">
            <w:pPr>
              <w:spacing w:before="120" w:after="120" w:line="280" w:lineRule="exact"/>
              <w:rPr>
                <w:rFonts w:hint="eastAsia" w:ascii="宋体" w:hAnsi="宋体" w:eastAsia="宋体" w:cs="Times New Roman"/>
                <w:spacing w:val="10"/>
              </w:rPr>
            </w:pPr>
            <w:r>
              <w:rPr>
                <w:rFonts w:hint="eastAsia" w:ascii="宋体" w:hAnsi="宋体" w:eastAsia="宋体" w:cs="Times New Roman"/>
                <w:spacing w:val="10"/>
              </w:rPr>
              <w:t>3.温度波动度：≤3℃（3</w:t>
            </w:r>
            <w:r>
              <w:rPr>
                <w:rFonts w:ascii="宋体" w:hAnsi="宋体" w:eastAsia="宋体" w:cs="Times New Roman"/>
                <w:spacing w:val="10"/>
              </w:rPr>
              <w:t>00</w:t>
            </w:r>
            <w:r>
              <w:rPr>
                <w:rFonts w:hint="eastAsia" w:ascii="宋体" w:hAnsi="宋体" w:eastAsia="宋体" w:cs="Times New Roman"/>
                <w:spacing w:val="10"/>
              </w:rPr>
              <w:t>℃以下）</w:t>
            </w:r>
          </w:p>
          <w:p w14:paraId="01204073">
            <w:pPr>
              <w:spacing w:before="120" w:after="120" w:line="280" w:lineRule="exact"/>
              <w:rPr>
                <w:rFonts w:hint="eastAsia" w:ascii="宋体" w:hAnsi="宋体" w:eastAsia="宋体" w:cs="Times New Roman"/>
                <w:spacing w:val="10"/>
              </w:rPr>
            </w:pPr>
            <w:r>
              <w:rPr>
                <w:rFonts w:hint="eastAsia" w:ascii="宋体" w:hAnsi="宋体" w:eastAsia="宋体" w:cs="Times New Roman"/>
                <w:spacing w:val="10"/>
              </w:rPr>
              <w:t>4.温度均匀性：≤±</w:t>
            </w:r>
            <w:r>
              <w:rPr>
                <w:rFonts w:ascii="宋体" w:hAnsi="宋体" w:eastAsia="宋体" w:cs="Times New Roman"/>
                <w:spacing w:val="10"/>
              </w:rPr>
              <w:t>2</w:t>
            </w:r>
            <w:r>
              <w:rPr>
                <w:rFonts w:hint="eastAsia" w:ascii="宋体" w:hAnsi="宋体" w:eastAsia="宋体" w:cs="Times New Roman"/>
                <w:spacing w:val="10"/>
              </w:rPr>
              <w:t>℃（3</w:t>
            </w:r>
            <w:r>
              <w:rPr>
                <w:rFonts w:ascii="宋体" w:hAnsi="宋体" w:eastAsia="宋体" w:cs="Times New Roman"/>
                <w:spacing w:val="10"/>
              </w:rPr>
              <w:t>00</w:t>
            </w:r>
            <w:r>
              <w:rPr>
                <w:rFonts w:hint="eastAsia" w:ascii="宋体" w:hAnsi="宋体" w:eastAsia="宋体" w:cs="Times New Roman"/>
                <w:spacing w:val="10"/>
              </w:rPr>
              <w:t>℃以下）</w:t>
            </w:r>
          </w:p>
          <w:p w14:paraId="201B3065">
            <w:pPr>
              <w:widowControl/>
              <w:spacing w:line="360" w:lineRule="auto"/>
              <w:jc w:val="left"/>
              <w:textAlignment w:val="center"/>
              <w:rPr>
                <w:rFonts w:ascii="宋体" w:hAnsi="宋体" w:eastAsia="宋体" w:cs="宋体"/>
                <w:kern w:val="0"/>
                <w:szCs w:val="21"/>
                <w:lang w:bidi="ar"/>
              </w:rPr>
            </w:pPr>
            <w:r>
              <w:rPr>
                <w:rFonts w:hint="eastAsia" w:ascii="宋体" w:hAnsi="宋体" w:eastAsia="宋体" w:cs="Times New Roman"/>
                <w:spacing w:val="10"/>
              </w:rPr>
              <w:t>5.加热功率：40</w:t>
            </w:r>
            <w:r>
              <w:rPr>
                <w:rFonts w:ascii="宋体" w:hAnsi="宋体" w:eastAsia="宋体" w:cs="Times New Roman"/>
                <w:spacing w:val="10"/>
              </w:rPr>
              <w:t>00W</w:t>
            </w:r>
          </w:p>
        </w:tc>
      </w:tr>
      <w:tr w14:paraId="21469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0C562376">
            <w:pPr>
              <w:spacing w:line="360" w:lineRule="auto"/>
              <w:jc w:val="center"/>
              <w:rPr>
                <w:rFonts w:ascii="宋体" w:hAnsi="宋体" w:eastAsia="宋体" w:cs="Times New Roman"/>
                <w:szCs w:val="21"/>
              </w:rPr>
            </w:pPr>
            <w:r>
              <w:rPr>
                <w:rFonts w:hint="eastAsia" w:ascii="宋体" w:hAnsi="宋体" w:eastAsia="宋体" w:cs="Times New Roman"/>
                <w:szCs w:val="21"/>
              </w:rPr>
              <w:t>17</w:t>
            </w:r>
          </w:p>
        </w:tc>
        <w:tc>
          <w:tcPr>
            <w:tcW w:w="1090" w:type="dxa"/>
            <w:tcBorders>
              <w:top w:val="single" w:color="auto" w:sz="4" w:space="0"/>
              <w:left w:val="nil"/>
              <w:bottom w:val="single" w:color="auto" w:sz="4" w:space="0"/>
              <w:right w:val="single" w:color="auto" w:sz="4" w:space="0"/>
            </w:tcBorders>
            <w:noWrap/>
            <w:vAlign w:val="center"/>
          </w:tcPr>
          <w:p w14:paraId="4A0AA952">
            <w:pPr>
              <w:widowControl/>
              <w:jc w:val="center"/>
              <w:textAlignment w:val="center"/>
              <w:rPr>
                <w:rFonts w:ascii="宋体" w:hAnsi="宋体" w:eastAsia="宋体" w:cs="宋体"/>
                <w:kern w:val="0"/>
                <w:szCs w:val="21"/>
                <w:lang w:bidi="ar"/>
              </w:rPr>
            </w:pPr>
            <w:r>
              <w:rPr>
                <w:rFonts w:hint="eastAsia" w:ascii="宋体" w:hAnsi="宋体" w:eastAsia="宋体" w:cs="宋体"/>
                <w:color w:val="000000"/>
                <w:kern w:val="0"/>
                <w:sz w:val="22"/>
                <w:szCs w:val="22"/>
                <w:lang w:bidi="ar"/>
              </w:rPr>
              <w:t>电气安全综合测试系统</w:t>
            </w:r>
          </w:p>
        </w:tc>
        <w:tc>
          <w:tcPr>
            <w:tcW w:w="780" w:type="dxa"/>
            <w:tcBorders>
              <w:top w:val="single" w:color="auto" w:sz="4" w:space="0"/>
              <w:left w:val="nil"/>
              <w:bottom w:val="single" w:color="auto" w:sz="4" w:space="0"/>
              <w:right w:val="single" w:color="auto" w:sz="4" w:space="0"/>
            </w:tcBorders>
            <w:noWrap/>
            <w:vAlign w:val="center"/>
          </w:tcPr>
          <w:p w14:paraId="37B0F23B">
            <w:pPr>
              <w:widowControl/>
              <w:jc w:val="center"/>
              <w:textAlignment w:val="center"/>
              <w:rPr>
                <w:rFonts w:ascii="Times New Roman" w:hAnsi="Times New Roman" w:eastAsia="宋体" w:cs="Times New Roman"/>
                <w:szCs w:val="21"/>
              </w:rPr>
            </w:pPr>
            <w:r>
              <w:rPr>
                <w:rFonts w:hint="eastAsia" w:ascii="Times New Roman" w:hAnsi="Times New Roman" w:eastAsia="宋体" w:cs="Times New Roman"/>
                <w:szCs w:val="21"/>
              </w:rPr>
              <w:t>1套</w:t>
            </w:r>
          </w:p>
        </w:tc>
        <w:tc>
          <w:tcPr>
            <w:tcW w:w="7277" w:type="dxa"/>
            <w:tcBorders>
              <w:top w:val="single" w:color="auto" w:sz="4" w:space="0"/>
              <w:left w:val="nil"/>
              <w:bottom w:val="single" w:color="auto" w:sz="4" w:space="0"/>
              <w:right w:val="single" w:color="auto" w:sz="4" w:space="0"/>
            </w:tcBorders>
            <w:noWrap/>
            <w:vAlign w:val="center"/>
          </w:tcPr>
          <w:p w14:paraId="2C753D88">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1.交流电压输出： 范围：（100 ~ 5000）V ，分辨力：1V，误差：±（1%×设定值+5V）</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2.直流电压输出：范围：（100 ~ 6000）VDC，分辨率：1V，误差：±（1%×设定值+5V）</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3.绝缘电阻测量：范围：0.100MΩ~50.00GΩ，分辨力：0.001 /0.01/0.1MΩ /0.001/0.01GΩ</w:t>
            </w:r>
          </w:p>
          <w:p w14:paraId="695E8404">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4.输出范围 ：AC 0～33.0A</w:t>
            </w:r>
          </w:p>
          <w:p w14:paraId="3197553B">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5.电阻范围：0.001Ω～1.200Ω</w:t>
            </w:r>
          </w:p>
        </w:tc>
      </w:tr>
      <w:tr w14:paraId="6747B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75C36919">
            <w:pPr>
              <w:spacing w:line="360" w:lineRule="auto"/>
              <w:jc w:val="center"/>
              <w:rPr>
                <w:rFonts w:ascii="宋体" w:hAnsi="宋体" w:eastAsia="宋体" w:cs="Times New Roman"/>
                <w:szCs w:val="21"/>
              </w:rPr>
            </w:pPr>
            <w:r>
              <w:rPr>
                <w:rFonts w:hint="eastAsia" w:ascii="宋体" w:hAnsi="宋体" w:eastAsia="宋体" w:cs="Times New Roman"/>
                <w:szCs w:val="21"/>
              </w:rPr>
              <w:t>18</w:t>
            </w:r>
          </w:p>
        </w:tc>
        <w:tc>
          <w:tcPr>
            <w:tcW w:w="1090" w:type="dxa"/>
            <w:tcBorders>
              <w:top w:val="single" w:color="auto" w:sz="4" w:space="0"/>
              <w:left w:val="nil"/>
              <w:bottom w:val="single" w:color="auto" w:sz="4" w:space="0"/>
              <w:right w:val="single" w:color="auto" w:sz="4" w:space="0"/>
            </w:tcBorders>
            <w:noWrap/>
            <w:vAlign w:val="center"/>
          </w:tcPr>
          <w:p w14:paraId="49BAD6E4">
            <w:pPr>
              <w:widowControl/>
              <w:jc w:val="center"/>
              <w:textAlignment w:val="center"/>
              <w:rPr>
                <w:rFonts w:ascii="宋体" w:hAnsi="宋体" w:eastAsia="宋体" w:cs="宋体"/>
                <w:kern w:val="0"/>
                <w:szCs w:val="21"/>
                <w:lang w:bidi="ar"/>
              </w:rPr>
            </w:pPr>
            <w:r>
              <w:rPr>
                <w:rFonts w:hint="eastAsia" w:ascii="宋体" w:hAnsi="宋体" w:eastAsia="宋体" w:cs="宋体"/>
                <w:color w:val="000000"/>
                <w:kern w:val="0"/>
                <w:sz w:val="22"/>
                <w:szCs w:val="22"/>
                <w:lang w:bidi="ar"/>
              </w:rPr>
              <w:t>电气安全综合测试系统</w:t>
            </w:r>
          </w:p>
        </w:tc>
        <w:tc>
          <w:tcPr>
            <w:tcW w:w="780" w:type="dxa"/>
            <w:tcBorders>
              <w:top w:val="single" w:color="auto" w:sz="4" w:space="0"/>
              <w:left w:val="nil"/>
              <w:bottom w:val="single" w:color="auto" w:sz="4" w:space="0"/>
              <w:right w:val="single" w:color="auto" w:sz="4" w:space="0"/>
            </w:tcBorders>
            <w:noWrap/>
            <w:vAlign w:val="center"/>
          </w:tcPr>
          <w:p w14:paraId="6BA1C1C8">
            <w:pPr>
              <w:widowControl/>
              <w:jc w:val="center"/>
              <w:textAlignment w:val="center"/>
              <w:rPr>
                <w:rFonts w:ascii="Times New Roman" w:hAnsi="Times New Roman" w:eastAsia="宋体" w:cs="Times New Roman"/>
                <w:szCs w:val="21"/>
              </w:rPr>
            </w:pPr>
            <w:r>
              <w:rPr>
                <w:rFonts w:hint="eastAsia" w:ascii="Times New Roman" w:hAnsi="Times New Roman" w:eastAsia="宋体" w:cs="Times New Roman"/>
                <w:szCs w:val="21"/>
              </w:rPr>
              <w:t>1套</w:t>
            </w:r>
          </w:p>
        </w:tc>
        <w:tc>
          <w:tcPr>
            <w:tcW w:w="7277" w:type="dxa"/>
            <w:tcBorders>
              <w:top w:val="single" w:color="auto" w:sz="4" w:space="0"/>
              <w:left w:val="nil"/>
              <w:bottom w:val="single" w:color="auto" w:sz="4" w:space="0"/>
              <w:right w:val="single" w:color="auto" w:sz="4" w:space="0"/>
            </w:tcBorders>
            <w:noWrap/>
            <w:vAlign w:val="center"/>
          </w:tcPr>
          <w:p w14:paraId="27AC890F">
            <w:pPr>
              <w:widowControl/>
              <w:spacing w:line="360" w:lineRule="auto"/>
              <w:jc w:val="left"/>
              <w:textAlignment w:val="center"/>
              <w:rPr>
                <w:rFonts w:ascii="宋体" w:hAnsi="宋体" w:eastAsia="宋体" w:cs="宋体"/>
                <w:kern w:val="0"/>
                <w:szCs w:val="21"/>
                <w:lang w:bidi="ar"/>
              </w:rPr>
            </w:pPr>
            <w:r>
              <w:rPr>
                <w:rFonts w:hint="eastAsia" w:ascii="宋体" w:hAnsi="宋体" w:eastAsia="宋体" w:cs="宋体"/>
                <w:color w:val="000000"/>
                <w:kern w:val="0"/>
                <w:sz w:val="22"/>
                <w:szCs w:val="22"/>
                <w:lang w:bidi="ar"/>
              </w:rPr>
              <w:t>1.负载电流：40A</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2.接触电流/泄漏电流上下限设置(有效值)范围：0.0μA~20.00mA,分辨力:0.1μA/1μA/0.01mA，</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3.允许误差:直流、15Hz≤f≤100kHz:±(1.5%×读数值+10个字)</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100kHz&lt;f≤1000kHz:±5%×读数值</w:t>
            </w:r>
          </w:p>
        </w:tc>
      </w:tr>
      <w:tr w14:paraId="281F0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2FE54718">
            <w:pPr>
              <w:spacing w:line="360" w:lineRule="auto"/>
              <w:jc w:val="center"/>
              <w:rPr>
                <w:rFonts w:ascii="宋体" w:hAnsi="宋体" w:eastAsia="宋体" w:cs="Times New Roman"/>
                <w:szCs w:val="21"/>
              </w:rPr>
            </w:pPr>
            <w:r>
              <w:rPr>
                <w:rFonts w:hint="eastAsia" w:ascii="宋体" w:hAnsi="宋体" w:eastAsia="宋体" w:cs="Times New Roman"/>
                <w:szCs w:val="21"/>
              </w:rPr>
              <w:t>19</w:t>
            </w:r>
          </w:p>
        </w:tc>
        <w:tc>
          <w:tcPr>
            <w:tcW w:w="1090" w:type="dxa"/>
            <w:tcBorders>
              <w:top w:val="single" w:color="auto" w:sz="4" w:space="0"/>
              <w:left w:val="nil"/>
              <w:bottom w:val="single" w:color="auto" w:sz="4" w:space="0"/>
              <w:right w:val="single" w:color="auto" w:sz="4" w:space="0"/>
            </w:tcBorders>
            <w:noWrap/>
            <w:vAlign w:val="center"/>
          </w:tcPr>
          <w:p w14:paraId="028B8D41">
            <w:pPr>
              <w:widowControl/>
              <w:jc w:val="center"/>
              <w:textAlignment w:val="center"/>
              <w:rPr>
                <w:rFonts w:ascii="宋体" w:hAnsi="宋体" w:eastAsia="宋体" w:cs="宋体"/>
                <w:kern w:val="0"/>
                <w:szCs w:val="21"/>
                <w:lang w:bidi="ar"/>
              </w:rPr>
            </w:pPr>
            <w:r>
              <w:rPr>
                <w:rFonts w:hint="eastAsia" w:ascii="宋体" w:hAnsi="宋体" w:eastAsia="宋体" w:cs="宋体"/>
                <w:color w:val="000000"/>
                <w:kern w:val="0"/>
                <w:sz w:val="22"/>
                <w:szCs w:val="22"/>
                <w:lang w:bidi="ar"/>
              </w:rPr>
              <w:t>高频疲劳试验机</w:t>
            </w:r>
          </w:p>
        </w:tc>
        <w:tc>
          <w:tcPr>
            <w:tcW w:w="780" w:type="dxa"/>
            <w:tcBorders>
              <w:top w:val="single" w:color="auto" w:sz="4" w:space="0"/>
              <w:left w:val="nil"/>
              <w:bottom w:val="single" w:color="auto" w:sz="4" w:space="0"/>
              <w:right w:val="single" w:color="auto" w:sz="4" w:space="0"/>
            </w:tcBorders>
            <w:noWrap/>
            <w:vAlign w:val="center"/>
          </w:tcPr>
          <w:p w14:paraId="25FFF9AF">
            <w:pPr>
              <w:widowControl/>
              <w:jc w:val="center"/>
              <w:textAlignment w:val="center"/>
              <w:rPr>
                <w:rFonts w:ascii="Times New Roman" w:hAnsi="Times New Roman" w:eastAsia="宋体" w:cs="Times New Roman"/>
                <w:szCs w:val="21"/>
              </w:rPr>
            </w:pPr>
            <w:r>
              <w:rPr>
                <w:rFonts w:hint="eastAsia" w:ascii="Times New Roman" w:hAnsi="Times New Roman" w:eastAsia="宋体" w:cs="Times New Roman"/>
                <w:szCs w:val="21"/>
              </w:rPr>
              <w:t>1台</w:t>
            </w:r>
          </w:p>
        </w:tc>
        <w:tc>
          <w:tcPr>
            <w:tcW w:w="7277" w:type="dxa"/>
            <w:tcBorders>
              <w:top w:val="single" w:color="auto" w:sz="4" w:space="0"/>
              <w:left w:val="nil"/>
              <w:bottom w:val="single" w:color="auto" w:sz="4" w:space="0"/>
              <w:right w:val="single" w:color="auto" w:sz="4" w:space="0"/>
            </w:tcBorders>
            <w:noWrap/>
            <w:vAlign w:val="center"/>
          </w:tcPr>
          <w:p w14:paraId="43E55A69">
            <w:pPr>
              <w:spacing w:line="360" w:lineRule="auto"/>
              <w:rPr>
                <w:rFonts w:hint="eastAsia" w:ascii="Times New Roman" w:hAnsi="Times New Roman" w:eastAsia="宋体" w:cs="Times New Roman"/>
              </w:rPr>
            </w:pPr>
            <w:r>
              <w:rPr>
                <w:rFonts w:hint="eastAsia" w:ascii="Calibri" w:hAnsi="Calibri" w:eastAsia="宋体" w:cs="Times New Roman"/>
                <w:szCs w:val="22"/>
              </w:rPr>
              <w:t>一、</w:t>
            </w:r>
            <w:r>
              <w:rPr>
                <w:rFonts w:hint="eastAsia" w:ascii="Times New Roman" w:hAnsi="Times New Roman" w:eastAsia="宋体" w:cs="Times New Roman"/>
              </w:rPr>
              <w:t>设备技术参数</w:t>
            </w:r>
          </w:p>
          <w:p w14:paraId="2E3D8217">
            <w:pPr>
              <w:widowControl/>
              <w:spacing w:line="360" w:lineRule="auto"/>
              <w:jc w:val="left"/>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1.静态载荷：±500kN；动态载荷：±500kN</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2.试验机准确度等级：0.5级（示值：±0.5%）</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静态示值精度：±0.5%；动态加载精度：±1%</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3.试验力测量范围：2%-100%</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4.作动器最大振幅：±75mm</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5.位移测量精度：±0.5%FS</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6.位移测量分辨率：0.001mm</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7.变形示值相对误差：±0.5％以内</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8.闭环速率:10kHz</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9.试验频率范围：0.01~100Hz</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10.主要试验波形：正弦波、方波、三角波、斜波、随机波形以及外部输入波形；可实现多段不同频率或幅值组合的正弦波形；用户可以自定义参数的随机波形；用户导入的自定义波形</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11.试验控制方式：负荷、位移、变形等控制方式</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12.最大试验空间（不含液楔形夹具、对中环）：≥2000mm；含液压夹具、对中环有效高度为：≥850mm；最小试验空间：≤10mm。</w:t>
            </w:r>
          </w:p>
          <w:p w14:paraId="69D0E717">
            <w:pPr>
              <w:widowControl/>
              <w:jc w:val="left"/>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二、设备配置要求</w:t>
            </w:r>
          </w:p>
          <w:p w14:paraId="374664E5">
            <w:pP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 高频疲劳试验机主机1台</w:t>
            </w:r>
          </w:p>
          <w:p w14:paraId="19140DF9">
            <w:pP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 作动器1套</w:t>
            </w:r>
          </w:p>
          <w:p w14:paraId="51346C81">
            <w:pP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3 位移传感器1只</w:t>
            </w:r>
          </w:p>
          <w:p w14:paraId="1A9D6E03">
            <w:pP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4 力传感器500KN 1只</w:t>
            </w:r>
          </w:p>
          <w:p w14:paraId="2D30BD5B">
            <w:pP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5 同轴度调节环1套</w:t>
            </w:r>
          </w:p>
          <w:p w14:paraId="097771B8">
            <w:pP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6 全液压操控面板1套</w:t>
            </w:r>
          </w:p>
          <w:p w14:paraId="0B9C36E1">
            <w:pP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7 伺服阀1套</w:t>
            </w:r>
          </w:p>
          <w:p w14:paraId="00BB9A9D">
            <w:pP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8 动态控制器1套</w:t>
            </w:r>
          </w:p>
          <w:p w14:paraId="30A5447D">
            <w:pP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9 液压油源1套</w:t>
            </w:r>
          </w:p>
          <w:p w14:paraId="425450BD">
            <w:pP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10 循环冷却水系统（100L油源用）1套</w:t>
            </w:r>
          </w:p>
          <w:p w14:paraId="3940DC3F">
            <w:pP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11 液压楔形拉伸夹具1套</w:t>
            </w:r>
          </w:p>
          <w:p w14:paraId="3C329057">
            <w:pP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12 棒材夹具钳口：φ6-11mm；φ11-16mm；</w:t>
            </w:r>
          </w:p>
          <w:p w14:paraId="4138935C">
            <w:pP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φ16-21mm；φ21-26mm；φ</w:t>
            </w:r>
            <w:r>
              <w:rPr>
                <w:rFonts w:hint="eastAsia" w:ascii="宋体" w:hAnsi="宋体" w:eastAsia="宋体" w:cs="宋体"/>
                <w:color w:val="000000"/>
                <w:kern w:val="0"/>
                <w:sz w:val="22"/>
                <w:szCs w:val="22"/>
                <w:lang w:val="en-US" w:eastAsia="zh-CN" w:bidi="ar"/>
              </w:rPr>
              <w:t>26</w:t>
            </w:r>
            <w:r>
              <w:rPr>
                <w:rFonts w:hint="eastAsia" w:ascii="宋体" w:hAnsi="宋体" w:eastAsia="宋体" w:cs="宋体"/>
                <w:color w:val="000000"/>
                <w:kern w:val="0"/>
                <w:sz w:val="22"/>
                <w:szCs w:val="22"/>
                <w:lang w:bidi="ar"/>
              </w:rPr>
              <w:t>-40mm 各1套</w:t>
            </w:r>
          </w:p>
          <w:p w14:paraId="5D9DCCAA">
            <w:pP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13 板材夹具钳口 0-8mm，8-14mm，14-20mm，20-26mm各1套</w:t>
            </w:r>
          </w:p>
          <w:p w14:paraId="245B94B2">
            <w:pP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14 动态引伸计 1套</w:t>
            </w:r>
          </w:p>
          <w:p w14:paraId="1EAEBF04">
            <w:pP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15 动态试验软件1套</w:t>
            </w:r>
          </w:p>
          <w:p w14:paraId="778C5773">
            <w:pP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16 工作站1套</w:t>
            </w:r>
          </w:p>
          <w:p w14:paraId="31730051">
            <w:pPr>
              <w:widowControl/>
              <w:spacing w:line="360" w:lineRule="auto"/>
              <w:jc w:val="left"/>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17 专用工具1套</w:t>
            </w:r>
          </w:p>
        </w:tc>
      </w:tr>
      <w:tr w14:paraId="33A81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792A2863">
            <w:pPr>
              <w:spacing w:line="360" w:lineRule="auto"/>
              <w:jc w:val="center"/>
              <w:rPr>
                <w:rFonts w:ascii="宋体" w:hAnsi="宋体" w:eastAsia="宋体" w:cs="Times New Roman"/>
                <w:szCs w:val="21"/>
              </w:rPr>
            </w:pPr>
            <w:r>
              <w:rPr>
                <w:rFonts w:hint="eastAsia" w:ascii="宋体" w:hAnsi="宋体" w:eastAsia="宋体" w:cs="Times New Roman"/>
                <w:szCs w:val="21"/>
              </w:rPr>
              <w:t>20</w:t>
            </w:r>
          </w:p>
        </w:tc>
        <w:tc>
          <w:tcPr>
            <w:tcW w:w="1090" w:type="dxa"/>
            <w:tcBorders>
              <w:top w:val="single" w:color="auto" w:sz="4" w:space="0"/>
              <w:left w:val="nil"/>
              <w:bottom w:val="single" w:color="auto" w:sz="4" w:space="0"/>
              <w:right w:val="single" w:color="auto" w:sz="4" w:space="0"/>
            </w:tcBorders>
            <w:noWrap/>
            <w:vAlign w:val="center"/>
          </w:tcPr>
          <w:p w14:paraId="5F831BC0">
            <w:pPr>
              <w:widowControl/>
              <w:jc w:val="center"/>
              <w:textAlignment w:val="center"/>
              <w:rPr>
                <w:rFonts w:ascii="宋体" w:hAnsi="宋体" w:eastAsia="宋体" w:cs="宋体"/>
                <w:kern w:val="0"/>
                <w:szCs w:val="21"/>
                <w:lang w:bidi="ar"/>
              </w:rPr>
            </w:pPr>
            <w:r>
              <w:rPr>
                <w:rFonts w:hint="eastAsia" w:ascii="宋体" w:hAnsi="宋体" w:eastAsia="宋体" w:cs="宋体"/>
                <w:color w:val="000000"/>
                <w:kern w:val="0"/>
                <w:sz w:val="22"/>
                <w:szCs w:val="22"/>
                <w:lang w:bidi="ar"/>
              </w:rPr>
              <w:t>电液伺服压力试验机</w:t>
            </w:r>
          </w:p>
        </w:tc>
        <w:tc>
          <w:tcPr>
            <w:tcW w:w="780" w:type="dxa"/>
            <w:tcBorders>
              <w:top w:val="single" w:color="auto" w:sz="4" w:space="0"/>
              <w:left w:val="nil"/>
              <w:bottom w:val="single" w:color="auto" w:sz="4" w:space="0"/>
              <w:right w:val="single" w:color="auto" w:sz="4" w:space="0"/>
            </w:tcBorders>
            <w:noWrap/>
            <w:vAlign w:val="center"/>
          </w:tcPr>
          <w:p w14:paraId="460426C0">
            <w:pPr>
              <w:widowControl/>
              <w:jc w:val="center"/>
              <w:textAlignment w:val="center"/>
              <w:rPr>
                <w:rFonts w:ascii="Times New Roman" w:hAnsi="Times New Roman" w:eastAsia="宋体" w:cs="Times New Roman"/>
                <w:szCs w:val="21"/>
              </w:rPr>
            </w:pPr>
            <w:r>
              <w:rPr>
                <w:rFonts w:hint="eastAsia" w:ascii="Times New Roman" w:hAnsi="Times New Roman" w:eastAsia="宋体" w:cs="Times New Roman"/>
              </w:rPr>
              <w:t>1台</w:t>
            </w:r>
          </w:p>
        </w:tc>
        <w:tc>
          <w:tcPr>
            <w:tcW w:w="7277" w:type="dxa"/>
            <w:tcBorders>
              <w:top w:val="single" w:color="auto" w:sz="4" w:space="0"/>
              <w:left w:val="nil"/>
              <w:bottom w:val="single" w:color="auto" w:sz="4" w:space="0"/>
              <w:right w:val="single" w:color="auto" w:sz="4" w:space="0"/>
            </w:tcBorders>
            <w:noWrap/>
            <w:vAlign w:val="center"/>
          </w:tcPr>
          <w:p w14:paraId="1BE471C3">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立式，满足拉伸和压缩试验，具有负荷、变形和位移三种控制方式并能实现平滑切换，可实现等速率负荷控制、等速率变形控制、等速率位移控制，满足GB/T 228.1，GB/T 16826，JJG 475等标准。</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1.最大试验力：2000kN；</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2.试验力测量范围：1%～100%FS；</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3.试验力示值精度：±0.5%以内；</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4.试验力分辨力：1/600000FS；</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val="en-US" w:eastAsia="zh-CN" w:bidi="ar"/>
              </w:rPr>
              <w:t>5</w:t>
            </w:r>
            <w:r>
              <w:rPr>
                <w:rFonts w:hint="eastAsia" w:ascii="宋体" w:hAnsi="宋体" w:eastAsia="宋体" w:cs="宋体"/>
                <w:color w:val="000000"/>
                <w:kern w:val="0"/>
                <w:sz w:val="22"/>
                <w:szCs w:val="22"/>
                <w:lang w:bidi="ar"/>
              </w:rPr>
              <w:t>.横梁位置分辨力：0.003mm；</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val="en-US" w:eastAsia="zh-CN" w:bidi="ar"/>
              </w:rPr>
              <w:t>6</w:t>
            </w:r>
            <w:r>
              <w:rPr>
                <w:rFonts w:hint="eastAsia" w:ascii="宋体" w:hAnsi="宋体" w:eastAsia="宋体" w:cs="宋体"/>
                <w:color w:val="000000"/>
                <w:kern w:val="0"/>
                <w:sz w:val="22"/>
                <w:szCs w:val="22"/>
                <w:lang w:bidi="ar"/>
              </w:rPr>
              <w:t>.活塞上升最大速度：70mm/min</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val="en-US" w:eastAsia="zh-CN" w:bidi="ar"/>
              </w:rPr>
              <w:t>7</w:t>
            </w:r>
            <w:r>
              <w:rPr>
                <w:rFonts w:hint="eastAsia" w:ascii="宋体" w:hAnsi="宋体" w:eastAsia="宋体" w:cs="宋体"/>
                <w:color w:val="000000"/>
                <w:kern w:val="0"/>
                <w:sz w:val="22"/>
                <w:szCs w:val="22"/>
                <w:lang w:bidi="ar"/>
              </w:rPr>
              <w:t>.横梁最大速度：360mm/min；</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val="en-US" w:eastAsia="zh-CN" w:bidi="ar"/>
              </w:rPr>
              <w:t>8</w:t>
            </w:r>
            <w:r>
              <w:rPr>
                <w:rFonts w:hint="eastAsia" w:ascii="宋体" w:hAnsi="宋体" w:eastAsia="宋体" w:cs="宋体"/>
                <w:color w:val="000000"/>
                <w:kern w:val="0"/>
                <w:sz w:val="22"/>
                <w:szCs w:val="22"/>
                <w:lang w:bidi="ar"/>
              </w:rPr>
              <w:t>.试验力加载速率范围：0.02%-2%FS/s；</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9.拉伸钳口最大间距：800mm</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10.活塞行程：250mm;</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11.立柱间有效距离：730mm;</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12.采样频率不低于1200HZ</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13.软件频率:1200Hz，600Hz,300Hz, 150Hz, 50Hz, 30Hz,任意可调</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14.刚度重量要求：约7000kg (主机)+400kg (油源)</w:t>
            </w:r>
          </w:p>
          <w:p w14:paraId="19A01A60">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 xml:space="preserve">15.试验软件要求： </w:t>
            </w:r>
          </w:p>
          <w:p w14:paraId="4A425D8B">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(1)软件支持横、竖向自适应布局，支持脱机运行模拟试验；</w:t>
            </w:r>
          </w:p>
          <w:p w14:paraId="42B52615">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(2)软件支持试验进度可视化显示：采用流程节点方式展示试验进度，高亮显示当前执行节点，并实时呈现总运行时间、控制方式、控制速率和循环次数等关键信息；</w:t>
            </w:r>
          </w:p>
          <w:p w14:paraId="7986CE54">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(3)试验曲线可进行全局或单坐标轴的定位、缩放、平移操作支持添加辅助线等功能，满足用户在曲线分析与结果比对方面的需求；</w:t>
            </w:r>
          </w:p>
          <w:p w14:paraId="63310FBF">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(4)软件支持单坐标轴及双 Y 轴曲线显示，方便用户试验数据进行比对分析；</w:t>
            </w:r>
          </w:p>
          <w:p w14:paraId="255C3A28">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(5)软件频率:1200Hz，600Hz,300Hz, 150Hz, 50Hz, 30Hz,任意可调任意可调（投标文件并附上软件采集频率可选截图，供货产品验收时重点考核项）；</w:t>
            </w:r>
          </w:p>
          <w:p w14:paraId="0BA257E8">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(6)软件支持12窗口显示功能。</w:t>
            </w:r>
          </w:p>
          <w:p w14:paraId="285F6C73">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配置要求：</w:t>
            </w:r>
          </w:p>
          <w:p w14:paraId="5ED3A135">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1.主机（高刚性无间隙抗冲击）1台</w:t>
            </w:r>
          </w:p>
          <w:p w14:paraId="491DACB0">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2.主油缸（熔铜工艺导向，耐磨防腐）1套</w:t>
            </w:r>
          </w:p>
          <w:p w14:paraId="43C50381">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3.2000kN高精度传感器1只（带有专用接头，校准时可存储校准信息；当传感器接入控制系统时，系统能自动识别传感器，保证传感器数据准确性。</w:t>
            </w:r>
          </w:p>
          <w:p w14:paraId="4AD210EF">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4.位移传感器1套</w:t>
            </w:r>
          </w:p>
          <w:p w14:paraId="63438531">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▲5.控制器全数字闭环电气系统1套（预留自动接口，供货时提供不低于3000小时的MTBF试验认证报告）</w:t>
            </w:r>
          </w:p>
          <w:p w14:paraId="30A4D333">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6.液压夹具1套（平钳口：10～70，V钳口：Φ15～Φ70）</w:t>
            </w:r>
          </w:p>
          <w:p w14:paraId="18930A82">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7.多功能手持控制器1套</w:t>
            </w:r>
          </w:p>
          <w:p w14:paraId="3D76093F">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8.静音伺服油源系统1套</w:t>
            </w:r>
          </w:p>
          <w:p w14:paraId="0383E732">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9.压缩夹具一套</w:t>
            </w:r>
          </w:p>
          <w:p w14:paraId="14570226">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10.直插弹簧夹持式引伸计1只：标距100mm，变形量25mm，精度：0.5级</w:t>
            </w:r>
          </w:p>
          <w:p w14:paraId="068F1E91">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11.多语言试验软件1套（支持双坐标显示模式，辅助线任意添加，语音播报，一机多用软件包。）</w:t>
            </w:r>
          </w:p>
          <w:p w14:paraId="15D03B1A">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12.安全防护罩1套</w:t>
            </w:r>
          </w:p>
        </w:tc>
      </w:tr>
      <w:tr w14:paraId="015E4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2FF3C874">
            <w:pPr>
              <w:spacing w:line="360" w:lineRule="auto"/>
              <w:jc w:val="center"/>
              <w:rPr>
                <w:rFonts w:ascii="宋体" w:hAnsi="宋体" w:eastAsia="宋体" w:cs="Times New Roman"/>
                <w:szCs w:val="21"/>
              </w:rPr>
            </w:pPr>
            <w:r>
              <w:rPr>
                <w:rFonts w:hint="eastAsia" w:ascii="宋体" w:hAnsi="宋体" w:eastAsia="宋体" w:cs="Times New Roman"/>
                <w:szCs w:val="21"/>
              </w:rPr>
              <w:t>21</w:t>
            </w:r>
          </w:p>
        </w:tc>
        <w:tc>
          <w:tcPr>
            <w:tcW w:w="1090" w:type="dxa"/>
            <w:tcBorders>
              <w:top w:val="single" w:color="auto" w:sz="4" w:space="0"/>
              <w:left w:val="nil"/>
              <w:bottom w:val="single" w:color="auto" w:sz="4" w:space="0"/>
              <w:right w:val="single" w:color="auto" w:sz="4" w:space="0"/>
            </w:tcBorders>
            <w:noWrap/>
            <w:vAlign w:val="center"/>
          </w:tcPr>
          <w:p w14:paraId="12806FF7">
            <w:pPr>
              <w:widowControl/>
              <w:jc w:val="center"/>
              <w:textAlignment w:val="center"/>
              <w:rPr>
                <w:rFonts w:ascii="宋体" w:hAnsi="宋体" w:eastAsia="宋体" w:cs="宋体"/>
                <w:kern w:val="0"/>
                <w:szCs w:val="21"/>
                <w:lang w:bidi="ar"/>
              </w:rPr>
            </w:pPr>
            <w:r>
              <w:rPr>
                <w:rFonts w:hint="eastAsia" w:ascii="宋体" w:hAnsi="宋体" w:eastAsia="宋体" w:cs="宋体"/>
                <w:color w:val="000000"/>
                <w:kern w:val="0"/>
                <w:sz w:val="22"/>
                <w:szCs w:val="22"/>
                <w:lang w:bidi="ar"/>
              </w:rPr>
              <w:t>电液伺服压力试验机</w:t>
            </w:r>
          </w:p>
        </w:tc>
        <w:tc>
          <w:tcPr>
            <w:tcW w:w="780" w:type="dxa"/>
            <w:tcBorders>
              <w:top w:val="single" w:color="auto" w:sz="4" w:space="0"/>
              <w:left w:val="nil"/>
              <w:bottom w:val="single" w:color="auto" w:sz="4" w:space="0"/>
              <w:right w:val="single" w:color="auto" w:sz="4" w:space="0"/>
            </w:tcBorders>
            <w:noWrap/>
            <w:vAlign w:val="center"/>
          </w:tcPr>
          <w:p w14:paraId="422700AE">
            <w:pPr>
              <w:widowControl/>
              <w:jc w:val="center"/>
              <w:textAlignment w:val="center"/>
              <w:rPr>
                <w:rFonts w:ascii="Times New Roman" w:hAnsi="Times New Roman" w:eastAsia="宋体" w:cs="Times New Roman"/>
                <w:szCs w:val="21"/>
              </w:rPr>
            </w:pPr>
            <w:r>
              <w:rPr>
                <w:rFonts w:hint="eastAsia" w:ascii="Times New Roman" w:hAnsi="Times New Roman" w:eastAsia="宋体" w:cs="Times New Roman"/>
              </w:rPr>
              <w:t>1台</w:t>
            </w:r>
          </w:p>
        </w:tc>
        <w:tc>
          <w:tcPr>
            <w:tcW w:w="7277" w:type="dxa"/>
            <w:tcBorders>
              <w:top w:val="single" w:color="auto" w:sz="4" w:space="0"/>
              <w:left w:val="nil"/>
              <w:bottom w:val="single" w:color="auto" w:sz="4" w:space="0"/>
              <w:right w:val="single" w:color="auto" w:sz="4" w:space="0"/>
            </w:tcBorders>
            <w:noWrap/>
            <w:vAlign w:val="center"/>
          </w:tcPr>
          <w:p w14:paraId="5B3B09A9">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立式，满足拉伸和压缩试验，具有负荷、变形和位移三种控制方式并能实现平滑切换，可实现等速率负荷控制、等速率变形控制、等速率位移控制，满足GB/T 228.1，GB/T 16826，JJG 475等标准。</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1.最大试验力：300kN；</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2.试验力测量范围：1%～100%FS；</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3.试验力示值精度：±0.5%以内；</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4.试验力分辨力：1/600000FS；</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val="en-US" w:eastAsia="zh-CN" w:bidi="ar"/>
              </w:rPr>
              <w:t>5</w:t>
            </w:r>
            <w:r>
              <w:rPr>
                <w:rFonts w:hint="eastAsia" w:ascii="宋体" w:hAnsi="宋体" w:eastAsia="宋体" w:cs="宋体"/>
                <w:color w:val="000000"/>
                <w:kern w:val="0"/>
                <w:sz w:val="22"/>
                <w:szCs w:val="22"/>
                <w:lang w:bidi="ar"/>
              </w:rPr>
              <w:t>.横梁位置分辨力：0.003mm；</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val="en-US" w:eastAsia="zh-CN" w:bidi="ar"/>
              </w:rPr>
              <w:t>6</w:t>
            </w:r>
            <w:r>
              <w:rPr>
                <w:rFonts w:hint="eastAsia" w:ascii="宋体" w:hAnsi="宋体" w:eastAsia="宋体" w:cs="宋体"/>
                <w:color w:val="000000"/>
                <w:kern w:val="0"/>
                <w:sz w:val="22"/>
                <w:szCs w:val="22"/>
                <w:lang w:bidi="ar"/>
              </w:rPr>
              <w:t>.活塞上升最大速度：180mm/min</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val="en-US" w:eastAsia="zh-CN" w:bidi="ar"/>
              </w:rPr>
              <w:t>7</w:t>
            </w:r>
            <w:r>
              <w:rPr>
                <w:rFonts w:hint="eastAsia" w:ascii="宋体" w:hAnsi="宋体" w:eastAsia="宋体" w:cs="宋体"/>
                <w:color w:val="000000"/>
                <w:kern w:val="0"/>
                <w:sz w:val="22"/>
                <w:szCs w:val="22"/>
                <w:lang w:bidi="ar"/>
              </w:rPr>
              <w:t>.横梁最大速度：350mm/min；</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8.试验力加载速率范围：0.02%-2%FS/s；</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9.拉伸钳口最大间距：520mm</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10.活塞行程：150mm;</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11.立柱间有效距离：520mm;</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12.采样频率不低于1200HZ</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13.软件频率:1200Hz，600Hz,300Hz, 150Hz, 50Hz, 30Hz,任意可调</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14.刚度重量要求：约1500kg (主机)+400kg (油源)</w:t>
            </w:r>
          </w:p>
          <w:p w14:paraId="4949A538">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 xml:space="preserve">15.试验软件要求： </w:t>
            </w:r>
          </w:p>
          <w:p w14:paraId="1F29F3DE">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(1)软件支持横、竖向自适应布局，支持脱机运行模拟试验；</w:t>
            </w:r>
          </w:p>
          <w:p w14:paraId="7D9CA316">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(2)软件支持试验进度可视化显示：采用流程节点方式展示试验进度，高亮显示当前执行节点，并实时呈现总运行时间、控制方式、控制速率和循环次数等关键信息；</w:t>
            </w:r>
          </w:p>
          <w:p w14:paraId="0C08BB39">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(3)试验曲线可进行全局或单坐标轴的定位、缩放、平移操作支持添加辅助线等功能，满足用户在曲线分析与结果比对方面的需求；</w:t>
            </w:r>
          </w:p>
          <w:p w14:paraId="416EF3E7">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(4)软件支持单坐标轴及双 Y 轴曲线显示，方便用户试验数据进行比对分析；</w:t>
            </w:r>
          </w:p>
          <w:p w14:paraId="4C5277D4">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(5)软件频率:1200Hz，600Hz,300Hz, 150Hz, 50Hz, 30Hz,任意可调任意可调（投标文件并附上软件采集频率可选截图，供货产品验收时重点考核项）；</w:t>
            </w:r>
          </w:p>
          <w:p w14:paraId="6A1EBABD">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(6)软件支持12窗口显示功能。</w:t>
            </w:r>
          </w:p>
          <w:p w14:paraId="6ACBA577">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配置要求：</w:t>
            </w:r>
          </w:p>
          <w:p w14:paraId="32D64777">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1.主机（液压楔形夹具）1台</w:t>
            </w:r>
          </w:p>
          <w:p w14:paraId="68C13332">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2.主油缸（熔铜工艺导向，耐磨防腐）1套</w:t>
            </w:r>
          </w:p>
          <w:p w14:paraId="1519A504">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3.300kN高精度传感器1只（带有专用接头，校准时可存储校准信息；当传感器接入控制系统时，系统能自动识别传感器，保证传感器数据准确性。</w:t>
            </w:r>
          </w:p>
          <w:p w14:paraId="3387D5A8">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4.位移传感器1套</w:t>
            </w:r>
          </w:p>
          <w:p w14:paraId="5A9435EC">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▲5.控制器全数字闭环电气系统1套（预留自动接口，供货时提供不低于3000小时的MTBF试验认证报告）</w:t>
            </w:r>
          </w:p>
          <w:p w14:paraId="2C2E5B6A">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6.液压夹具1套（平钳口：0～25，V钳口：Φ10～Φ32）</w:t>
            </w:r>
          </w:p>
          <w:p w14:paraId="77C11DDF">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7.多功能手持控制器1套</w:t>
            </w:r>
          </w:p>
          <w:p w14:paraId="7144447D">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8.静音伺服油源系统1套。</w:t>
            </w:r>
          </w:p>
          <w:p w14:paraId="0D8E3B78">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9.压缩夹具一套</w:t>
            </w:r>
          </w:p>
          <w:p w14:paraId="3DDA1CC4">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10.直插弹簧夹持式引伸计1只：标距100mm，变形量10mm，精度：0.5级</w:t>
            </w:r>
          </w:p>
          <w:p w14:paraId="39EBB165">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11.多语言试验软件1套（支持双坐标显示模式，辅助线任意添加，语音播报，一机多用软件包。）</w:t>
            </w:r>
          </w:p>
          <w:p w14:paraId="776FF796">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12.安全防护罩1套</w:t>
            </w:r>
          </w:p>
        </w:tc>
      </w:tr>
      <w:tr w14:paraId="5073C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23E3D7EC">
            <w:pPr>
              <w:spacing w:line="360" w:lineRule="auto"/>
              <w:jc w:val="center"/>
              <w:rPr>
                <w:rFonts w:ascii="宋体" w:hAnsi="宋体" w:eastAsia="宋体" w:cs="Times New Roman"/>
                <w:szCs w:val="21"/>
              </w:rPr>
            </w:pPr>
            <w:r>
              <w:rPr>
                <w:rFonts w:hint="eastAsia" w:ascii="宋体" w:hAnsi="宋体" w:eastAsia="宋体" w:cs="Times New Roman"/>
                <w:szCs w:val="21"/>
              </w:rPr>
              <w:t>22</w:t>
            </w:r>
          </w:p>
        </w:tc>
        <w:tc>
          <w:tcPr>
            <w:tcW w:w="1090" w:type="dxa"/>
            <w:tcBorders>
              <w:top w:val="single" w:color="auto" w:sz="4" w:space="0"/>
              <w:left w:val="nil"/>
              <w:bottom w:val="single" w:color="auto" w:sz="4" w:space="0"/>
              <w:right w:val="single" w:color="auto" w:sz="4" w:space="0"/>
            </w:tcBorders>
            <w:noWrap/>
            <w:vAlign w:val="center"/>
          </w:tcPr>
          <w:p w14:paraId="001827C5">
            <w:pPr>
              <w:widowControl/>
              <w:jc w:val="center"/>
              <w:textAlignment w:val="center"/>
              <w:rPr>
                <w:rFonts w:ascii="宋体" w:hAnsi="宋体" w:eastAsia="宋体" w:cs="宋体"/>
                <w:kern w:val="0"/>
                <w:szCs w:val="21"/>
                <w:lang w:bidi="ar"/>
              </w:rPr>
            </w:pPr>
            <w:r>
              <w:rPr>
                <w:rFonts w:hint="eastAsia" w:ascii="宋体" w:hAnsi="宋体" w:eastAsia="宋体" w:cs="宋体"/>
                <w:color w:val="000000"/>
                <w:kern w:val="0"/>
                <w:sz w:val="22"/>
                <w:szCs w:val="22"/>
                <w:lang w:bidi="ar"/>
              </w:rPr>
              <w:t>热重分析仪</w:t>
            </w:r>
          </w:p>
        </w:tc>
        <w:tc>
          <w:tcPr>
            <w:tcW w:w="780" w:type="dxa"/>
            <w:tcBorders>
              <w:top w:val="single" w:color="auto" w:sz="4" w:space="0"/>
              <w:left w:val="nil"/>
              <w:bottom w:val="single" w:color="auto" w:sz="4" w:space="0"/>
              <w:right w:val="single" w:color="auto" w:sz="4" w:space="0"/>
            </w:tcBorders>
            <w:noWrap/>
            <w:vAlign w:val="center"/>
          </w:tcPr>
          <w:p w14:paraId="78F089EE">
            <w:pPr>
              <w:widowControl/>
              <w:jc w:val="center"/>
              <w:textAlignment w:val="center"/>
              <w:rPr>
                <w:rFonts w:ascii="Times New Roman" w:hAnsi="Times New Roman" w:eastAsia="宋体" w:cs="Times New Roman"/>
                <w:szCs w:val="21"/>
              </w:rPr>
            </w:pPr>
            <w:r>
              <w:rPr>
                <w:rFonts w:hint="eastAsia" w:ascii="Times New Roman" w:hAnsi="Times New Roman" w:eastAsia="宋体" w:cs="Times New Roman"/>
              </w:rPr>
              <w:t>1台</w:t>
            </w:r>
          </w:p>
        </w:tc>
        <w:tc>
          <w:tcPr>
            <w:tcW w:w="7277" w:type="dxa"/>
            <w:tcBorders>
              <w:top w:val="single" w:color="auto" w:sz="4" w:space="0"/>
              <w:left w:val="nil"/>
              <w:bottom w:val="single" w:color="auto" w:sz="4" w:space="0"/>
              <w:right w:val="single" w:color="auto" w:sz="4" w:space="0"/>
            </w:tcBorders>
            <w:noWrap/>
            <w:vAlign w:val="center"/>
          </w:tcPr>
          <w:p w14:paraId="3CAE4EBD">
            <w:pPr>
              <w:spacing w:line="360" w:lineRule="auto"/>
              <w:jc w:val="left"/>
              <w:rPr>
                <w:rFonts w:hint="eastAsia" w:ascii="宋体" w:hAnsi="宋体" w:eastAsia="宋体" w:cs="宋体"/>
                <w:szCs w:val="21"/>
              </w:rPr>
            </w:pPr>
            <w:r>
              <w:rPr>
                <w:rFonts w:hint="eastAsia" w:ascii="宋体" w:hAnsi="宋体" w:eastAsia="宋体" w:cs="宋体"/>
                <w:szCs w:val="21"/>
              </w:rPr>
              <w:t>1.主要用途</w:t>
            </w:r>
          </w:p>
          <w:p w14:paraId="6BA352AB">
            <w:pPr>
              <w:spacing w:line="360" w:lineRule="auto"/>
              <w:jc w:val="left"/>
              <w:rPr>
                <w:rFonts w:hint="eastAsia" w:ascii="宋体" w:hAnsi="宋体" w:eastAsia="宋体" w:cs="宋体"/>
                <w:szCs w:val="21"/>
              </w:rPr>
            </w:pPr>
            <w:r>
              <w:rPr>
                <w:rFonts w:hint="eastAsia" w:ascii="宋体" w:hAnsi="宋体" w:eastAsia="宋体" w:cs="宋体"/>
                <w:szCs w:val="21"/>
              </w:rPr>
              <w:t>全自动热重分析仪（Thermal Gravimetric Analyzer）是一种利用热重法检测物质温度-质量变化关系的仪器。热重法是在程序控温下，测量物质的质量随温度（或时间）的变化关系。当被测物质在加热过程中有升华、汽化、分解出气体或失去结晶水时，被测的物质质量就会发生变化。</w:t>
            </w:r>
          </w:p>
          <w:p w14:paraId="5724DA8A">
            <w:pPr>
              <w:spacing w:line="360" w:lineRule="auto"/>
              <w:jc w:val="left"/>
              <w:rPr>
                <w:rFonts w:hint="eastAsia" w:ascii="宋体" w:hAnsi="宋体" w:eastAsia="宋体" w:cs="宋体"/>
                <w:szCs w:val="21"/>
              </w:rPr>
            </w:pPr>
            <w:r>
              <w:rPr>
                <w:rFonts w:hint="eastAsia" w:ascii="宋体" w:hAnsi="宋体" w:eastAsia="宋体" w:cs="宋体"/>
                <w:szCs w:val="21"/>
              </w:rPr>
              <w:t>2.主要技术参数</w:t>
            </w:r>
          </w:p>
          <w:p w14:paraId="2B2B0A4A">
            <w:pPr>
              <w:spacing w:line="360" w:lineRule="auto"/>
              <w:jc w:val="left"/>
              <w:rPr>
                <w:rFonts w:hint="eastAsia" w:ascii="宋体" w:hAnsi="宋体" w:eastAsia="宋体" w:cs="宋体"/>
                <w:szCs w:val="21"/>
              </w:rPr>
            </w:pPr>
            <w:r>
              <w:rPr>
                <w:rFonts w:hint="eastAsia" w:ascii="宋体" w:hAnsi="宋体" w:eastAsia="宋体" w:cs="宋体"/>
                <w:szCs w:val="21"/>
              </w:rPr>
              <w:t>2.1温度范围：室温～1550℃</w:t>
            </w:r>
          </w:p>
          <w:p w14:paraId="5412B5EC">
            <w:pPr>
              <w:spacing w:line="360" w:lineRule="auto"/>
              <w:jc w:val="left"/>
              <w:rPr>
                <w:rFonts w:hint="eastAsia" w:ascii="宋体" w:hAnsi="宋体" w:eastAsia="宋体" w:cs="宋体"/>
                <w:szCs w:val="21"/>
              </w:rPr>
            </w:pPr>
            <w:r>
              <w:rPr>
                <w:rFonts w:hint="eastAsia" w:ascii="宋体" w:hAnsi="宋体" w:eastAsia="宋体" w:cs="宋体"/>
                <w:szCs w:val="21"/>
              </w:rPr>
              <w:t>2.2温度准确度：±0.1℃</w:t>
            </w:r>
          </w:p>
          <w:p w14:paraId="7545CEAE">
            <w:pPr>
              <w:spacing w:line="360" w:lineRule="auto"/>
              <w:jc w:val="left"/>
              <w:rPr>
                <w:rFonts w:hint="eastAsia" w:ascii="宋体" w:hAnsi="宋体" w:eastAsia="宋体" w:cs="宋体"/>
                <w:szCs w:val="21"/>
              </w:rPr>
            </w:pPr>
            <w:r>
              <w:rPr>
                <w:rFonts w:hint="eastAsia" w:ascii="宋体" w:hAnsi="宋体" w:eastAsia="宋体" w:cs="宋体"/>
                <w:szCs w:val="21"/>
              </w:rPr>
              <w:t>2.3 升温速率：0.1℃～100℃/min（可自定义）。</w:t>
            </w:r>
          </w:p>
          <w:p w14:paraId="15B963A6">
            <w:pPr>
              <w:spacing w:line="360" w:lineRule="auto"/>
              <w:jc w:val="left"/>
              <w:rPr>
                <w:rFonts w:hint="eastAsia" w:ascii="宋体" w:hAnsi="宋体" w:eastAsia="宋体" w:cs="宋体"/>
                <w:szCs w:val="21"/>
              </w:rPr>
            </w:pPr>
            <w:r>
              <w:rPr>
                <w:rFonts w:hint="eastAsia" w:ascii="宋体" w:hAnsi="宋体" w:eastAsia="宋体" w:cs="宋体"/>
                <w:szCs w:val="21"/>
              </w:rPr>
              <w:t>2.4炉体自动升降可控、定位准确，提高了测量的重复性。</w:t>
            </w:r>
          </w:p>
          <w:p w14:paraId="5218B72B">
            <w:pPr>
              <w:spacing w:line="360" w:lineRule="auto"/>
              <w:jc w:val="left"/>
              <w:rPr>
                <w:rFonts w:hint="eastAsia" w:ascii="宋体" w:hAnsi="宋体" w:eastAsia="宋体" w:cs="宋体"/>
                <w:szCs w:val="21"/>
              </w:rPr>
            </w:pPr>
            <w:r>
              <w:rPr>
                <w:rFonts w:hint="eastAsia" w:ascii="宋体" w:hAnsi="宋体" w:eastAsia="宋体" w:cs="宋体"/>
                <w:szCs w:val="21"/>
              </w:rPr>
              <w:t>2.5可扩展24位全自动进样模块，实现样品的自动连续进样，减少人工操作干预（投标文件提供软件设置界面截图及进样器实物图片）</w:t>
            </w:r>
          </w:p>
          <w:p w14:paraId="600CE9AA">
            <w:pPr>
              <w:spacing w:line="360" w:lineRule="auto"/>
              <w:jc w:val="left"/>
              <w:rPr>
                <w:rFonts w:hint="eastAsia" w:ascii="宋体" w:hAnsi="宋体" w:eastAsia="宋体" w:cs="宋体"/>
                <w:szCs w:val="21"/>
              </w:rPr>
            </w:pPr>
            <w:r>
              <w:rPr>
                <w:rFonts w:hint="eastAsia" w:ascii="宋体" w:hAnsi="宋体" w:eastAsia="宋体" w:cs="宋体"/>
                <w:szCs w:val="21"/>
              </w:rPr>
              <w:t>▲2.6两种炉体升温控温模式：①根据样品热电偶控制升温②根据炉温热电偶控制升温，并且两种工作模式可通过软件设置任意切换。(投标文件需提供软件截图证明)</w:t>
            </w:r>
          </w:p>
          <w:p w14:paraId="14412BC4">
            <w:pPr>
              <w:spacing w:line="360" w:lineRule="auto"/>
              <w:jc w:val="left"/>
              <w:rPr>
                <w:rFonts w:hint="eastAsia" w:ascii="宋体" w:hAnsi="宋体" w:eastAsia="宋体" w:cs="宋体"/>
                <w:szCs w:val="21"/>
              </w:rPr>
            </w:pPr>
            <w:r>
              <w:rPr>
                <w:rFonts w:hint="eastAsia" w:ascii="宋体" w:hAnsi="宋体" w:eastAsia="宋体" w:cs="宋体"/>
                <w:szCs w:val="21"/>
              </w:rPr>
              <w:t>2.7选配快速降温系统，实现高温工况下快速回落至常温</w:t>
            </w:r>
          </w:p>
          <w:p w14:paraId="12934A7A">
            <w:pPr>
              <w:spacing w:line="360" w:lineRule="auto"/>
              <w:jc w:val="left"/>
              <w:rPr>
                <w:rFonts w:hint="eastAsia" w:ascii="宋体" w:hAnsi="宋体" w:eastAsia="宋体" w:cs="宋体"/>
                <w:szCs w:val="21"/>
              </w:rPr>
            </w:pPr>
            <w:r>
              <w:rPr>
                <w:rFonts w:hint="eastAsia" w:ascii="宋体" w:hAnsi="宋体" w:eastAsia="宋体" w:cs="宋体"/>
                <w:szCs w:val="21"/>
              </w:rPr>
              <w:t>▲2.8任意温度点下可恒温72小时(需提供软件截图证明)，可预留水蒸气通入接口，水蒸汽温度在室温～200℃任意可调；水蒸汽浓度调节范围：0.01～100%任意可调；水蒸汽发生器含有水蒸气温度、发生量、压力、流量一体化控制系统。</w:t>
            </w:r>
          </w:p>
          <w:p w14:paraId="79E15669">
            <w:pPr>
              <w:spacing w:line="360" w:lineRule="auto"/>
              <w:jc w:val="left"/>
              <w:rPr>
                <w:rFonts w:hint="eastAsia" w:ascii="宋体" w:hAnsi="宋体" w:eastAsia="宋体" w:cs="宋体"/>
                <w:szCs w:val="21"/>
              </w:rPr>
            </w:pPr>
            <w:r>
              <w:rPr>
                <w:rFonts w:hint="eastAsia" w:ascii="宋体" w:hAnsi="宋体" w:eastAsia="宋体" w:cs="宋体"/>
                <w:szCs w:val="21"/>
              </w:rPr>
              <w:t>2.9具有步冷曲线绘制功能、结晶动力学计算功能。</w:t>
            </w:r>
          </w:p>
          <w:p w14:paraId="09F278FC">
            <w:pPr>
              <w:spacing w:line="360" w:lineRule="auto"/>
              <w:jc w:val="left"/>
              <w:rPr>
                <w:rFonts w:hint="eastAsia" w:ascii="宋体" w:hAnsi="宋体" w:eastAsia="宋体" w:cs="宋体"/>
                <w:szCs w:val="21"/>
              </w:rPr>
            </w:pPr>
            <w:r>
              <w:rPr>
                <w:rFonts w:hint="eastAsia" w:ascii="宋体" w:hAnsi="宋体" w:eastAsia="宋体" w:cs="宋体"/>
                <w:szCs w:val="21"/>
              </w:rPr>
              <w:t>2.10采用机械式零位光电天平，精度高，重复性好</w:t>
            </w:r>
          </w:p>
          <w:p w14:paraId="272C049A">
            <w:pPr>
              <w:spacing w:line="360" w:lineRule="auto"/>
              <w:jc w:val="left"/>
              <w:rPr>
                <w:rFonts w:hint="eastAsia" w:ascii="宋体" w:hAnsi="宋体" w:eastAsia="宋体" w:cs="宋体"/>
                <w:szCs w:val="21"/>
              </w:rPr>
            </w:pPr>
            <w:r>
              <w:rPr>
                <w:rFonts w:hint="eastAsia" w:ascii="宋体" w:hAnsi="宋体" w:eastAsia="宋体" w:cs="宋体"/>
                <w:szCs w:val="21"/>
              </w:rPr>
              <w:t>2.11 TG量程：0～2000mg；灵敏度：0.1µg；噪声：＜0.1µg。</w:t>
            </w:r>
          </w:p>
          <w:p w14:paraId="31BC0132">
            <w:pPr>
              <w:spacing w:line="360" w:lineRule="auto"/>
              <w:jc w:val="left"/>
              <w:rPr>
                <w:rFonts w:hint="eastAsia" w:ascii="宋体" w:hAnsi="宋体" w:eastAsia="宋体" w:cs="宋体"/>
                <w:szCs w:val="21"/>
              </w:rPr>
            </w:pPr>
            <w:r>
              <w:rPr>
                <w:rFonts w:hint="eastAsia" w:ascii="宋体" w:hAnsi="宋体" w:eastAsia="宋体" w:cs="宋体"/>
                <w:szCs w:val="21"/>
              </w:rPr>
              <w:t>2.12软件功能：横坐标轴可选择温度或时间作标尺；纵坐标轴可选择绝对重量或百分比作标尺；可完成TG、DTG、DDTG 常规数据处理。</w:t>
            </w:r>
          </w:p>
          <w:p w14:paraId="051A0618">
            <w:pPr>
              <w:spacing w:line="360" w:lineRule="auto"/>
              <w:jc w:val="left"/>
              <w:rPr>
                <w:rFonts w:hint="eastAsia" w:ascii="宋体" w:hAnsi="宋体" w:eastAsia="宋体" w:cs="宋体"/>
                <w:szCs w:val="21"/>
              </w:rPr>
            </w:pPr>
            <w:r>
              <w:rPr>
                <w:rFonts w:hint="eastAsia" w:ascii="宋体" w:hAnsi="宋体" w:eastAsia="宋体" w:cs="宋体"/>
                <w:szCs w:val="21"/>
              </w:rPr>
              <w:t>2.13可根据用户给出的计算公式或计算方法，及时提供相应的软件。</w:t>
            </w:r>
          </w:p>
          <w:p w14:paraId="6A7EE96C">
            <w:pPr>
              <w:spacing w:line="360" w:lineRule="auto"/>
              <w:jc w:val="left"/>
              <w:rPr>
                <w:rFonts w:hint="eastAsia" w:ascii="宋体" w:hAnsi="宋体" w:eastAsia="宋体" w:cs="宋体"/>
                <w:szCs w:val="21"/>
              </w:rPr>
            </w:pPr>
            <w:r>
              <w:rPr>
                <w:rFonts w:hint="eastAsia" w:ascii="宋体" w:hAnsi="宋体" w:eastAsia="宋体" w:cs="宋体"/>
                <w:szCs w:val="21"/>
              </w:rPr>
              <w:t>2.14 具有全自动温度，质量校准系统。</w:t>
            </w:r>
          </w:p>
          <w:p w14:paraId="0C3B7100">
            <w:pPr>
              <w:spacing w:line="360" w:lineRule="auto"/>
              <w:jc w:val="left"/>
              <w:rPr>
                <w:rFonts w:hint="eastAsia" w:ascii="宋体" w:hAnsi="宋体" w:eastAsia="宋体" w:cs="宋体"/>
                <w:szCs w:val="21"/>
              </w:rPr>
            </w:pPr>
            <w:r>
              <w:rPr>
                <w:rFonts w:hint="eastAsia" w:ascii="宋体" w:hAnsi="宋体" w:eastAsia="宋体" w:cs="宋体"/>
                <w:szCs w:val="21"/>
              </w:rPr>
              <w:t>2.15全部测量过程自动完成，自动绘图。系统采集试样过程中，可任意时刻截图，根据输出信号大小自动变换量程。</w:t>
            </w:r>
          </w:p>
          <w:p w14:paraId="7E5E80C7">
            <w:pPr>
              <w:spacing w:line="360" w:lineRule="auto"/>
              <w:jc w:val="left"/>
              <w:rPr>
                <w:rFonts w:hint="eastAsia" w:ascii="宋体" w:hAnsi="宋体" w:eastAsia="宋体" w:cs="宋体"/>
                <w:szCs w:val="21"/>
              </w:rPr>
            </w:pPr>
            <w:r>
              <w:rPr>
                <w:rFonts w:hint="eastAsia" w:ascii="宋体" w:hAnsi="宋体" w:eastAsia="宋体" w:cs="宋体"/>
                <w:szCs w:val="21"/>
              </w:rPr>
              <w:t>2.16气氛控制系统：采用质量流量控制器，两路稳压、稳流气体可以在实验过程中自动切换，精度高、重复性好、响应速度快，可定制耐各种腐蚀性气体的气氛控制系统。气体流速：0-200ml/min。</w:t>
            </w:r>
          </w:p>
          <w:p w14:paraId="18BF8FBE">
            <w:pPr>
              <w:spacing w:line="360" w:lineRule="auto"/>
              <w:jc w:val="left"/>
              <w:rPr>
                <w:rFonts w:hint="eastAsia" w:ascii="宋体" w:hAnsi="宋体" w:eastAsia="宋体" w:cs="宋体"/>
                <w:szCs w:val="21"/>
              </w:rPr>
            </w:pPr>
            <w:r>
              <w:rPr>
                <w:rFonts w:hint="eastAsia" w:ascii="宋体" w:hAnsi="宋体" w:eastAsia="宋体" w:cs="宋体"/>
                <w:szCs w:val="21"/>
              </w:rPr>
              <w:t>2.17可根据用户需求预留恒温控制器接口、恒温气相色谱质谱连接头，恒温带性能稳定，可进行焦油及各种反应气体的二次检测。</w:t>
            </w:r>
          </w:p>
          <w:p w14:paraId="2912B459">
            <w:pPr>
              <w:spacing w:line="360" w:lineRule="auto"/>
              <w:jc w:val="left"/>
              <w:rPr>
                <w:rFonts w:hint="eastAsia" w:ascii="宋体" w:hAnsi="宋体" w:eastAsia="宋体" w:cs="宋体"/>
                <w:szCs w:val="21"/>
              </w:rPr>
            </w:pPr>
            <w:r>
              <w:rPr>
                <w:rFonts w:hint="eastAsia" w:ascii="宋体" w:hAnsi="宋体" w:eastAsia="宋体" w:cs="宋体"/>
                <w:szCs w:val="21"/>
              </w:rPr>
              <w:t>2.18 可预留尾气处理单元接口：尾气处理单元由加热炉密封腔体的排气通道上安装的冷凝器和气液分离器组成。反应所生成的残余物经过通道排至冷凝器中降温处理，再直通分离器处理收集。</w:t>
            </w:r>
          </w:p>
          <w:p w14:paraId="1D748BB9">
            <w:pPr>
              <w:spacing w:line="360" w:lineRule="auto"/>
              <w:jc w:val="left"/>
              <w:rPr>
                <w:rFonts w:hint="eastAsia" w:ascii="宋体" w:hAnsi="宋体" w:eastAsia="宋体" w:cs="宋体"/>
                <w:szCs w:val="21"/>
              </w:rPr>
            </w:pPr>
            <w:r>
              <w:rPr>
                <w:rFonts w:hint="eastAsia" w:ascii="宋体" w:hAnsi="宋体" w:eastAsia="宋体" w:cs="宋体"/>
                <w:szCs w:val="21"/>
              </w:rPr>
              <w:t>2.19可扩展样品反应观察窗，观察样品状态变化。</w:t>
            </w:r>
          </w:p>
          <w:p w14:paraId="7580FEA9">
            <w:pPr>
              <w:spacing w:line="360" w:lineRule="auto"/>
              <w:jc w:val="left"/>
              <w:rPr>
                <w:rFonts w:hint="eastAsia" w:ascii="宋体" w:hAnsi="宋体" w:eastAsia="宋体" w:cs="宋体"/>
                <w:szCs w:val="21"/>
              </w:rPr>
            </w:pPr>
            <w:r>
              <w:rPr>
                <w:rFonts w:hint="eastAsia" w:ascii="宋体" w:hAnsi="宋体" w:eastAsia="宋体" w:cs="宋体"/>
                <w:szCs w:val="21"/>
              </w:rPr>
              <w:t>3、配件及资料</w:t>
            </w:r>
          </w:p>
          <w:p w14:paraId="776436A4">
            <w:pPr>
              <w:spacing w:line="360" w:lineRule="auto"/>
              <w:jc w:val="left"/>
              <w:rPr>
                <w:rFonts w:hint="eastAsia" w:ascii="宋体" w:hAnsi="宋体" w:eastAsia="宋体" w:cs="宋体"/>
                <w:szCs w:val="21"/>
              </w:rPr>
            </w:pPr>
            <w:r>
              <w:rPr>
                <w:rFonts w:hint="eastAsia" w:ascii="宋体" w:hAnsi="宋体" w:eastAsia="宋体" w:cs="宋体"/>
                <w:szCs w:val="21"/>
              </w:rPr>
              <w:t>3.1 坩埚配置：标准配置：陶瓷坩埚0.06ml或0.12ml。</w:t>
            </w:r>
          </w:p>
          <w:p w14:paraId="599B32B3">
            <w:pPr>
              <w:spacing w:line="360" w:lineRule="auto"/>
              <w:jc w:val="left"/>
              <w:rPr>
                <w:rFonts w:hint="eastAsia" w:ascii="宋体" w:hAnsi="宋体" w:eastAsia="宋体" w:cs="宋体"/>
                <w:szCs w:val="21"/>
              </w:rPr>
            </w:pPr>
            <w:r>
              <w:rPr>
                <w:rFonts w:hint="eastAsia" w:ascii="宋体" w:hAnsi="宋体" w:eastAsia="宋体" w:cs="宋体"/>
                <w:szCs w:val="21"/>
              </w:rPr>
              <w:t>选择配置：铝坩埚、石墨坩埚、石英坩埚、铂金坩埚。</w:t>
            </w:r>
          </w:p>
          <w:p w14:paraId="34CE7933">
            <w:pPr>
              <w:spacing w:line="360" w:lineRule="auto"/>
              <w:jc w:val="left"/>
              <w:rPr>
                <w:rFonts w:hint="eastAsia" w:ascii="宋体" w:hAnsi="宋体" w:eastAsia="宋体" w:cs="宋体"/>
                <w:szCs w:val="21"/>
              </w:rPr>
            </w:pPr>
            <w:r>
              <w:rPr>
                <w:rFonts w:hint="eastAsia" w:ascii="宋体" w:hAnsi="宋体" w:eastAsia="宋体" w:cs="宋体"/>
                <w:szCs w:val="21"/>
              </w:rPr>
              <w:t>3.2 仪器的分析软件及资料。</w:t>
            </w:r>
          </w:p>
          <w:p w14:paraId="511FF078">
            <w:pPr>
              <w:spacing w:line="360" w:lineRule="auto"/>
              <w:jc w:val="left"/>
              <w:rPr>
                <w:rFonts w:hint="eastAsia" w:ascii="宋体" w:hAnsi="宋体" w:eastAsia="宋体" w:cs="宋体"/>
                <w:szCs w:val="21"/>
              </w:rPr>
            </w:pPr>
            <w:r>
              <w:rPr>
                <w:rFonts w:hint="eastAsia" w:ascii="宋体" w:hAnsi="宋体" w:eastAsia="宋体" w:cs="宋体"/>
                <w:szCs w:val="21"/>
              </w:rPr>
              <w:t>3.3选配仿真软件1套，功能：软件采用3D虚拟仿真技术，包含：实验原理，实验仪器简介，实物仿真操作，数据分析处理演示，在线模拟实验和实验报告等功能。</w:t>
            </w:r>
          </w:p>
          <w:p w14:paraId="4A620199">
            <w:pPr>
              <w:spacing w:line="360" w:lineRule="auto"/>
              <w:jc w:val="left"/>
              <w:rPr>
                <w:rFonts w:hint="eastAsia" w:ascii="宋体" w:hAnsi="宋体" w:eastAsia="宋体" w:cs="宋体"/>
                <w:color w:val="000000"/>
                <w:kern w:val="0"/>
                <w:szCs w:val="21"/>
                <w:lang w:bidi="ar"/>
              </w:rPr>
            </w:pPr>
            <w:r>
              <w:rPr>
                <w:rFonts w:hint="eastAsia" w:ascii="宋体" w:hAnsi="宋体" w:eastAsia="宋体" w:cs="宋体"/>
                <w:szCs w:val="21"/>
              </w:rPr>
              <w:t>3.4配备恒温水浴一台</w:t>
            </w:r>
          </w:p>
        </w:tc>
      </w:tr>
      <w:tr w14:paraId="0231E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3BDEA27D">
            <w:pPr>
              <w:spacing w:line="360" w:lineRule="auto"/>
              <w:jc w:val="center"/>
              <w:rPr>
                <w:rFonts w:ascii="宋体" w:hAnsi="宋体" w:eastAsia="宋体" w:cs="Times New Roman"/>
                <w:szCs w:val="21"/>
              </w:rPr>
            </w:pPr>
            <w:r>
              <w:rPr>
                <w:rFonts w:hint="eastAsia" w:ascii="宋体" w:hAnsi="宋体" w:eastAsia="宋体" w:cs="Times New Roman"/>
                <w:szCs w:val="21"/>
              </w:rPr>
              <w:t>23</w:t>
            </w:r>
          </w:p>
        </w:tc>
        <w:tc>
          <w:tcPr>
            <w:tcW w:w="1090" w:type="dxa"/>
            <w:tcBorders>
              <w:top w:val="single" w:color="auto" w:sz="4" w:space="0"/>
              <w:left w:val="nil"/>
              <w:bottom w:val="single" w:color="auto" w:sz="4" w:space="0"/>
              <w:right w:val="single" w:color="auto" w:sz="4" w:space="0"/>
            </w:tcBorders>
            <w:noWrap/>
            <w:vAlign w:val="center"/>
          </w:tcPr>
          <w:p w14:paraId="023CCE88">
            <w:pPr>
              <w:widowControl/>
              <w:jc w:val="center"/>
              <w:textAlignment w:val="center"/>
              <w:rPr>
                <w:rFonts w:ascii="宋体" w:hAnsi="宋体" w:eastAsia="宋体" w:cs="宋体"/>
                <w:kern w:val="0"/>
                <w:szCs w:val="21"/>
                <w:lang w:bidi="ar"/>
              </w:rPr>
            </w:pPr>
            <w:r>
              <w:rPr>
                <w:rFonts w:hint="eastAsia" w:ascii="宋体" w:hAnsi="宋体" w:eastAsia="宋体" w:cs="宋体"/>
                <w:color w:val="000000"/>
                <w:kern w:val="0"/>
                <w:sz w:val="22"/>
                <w:szCs w:val="22"/>
                <w:lang w:bidi="ar"/>
              </w:rPr>
              <w:t>金相显微镜</w:t>
            </w:r>
          </w:p>
        </w:tc>
        <w:tc>
          <w:tcPr>
            <w:tcW w:w="780" w:type="dxa"/>
            <w:tcBorders>
              <w:top w:val="single" w:color="auto" w:sz="4" w:space="0"/>
              <w:left w:val="nil"/>
              <w:bottom w:val="single" w:color="auto" w:sz="4" w:space="0"/>
              <w:right w:val="single" w:color="auto" w:sz="4" w:space="0"/>
            </w:tcBorders>
            <w:noWrap/>
            <w:vAlign w:val="center"/>
          </w:tcPr>
          <w:p w14:paraId="14BD584C">
            <w:pPr>
              <w:widowControl/>
              <w:jc w:val="center"/>
              <w:textAlignment w:val="center"/>
              <w:rPr>
                <w:rFonts w:ascii="Times New Roman" w:hAnsi="Times New Roman" w:eastAsia="宋体" w:cs="Times New Roman"/>
                <w:szCs w:val="21"/>
              </w:rPr>
            </w:pPr>
            <w:r>
              <w:rPr>
                <w:rFonts w:hint="eastAsia" w:ascii="Times New Roman" w:hAnsi="Times New Roman" w:eastAsia="宋体" w:cs="Times New Roman"/>
              </w:rPr>
              <w:t>1台</w:t>
            </w:r>
          </w:p>
        </w:tc>
        <w:tc>
          <w:tcPr>
            <w:tcW w:w="7277" w:type="dxa"/>
            <w:tcBorders>
              <w:top w:val="single" w:color="auto" w:sz="4" w:space="0"/>
              <w:left w:val="nil"/>
              <w:bottom w:val="single" w:color="auto" w:sz="4" w:space="0"/>
              <w:right w:val="single" w:color="auto" w:sz="4" w:space="0"/>
            </w:tcBorders>
            <w:noWrap/>
            <w:vAlign w:val="center"/>
          </w:tcPr>
          <w:p w14:paraId="47D8F57C">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1.放大倍数：50X-1000X。</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2.光学系统：无限远色差校正光学系统。</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3.观察筒：三目观察筒,45°倾斜,瞳距调节范围50-75mm,两档式分光比：双目:三目=100：0或0：100。铰链组可360°旋转，在标准65mm 瞳距时。通过旋转双目筒，即可将眼点高度提升34mm。</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4.目镜：自带视度调节高眼点大视野平场目镜PL10X，视场不小于22mm，其中一支目镜带单刻度十字分划板。</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▲5.转换器：明暗场5孔物镜转换器，带DIC插槽，带倍率显示传感器。</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▲6.物镜：明暗场半复消色差金相物镜5X/NA≥0.15/WD≥9mm， 10X/NA≥0.3/WD≥9mm，20X/NA≥0.45/WD≥3.4mm， 50X/NA≥0.55/WD≥7.5mm，100X/NA≥0.8/WD≥2.1mm。</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7.调焦机构：粗调行程9mm,焦面向上6.5mm,向下2.5mm,微调精度0.002mm,带有防止下滑的松紧调节手轮。</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8.载物台：三层机械移动平台，平台尺寸：≥240（W）×250（L），移动范围≥50×50mm，双向线轨传动，右手低手位控制。</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9.反射照明系统：100-240V宽电压,12V100W飞利浦卤素灯，带可变孔径光阑，中心可调；带可变孔径视场光阑，中心可调；带滤色片插槽与偏光装置插槽,带明暗场切换装置。带EC0红外感应功能，当使用者离开一定时间或再次返回时，系统会自动关闭电源或重新开启，节省能耗。带亮度指示功能</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▲10.机身带前置物镜倍率显示功能和亮度指示功能。</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11.偏光附件： 起偏镜插板、360°旋转检偏镜插板。</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▲12.微分干涉附件：DIC微分干涉组件。</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13.成像系统： 彩色制冷相机，真实像素≥710万像素,像素尺寸≥4.5 x4.5G光灵敏度≥2058mv with 1/30s，暗电流≤0.15mv with 1/30s，曝光时间不小于0.1ms~1h，数据传输模式USB3.0。靶面尺寸≥1.1英寸。软件语言版本不低于10国语言，带几何测量、图像捕捉、全景扫描、动态Z轴景深融合、荧光叠加、荧光binning功能调节，颗粒计数等功能。</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14.硬件控制器 1台</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15.图像专用分析软件：</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15.1晶粒度测量评级（晶界提取、单相晶粒度、双相晶粒度测量）评级方法：比较法、面积法、截点法（直线截点、单圆截点和三圆截点法）、晶界重建法；所有测量数据和分析结果都以数据文件的形式保存，并可随时调入计算机中，查阅原始数据资料和 打印图像测试结果报告。</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15.2非金属夹杂物测量评级（硫化物、氧化物、硅酸盐测量）评级方法：可以自动或手动测定，并且依据上述标准进行分类评级，提供多种丰富的图像处理方法，对制样过程中容易产生的划痕设定了去除功能，所有被测量的数据和分析结果以数据文件 的形式保存，并可随时调入计算机中，查阅原始数据资料和打印图像测试结果报告。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15.3夹杂物定量分析：夹杂物的百分含量、单位面积个数测量。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15.4多相含量分析的分析内容：对视场中的多种金相组织分别计算含量并报告输出。 </w:t>
            </w:r>
          </w:p>
          <w:p w14:paraId="3F799AA1">
            <w:pPr>
              <w:widowControl/>
              <w:spacing w:line="360" w:lineRule="auto"/>
              <w:jc w:val="left"/>
              <w:textAlignment w:val="center"/>
              <w:rPr>
                <w:rFonts w:ascii="宋体" w:hAnsi="宋体" w:eastAsia="宋体" w:cs="宋体"/>
                <w:kern w:val="0"/>
                <w:szCs w:val="21"/>
                <w:lang w:bidi="ar"/>
              </w:rPr>
            </w:pPr>
            <w:r>
              <w:rPr>
                <w:rFonts w:hint="eastAsia" w:ascii="宋体" w:hAnsi="宋体" w:eastAsia="宋体" w:cs="宋体"/>
                <w:color w:val="000000"/>
                <w:kern w:val="0"/>
                <w:sz w:val="22"/>
                <w:szCs w:val="22"/>
                <w:lang w:bidi="ar"/>
              </w:rPr>
              <w:t xml:space="preserve">15.5金属材料图谱金相分析的分析内容：标准图谱对照法。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15.6粒子测量分析软件的分析内容：可以测量铝合金金相组织中粒子的数量以及大小形状，给出其分布曲线以及各种统计数据。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15.7第二相化合物测量分析的分析内容：可以测量和分析化合物的长径、短径以及形状等等。给出各项统计数值。 所有测量数据和分析结果以数据文件(文本或者 excel 数据)的形式保存，并可以随时调入计算机中，查阅原始数据资料，和自动输出图像。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15.8位错密度分析的分析内容：位错密度数据。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15.9复合层(包覆层)分析软件的分析内容：分析包覆层中每个层的厚度,以及包覆层每个层厚度百分数。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15.10融合软件的处理内容：对多张不同对焦面的图像进行融合，模糊的部分剔除，清晰的部方保留，重组到一个 新的图片，使照片达到理想的效果。</w:t>
            </w:r>
          </w:p>
        </w:tc>
      </w:tr>
      <w:tr w14:paraId="1E89C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23" w:type="dxa"/>
            <w:gridSpan w:val="4"/>
            <w:tcBorders>
              <w:left w:val="single" w:color="auto" w:sz="4" w:space="0"/>
              <w:right w:val="single" w:color="auto" w:sz="4" w:space="0"/>
            </w:tcBorders>
            <w:noWrap/>
            <w:vAlign w:val="center"/>
          </w:tcPr>
          <w:p w14:paraId="7C64C208">
            <w:pPr>
              <w:widowControl/>
              <w:spacing w:line="360" w:lineRule="auto"/>
              <w:jc w:val="left"/>
              <w:textAlignment w:val="center"/>
              <w:rPr>
                <w:rFonts w:ascii="宋体" w:hAnsi="宋体" w:eastAsia="宋体" w:cs="宋体"/>
                <w:kern w:val="0"/>
                <w:szCs w:val="21"/>
                <w:lang w:bidi="ar"/>
              </w:rPr>
            </w:pPr>
            <w:r>
              <w:rPr>
                <w:rFonts w:hint="eastAsia" w:ascii="宋体" w:hAnsi="宋体" w:eastAsia="宋体" w:cs="宋体"/>
                <w:b/>
                <w:bCs/>
                <w:kern w:val="0"/>
                <w:szCs w:val="21"/>
                <w:lang w:bidi="ar"/>
              </w:rPr>
              <w:t>商务要求</w:t>
            </w:r>
          </w:p>
        </w:tc>
      </w:tr>
      <w:tr w14:paraId="64AA8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6" w:type="dxa"/>
            <w:gridSpan w:val="2"/>
            <w:tcBorders>
              <w:top w:val="single" w:color="auto" w:sz="4" w:space="0"/>
              <w:left w:val="single" w:color="auto" w:sz="4" w:space="0"/>
              <w:bottom w:val="single" w:color="auto" w:sz="4" w:space="0"/>
              <w:right w:val="single" w:color="auto" w:sz="4" w:space="0"/>
            </w:tcBorders>
            <w:noWrap/>
            <w:vAlign w:val="center"/>
          </w:tcPr>
          <w:p w14:paraId="5800DDD9">
            <w:pPr>
              <w:snapToGrid w:val="0"/>
              <w:spacing w:line="360" w:lineRule="auto"/>
              <w:jc w:val="center"/>
              <w:rPr>
                <w:rFonts w:ascii="宋体" w:hAnsi="宋体" w:eastAsia="宋体" w:cs="宋体"/>
                <w:szCs w:val="21"/>
              </w:rPr>
            </w:pPr>
            <w:r>
              <w:rPr>
                <w:rFonts w:hint="eastAsia" w:ascii="宋体" w:hAnsi="宋体" w:eastAsia="宋体" w:cs="宋体"/>
                <w:szCs w:val="21"/>
              </w:rPr>
              <w:t>投标报价</w:t>
            </w:r>
          </w:p>
        </w:tc>
        <w:tc>
          <w:tcPr>
            <w:tcW w:w="8057" w:type="dxa"/>
            <w:gridSpan w:val="2"/>
            <w:tcBorders>
              <w:top w:val="single" w:color="auto" w:sz="4" w:space="0"/>
              <w:left w:val="nil"/>
              <w:bottom w:val="single" w:color="auto" w:sz="4" w:space="0"/>
              <w:right w:val="single" w:color="auto" w:sz="4" w:space="0"/>
            </w:tcBorders>
            <w:noWrap/>
            <w:vAlign w:val="center"/>
          </w:tcPr>
          <w:p w14:paraId="2095B192">
            <w:pPr>
              <w:snapToGrid w:val="0"/>
              <w:spacing w:line="360" w:lineRule="auto"/>
              <w:jc w:val="left"/>
              <w:rPr>
                <w:rFonts w:ascii="Times New Roman" w:hAnsi="Times New Roman" w:eastAsia="宋体" w:cs="Times New Roman"/>
                <w:szCs w:val="21"/>
              </w:rPr>
            </w:pPr>
            <w:r>
              <w:rPr>
                <w:rFonts w:hint="eastAsia" w:ascii="Times New Roman" w:hAnsi="Times New Roman" w:eastAsia="宋体" w:cs="Times New Roman"/>
                <w:szCs w:val="21"/>
              </w:rPr>
              <w:t>投标报价为采购人指定地点的现场交货价，包括：</w:t>
            </w:r>
          </w:p>
          <w:p w14:paraId="2CBAED51">
            <w:pPr>
              <w:snapToGrid w:val="0"/>
              <w:spacing w:line="360" w:lineRule="auto"/>
              <w:jc w:val="left"/>
              <w:rPr>
                <w:rFonts w:ascii="Times New Roman" w:hAnsi="Times New Roman" w:eastAsia="宋体" w:cs="Times New Roman"/>
                <w:szCs w:val="21"/>
              </w:rPr>
            </w:pPr>
            <w:r>
              <w:rPr>
                <w:rFonts w:hint="eastAsia" w:ascii="Times New Roman" w:hAnsi="Times New Roman" w:eastAsia="宋体" w:cs="Times New Roman"/>
                <w:szCs w:val="21"/>
              </w:rPr>
              <w:t>（1）货物的价格：包括货款、安装调试费、验收费（含检定、校准费，如有）；</w:t>
            </w:r>
          </w:p>
          <w:p w14:paraId="588701CD">
            <w:pPr>
              <w:snapToGrid w:val="0"/>
              <w:spacing w:line="360" w:lineRule="auto"/>
              <w:jc w:val="left"/>
              <w:rPr>
                <w:rFonts w:ascii="Times New Roman" w:hAnsi="Times New Roman" w:eastAsia="宋体" w:cs="Times New Roman"/>
                <w:szCs w:val="21"/>
              </w:rPr>
            </w:pPr>
            <w:r>
              <w:rPr>
                <w:rFonts w:hint="eastAsia" w:ascii="Times New Roman" w:hAnsi="Times New Roman" w:eastAsia="宋体" w:cs="Times New Roman"/>
                <w:szCs w:val="21"/>
              </w:rPr>
              <w:t>（2）货物的标准附件、备品备件、专用工具的价格。</w:t>
            </w:r>
          </w:p>
          <w:p w14:paraId="190A0D4A">
            <w:pPr>
              <w:snapToGrid w:val="0"/>
              <w:spacing w:line="360" w:lineRule="auto"/>
              <w:jc w:val="left"/>
              <w:rPr>
                <w:rFonts w:ascii="Times New Roman" w:hAnsi="Times New Roman" w:eastAsia="宋体" w:cs="Times New Roman"/>
                <w:szCs w:val="21"/>
              </w:rPr>
            </w:pPr>
            <w:r>
              <w:rPr>
                <w:rFonts w:hint="eastAsia" w:ascii="Times New Roman" w:hAnsi="Times New Roman" w:eastAsia="宋体" w:cs="Times New Roman"/>
                <w:szCs w:val="21"/>
              </w:rPr>
              <w:t>（3）运输、装卸、调试、培训、技术支持、售后服务费。</w:t>
            </w:r>
          </w:p>
        </w:tc>
      </w:tr>
      <w:tr w14:paraId="4B84E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6" w:type="dxa"/>
            <w:gridSpan w:val="2"/>
            <w:tcBorders>
              <w:top w:val="single" w:color="auto" w:sz="4" w:space="0"/>
              <w:left w:val="single" w:color="auto" w:sz="4" w:space="0"/>
              <w:bottom w:val="single" w:color="auto" w:sz="4" w:space="0"/>
              <w:right w:val="single" w:color="auto" w:sz="4" w:space="0"/>
            </w:tcBorders>
            <w:noWrap/>
            <w:vAlign w:val="center"/>
          </w:tcPr>
          <w:p w14:paraId="27ABFFCE">
            <w:pPr>
              <w:spacing w:line="360" w:lineRule="auto"/>
              <w:ind w:leftChars="-51" w:right="-107" w:rightChars="-51" w:hanging="107" w:hangingChars="51"/>
              <w:jc w:val="center"/>
              <w:rPr>
                <w:rFonts w:ascii="宋体" w:hAnsi="宋体" w:eastAsia="宋体" w:cs="宋体"/>
                <w:szCs w:val="21"/>
              </w:rPr>
            </w:pPr>
            <w:r>
              <w:rPr>
                <w:rFonts w:hint="eastAsia" w:ascii="宋体" w:hAnsi="宋体" w:eastAsia="宋体" w:cs="宋体"/>
                <w:szCs w:val="21"/>
              </w:rPr>
              <w:t>合同签订时间</w:t>
            </w:r>
          </w:p>
        </w:tc>
        <w:tc>
          <w:tcPr>
            <w:tcW w:w="8057" w:type="dxa"/>
            <w:gridSpan w:val="2"/>
            <w:tcBorders>
              <w:top w:val="single" w:color="auto" w:sz="4" w:space="0"/>
              <w:left w:val="nil"/>
              <w:bottom w:val="single" w:color="auto" w:sz="4" w:space="0"/>
              <w:right w:val="single" w:color="auto" w:sz="4" w:space="0"/>
            </w:tcBorders>
            <w:noWrap/>
            <w:vAlign w:val="center"/>
          </w:tcPr>
          <w:p w14:paraId="27553AE1">
            <w:pPr>
              <w:spacing w:line="360" w:lineRule="auto"/>
              <w:rPr>
                <w:rFonts w:ascii="Times New Roman" w:hAnsi="Times New Roman" w:eastAsia="宋体" w:cs="Times New Roman"/>
                <w:szCs w:val="21"/>
              </w:rPr>
            </w:pPr>
            <w:r>
              <w:rPr>
                <w:rFonts w:hint="eastAsia" w:ascii="Times New Roman" w:hAnsi="Times New Roman" w:eastAsia="宋体" w:cs="Times New Roman"/>
              </w:rPr>
              <w:t>中标通知书发出后25日内</w:t>
            </w:r>
          </w:p>
        </w:tc>
      </w:tr>
      <w:tr w14:paraId="0E425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6" w:type="dxa"/>
            <w:gridSpan w:val="2"/>
            <w:tcBorders>
              <w:top w:val="single" w:color="auto" w:sz="4" w:space="0"/>
              <w:left w:val="single" w:color="auto" w:sz="4" w:space="0"/>
              <w:bottom w:val="single" w:color="auto" w:sz="4" w:space="0"/>
              <w:right w:val="single" w:color="auto" w:sz="4" w:space="0"/>
            </w:tcBorders>
            <w:noWrap/>
            <w:vAlign w:val="center"/>
          </w:tcPr>
          <w:p w14:paraId="113E3524">
            <w:pPr>
              <w:spacing w:line="360" w:lineRule="auto"/>
              <w:ind w:leftChars="-51" w:right="-107" w:rightChars="-51" w:hanging="107" w:hangingChars="51"/>
              <w:jc w:val="center"/>
              <w:rPr>
                <w:rFonts w:ascii="宋体" w:hAnsi="宋体" w:eastAsia="宋体" w:cs="宋体"/>
                <w:szCs w:val="21"/>
              </w:rPr>
            </w:pPr>
            <w:r>
              <w:rPr>
                <w:rFonts w:hint="eastAsia" w:ascii="宋体" w:hAnsi="宋体" w:eastAsia="宋体" w:cs="宋体"/>
                <w:szCs w:val="21"/>
              </w:rPr>
              <w:t>质保期</w:t>
            </w:r>
          </w:p>
        </w:tc>
        <w:tc>
          <w:tcPr>
            <w:tcW w:w="8057" w:type="dxa"/>
            <w:gridSpan w:val="2"/>
            <w:tcBorders>
              <w:top w:val="single" w:color="auto" w:sz="4" w:space="0"/>
              <w:left w:val="nil"/>
              <w:bottom w:val="single" w:color="auto" w:sz="4" w:space="0"/>
              <w:right w:val="single" w:color="auto" w:sz="4" w:space="0"/>
            </w:tcBorders>
            <w:noWrap/>
            <w:vAlign w:val="center"/>
          </w:tcPr>
          <w:p w14:paraId="122A1317">
            <w:pPr>
              <w:spacing w:line="360" w:lineRule="auto"/>
              <w:rPr>
                <w:rFonts w:ascii="Times New Roman" w:hAnsi="Times New Roman" w:eastAsia="宋体" w:cs="Times New Roman"/>
              </w:rPr>
            </w:pPr>
            <w:r>
              <w:rPr>
                <w:rFonts w:hint="eastAsia" w:ascii="宋体" w:hAnsi="宋体" w:eastAsia="宋体" w:cs="宋体"/>
                <w:szCs w:val="21"/>
              </w:rPr>
              <w:t>按国家有关规定实行产品“三包”，货物（易耗品除外）质保期不少于一年，分项设备有质保期要求的按其要求。保修期自安装调试验收合格，并以双方最终验收报告签字日开始计算。保修期内，中标供应商将负责处理并解决故障，并免费更换有故障的零、部件，一切费用由中标供应商负责。</w:t>
            </w:r>
          </w:p>
        </w:tc>
      </w:tr>
      <w:tr w14:paraId="71842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6" w:type="dxa"/>
            <w:gridSpan w:val="2"/>
            <w:tcBorders>
              <w:top w:val="single" w:color="auto" w:sz="4" w:space="0"/>
              <w:left w:val="single" w:color="auto" w:sz="4" w:space="0"/>
              <w:bottom w:val="single" w:color="auto" w:sz="4" w:space="0"/>
              <w:right w:val="single" w:color="auto" w:sz="4" w:space="0"/>
            </w:tcBorders>
            <w:noWrap/>
            <w:vAlign w:val="center"/>
          </w:tcPr>
          <w:p w14:paraId="2876CED8">
            <w:pPr>
              <w:spacing w:line="360" w:lineRule="auto"/>
              <w:jc w:val="center"/>
              <w:rPr>
                <w:rFonts w:ascii="宋体" w:hAnsi="宋体" w:eastAsia="宋体" w:cs="宋体"/>
                <w:szCs w:val="21"/>
              </w:rPr>
            </w:pPr>
            <w:r>
              <w:rPr>
                <w:rFonts w:hint="eastAsia" w:ascii="宋体" w:hAnsi="宋体" w:eastAsia="宋体" w:cs="宋体"/>
                <w:szCs w:val="21"/>
              </w:rPr>
              <w:t>售后技术服务要求</w:t>
            </w:r>
          </w:p>
        </w:tc>
        <w:tc>
          <w:tcPr>
            <w:tcW w:w="8057" w:type="dxa"/>
            <w:gridSpan w:val="2"/>
            <w:tcBorders>
              <w:top w:val="single" w:color="auto" w:sz="4" w:space="0"/>
              <w:left w:val="nil"/>
              <w:bottom w:val="single" w:color="auto" w:sz="4" w:space="0"/>
              <w:right w:val="single" w:color="auto" w:sz="4" w:space="0"/>
            </w:tcBorders>
            <w:noWrap/>
            <w:vAlign w:val="center"/>
          </w:tcPr>
          <w:p w14:paraId="2AB6DE6A">
            <w:pPr>
              <w:spacing w:line="360" w:lineRule="auto"/>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1.</w:t>
            </w:r>
            <w:r>
              <w:rPr>
                <w:rFonts w:hint="eastAsia" w:ascii="宋体" w:hAnsi="宋体" w:eastAsia="宋体" w:cs="宋体"/>
                <w:szCs w:val="21"/>
              </w:rPr>
              <w:t>售后技术服务包括</w:t>
            </w:r>
            <w:r>
              <w:rPr>
                <w:rFonts w:hint="eastAsia" w:ascii="宋体" w:hAnsi="宋体" w:eastAsia="宋体" w:cs="宋体"/>
                <w:kern w:val="0"/>
                <w:szCs w:val="21"/>
                <w:shd w:val="clear" w:color="auto" w:fill="FFFFFF"/>
              </w:rPr>
              <w:t>送货上门、安装调试、现场培训2～3名相关人员至掌握设备操作及日常维护等，投标报价应包含为实施项目所必须的售后技术服务。分项设备要求产品生产厂家提供技术人员培训的，按其要求执行。</w:t>
            </w:r>
          </w:p>
          <w:p w14:paraId="30D252EB">
            <w:pPr>
              <w:spacing w:line="360" w:lineRule="auto"/>
              <w:rPr>
                <w:rFonts w:ascii="宋体" w:hAnsi="宋体" w:eastAsia="宋体" w:cs="宋体"/>
                <w:kern w:val="0"/>
                <w:szCs w:val="21"/>
                <w:shd w:val="clear" w:color="auto" w:fill="FFFFFF"/>
              </w:rPr>
            </w:pPr>
            <w:r>
              <w:rPr>
                <w:rFonts w:hint="eastAsia" w:ascii="宋体" w:hAnsi="宋体" w:eastAsia="宋体" w:cs="宋体"/>
                <w:szCs w:val="21"/>
                <w:shd w:val="clear" w:color="auto" w:fill="FFFFFF"/>
              </w:rPr>
              <w:t>2.设备出现故障后，中标供应商负责需要2小时内做出响应，24小时内派工程师到现场进行故障排除，48小时内故障无法修复的，需要立即提供与原设备技术参数要求相同或高于原设备技术参数要求的备用产品，以保证采购人的正常工作。</w:t>
            </w:r>
          </w:p>
          <w:p w14:paraId="756C8DDF">
            <w:pPr>
              <w:spacing w:line="360" w:lineRule="auto"/>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3.软件在维保期内免费维修及完善性升级</w:t>
            </w:r>
          </w:p>
          <w:p w14:paraId="7C40E69B">
            <w:pPr>
              <w:spacing w:line="360" w:lineRule="auto"/>
              <w:rPr>
                <w:rFonts w:ascii="宋体" w:hAnsi="宋体" w:eastAsia="宋体" w:cs="宋体"/>
                <w:szCs w:val="21"/>
              </w:rPr>
            </w:pPr>
            <w:r>
              <w:rPr>
                <w:rFonts w:hint="eastAsia" w:ascii="宋体" w:hAnsi="宋体" w:eastAsia="宋体" w:cs="宋体"/>
                <w:szCs w:val="21"/>
                <w:shd w:val="clear" w:color="auto" w:fill="FFFFFF"/>
              </w:rPr>
              <w:t>4.投标文件提供培训方案，培训内容、培训措施符合项目实施的实际情况。</w:t>
            </w:r>
          </w:p>
        </w:tc>
      </w:tr>
      <w:tr w14:paraId="18727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6" w:type="dxa"/>
            <w:gridSpan w:val="2"/>
            <w:tcBorders>
              <w:top w:val="single" w:color="auto" w:sz="4" w:space="0"/>
              <w:left w:val="single" w:color="auto" w:sz="4" w:space="0"/>
              <w:bottom w:val="single" w:color="auto" w:sz="4" w:space="0"/>
              <w:right w:val="single" w:color="auto" w:sz="4" w:space="0"/>
            </w:tcBorders>
            <w:noWrap/>
            <w:vAlign w:val="center"/>
          </w:tcPr>
          <w:p w14:paraId="627A226C">
            <w:pPr>
              <w:spacing w:line="360" w:lineRule="auto"/>
              <w:jc w:val="center"/>
              <w:rPr>
                <w:rFonts w:ascii="宋体" w:hAnsi="宋体" w:eastAsia="宋体" w:cs="宋体"/>
                <w:szCs w:val="21"/>
              </w:rPr>
            </w:pPr>
            <w:r>
              <w:rPr>
                <w:rFonts w:hint="eastAsia" w:ascii="宋体" w:hAnsi="宋体" w:eastAsia="宋体" w:cs="宋体"/>
                <w:szCs w:val="21"/>
              </w:rPr>
              <w:t>交货时间及地点</w:t>
            </w:r>
          </w:p>
        </w:tc>
        <w:tc>
          <w:tcPr>
            <w:tcW w:w="8057" w:type="dxa"/>
            <w:gridSpan w:val="2"/>
            <w:tcBorders>
              <w:top w:val="single" w:color="auto" w:sz="4" w:space="0"/>
              <w:left w:val="nil"/>
              <w:bottom w:val="single" w:color="auto" w:sz="4" w:space="0"/>
              <w:right w:val="single" w:color="auto" w:sz="4" w:space="0"/>
            </w:tcBorders>
            <w:noWrap/>
            <w:vAlign w:val="center"/>
          </w:tcPr>
          <w:p w14:paraId="5A685D5D">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交付使用期：自合同签订之日起90天内验收合格并交付使用。</w:t>
            </w:r>
          </w:p>
          <w:p w14:paraId="15B03D77">
            <w:pPr>
              <w:spacing w:line="360" w:lineRule="auto"/>
              <w:rPr>
                <w:rFonts w:ascii="宋体" w:hAnsi="宋体" w:eastAsia="宋体" w:cs="宋体"/>
                <w:kern w:val="0"/>
                <w:szCs w:val="21"/>
                <w:shd w:val="clear" w:color="auto" w:fill="FFFFFF"/>
              </w:rPr>
            </w:pPr>
            <w:r>
              <w:rPr>
                <w:rFonts w:hint="eastAsia" w:ascii="宋体" w:hAnsi="宋体" w:eastAsia="宋体" w:cs="宋体"/>
                <w:szCs w:val="21"/>
                <w:shd w:val="clear" w:color="auto" w:fill="FFFFFF"/>
              </w:rPr>
              <w:t>交货地点：南宁市采购人指定地点。</w:t>
            </w:r>
          </w:p>
        </w:tc>
      </w:tr>
      <w:tr w14:paraId="4A7D8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6" w:type="dxa"/>
            <w:gridSpan w:val="2"/>
            <w:tcBorders>
              <w:top w:val="single" w:color="auto" w:sz="4" w:space="0"/>
              <w:left w:val="single" w:color="auto" w:sz="4" w:space="0"/>
              <w:bottom w:val="single" w:color="auto" w:sz="4" w:space="0"/>
              <w:right w:val="single" w:color="auto" w:sz="4" w:space="0"/>
            </w:tcBorders>
            <w:noWrap/>
            <w:vAlign w:val="center"/>
          </w:tcPr>
          <w:p w14:paraId="5E0C208E">
            <w:pPr>
              <w:spacing w:line="360" w:lineRule="auto"/>
              <w:jc w:val="center"/>
              <w:rPr>
                <w:rFonts w:ascii="宋体" w:hAnsi="宋体" w:eastAsia="宋体" w:cs="宋体"/>
                <w:szCs w:val="21"/>
              </w:rPr>
            </w:pPr>
            <w:r>
              <w:rPr>
                <w:rFonts w:hint="eastAsia" w:ascii="宋体" w:hAnsi="宋体" w:eastAsia="宋体" w:cs="宋体"/>
                <w:szCs w:val="21"/>
              </w:rPr>
              <w:t>其它要求</w:t>
            </w:r>
          </w:p>
        </w:tc>
        <w:tc>
          <w:tcPr>
            <w:tcW w:w="8057" w:type="dxa"/>
            <w:gridSpan w:val="2"/>
            <w:tcBorders>
              <w:top w:val="single" w:color="auto" w:sz="4" w:space="0"/>
              <w:left w:val="nil"/>
              <w:bottom w:val="single" w:color="auto" w:sz="4" w:space="0"/>
              <w:right w:val="single" w:color="auto" w:sz="4" w:space="0"/>
            </w:tcBorders>
            <w:noWrap/>
            <w:vAlign w:val="center"/>
          </w:tcPr>
          <w:p w14:paraId="4B6E08FD">
            <w:pPr>
              <w:spacing w:line="360" w:lineRule="auto"/>
              <w:rPr>
                <w:rFonts w:ascii="宋体" w:hAnsi="宋体" w:eastAsia="宋体" w:cs="宋体"/>
                <w:szCs w:val="21"/>
                <w:shd w:val="clear" w:color="auto" w:fill="FFFFFF"/>
              </w:rPr>
            </w:pPr>
            <w:r>
              <w:rPr>
                <w:rFonts w:hint="eastAsia" w:ascii="宋体" w:hAnsi="宋体" w:eastAsia="宋体" w:cs="宋体"/>
                <w:szCs w:val="21"/>
              </w:rPr>
              <w:t>1.投标人必须根据招标要求的技术参数及配置中的每项指标要求，如实逐项填写技术规格偏离表。</w:t>
            </w:r>
          </w:p>
        </w:tc>
      </w:tr>
      <w:tr w14:paraId="78CDA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6" w:type="dxa"/>
            <w:gridSpan w:val="2"/>
            <w:tcBorders>
              <w:top w:val="single" w:color="auto" w:sz="4" w:space="0"/>
              <w:left w:val="single" w:color="auto" w:sz="4" w:space="0"/>
              <w:bottom w:val="single" w:color="auto" w:sz="4" w:space="0"/>
              <w:right w:val="single" w:color="auto" w:sz="4" w:space="0"/>
            </w:tcBorders>
            <w:noWrap/>
            <w:vAlign w:val="center"/>
          </w:tcPr>
          <w:p w14:paraId="441420E1">
            <w:pPr>
              <w:spacing w:line="360" w:lineRule="auto"/>
              <w:jc w:val="center"/>
              <w:rPr>
                <w:rFonts w:ascii="宋体" w:hAnsi="宋体" w:eastAsia="宋体" w:cs="宋体"/>
                <w:szCs w:val="21"/>
              </w:rPr>
            </w:pPr>
            <w:r>
              <w:rPr>
                <w:rFonts w:hint="eastAsia" w:ascii="宋体" w:hAnsi="宋体" w:eastAsia="宋体" w:cs="宋体"/>
                <w:szCs w:val="21"/>
              </w:rPr>
              <w:t>付款方式</w:t>
            </w:r>
          </w:p>
        </w:tc>
        <w:tc>
          <w:tcPr>
            <w:tcW w:w="8057" w:type="dxa"/>
            <w:gridSpan w:val="2"/>
            <w:tcBorders>
              <w:top w:val="single" w:color="auto" w:sz="4" w:space="0"/>
              <w:left w:val="nil"/>
              <w:bottom w:val="single" w:color="auto" w:sz="4" w:space="0"/>
              <w:right w:val="single" w:color="auto" w:sz="4" w:space="0"/>
            </w:tcBorders>
            <w:noWrap/>
            <w:vAlign w:val="center"/>
          </w:tcPr>
          <w:p w14:paraId="7BDDE249">
            <w:pPr>
              <w:spacing w:line="360" w:lineRule="auto"/>
              <w:rPr>
                <w:rFonts w:hint="eastAsia" w:ascii="宋体" w:hAnsi="宋体" w:eastAsia="宋体" w:cs="宋体"/>
                <w:szCs w:val="21"/>
              </w:rPr>
            </w:pPr>
            <w:r>
              <w:rPr>
                <w:rFonts w:hint="eastAsia" w:ascii="宋体" w:hAnsi="宋体" w:eastAsia="宋体" w:cs="宋体"/>
                <w:szCs w:val="21"/>
              </w:rPr>
              <w:t>本合同分四期支付，合同生效后且中标供应商已按时足额支付履约保证金后10个工作日内支付预付款(即合同金额50%)；已到货设备金额超过合同总金额的65%后10个工作日内采购人支付合同进度款(合同金额15%)；已到货设备金额超过合同总金额的80%后10个工作日内采购人支付合同进度款(合同金额15%)；验收合格后10个工作日内采购人支付尾款(合同金额20%)。每次付款前，中标供应商必须先行开具并交付当期足额增值税专用发票给采购人，否则采购人有权顺延付款时间。采购人以银行转账、支票或汇票方式付款，如中标供应商未提交合法有效发票、交付完整付款资料或存在违约情形的，采购人有权顺延付款或暂不付款且不承担逾期付款责任。</w:t>
            </w:r>
          </w:p>
        </w:tc>
      </w:tr>
      <w:tr w14:paraId="7DA97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6" w:type="dxa"/>
            <w:gridSpan w:val="2"/>
            <w:tcBorders>
              <w:top w:val="single" w:color="auto" w:sz="4" w:space="0"/>
              <w:left w:val="single" w:color="auto" w:sz="4" w:space="0"/>
              <w:bottom w:val="single" w:color="auto" w:sz="4" w:space="0"/>
              <w:right w:val="single" w:color="auto" w:sz="4" w:space="0"/>
            </w:tcBorders>
            <w:noWrap/>
            <w:vAlign w:val="center"/>
          </w:tcPr>
          <w:p w14:paraId="5222F32C">
            <w:pPr>
              <w:spacing w:line="360" w:lineRule="auto"/>
              <w:jc w:val="center"/>
              <w:rPr>
                <w:rFonts w:ascii="宋体" w:hAnsi="宋体" w:eastAsia="宋体" w:cs="宋体"/>
                <w:szCs w:val="21"/>
              </w:rPr>
            </w:pPr>
            <w:r>
              <w:rPr>
                <w:rFonts w:hint="eastAsia" w:ascii="宋体" w:hAnsi="宋体" w:eastAsia="宋体" w:cs="宋体"/>
                <w:szCs w:val="21"/>
              </w:rPr>
              <w:t>履约保证金</w:t>
            </w:r>
          </w:p>
        </w:tc>
        <w:tc>
          <w:tcPr>
            <w:tcW w:w="8057" w:type="dxa"/>
            <w:gridSpan w:val="2"/>
            <w:tcBorders>
              <w:top w:val="single" w:color="auto" w:sz="4" w:space="0"/>
              <w:left w:val="nil"/>
              <w:bottom w:val="single" w:color="auto" w:sz="4" w:space="0"/>
              <w:right w:val="single" w:color="auto" w:sz="4" w:space="0"/>
            </w:tcBorders>
            <w:noWrap/>
            <w:vAlign w:val="center"/>
          </w:tcPr>
          <w:p w14:paraId="31E6F223">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1.履约保证金金额：按中标总金额的2%。</w:t>
            </w:r>
          </w:p>
          <w:p w14:paraId="6FCFF22E">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2.履约保证金递交方式：中标人在收到中标通知后5个工作日内以银行转账、支票、汇票、本票或者金融机构、担保机构出具的保函等非现金方式向采购人提交。</w:t>
            </w:r>
          </w:p>
          <w:p w14:paraId="294BB47B">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3.履约保证金退付方式、时间及条件：若中标供应商不能履行或不完全履行合同，履约保证金不予退还；若中标供应商完全履行合同，且货物验收合格后，中标供应商凭履约保证金财务凭证到采购人财务部门办理退还手续，办理手续后十个工作日内由采购人无息退还。</w:t>
            </w:r>
          </w:p>
          <w:p w14:paraId="58DCEAC2">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4.缴纳履约保证金的指定账户：</w:t>
            </w:r>
          </w:p>
          <w:p w14:paraId="2F6AC7C8">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开户名称：广西壮族自治区产品质量检验研究院</w:t>
            </w:r>
          </w:p>
          <w:p w14:paraId="1AA05A4E">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开户银行：工行南宁市民族支行</w:t>
            </w:r>
          </w:p>
          <w:p w14:paraId="5DD9F4A5">
            <w:pPr>
              <w:spacing w:line="360" w:lineRule="auto"/>
              <w:rPr>
                <w:rFonts w:ascii="宋体" w:hAnsi="宋体" w:eastAsia="宋体" w:cs="宋体"/>
                <w:szCs w:val="21"/>
              </w:rPr>
            </w:pPr>
            <w:r>
              <w:rPr>
                <w:rFonts w:hint="eastAsia" w:ascii="宋体" w:hAnsi="宋体" w:eastAsia="宋体" w:cs="宋体"/>
                <w:szCs w:val="21"/>
                <w:shd w:val="clear" w:color="auto" w:fill="FFFFFF"/>
              </w:rPr>
              <w:t>银行账号：2102109209249002028</w:t>
            </w:r>
          </w:p>
        </w:tc>
      </w:tr>
      <w:tr w14:paraId="1A9A5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6" w:type="dxa"/>
            <w:gridSpan w:val="2"/>
            <w:tcBorders>
              <w:top w:val="single" w:color="auto" w:sz="4" w:space="0"/>
              <w:left w:val="single" w:color="auto" w:sz="4" w:space="0"/>
              <w:bottom w:val="single" w:color="auto" w:sz="4" w:space="0"/>
              <w:right w:val="single" w:color="auto" w:sz="4" w:space="0"/>
            </w:tcBorders>
            <w:noWrap/>
            <w:vAlign w:val="center"/>
          </w:tcPr>
          <w:p w14:paraId="77F8A1B5">
            <w:pPr>
              <w:spacing w:line="360" w:lineRule="auto"/>
              <w:jc w:val="center"/>
              <w:rPr>
                <w:rFonts w:ascii="宋体" w:hAnsi="宋体" w:eastAsia="宋体" w:cs="宋体"/>
                <w:szCs w:val="21"/>
              </w:rPr>
            </w:pPr>
            <w:r>
              <w:rPr>
                <w:rFonts w:hint="eastAsia" w:ascii="宋体" w:hAnsi="宋体" w:eastAsia="宋体" w:cs="宋体"/>
                <w:szCs w:val="21"/>
              </w:rPr>
              <w:t>验收标准</w:t>
            </w:r>
          </w:p>
        </w:tc>
        <w:tc>
          <w:tcPr>
            <w:tcW w:w="8057" w:type="dxa"/>
            <w:gridSpan w:val="2"/>
            <w:tcBorders>
              <w:top w:val="single" w:color="auto" w:sz="4" w:space="0"/>
              <w:left w:val="nil"/>
              <w:bottom w:val="single" w:color="auto" w:sz="4" w:space="0"/>
              <w:right w:val="single" w:color="auto" w:sz="4" w:space="0"/>
            </w:tcBorders>
            <w:noWrap/>
            <w:vAlign w:val="center"/>
          </w:tcPr>
          <w:p w14:paraId="525D6207">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1.检查供货范围或服务范围</w:t>
            </w:r>
          </w:p>
          <w:p w14:paraId="0593A661">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货物类：产品到达现场后，中标供应商应在采购人单位人员在场情况下当面开箱，共同清点、检查外观，作出开箱记录，双方签字确认。中标供应商应保证货物到达采购人所在地完好无损，如有缺漏、损坏，由中标人负责调换、补齐或赔偿。</w:t>
            </w:r>
          </w:p>
          <w:p w14:paraId="4870C409">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服务类：根据招标文件检查服务内容是否满足要求。</w:t>
            </w:r>
          </w:p>
          <w:p w14:paraId="2BE688DD">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2.中标供应商应提供完备的技术或服务资料、装箱单和合格证等，并派遣专业人员进行现场安装调试。验收合格条件如下：</w:t>
            </w:r>
          </w:p>
          <w:p w14:paraId="70FF72C6">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2.1货物或服务技术参数与投标文件中技术需求偏离表或证明材料一致，性能或指标达到规定的标准，否则，以实际货物或服务技术参数与投标文件技术需求偏离表参数或证明材料比较，按如下情况处理：</w:t>
            </w:r>
          </w:p>
          <w:p w14:paraId="2F435EB7">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1）中标供应商投标文件技术需求偏离表或证明材料中满足或优于的技术参数，在验收时实际不满足技术参数要求的，视为供货商违约，采购人有权终止合同拒收货物，并追究中标供应商责任，同时报财政部门备案。</w:t>
            </w:r>
          </w:p>
          <w:p w14:paraId="44F42060">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2）中标供应商投标文件技术需求偏离表或证明材料中优于的技术参数，在验收时实际仅满足并未优于技术参数要求的，视为供货商违约，采购人有权终止合同拒收货物，并追究中标供应商责任，同时报财政部门备案。</w:t>
            </w:r>
          </w:p>
          <w:p w14:paraId="07BC8A68">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（3）中标供应商投标文件技术需求偏离表或证明材料中满足的技术参数，在验收时实际优于技术参数的要求，以满足技术参数的要求验收。</w:t>
            </w:r>
          </w:p>
          <w:p w14:paraId="7F274349">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4）中标供应商投标文件技术需求偏离表或证明材料中优于的技术参数，在验收时实际也优于技术参数的要求，但没有达到技术需求偏离表或证明材料中优于的程度，视为不满足投标承诺，按验收不合格，违约处理。</w:t>
            </w:r>
          </w:p>
          <w:p w14:paraId="1DE8E605">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5）实际货物与投标货物型号不一致的，验收时不论实际是优于还是满足技术参数的要求，采购人均有权终止合同拒收货物。如影响货物或服务的使用、质量、档次及采购人需求的，还可视为供货商违约，追究中标供应商责任，同时报财政部门备案。</w:t>
            </w:r>
          </w:p>
          <w:p w14:paraId="5B4739E9">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2.2技术资料、装箱单、合格证等资料齐全。</w:t>
            </w:r>
          </w:p>
          <w:p w14:paraId="6050039B">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2.3在测试或试运行期间所出现的问题得到解决，并运行或工作正常。</w:t>
            </w:r>
          </w:p>
          <w:p w14:paraId="50AB9E32">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2.4在规定时间内完成交货及验收，并经采购人确认。</w:t>
            </w:r>
          </w:p>
          <w:p w14:paraId="0BAD3A8C">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3.产品或服务在安装调试并试运行符合要求后，还必须负责完成原有设备及软件系统的重新部署安装、集成、调试并能整体通过测试顺利运行，运行顺畅才作为最终验收。</w:t>
            </w:r>
          </w:p>
          <w:p w14:paraId="69687DC4">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4.中标供应商提供的货物或服务未达到招标文件规定要求，且对采购人造成损失的，由中标供应商承担一切责任，并赔偿所造成的损失。</w:t>
            </w:r>
          </w:p>
          <w:p w14:paraId="193A8EC2">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5.采购人需要制造商对中标供应商交付的产品或服务（包括质量、参数等）进行确认的，制造商应予以配合并出具书面意见，相关配合事项由中标供应商与制造商协调。</w:t>
            </w:r>
          </w:p>
          <w:p w14:paraId="5D9B2BA5">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6.产品包装材料归采购人所有。</w:t>
            </w:r>
          </w:p>
          <w:p w14:paraId="5FFA6F2A">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7.其他验收要求按第五章《拟签订的合同文本》执行，未尽事宜按照《关于印发广西壮族自治区政府采购项目履约验收管理办法的通知》[桂财采〔2015〕22号]以及《财政部关于进一步加强政府采购需求和履约验收管理的指导意见》[财库〔2016〕205号]规定执行。</w:t>
            </w:r>
          </w:p>
        </w:tc>
      </w:tr>
      <w:tr w14:paraId="5E8B0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6" w:type="dxa"/>
            <w:gridSpan w:val="2"/>
            <w:tcBorders>
              <w:top w:val="single" w:color="auto" w:sz="4" w:space="0"/>
              <w:left w:val="single" w:color="auto" w:sz="4" w:space="0"/>
              <w:bottom w:val="single" w:color="auto" w:sz="4" w:space="0"/>
              <w:right w:val="single" w:color="auto" w:sz="4" w:space="0"/>
            </w:tcBorders>
            <w:noWrap/>
            <w:vAlign w:val="center"/>
          </w:tcPr>
          <w:p w14:paraId="6FF122F9">
            <w:pPr>
              <w:snapToGrid w:val="0"/>
              <w:spacing w:line="360" w:lineRule="auto"/>
              <w:jc w:val="center"/>
              <w:rPr>
                <w:rFonts w:ascii="宋体" w:hAnsi="宋体" w:eastAsia="宋体" w:cs="宋体"/>
                <w:b/>
                <w:bCs/>
                <w:szCs w:val="21"/>
              </w:rPr>
            </w:pPr>
            <w:r>
              <w:rPr>
                <w:rFonts w:hint="eastAsia" w:ascii="宋体" w:hAnsi="宋体" w:eastAsia="宋体" w:cs="宋体"/>
                <w:b/>
                <w:bCs/>
                <w:szCs w:val="21"/>
              </w:rPr>
              <w:t>其他说明</w:t>
            </w:r>
          </w:p>
        </w:tc>
        <w:tc>
          <w:tcPr>
            <w:tcW w:w="8057" w:type="dxa"/>
            <w:gridSpan w:val="2"/>
            <w:tcBorders>
              <w:top w:val="single" w:color="auto" w:sz="4" w:space="0"/>
              <w:left w:val="nil"/>
              <w:bottom w:val="single" w:color="auto" w:sz="4" w:space="0"/>
              <w:right w:val="single" w:color="auto" w:sz="4" w:space="0"/>
            </w:tcBorders>
            <w:noWrap/>
            <w:vAlign w:val="center"/>
          </w:tcPr>
          <w:p w14:paraId="7DC911D3">
            <w:pPr>
              <w:snapToGrid w:val="0"/>
              <w:spacing w:line="360" w:lineRule="auto"/>
              <w:jc w:val="left"/>
              <w:rPr>
                <w:rFonts w:hint="eastAsia" w:ascii="宋体" w:hAnsi="宋体" w:eastAsia="宋体" w:cs="宋体"/>
                <w:szCs w:val="21"/>
              </w:rPr>
            </w:pPr>
            <w:r>
              <w:rPr>
                <w:rFonts w:hint="eastAsia" w:ascii="宋体" w:hAnsi="宋体" w:eastAsia="宋体" w:cs="宋体"/>
                <w:szCs w:val="21"/>
              </w:rPr>
              <w:t>一、进口产品说明：</w:t>
            </w:r>
          </w:p>
          <w:p w14:paraId="61415A55">
            <w:pPr>
              <w:snapToGrid w:val="0"/>
              <w:spacing w:line="360" w:lineRule="auto"/>
              <w:jc w:val="left"/>
              <w:rPr>
                <w:rFonts w:hint="eastAsia" w:ascii="宋体" w:hAnsi="宋体" w:eastAsia="宋体" w:cs="宋体"/>
                <w:szCs w:val="21"/>
              </w:rPr>
            </w:pPr>
            <w:r>
              <w:rPr>
                <w:rFonts w:hint="eastAsia" w:ascii="宋体" w:hAnsi="宋体" w:eastAsia="宋体" w:cs="宋体"/>
                <w:szCs w:val="21"/>
              </w:rPr>
              <w:t>□本项目已按规定办妥进口产品采购审核手续，投标产品可选用进口产品；但如选用进口产品时必须为全套原装进口产品（即通过中国海关报关验放进入中国境内且产自关境外的产品）并</w:t>
            </w:r>
            <w:r>
              <w:rPr>
                <w:rFonts w:hint="eastAsia" w:ascii="宋体" w:hAnsi="宋体" w:eastAsia="宋体" w:cs="宋体"/>
                <w:kern w:val="0"/>
                <w:szCs w:val="21"/>
                <w:lang w:bidi="ar"/>
              </w:rPr>
              <w:t>提供原厂商或中国大陆有效代理商出具有效授权书原件和有效的售后服务承诺书原件</w:t>
            </w:r>
            <w:r>
              <w:rPr>
                <w:rFonts w:hint="eastAsia" w:ascii="宋体" w:hAnsi="宋体" w:eastAsia="宋体" w:cs="宋体"/>
                <w:szCs w:val="21"/>
              </w:rPr>
              <w:t>，同时投标人必须负责办理进口产品所有相关手续并承担所有费用。优先采购向我国企业转让技术、与我国企业签订消化吸收再创新方案的投标人的进口产品。其他货物不接受进口产品参与投标，否则作无效投标处理。</w:t>
            </w:r>
          </w:p>
          <w:p w14:paraId="0726102D">
            <w:pPr>
              <w:snapToGrid w:val="0"/>
              <w:spacing w:line="360" w:lineRule="auto"/>
              <w:jc w:val="left"/>
              <w:rPr>
                <w:rFonts w:hint="eastAsia" w:ascii="宋体" w:hAnsi="宋体" w:eastAsia="宋体" w:cs="宋体"/>
                <w:szCs w:val="21"/>
              </w:rPr>
            </w:pPr>
            <w:r>
              <w:rPr>
                <w:rFonts w:hint="eastAsia" w:ascii="宋体" w:hAnsi="宋体" w:eastAsia="宋体" w:cs="宋体"/>
                <w:szCs w:val="21"/>
              </w:rPr>
              <w:t>☑本项目货物所涉及的货物不接受进口产品（即通过中国海关报关验放进入中国境内且产自关境外的产品）参与投标，如有进口产品参与投标的作无效投标处理。</w:t>
            </w:r>
          </w:p>
          <w:p w14:paraId="649C4072">
            <w:pPr>
              <w:snapToGrid w:val="0"/>
              <w:spacing w:line="360" w:lineRule="auto"/>
              <w:jc w:val="left"/>
              <w:rPr>
                <w:rFonts w:hint="eastAsia" w:ascii="宋体" w:hAnsi="宋体" w:eastAsia="宋体" w:cs="宋体"/>
                <w:kern w:val="0"/>
                <w:szCs w:val="21"/>
                <w:lang w:bidi="ar"/>
              </w:rPr>
            </w:pPr>
            <w:r>
              <w:rPr>
                <w:rFonts w:hint="eastAsia" w:ascii="宋体" w:hAnsi="宋体" w:eastAsia="宋体" w:cs="宋体"/>
                <w:kern w:val="0"/>
                <w:szCs w:val="21"/>
                <w:lang w:bidi="ar"/>
              </w:rPr>
              <w:t>二、根据《国务院办公厅关于在政府采购中实施本国产品标准及相关政策的通知》（国办发〔2025〕34号）的规定，政府采购活动中既有本国产品又有非本国产品参与竞争的，依法对符合政策要求的本国产品给予价格评审优惠，具体详见“第四章 评标方法和评标标准”。产品在中国境内生产的组件成本，按照《中国境内生产的组件成本核算基本规则》（见附件3）计算。</w:t>
            </w:r>
          </w:p>
          <w:p w14:paraId="41AF9366">
            <w:pPr>
              <w:snapToGrid w:val="0"/>
              <w:spacing w:line="360" w:lineRule="auto"/>
              <w:jc w:val="left"/>
              <w:rPr>
                <w:rFonts w:hint="eastAsia" w:ascii="宋体" w:hAnsi="宋体" w:eastAsia="宋体" w:cs="宋体"/>
                <w:kern w:val="0"/>
                <w:szCs w:val="21"/>
                <w:lang w:bidi="ar"/>
              </w:rPr>
            </w:pPr>
            <w:r>
              <w:rPr>
                <w:rFonts w:hint="eastAsia" w:ascii="宋体" w:hAnsi="宋体" w:eastAsia="宋体" w:cs="宋体"/>
                <w:kern w:val="0"/>
                <w:szCs w:val="21"/>
                <w:lang w:bidi="ar"/>
              </w:rPr>
              <w:t>三、与本项目有关的设计图纸、技术规范、文件等附件资料及其获取方式：</w:t>
            </w:r>
          </w:p>
          <w:p w14:paraId="2CF9B36E">
            <w:pPr>
              <w:snapToGrid w:val="0"/>
              <w:spacing w:line="360" w:lineRule="auto"/>
              <w:jc w:val="left"/>
              <w:rPr>
                <w:rFonts w:hint="eastAsia" w:ascii="宋体" w:hAnsi="宋体" w:eastAsia="宋体" w:cs="宋体"/>
                <w:kern w:val="0"/>
                <w:szCs w:val="21"/>
                <w:lang w:bidi="ar"/>
              </w:rPr>
            </w:pPr>
            <w:r>
              <w:rPr>
                <w:rFonts w:hint="eastAsia" w:ascii="宋体" w:hAnsi="宋体" w:eastAsia="宋体" w:cs="宋体"/>
                <w:kern w:val="0"/>
                <w:szCs w:val="21"/>
                <w:lang w:bidi="ar"/>
              </w:rPr>
              <w:t>文件或者资料名称：无</w:t>
            </w:r>
          </w:p>
          <w:p w14:paraId="337B0DED">
            <w:pPr>
              <w:snapToGrid w:val="0"/>
              <w:spacing w:line="360" w:lineRule="auto"/>
              <w:jc w:val="left"/>
              <w:rPr>
                <w:rFonts w:hint="eastAsia" w:ascii="宋体" w:hAnsi="宋体" w:eastAsia="宋体" w:cs="宋体"/>
                <w:kern w:val="0"/>
                <w:szCs w:val="21"/>
                <w:lang w:bidi="ar"/>
              </w:rPr>
            </w:pPr>
            <w:r>
              <w:rPr>
                <w:rFonts w:hint="eastAsia" w:ascii="宋体" w:hAnsi="宋体" w:eastAsia="宋体" w:cs="宋体"/>
                <w:kern w:val="0"/>
                <w:szCs w:val="21"/>
                <w:lang w:bidi="ar"/>
              </w:rPr>
              <w:t xml:space="preserve">公布渠道或者获取方式：无        </w:t>
            </w:r>
          </w:p>
          <w:p w14:paraId="764578D4">
            <w:pPr>
              <w:snapToGrid w:val="0"/>
              <w:spacing w:line="360" w:lineRule="auto"/>
              <w:jc w:val="left"/>
              <w:rPr>
                <w:rFonts w:hint="eastAsia" w:ascii="宋体" w:hAnsi="宋体" w:eastAsia="宋体" w:cs="宋体"/>
                <w:szCs w:val="21"/>
                <w:shd w:val="clear" w:color="auto" w:fill="FFFFFF"/>
              </w:rPr>
            </w:pPr>
            <w:r>
              <w:rPr>
                <w:rFonts w:hint="eastAsia" w:ascii="宋体" w:hAnsi="宋体" w:eastAsia="宋体" w:cs="宋体"/>
                <w:szCs w:val="21"/>
                <w:shd w:val="clear" w:color="auto" w:fill="FFFFFF"/>
              </w:rPr>
              <w:t>四、核心产品：</w:t>
            </w:r>
          </w:p>
          <w:p w14:paraId="20670AED">
            <w:pPr>
              <w:snapToGrid w:val="0"/>
              <w:spacing w:line="360" w:lineRule="auto"/>
              <w:jc w:val="left"/>
              <w:rPr>
                <w:rFonts w:hint="eastAsia" w:ascii="宋体" w:hAnsi="宋体" w:eastAsia="宋体" w:cs="宋体"/>
                <w:szCs w:val="21"/>
              </w:rPr>
            </w:pPr>
            <w:r>
              <w:rPr>
                <w:rFonts w:hint="eastAsia" w:ascii="宋体" w:hAnsi="宋体" w:eastAsia="宋体" w:cs="宋体"/>
                <w:szCs w:val="21"/>
              </w:rPr>
              <w:t>本项目的核心产品为“需求一览表”中第</w:t>
            </w:r>
            <w:r>
              <w:rPr>
                <w:rFonts w:hint="eastAsia" w:ascii="宋体" w:hAnsi="宋体" w:eastAsia="宋体" w:cs="宋体"/>
                <w:szCs w:val="21"/>
                <w:u w:val="single"/>
              </w:rPr>
              <w:t xml:space="preserve"> 7 </w:t>
            </w:r>
            <w:r>
              <w:rPr>
                <w:rFonts w:hint="eastAsia" w:ascii="宋体" w:hAnsi="宋体" w:eastAsia="宋体" w:cs="宋体"/>
                <w:szCs w:val="21"/>
              </w:rPr>
              <w:t>项产品：</w:t>
            </w:r>
            <w:r>
              <w:rPr>
                <w:rFonts w:hint="eastAsia" w:ascii="宋体" w:hAnsi="宋体" w:eastAsia="宋体" w:cs="宋体"/>
                <w:szCs w:val="21"/>
                <w:u w:val="single"/>
              </w:rPr>
              <w:t xml:space="preserve">电感耦合等离子体发射光谱仪   </w:t>
            </w:r>
            <w:r>
              <w:rPr>
                <w:rFonts w:hint="eastAsia" w:ascii="宋体" w:hAnsi="宋体" w:eastAsia="宋体" w:cs="宋体"/>
                <w:szCs w:val="21"/>
              </w:rPr>
              <w:t>。</w:t>
            </w:r>
          </w:p>
        </w:tc>
      </w:tr>
    </w:tbl>
    <w:p w14:paraId="337C7C76">
      <w:pPr>
        <w:spacing w:line="428" w:lineRule="exact"/>
        <w:rPr>
          <w:rFonts w:hint="eastAsia" w:ascii="宋体" w:hAnsi="宋体" w:eastAsia="宋体" w:cs="宋体"/>
          <w:b/>
          <w:bCs/>
          <w:sz w:val="24"/>
        </w:rPr>
      </w:pPr>
      <w:r>
        <w:rPr>
          <w:rFonts w:hint="eastAsia" w:ascii="宋体" w:hAnsi="宋体" w:eastAsia="宋体" w:cs="宋体"/>
          <w:b/>
          <w:bCs/>
          <w:sz w:val="24"/>
        </w:rPr>
        <w:br w:type="page"/>
      </w:r>
    </w:p>
    <w:tbl>
      <w:tblPr>
        <w:tblStyle w:val="4"/>
        <w:tblW w:w="96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6"/>
        <w:gridCol w:w="1090"/>
        <w:gridCol w:w="780"/>
        <w:gridCol w:w="7277"/>
      </w:tblGrid>
      <w:tr w14:paraId="3A95B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23" w:type="dxa"/>
            <w:gridSpan w:val="4"/>
            <w:tcBorders>
              <w:top w:val="single" w:color="auto" w:sz="4" w:space="0"/>
              <w:left w:val="single" w:color="auto" w:sz="4" w:space="0"/>
              <w:right w:val="single" w:color="auto" w:sz="4" w:space="0"/>
            </w:tcBorders>
            <w:noWrap/>
            <w:vAlign w:val="center"/>
          </w:tcPr>
          <w:p w14:paraId="00AAF90B">
            <w:pPr>
              <w:snapToGrid w:val="0"/>
              <w:spacing w:line="360" w:lineRule="exact"/>
              <w:ind w:left="-107" w:leftChars="-51" w:right="-107" w:rightChars="-51"/>
              <w:jc w:val="center"/>
              <w:rPr>
                <w:rFonts w:hint="eastAsia" w:ascii="宋体" w:hAnsi="宋体" w:eastAsia="宋体" w:cs="宋体"/>
                <w:b/>
                <w:szCs w:val="21"/>
              </w:rPr>
            </w:pPr>
            <w:r>
              <w:rPr>
                <w:rFonts w:hint="eastAsia" w:ascii="宋体" w:hAnsi="宋体" w:eastAsia="宋体" w:cs="宋体"/>
                <w:b/>
                <w:szCs w:val="21"/>
              </w:rPr>
              <w:t>需求一览表（标项四）</w:t>
            </w:r>
          </w:p>
        </w:tc>
      </w:tr>
      <w:tr w14:paraId="2EFF4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top w:val="single" w:color="auto" w:sz="4" w:space="0"/>
              <w:left w:val="single" w:color="auto" w:sz="4" w:space="0"/>
              <w:right w:val="single" w:color="auto" w:sz="4" w:space="0"/>
            </w:tcBorders>
            <w:noWrap/>
            <w:vAlign w:val="center"/>
          </w:tcPr>
          <w:p w14:paraId="6C0F1BF7">
            <w:pPr>
              <w:snapToGrid w:val="0"/>
              <w:spacing w:line="360" w:lineRule="exact"/>
              <w:jc w:val="center"/>
              <w:rPr>
                <w:rFonts w:ascii="宋体" w:hAnsi="宋体" w:eastAsia="宋体" w:cs="宋体"/>
                <w:b/>
                <w:szCs w:val="21"/>
              </w:rPr>
            </w:pPr>
            <w:r>
              <w:rPr>
                <w:rFonts w:hint="eastAsia" w:ascii="宋体" w:hAnsi="宋体" w:eastAsia="宋体" w:cs="宋体"/>
                <w:b/>
                <w:szCs w:val="21"/>
              </w:rPr>
              <w:t>序号</w:t>
            </w:r>
          </w:p>
        </w:tc>
        <w:tc>
          <w:tcPr>
            <w:tcW w:w="1090" w:type="dxa"/>
            <w:tcBorders>
              <w:top w:val="single" w:color="auto" w:sz="4" w:space="0"/>
              <w:left w:val="nil"/>
              <w:bottom w:val="single" w:color="auto" w:sz="4" w:space="0"/>
              <w:right w:val="single" w:color="auto" w:sz="4" w:space="0"/>
            </w:tcBorders>
            <w:noWrap/>
            <w:vAlign w:val="center"/>
          </w:tcPr>
          <w:p w14:paraId="63F2954E">
            <w:pPr>
              <w:snapToGrid w:val="0"/>
              <w:spacing w:line="360" w:lineRule="exact"/>
              <w:jc w:val="center"/>
              <w:rPr>
                <w:rFonts w:ascii="宋体" w:hAnsi="宋体" w:eastAsia="宋体" w:cs="宋体"/>
                <w:b/>
                <w:szCs w:val="21"/>
              </w:rPr>
            </w:pPr>
            <w:r>
              <w:rPr>
                <w:rFonts w:hint="eastAsia" w:ascii="宋体" w:hAnsi="宋体" w:eastAsia="宋体" w:cs="宋体"/>
                <w:b/>
                <w:szCs w:val="21"/>
              </w:rPr>
              <w:t>标的名称</w:t>
            </w:r>
          </w:p>
        </w:tc>
        <w:tc>
          <w:tcPr>
            <w:tcW w:w="780" w:type="dxa"/>
            <w:tcBorders>
              <w:top w:val="single" w:color="auto" w:sz="4" w:space="0"/>
              <w:left w:val="nil"/>
              <w:bottom w:val="single" w:color="auto" w:sz="4" w:space="0"/>
              <w:right w:val="single" w:color="auto" w:sz="4" w:space="0"/>
            </w:tcBorders>
            <w:noWrap/>
            <w:vAlign w:val="center"/>
          </w:tcPr>
          <w:p w14:paraId="0393CFD0">
            <w:pPr>
              <w:snapToGrid w:val="0"/>
              <w:spacing w:line="360" w:lineRule="exact"/>
              <w:ind w:left="-107" w:leftChars="-51" w:right="-107" w:rightChars="-51"/>
              <w:jc w:val="center"/>
              <w:rPr>
                <w:rFonts w:ascii="宋体" w:hAnsi="宋体" w:eastAsia="宋体" w:cs="宋体"/>
                <w:b/>
                <w:szCs w:val="21"/>
              </w:rPr>
            </w:pPr>
            <w:r>
              <w:rPr>
                <w:rFonts w:hint="eastAsia" w:ascii="宋体" w:hAnsi="宋体" w:eastAsia="宋体" w:cs="宋体"/>
                <w:b/>
                <w:szCs w:val="21"/>
              </w:rPr>
              <w:t>数量及单位</w:t>
            </w:r>
          </w:p>
        </w:tc>
        <w:tc>
          <w:tcPr>
            <w:tcW w:w="7277" w:type="dxa"/>
            <w:tcBorders>
              <w:top w:val="single" w:color="auto" w:sz="4" w:space="0"/>
              <w:left w:val="nil"/>
              <w:bottom w:val="single" w:color="auto" w:sz="4" w:space="0"/>
              <w:right w:val="single" w:color="auto" w:sz="4" w:space="0"/>
            </w:tcBorders>
            <w:noWrap/>
            <w:vAlign w:val="center"/>
          </w:tcPr>
          <w:p w14:paraId="5572BF82">
            <w:pPr>
              <w:snapToGrid w:val="0"/>
              <w:spacing w:line="360" w:lineRule="exact"/>
              <w:ind w:left="-107" w:leftChars="-51" w:right="-107" w:rightChars="-51"/>
              <w:jc w:val="center"/>
              <w:rPr>
                <w:rFonts w:ascii="宋体" w:hAnsi="宋体" w:eastAsia="宋体" w:cs="宋体"/>
                <w:b/>
                <w:szCs w:val="21"/>
              </w:rPr>
            </w:pPr>
            <w:r>
              <w:rPr>
                <w:rFonts w:hint="eastAsia" w:ascii="宋体" w:hAnsi="宋体" w:eastAsia="宋体" w:cs="宋体"/>
                <w:b/>
                <w:szCs w:val="21"/>
              </w:rPr>
              <w:t>技术参数及配置</w:t>
            </w:r>
          </w:p>
        </w:tc>
      </w:tr>
      <w:tr w14:paraId="07E86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350E351B">
            <w:pPr>
              <w:spacing w:line="360" w:lineRule="auto"/>
              <w:jc w:val="center"/>
              <w:rPr>
                <w:rFonts w:ascii="Times New Roman" w:hAnsi="Times New Roman" w:eastAsia="宋体" w:cs="Times New Roman"/>
                <w:szCs w:val="21"/>
              </w:rPr>
            </w:pPr>
            <w:r>
              <w:rPr>
                <w:rFonts w:hint="eastAsia" w:ascii="宋体" w:hAnsi="宋体" w:eastAsia="宋体" w:cs="Times New Roman"/>
                <w:szCs w:val="21"/>
              </w:rPr>
              <w:t>1</w:t>
            </w:r>
          </w:p>
        </w:tc>
        <w:tc>
          <w:tcPr>
            <w:tcW w:w="1090" w:type="dxa"/>
            <w:tcBorders>
              <w:top w:val="single" w:color="auto" w:sz="4" w:space="0"/>
              <w:left w:val="nil"/>
              <w:bottom w:val="single" w:color="auto" w:sz="4" w:space="0"/>
              <w:right w:val="single" w:color="auto" w:sz="4" w:space="0"/>
            </w:tcBorders>
            <w:noWrap/>
            <w:vAlign w:val="center"/>
          </w:tcPr>
          <w:p w14:paraId="7F6B85D0">
            <w:pPr>
              <w:widowControl/>
              <w:jc w:val="center"/>
              <w:textAlignment w:val="center"/>
              <w:rPr>
                <w:rFonts w:ascii="Times New Roman" w:hAnsi="Times New Roman" w:eastAsia="宋体" w:cs="Times New Roman"/>
                <w:szCs w:val="21"/>
              </w:rPr>
            </w:pPr>
            <w:r>
              <w:rPr>
                <w:rFonts w:hint="eastAsia" w:ascii="宋体" w:hAnsi="宋体" w:eastAsia="宋体" w:cs="宋体"/>
                <w:color w:val="000000"/>
                <w:kern w:val="0"/>
                <w:sz w:val="22"/>
                <w:szCs w:val="22"/>
                <w:lang w:bidi="ar"/>
              </w:rPr>
              <w:t>气相色谱仪</w:t>
            </w:r>
          </w:p>
        </w:tc>
        <w:tc>
          <w:tcPr>
            <w:tcW w:w="780" w:type="dxa"/>
            <w:tcBorders>
              <w:top w:val="single" w:color="auto" w:sz="4" w:space="0"/>
              <w:left w:val="nil"/>
              <w:bottom w:val="single" w:color="auto" w:sz="4" w:space="0"/>
              <w:right w:val="single" w:color="auto" w:sz="4" w:space="0"/>
            </w:tcBorders>
            <w:noWrap/>
            <w:vAlign w:val="center"/>
          </w:tcPr>
          <w:p w14:paraId="1B0A6925">
            <w:pPr>
              <w:widowControl/>
              <w:jc w:val="center"/>
              <w:textAlignment w:val="center"/>
              <w:rPr>
                <w:rFonts w:ascii="Times New Roman" w:hAnsi="Times New Roman" w:eastAsia="宋体" w:cs="Times New Roman"/>
                <w:szCs w:val="21"/>
              </w:rPr>
            </w:pPr>
            <w:r>
              <w:rPr>
                <w:rFonts w:hint="eastAsia" w:ascii="Times New Roman" w:hAnsi="Times New Roman" w:eastAsia="宋体" w:cs="Times New Roman"/>
                <w:szCs w:val="21"/>
              </w:rPr>
              <w:t>1台</w:t>
            </w:r>
          </w:p>
        </w:tc>
        <w:tc>
          <w:tcPr>
            <w:tcW w:w="7277" w:type="dxa"/>
            <w:tcBorders>
              <w:top w:val="single" w:color="auto" w:sz="4" w:space="0"/>
              <w:left w:val="nil"/>
              <w:bottom w:val="single" w:color="auto" w:sz="4" w:space="0"/>
              <w:right w:val="single" w:color="auto" w:sz="4" w:space="0"/>
            </w:tcBorders>
            <w:noWrap/>
            <w:vAlign w:val="center"/>
          </w:tcPr>
          <w:p w14:paraId="76D77AF6">
            <w:pPr>
              <w:widowControl/>
              <w:spacing w:line="360" w:lineRule="auto"/>
              <w:jc w:val="left"/>
              <w:textAlignment w:val="center"/>
              <w:rPr>
                <w:rFonts w:ascii="宋体" w:hAnsi="宋体" w:eastAsia="宋体" w:cs="宋体"/>
                <w:szCs w:val="21"/>
              </w:rPr>
            </w:pPr>
            <w:r>
              <w:rPr>
                <w:rFonts w:hint="eastAsia" w:ascii="宋体" w:hAnsi="宋体" w:eastAsia="宋体" w:cs="宋体"/>
                <w:color w:val="000000"/>
                <w:kern w:val="0"/>
                <w:sz w:val="22"/>
                <w:szCs w:val="22"/>
                <w:lang w:bidi="ar"/>
              </w:rPr>
              <w:t>一、快速加热和冷却的柱温箱</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1.柱箱温度：室温以上3℃ ～ 450℃</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▲2.程序升温：24阶25平台（投标文件提供操作界面或软件截图证明）</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▲3.可设定升温速率：最大可达到140℃/min（投标文件提供操作界面或软件截图证明）</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4.温度设定精度：0.1℃</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5.控温精度：设定值(K) ± 1% (可校准至0.01℃)</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6.温度稳定性：周围温度每变化1℃，柱温箱温度变化小于0.01℃</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▲7.冷却速度：从 450 降到 50℃ ≤3.5min（210s）</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8.具有柱温箱温度的自动保护功能。</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9.最大运行时间：9999.99分钟</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▲10.配套耐高温柱温箱照明灯，柱温箱打开自动点亮，方便维护。</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11.可依据不同色谱柱自由设置柱温箱降温速率，有效延长色谱柱使用寿命。</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二、进样单元</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   最多可同时安装三个独立控温的进样单元，由电子流量控制系统控制（AFC）。</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1.分流/不分流进样口</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▲1.1最高温度：430℃</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1.2配备全自动电子流量控制系统AFC，具备室温补偿和自动环境补偿功能支持恒流，恒压，程序增加流速，程序升压及压力脉冲等操作模式以及恒线速度控制功能</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1.3标准配备载气节省模式，有效节约载气消耗量</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1.4压力设定范围：0～1015kPa（相当于0～147psi），压力控制精度：0.001psi/kPa/bar，压力程序比率设定范围：-400～400kPa/min，压力程序：7阶</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1.5分流比设定范围：0 ～ 12000</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▲1.6 流量设定范围：</w:t>
            </w:r>
            <w:r>
              <w:rPr>
                <w:rFonts w:hint="eastAsia" w:ascii="Times New Roman" w:hAnsi="Times New Roman" w:eastAsia="宋体" w:cs="Times New Roman"/>
              </w:rPr>
              <w:t>氦气模式</w:t>
            </w:r>
            <w:r>
              <w:rPr>
                <w:rFonts w:hint="eastAsia" w:ascii="宋体" w:hAnsi="宋体" w:eastAsia="宋体" w:cs="宋体"/>
                <w:color w:val="000000"/>
                <w:kern w:val="0"/>
                <w:sz w:val="22"/>
                <w:szCs w:val="22"/>
                <w:lang w:bidi="ar"/>
              </w:rPr>
              <w:t>0～1290mL/min，</w:t>
            </w:r>
            <w:r>
              <w:rPr>
                <w:rFonts w:hint="eastAsia" w:ascii="Times New Roman" w:hAnsi="Times New Roman" w:eastAsia="宋体" w:cs="Times New Roman"/>
              </w:rPr>
              <w:t>氮气模式</w:t>
            </w:r>
            <w:r>
              <w:rPr>
                <w:rFonts w:hint="eastAsia" w:ascii="宋体" w:hAnsi="宋体" w:eastAsia="宋体" w:cs="宋体"/>
                <w:color w:val="000000"/>
                <w:kern w:val="0"/>
                <w:sz w:val="22"/>
                <w:szCs w:val="22"/>
                <w:lang w:bidi="ar"/>
              </w:rPr>
              <w:t>0～590mL/min</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1.7  具备智能锁、智能扣、智能规、智能灯技术，不使用任何工具即可打开/关闭进样口，不使用任何工具即可安装/更换色谱柱的同时仪器可以自动感知最佳安装和气密位置。</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三、检测器单元</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1.1可同时安装四个独立控温的检测器，检测器的气体由压力控制系统控制（APC），检测器的数据采集速率</w:t>
            </w:r>
            <w:r>
              <w:rPr>
                <w:rFonts w:hint="eastAsia" w:ascii="Times New Roman" w:hAnsi="Times New Roman" w:eastAsia="宋体" w:cs="Times New Roman"/>
              </w:rPr>
              <w:t>≥9</w:t>
            </w:r>
            <w:r>
              <w:rPr>
                <w:rFonts w:hint="eastAsia" w:ascii="宋体" w:hAnsi="宋体" w:eastAsia="宋体" w:cs="宋体"/>
                <w:color w:val="000000"/>
                <w:kern w:val="0"/>
                <w:sz w:val="22"/>
                <w:szCs w:val="22"/>
                <w:lang w:bidi="ar"/>
              </w:rPr>
              <w:t>00Hz。</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1.2. 氢火焰离子化检测器（FID）</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1.2.1 最高使用温度：450℃</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1.2.2 自动点火功能</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1.2.3 检测限：1.3×10</w:t>
            </w:r>
            <w:r>
              <w:rPr>
                <w:rFonts w:hint="eastAsia" w:ascii="宋体" w:hAnsi="宋体" w:eastAsia="宋体" w:cs="宋体"/>
                <w:color w:val="000000"/>
                <w:kern w:val="0"/>
                <w:sz w:val="22"/>
                <w:szCs w:val="22"/>
                <w:vertAlign w:val="superscript"/>
                <w:lang w:bidi="ar"/>
              </w:rPr>
              <w:t>-12</w:t>
            </w:r>
            <w:r>
              <w:rPr>
                <w:rFonts w:hint="eastAsia" w:ascii="宋体" w:hAnsi="宋体" w:eastAsia="宋体" w:cs="宋体"/>
                <w:color w:val="000000"/>
                <w:kern w:val="0"/>
                <w:sz w:val="22"/>
                <w:szCs w:val="22"/>
                <w:lang w:bidi="ar"/>
              </w:rPr>
              <w:t>g/s ( 十二烷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1.2.4 动态范围：107</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▲1.2.5 数据采集速度</w:t>
            </w:r>
            <w:r>
              <w:rPr>
                <w:rFonts w:hint="eastAsia" w:ascii="Times New Roman" w:hAnsi="Times New Roman" w:eastAsia="宋体" w:cs="Times New Roman"/>
              </w:rPr>
              <w:t>≥9</w:t>
            </w:r>
            <w:r>
              <w:rPr>
                <w:rFonts w:hint="eastAsia" w:ascii="宋体" w:hAnsi="宋体" w:eastAsia="宋体" w:cs="宋体"/>
                <w:color w:val="000000"/>
                <w:kern w:val="0"/>
                <w:sz w:val="22"/>
                <w:szCs w:val="22"/>
                <w:lang w:bidi="ar"/>
              </w:rPr>
              <w:t>00Hz</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1.3. 电子捕获检测器（ECD）</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1.3.1 最高使用温度：400°C</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1.3.2 检测限：4.2 fg/s (γ-BHC)</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1.3.3 动态范围：8x10</w:t>
            </w:r>
            <w:r>
              <w:rPr>
                <w:rFonts w:hint="eastAsia" w:ascii="宋体" w:hAnsi="宋体" w:eastAsia="宋体" w:cs="宋体"/>
                <w:color w:val="000000"/>
                <w:kern w:val="0"/>
                <w:sz w:val="22"/>
                <w:szCs w:val="22"/>
                <w:vertAlign w:val="superscript"/>
                <w:lang w:bidi="ar"/>
              </w:rPr>
              <w:t>4</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▲1.3.4 数据采集速度</w:t>
            </w:r>
            <w:r>
              <w:rPr>
                <w:rFonts w:hint="eastAsia" w:ascii="Times New Roman" w:hAnsi="Times New Roman" w:eastAsia="宋体" w:cs="Times New Roman"/>
              </w:rPr>
              <w:t>≥9</w:t>
            </w:r>
            <w:r>
              <w:rPr>
                <w:rFonts w:hint="eastAsia" w:ascii="宋体" w:hAnsi="宋体" w:eastAsia="宋体" w:cs="宋体"/>
                <w:color w:val="000000"/>
                <w:kern w:val="0"/>
                <w:sz w:val="22"/>
                <w:szCs w:val="22"/>
                <w:lang w:bidi="ar"/>
              </w:rPr>
              <w:t>00Hz</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 火焰光度检测器（FPD）</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1.4.1 最高使用温度：450°C</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1.4.2 检测限：P 50fgP/s (磷酸三丁酯)、S 2.2pgS/s (十二烷硫醇)</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1.4.3 动态范围：P 10</w:t>
            </w:r>
            <w:r>
              <w:rPr>
                <w:rFonts w:hint="eastAsia" w:ascii="宋体" w:hAnsi="宋体" w:eastAsia="宋体" w:cs="宋体"/>
                <w:color w:val="000000"/>
                <w:kern w:val="0"/>
                <w:sz w:val="22"/>
                <w:szCs w:val="22"/>
                <w:vertAlign w:val="superscript"/>
                <w:lang w:bidi="ar"/>
              </w:rPr>
              <w:t>4</w:t>
            </w:r>
            <w:r>
              <w:rPr>
                <w:rFonts w:hint="eastAsia" w:ascii="宋体" w:hAnsi="宋体" w:eastAsia="宋体" w:cs="宋体"/>
                <w:color w:val="000000"/>
                <w:kern w:val="0"/>
                <w:sz w:val="22"/>
                <w:szCs w:val="22"/>
                <w:lang w:bidi="ar"/>
              </w:rPr>
              <w:t>、S 10</w:t>
            </w:r>
            <w:r>
              <w:rPr>
                <w:rFonts w:hint="eastAsia" w:ascii="宋体" w:hAnsi="宋体" w:eastAsia="宋体" w:cs="宋体"/>
                <w:color w:val="000000"/>
                <w:kern w:val="0"/>
                <w:sz w:val="22"/>
                <w:szCs w:val="22"/>
                <w:vertAlign w:val="superscript"/>
                <w:lang w:bidi="ar"/>
              </w:rPr>
              <w:t>3</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▲1.4.4 数据采集速度</w:t>
            </w:r>
            <w:r>
              <w:rPr>
                <w:rFonts w:hint="eastAsia" w:ascii="Times New Roman" w:hAnsi="Times New Roman" w:eastAsia="宋体" w:cs="Times New Roman"/>
              </w:rPr>
              <w:t>≥9</w:t>
            </w:r>
            <w:r>
              <w:rPr>
                <w:rFonts w:hint="eastAsia" w:ascii="宋体" w:hAnsi="宋体" w:eastAsia="宋体" w:cs="宋体"/>
                <w:color w:val="000000"/>
                <w:kern w:val="0"/>
                <w:sz w:val="22"/>
                <w:szCs w:val="22"/>
                <w:lang w:bidi="ar"/>
              </w:rPr>
              <w:t>00Hz</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四、其他</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1.色谱柱和流路系统</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1.1支持双柱双流路系统，且两根色谱柱长度不受限制，两个柱流量控制系统均采用流量控制单元</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1.2 支持三柱三FID同时分析组成气相色谱方法优化系统。</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1.3 具有室温补偿和自动环境补偿功能</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 具有恒定的载气线速度控制功能</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1.5 支持色谱柱柱后反吹，具有专为反吹设计的图示化控制软件，操作方便。同时可实现不泄真空更换色谱柱功能。</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2.面板键盘</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具有交互模式的彩色触摸屏进行操控，完全控制及显示所有温度区域和载气流量，完全控制所有检测器功能和检测器气体，实时时间程序和系统诊断，在线帮助和记事本记录程序事件</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3.自动液体进样器</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3.1 150位样品瓶位置</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3.2进样体积: 用10μL注射器以0.1μL步进,可进样0.1-8μL,用50μL注射器以0.5μL步进,可进样0.5-40μL,  用250μL注射器以2.5μL步进,可进样2.5-200μL</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3.3进样重现性: ≤0.5%</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五、数据处理系统</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1.数据采集和数据解析</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采用一体化的数据结构，利用定量浏览器和数据浏览器可方便的进行分析操作和信息追溯，满足GLP/GMP操作规范。具有丰富的计算功能和数据比较功能，可以显示相对保留时间（RRT），具有保留时间自动校正功能（AART）。快速批处理窗口将系统中的样品瓶架图形化显示。</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2.报告制作</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各种型的模板文件快捷选用，并支持自建模板。</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4.网络化控制</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可通过网络式CDS（数据管理系统）进行软件远程控制和人机分离模式操作。远程访问功能允许直接通过智能手机或平板电脑远程访问实验室GC主机。</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六、配置清单</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1.主机，含FID、ECD、FPD检测器各1个， SPL进样口1个</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2.150位液体自动进样器1套</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3.空压机1台</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4.氢气发生器1台</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5.控制主机及配套输出设备1套</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6.耗材1套（高温进样隔垫25个、绿色隔垫100个、 10µL进样针2根、惰性化带石英棉不分流衬管5个、 惰性化带石英棉分流衬管5个、毛细管切割器1套、石英棉填充工具1套）</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7.专用气体过滤器1个</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8.氮气钢瓶（含气体）1个</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9.原装色谱柱2根</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10.2.0ML样品瓶500个</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11.废液瓶含垫100个</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12.柱温箱内置的耐高温智能灯1套</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13.主机触摸屏专用操作笔1支</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14.可徒手拧紧色谱柱且可自动感知最佳气密位置的智能扣1套</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15.用于量取不同进样/检测单元色谱柱长度的多合一智能规1套</w:t>
            </w:r>
          </w:p>
        </w:tc>
      </w:tr>
      <w:tr w14:paraId="13C12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3155346E">
            <w:pPr>
              <w:spacing w:line="360" w:lineRule="auto"/>
              <w:jc w:val="center"/>
              <w:rPr>
                <w:rFonts w:hint="eastAsia" w:ascii="宋体" w:hAnsi="宋体" w:eastAsia="宋体" w:cs="Times New Roman"/>
                <w:szCs w:val="21"/>
              </w:rPr>
            </w:pPr>
            <w:r>
              <w:rPr>
                <w:rFonts w:hint="eastAsia" w:ascii="宋体" w:hAnsi="宋体" w:eastAsia="宋体" w:cs="Times New Roman"/>
                <w:szCs w:val="21"/>
              </w:rPr>
              <w:t>2</w:t>
            </w:r>
          </w:p>
        </w:tc>
        <w:tc>
          <w:tcPr>
            <w:tcW w:w="1090" w:type="dxa"/>
            <w:tcBorders>
              <w:top w:val="single" w:color="auto" w:sz="4" w:space="0"/>
              <w:left w:val="nil"/>
              <w:bottom w:val="single" w:color="auto" w:sz="4" w:space="0"/>
              <w:right w:val="single" w:color="auto" w:sz="4" w:space="0"/>
            </w:tcBorders>
            <w:noWrap/>
            <w:vAlign w:val="center"/>
          </w:tcPr>
          <w:p w14:paraId="26F71CA8">
            <w:pPr>
              <w:widowControl/>
              <w:jc w:val="center"/>
              <w:textAlignment w:val="center"/>
              <w:rPr>
                <w:rFonts w:ascii="Times New Roman" w:hAnsi="Times New Roman" w:eastAsia="宋体" w:cs="Times New Roman"/>
                <w:szCs w:val="21"/>
              </w:rPr>
            </w:pPr>
            <w:r>
              <w:rPr>
                <w:rFonts w:hint="eastAsia" w:ascii="宋体" w:hAnsi="宋体" w:eastAsia="宋体" w:cs="宋体"/>
                <w:color w:val="000000"/>
                <w:kern w:val="0"/>
                <w:sz w:val="22"/>
                <w:szCs w:val="22"/>
                <w:lang w:bidi="ar"/>
              </w:rPr>
              <w:t>液相色谱串联质谱联用仪</w:t>
            </w:r>
          </w:p>
        </w:tc>
        <w:tc>
          <w:tcPr>
            <w:tcW w:w="780" w:type="dxa"/>
            <w:tcBorders>
              <w:top w:val="single" w:color="auto" w:sz="4" w:space="0"/>
              <w:left w:val="nil"/>
              <w:bottom w:val="single" w:color="auto" w:sz="4" w:space="0"/>
              <w:right w:val="single" w:color="auto" w:sz="4" w:space="0"/>
            </w:tcBorders>
            <w:noWrap/>
            <w:vAlign w:val="center"/>
          </w:tcPr>
          <w:p w14:paraId="567E38A2">
            <w:pPr>
              <w:widowControl/>
              <w:jc w:val="center"/>
              <w:textAlignment w:val="center"/>
              <w:rPr>
                <w:rFonts w:ascii="Times New Roman" w:hAnsi="Times New Roman" w:eastAsia="宋体" w:cs="Times New Roman"/>
                <w:szCs w:val="21"/>
              </w:rPr>
            </w:pPr>
            <w:r>
              <w:rPr>
                <w:rFonts w:hint="eastAsia" w:ascii="Times New Roman" w:hAnsi="Times New Roman" w:eastAsia="宋体" w:cs="Times New Roman"/>
              </w:rPr>
              <w:t>1台</w:t>
            </w:r>
          </w:p>
        </w:tc>
        <w:tc>
          <w:tcPr>
            <w:tcW w:w="7277" w:type="dxa"/>
            <w:tcBorders>
              <w:top w:val="single" w:color="auto" w:sz="4" w:space="0"/>
              <w:left w:val="nil"/>
              <w:bottom w:val="single" w:color="auto" w:sz="4" w:space="0"/>
              <w:right w:val="single" w:color="auto" w:sz="4" w:space="0"/>
            </w:tcBorders>
            <w:noWrap/>
            <w:vAlign w:val="center"/>
          </w:tcPr>
          <w:p w14:paraId="02D43D30">
            <w:pPr>
              <w:widowControl/>
              <w:spacing w:line="360" w:lineRule="auto"/>
              <w:jc w:val="left"/>
              <w:textAlignment w:val="center"/>
              <w:rPr>
                <w:rFonts w:ascii="宋体" w:hAnsi="宋体" w:eastAsia="宋体" w:cs="宋体"/>
                <w:szCs w:val="21"/>
              </w:rPr>
            </w:pPr>
            <w:r>
              <w:rPr>
                <w:rFonts w:hint="eastAsia" w:ascii="宋体" w:hAnsi="宋体" w:eastAsia="宋体" w:cs="宋体"/>
                <w:color w:val="000000"/>
                <w:kern w:val="0"/>
                <w:sz w:val="22"/>
                <w:szCs w:val="22"/>
                <w:lang w:bidi="ar"/>
              </w:rPr>
              <w:t>一、该设备主要用于食品代谢组学和脂质组学、新污染物等领域研究，利用高分辨质谱的高分辨率和高质量准确度，精准识别未知非靶标物质的元素组成，并获取分子结构，进而实现相关机理机制研究。</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液相色谱部分与质谱部分必须为同一厂家产品，且可通过同一软件平台实现对液相色谱和质谱的控制，以充分保证系统的兼容性、保证整体性能以及售后培训、维护等的系统性。不接受贴牌。</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二、技术指标</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1．工作条件</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1.1 电源：230V±10%，AC(交流)，50/60Hz；</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1.2 环境温度：18-27℃（最优：18~21℃）；</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1.3 相对湿度：20-80%；</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 气体需求：高纯氮气，最大消耗量不大于20L/min；</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2.质谱系统（由真空系统，离子源，离子传输系统，四极杆分析器，高分辨质量分析器组成）：</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2.1 离子源</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2.1.1 独立的可加热电喷雾离子源（HESI源），集成式气路和电路设计，安装离子源时即可实现气路和电路自动连接识别，无需进行额外操作；</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2.1.2 喷针前后，左右，上下三位可调。底部设计有废液出口，雾化后废产物直接进入废液出口，确保离子源腔体洁净，保证离子源耐用性；</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2.1.3 具有雾化气、辅助雾化气和吹扫气设计，进一步提高雾化效率和喷雾稳定性且具有良好的抗污染能力；</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2.1.4 可加热ESI源，离子源加热温度最高可达500℃，不分流的情况下采用纯水作为溶剂，流速为1ul-1000ul/min；APCI流速为50ul-1000ul/min；</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2.1.5 全自动注射泵实现质谱直接进样，自动调谐和校正；</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2.1.6 质谱配置软件具备实时监控并反馈喷雾稳定性功能；</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2.1.7离子源腔体具有观察窗口，可以直接观察喷雾效果以及离子源腔体洁净程度；</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2.1.8 ESI源与APCI源切换只需更换源喷针组件，电晕针旋钮式在线调节，快速简便，切换时间小于 1min，且整个过程无需拆卸离子源；</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▲2.1.9具有自动内标校正源，处于具备真空条件的离子传输透镜部位，无需外接校正液可实现自动实时校正质量轴</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2.2 离子传输系统</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2.2.1配有离子传输管设计，保护分子涡轮泵，减少真空负担；</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2.2.2 具有真空隔断阀设计，在移去、安装离子传输管时，无需破坏真空, 操作快速便捷，不影响实验进程；</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2.2.3 离子传输管独立加热，最高温度可达400℃，进一步提高去溶剂效果和确保离子传输系统抗污染能力；</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2.3 质量分析器：</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▲2.3.1 仪器分辨率：110,000 FWHM (m/z≤200 )；4档可调；</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2.3.2高分辨质量分析器，质量范围50-3,000m/z；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2.3.3 质谱采集速率：可高达22Hz；分辨率110,000 FWHM时，不低于3 Hz；</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2.3.4 正负极性切换扫描速度：分辨率60,000 FWHM条件下，全扫描模式正负切换时间＜700ms，等效扫描速度＞1.4 HZ；tSIM模式下正负切换时间＜600ms，等效扫描速度＞1.6HZ；</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▲2.3.5通过实时内标校正离子源，可自动实时校正一级质谱和二级质谱，实现至少连续5天＜1ppm的质量偏差，以提高定性准确性；</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2.3.6 灵敏度</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2.3.6.1 MS/MS灵敏度：200 fg 利血平进样，不低于S/N 100:1；</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2.3.6.2选择离子扫描tSIM灵敏度：200 fg 利血平进样，S/N 不低于250:1；</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2.3.6.3提高仪器分辨率时，设备的灵敏度基本保持不降低；采用利血平标品100fg进样，ESI+模式下，分辨率分别为60,000和120,000时，其他仪器参数维持不变的前提下，利血平分子离子峰的峰面积值相差不超过10%；</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2.3.7 扫描模式</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2.3.7.1高分辨全扫描MS和MS/MS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2.3.7.2高分辨选择离子扫描；</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2.3.7.3高分辨全子离子碰撞碎裂扫描；</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2.3.7.4高分辨正负离子切换扫描；</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2.3.7.5高分辨数据依赖子离子扫描；</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2.3.7.6 高分辨数据非依赖扫描；</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▲2.3.8检测器：无损检测器；质谱如果采用微通道板（MCP）或电子倍增器等消耗型检测器，额外提供相应备用检测器10个。</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3.色谱部分</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3.1二元高压混合泵；</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3.1.1流量范围：0-8mL/min，步进0.001 mL/min；</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3.1.2最大压力：103.4Mpa；</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3.1.3流量准确度：＜0.1%；</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3.1.4流量精密度：＜0.05%；</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3.1.5 梯度混合精确度：＜ 0.15%；</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3.1.6 梯度混合类型：二元高压混合；</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3.1.7泵清洗系统：主动式单独流路清洗柱塞；</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3.1.8液滴计数器：自动监控泵漏液情况和泵清洗液情况；</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3.2 自动进样器：</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3.2.1多种样品盘选择：2ml样品瓶216个；</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3.2.2 进样方式：无样品损失，无残留；</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3.2.3 进样体积：0.1-80μL；</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3.2.4 进样体积准确度：≤0.5%；</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3.2.5 交叉污染：≤0.004%；</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3.2.6样品控温5-40℃；</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3.3 柱温箱</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3.3.1安全性能：具备防止误开门功能，内置温度、湿度、气体传感器，在线监测泄露情况；</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3.3.2温控范围：5-80℃；</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3.3.3温度准确度：±0.5℃；</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3.3.4温度稳定性：±0.1℃；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3.3.5温度精度：±0.1℃；</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4应用功能</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4.1可用于LC和高分辨质谱的全自动控制，实现仪器调谐和方法优化，方法优化还包括碰撞气压力以及碰撞能量的自动优化，并可利用优化后的参数建立分析方法。</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4.2具备数据采集、数据处理、定性定量分析、建立数据库、谱库检索等功能。</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4.3有丰富的应用模板，集成色谱峰对齐、峰提取、填充缺失值、归一化、统计学分析、化合物鉴定等功能。具有多种标准品及网络数据库资源，以及在线和本地的通路数据库，可根据分析需求单独或者组合使用。</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4.4可以进行非靶向的代谢流分析。针对完全无目标通路的代谢流分析，可以通过数据库鉴定未知物等手段完成。提供代谢物标记的元素的个数、标记的量、以及交互式的代谢通路分析等结果。</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4.5涵盖高分辨农残方法包数据库、高分辨兽残方法包数据库、高分辨代谢组学定量数据库。所有软件数据库终身提供升级服务。</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5.仪器配置：</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5.1质谱主机一台（包含真空系统，离子源，四极杆分析器，高分辨质量分析器）</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5.2二元高压液相色谱系统一套（包含二元泵，制冷功能自动进样器，柱温箱）</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5.3可加热电喷雾离子源（HESI源）、APCI源组件各一套；</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5.4高通量筛查和定量分析软件1套、小分子未知物鉴定软件1套。</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5.5 超高压色谱柱2根，保护柱2根；</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5.6包含两年消耗品包；</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5.7氮气发生器一台（最大氮气流速：32L/min，氮气纯度＞99%），包含实验室基本气路改造；</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5.8 含基本电路改造安装。</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5.9 包含设备正常稳定运行实验室基础改造。</w:t>
            </w:r>
          </w:p>
        </w:tc>
      </w:tr>
      <w:tr w14:paraId="5ABC2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200EB581">
            <w:pPr>
              <w:spacing w:line="360" w:lineRule="auto"/>
              <w:jc w:val="center"/>
              <w:rPr>
                <w:rFonts w:hint="eastAsia" w:ascii="宋体" w:hAnsi="宋体" w:eastAsia="宋体" w:cs="Times New Roman"/>
                <w:szCs w:val="21"/>
              </w:rPr>
            </w:pPr>
            <w:r>
              <w:rPr>
                <w:rFonts w:hint="eastAsia" w:ascii="宋体" w:hAnsi="宋体" w:eastAsia="宋体" w:cs="Times New Roman"/>
                <w:szCs w:val="21"/>
              </w:rPr>
              <w:t>3</w:t>
            </w:r>
          </w:p>
        </w:tc>
        <w:tc>
          <w:tcPr>
            <w:tcW w:w="1090" w:type="dxa"/>
            <w:tcBorders>
              <w:top w:val="single" w:color="auto" w:sz="4" w:space="0"/>
              <w:left w:val="nil"/>
              <w:bottom w:val="single" w:color="auto" w:sz="4" w:space="0"/>
              <w:right w:val="single" w:color="auto" w:sz="4" w:space="0"/>
            </w:tcBorders>
            <w:noWrap/>
            <w:vAlign w:val="center"/>
          </w:tcPr>
          <w:p w14:paraId="5B31513C">
            <w:pPr>
              <w:widowControl/>
              <w:jc w:val="center"/>
              <w:textAlignment w:val="center"/>
              <w:rPr>
                <w:rFonts w:ascii="Times New Roman" w:hAnsi="Times New Roman" w:eastAsia="宋体" w:cs="Times New Roman"/>
                <w:szCs w:val="21"/>
              </w:rPr>
            </w:pPr>
            <w:r>
              <w:rPr>
                <w:rFonts w:hint="eastAsia" w:ascii="宋体" w:hAnsi="宋体" w:eastAsia="宋体" w:cs="宋体"/>
                <w:color w:val="000000"/>
                <w:kern w:val="0"/>
                <w:sz w:val="22"/>
                <w:szCs w:val="22"/>
                <w:lang w:bidi="ar"/>
              </w:rPr>
              <w:t>电子万能材料试验机</w:t>
            </w:r>
          </w:p>
        </w:tc>
        <w:tc>
          <w:tcPr>
            <w:tcW w:w="780" w:type="dxa"/>
            <w:tcBorders>
              <w:top w:val="single" w:color="auto" w:sz="4" w:space="0"/>
              <w:left w:val="nil"/>
              <w:bottom w:val="single" w:color="auto" w:sz="4" w:space="0"/>
              <w:right w:val="single" w:color="auto" w:sz="4" w:space="0"/>
            </w:tcBorders>
            <w:noWrap/>
            <w:vAlign w:val="center"/>
          </w:tcPr>
          <w:p w14:paraId="3FCC5902">
            <w:pPr>
              <w:widowControl/>
              <w:jc w:val="center"/>
              <w:textAlignment w:val="center"/>
              <w:rPr>
                <w:rFonts w:ascii="Times New Roman" w:hAnsi="Times New Roman" w:eastAsia="宋体" w:cs="Times New Roman"/>
                <w:szCs w:val="21"/>
              </w:rPr>
            </w:pPr>
            <w:r>
              <w:rPr>
                <w:rFonts w:hint="eastAsia" w:ascii="Times New Roman" w:hAnsi="Times New Roman" w:eastAsia="宋体" w:cs="Times New Roman"/>
              </w:rPr>
              <w:t>1台</w:t>
            </w:r>
          </w:p>
        </w:tc>
        <w:tc>
          <w:tcPr>
            <w:tcW w:w="7277" w:type="dxa"/>
            <w:tcBorders>
              <w:top w:val="single" w:color="auto" w:sz="4" w:space="0"/>
              <w:left w:val="nil"/>
              <w:bottom w:val="single" w:color="auto" w:sz="4" w:space="0"/>
              <w:right w:val="single" w:color="auto" w:sz="4" w:space="0"/>
            </w:tcBorders>
            <w:noWrap/>
            <w:vAlign w:val="center"/>
          </w:tcPr>
          <w:p w14:paraId="5B6B0070">
            <w:pPr>
              <w:widowControl/>
              <w:spacing w:line="360" w:lineRule="auto"/>
              <w:jc w:val="left"/>
              <w:textAlignment w:val="center"/>
              <w:rPr>
                <w:rFonts w:ascii="Times New Roman" w:hAnsi="Times New Roman" w:eastAsia="宋体" w:cs="Times New Roman"/>
              </w:rPr>
            </w:pPr>
            <w:r>
              <w:rPr>
                <w:rFonts w:hint="eastAsia" w:ascii="宋体" w:hAnsi="宋体" w:eastAsia="宋体" w:cs="宋体"/>
                <w:color w:val="000000"/>
                <w:kern w:val="0"/>
                <w:sz w:val="22"/>
                <w:szCs w:val="22"/>
                <w:lang w:bidi="ar"/>
              </w:rPr>
              <w:t>一、技术参数：</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1.最大试验力：5kN</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2.试验机级别：0.5级</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3.试验力示值相对误差：±0.5%</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4.试验力测量范围：满量程的0.2%～100%</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5.横梁速度调节范围：0.00005-2000mm/min;（投标文件提供72小时验证图）</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▲6.试验力分辨力：1/500000FS（供货时提供产品制造商官方公布的产品信息，如宣传彩页第三方检测报告）；</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7.力控速率调节范围 0.005%～5%FS/s</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8.防撞保护速度：≥1000mm/min</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9.变形示值相对误差：设定值的±0.5%以内</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10.变形速率调节范围：0.02%～5%FS/s</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11.横梁位移示值相对误差：±0.5%以内</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12.横梁移动速度相对误差：设定速度＞0.01mm/min,设定值的±0.5%以内，设定速度＜0.01mm/min,设定值的±1.0%以内</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13.位移分辨力：0.02μm</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▲14.控制采样频率：1200Hz（1200Hz，600Hz,300Hz, 150Hz, 50Hz, 30Hz,任意可调（投标文件提供软件采集频率可选截图）</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二、试验要求：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1.软件支持横、竖向自适应布局，支持脱机运行模拟试验；</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2.软件支持试验进度可视化显示：采用流程节点方式展示试验进度，高亮显示当前执行节点，并实时呈现总运行时间、控制方式、控制速率和循环次数等关键信息；</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3.试验曲线可进行全局或单坐标轴的定位、缩放、平移操作支持添加辅助线等功能，满足用户在曲线分析与结果比对方面的需求；</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4.软件支持单坐标轴及双 Y 轴曲线显示，方便用户试验数据进行比对分析；</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5.软件支持绝对斜线、相对斜线、保持、清零、波形图（0.1Hz正弦波、方波、三角波）等多样化步骤模式，支持通过事件触发步骤切换等动作；</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6.软件支12窗口显示数据设置功能（投标时提供软件截图）。</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▲7.试验机具有高速防碰撞功能：允许试验机上、下夹具以不小于850mm/min的速度 50 次相撞，传感器不损坏，试验机功能正常（供货时提供国家认可的第三方检测机构出具的检测报告）</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三、配置要求：</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1.主机框架高精度滚珠丝杠副1台</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2.数字交流伺服电机1套</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3.负荷传感器1件（带专用接头，校准时可存储校准信息；当传感器接入控制系统时，系统能自动识别传感器，保证传感器数据准确性）</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▲4.四色智能光感交互系统1套(符合GB/T 4025-2010标准的四原色工业光效系统，采用呼吸频闪、双向扫描脉冲、单向动态流光、稳态高亮等灯语直观展示当前主机运行状态（供货时提供产品制造商官方公布的产品信息，如宣传彩页）</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▲5.控制器全数字闭环电气系统1套（预留全自动接口，供货时提供不低于3000小时的MTBF试验认证报告）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6.拉伸夹具及引伸计装置各1套</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7.多语言试验软件一套（支持双坐标显示模式，辅助线任意添加，语音播报，一机多用软件包）</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▲8.手控盒1套，功能性按键齐全，具有触摸彩屏，具备气动夹具的控制功能，可支持两种通讯模式，既能与控制器直连，也可与PC直连；</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9.触控操作面板1套：为了空间考虑，操控面板与测试系统须高度集成，操作半径压缩至0.5m黄金工作圈；为了提升工作效率，操作员无需在计算机和测试系统</w:t>
            </w:r>
          </w:p>
        </w:tc>
      </w:tr>
      <w:tr w14:paraId="4CD76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205CD025">
            <w:pPr>
              <w:spacing w:line="360" w:lineRule="auto"/>
              <w:jc w:val="center"/>
              <w:rPr>
                <w:rFonts w:hint="eastAsia" w:ascii="宋体" w:hAnsi="宋体" w:eastAsia="宋体" w:cs="Times New Roman"/>
                <w:szCs w:val="21"/>
              </w:rPr>
            </w:pPr>
            <w:r>
              <w:rPr>
                <w:rFonts w:hint="eastAsia" w:ascii="宋体" w:hAnsi="宋体" w:eastAsia="宋体" w:cs="Times New Roman"/>
                <w:szCs w:val="21"/>
              </w:rPr>
              <w:t>4</w:t>
            </w:r>
          </w:p>
        </w:tc>
        <w:tc>
          <w:tcPr>
            <w:tcW w:w="1090" w:type="dxa"/>
            <w:tcBorders>
              <w:top w:val="single" w:color="auto" w:sz="4" w:space="0"/>
              <w:left w:val="nil"/>
              <w:bottom w:val="single" w:color="auto" w:sz="4" w:space="0"/>
              <w:right w:val="single" w:color="auto" w:sz="4" w:space="0"/>
            </w:tcBorders>
            <w:noWrap/>
            <w:vAlign w:val="center"/>
          </w:tcPr>
          <w:p w14:paraId="48D43510">
            <w:pPr>
              <w:widowControl/>
              <w:jc w:val="center"/>
              <w:textAlignment w:val="center"/>
              <w:rPr>
                <w:rFonts w:ascii="Times New Roman" w:hAnsi="Times New Roman" w:eastAsia="宋体" w:cs="Times New Roman"/>
                <w:szCs w:val="21"/>
              </w:rPr>
            </w:pPr>
            <w:r>
              <w:rPr>
                <w:rFonts w:hint="eastAsia" w:ascii="宋体" w:hAnsi="宋体" w:eastAsia="宋体" w:cs="宋体"/>
                <w:color w:val="000000"/>
                <w:kern w:val="0"/>
                <w:sz w:val="22"/>
                <w:szCs w:val="22"/>
                <w:lang w:bidi="ar"/>
              </w:rPr>
              <w:t>电子万能材料试验机</w:t>
            </w:r>
          </w:p>
        </w:tc>
        <w:tc>
          <w:tcPr>
            <w:tcW w:w="780" w:type="dxa"/>
            <w:tcBorders>
              <w:top w:val="single" w:color="auto" w:sz="4" w:space="0"/>
              <w:left w:val="nil"/>
              <w:bottom w:val="single" w:color="auto" w:sz="4" w:space="0"/>
              <w:right w:val="single" w:color="auto" w:sz="4" w:space="0"/>
            </w:tcBorders>
            <w:noWrap/>
            <w:vAlign w:val="center"/>
          </w:tcPr>
          <w:p w14:paraId="1B19076A">
            <w:pPr>
              <w:widowControl/>
              <w:jc w:val="center"/>
              <w:textAlignment w:val="center"/>
              <w:rPr>
                <w:rFonts w:ascii="Times New Roman" w:hAnsi="Times New Roman" w:eastAsia="宋体" w:cs="Times New Roman"/>
                <w:szCs w:val="21"/>
              </w:rPr>
            </w:pPr>
            <w:r>
              <w:rPr>
                <w:rFonts w:hint="eastAsia" w:ascii="Times New Roman" w:hAnsi="Times New Roman" w:eastAsia="宋体" w:cs="Times New Roman"/>
              </w:rPr>
              <w:t>1台</w:t>
            </w:r>
          </w:p>
        </w:tc>
        <w:tc>
          <w:tcPr>
            <w:tcW w:w="7277" w:type="dxa"/>
            <w:tcBorders>
              <w:top w:val="single" w:color="auto" w:sz="4" w:space="0"/>
              <w:left w:val="nil"/>
              <w:bottom w:val="single" w:color="auto" w:sz="4" w:space="0"/>
              <w:right w:val="single" w:color="auto" w:sz="4" w:space="0"/>
            </w:tcBorders>
            <w:noWrap/>
            <w:vAlign w:val="center"/>
          </w:tcPr>
          <w:p w14:paraId="568CCFA7">
            <w:pPr>
              <w:widowControl/>
              <w:numPr>
                <w:ilvl w:val="0"/>
                <w:numId w:val="4"/>
              </w:numPr>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技术参数：</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1.试验力：10kN,具备全数字三闭环（力、变形、位移）控制功能，支持速度控制模式；</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2.试验力测量范围：0.2%～100%FS；</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3.试验力示值精度：0.3%以内；</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▲4.速度范围：0.00005-2000mm/min（供货时提供72小时验证证明材料）；</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6.横梁位置分辨力：0.0095μm；</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7.内径测量分辨力：0.01mm；</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8.位移测量精度：设定位移的±0.2%；</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9.最大行程:≥1000mm</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10.BNC 接口：2 个，DC:±10V;</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11.TTL 通道：≥2 个；</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12.有效试验空间宽度：≥400mm</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13.速度测量精度：设定速度的±0.2%（0.05mm/min～100%FS）</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▲14.采样频率不低于1200HZ（供货时提供产品制造商官方公布的产品信息，如宣传彩页）</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▲15.软件频率:1200Hz，600Hz,300Hz, 150Hz, 50Hz, 30Hz,任意可调（投标文件提供软件采集频率可选截图）。</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二、试验要求：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1.软件支持横、竖向自适应布局，支持脱机运行模拟试验；</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2.软件支持试验进度可视化显示：采用流程节点方式展示试验进度，高亮显示当前执行节点，并实时呈现总运行时间、控制方式、控制速率和循环次数等关键信息；</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3.试验曲线可进行全局或单坐标轴的定位、缩放、平移操作支持添加辅助线等功能，满足用户在曲线分析与结果比对方面的需求；</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4.软件支持单坐标轴及双 Y 轴曲线显示，方便用户试验数据进行比对分析；</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5.软件支持绝对斜线、相对斜线、保持、清零、波形（正弦波、方波、三角波）等多样化步骤模式试验，支持通过事件触发步骤切换等动作；</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6.软件支持12窗口显示功能。</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▲7.试验机具有高速防碰撞功能：允许试验机上、下夹具以不小于 1000mm/min的速度 50 次相撞，传感器不损坏，试验机功能正常。（供货提供国家认可的第三方检测机构出具的检测报告）</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▲8.符合GB/T 4025-2010标准的四原色工业光效系统，采用呼吸频闪、双向扫描脉冲、单向动态流光、稳态高亮等灯语直观展示当前主机运行状态的智能光感交互体系（供货时提供产品制造商官方公布的产品信息，如宣传彩页）</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三、配置要求：</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1.主机框架高精度滚珠丝杠副1台</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2.数字交流伺服电机1套</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3.10kN高精度力传感器1只（带专用接头，校准时可存储校准信息；当传感器接入控制系统时，系统能自动识别传感器，保证传感器数据准确性。</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4.智能光感交互系统1套</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▲5.控制器全数字闭环电气系统1套（预留自动接口，供货时提供不低于3000小时的MTBF试验认证报告）</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6.拉伸夹具1套</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7.压缩夹具1套</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8.多功能液晶屏手持控制器1套</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9.2路独立交流输出系统1套（220V/500W）</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10.控制主机1套；可多轴联动，全方位自由调节，升降俯仰，可直接触控操作视角随意切换功能。</w:t>
            </w:r>
          </w:p>
          <w:p w14:paraId="416555E7">
            <w:pPr>
              <w:widowControl/>
              <w:spacing w:line="360" w:lineRule="auto"/>
              <w:jc w:val="left"/>
              <w:textAlignment w:val="center"/>
              <w:rPr>
                <w:rFonts w:hint="eastAsia" w:ascii="宋体" w:hAnsi="宋体" w:eastAsia="宋体" w:cs="宋体"/>
                <w:color w:val="000000"/>
                <w:kern w:val="0"/>
                <w:sz w:val="22"/>
                <w:szCs w:val="22"/>
                <w:highlight w:val="yellow"/>
                <w:lang w:bidi="ar"/>
              </w:rPr>
            </w:pPr>
            <w:r>
              <w:rPr>
                <w:rFonts w:hint="eastAsia" w:ascii="宋体" w:hAnsi="宋体" w:eastAsia="宋体" w:cs="宋体"/>
                <w:color w:val="000000"/>
                <w:kern w:val="0"/>
                <w:sz w:val="22"/>
                <w:szCs w:val="22"/>
                <w:lang w:bidi="ar"/>
              </w:rPr>
              <w:t>11.触控操作面板1套：为了空间考虑，操控面板与测试系统须高度集成，操作半径压缩至0.5m黄金工作圈；为了提升工作效率，操作员无需在计算机和测试系统。</w:t>
            </w:r>
          </w:p>
        </w:tc>
      </w:tr>
      <w:tr w14:paraId="5F9EE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58F45E80">
            <w:pPr>
              <w:spacing w:line="360" w:lineRule="auto"/>
              <w:jc w:val="center"/>
              <w:rPr>
                <w:rFonts w:hint="eastAsia" w:ascii="宋体" w:hAnsi="宋体" w:eastAsia="宋体" w:cs="Times New Roman"/>
                <w:szCs w:val="21"/>
              </w:rPr>
            </w:pPr>
            <w:r>
              <w:rPr>
                <w:rFonts w:hint="eastAsia" w:ascii="宋体" w:hAnsi="宋体" w:eastAsia="宋体" w:cs="Times New Roman"/>
                <w:szCs w:val="21"/>
              </w:rPr>
              <w:t>5</w:t>
            </w:r>
          </w:p>
        </w:tc>
        <w:tc>
          <w:tcPr>
            <w:tcW w:w="1090" w:type="dxa"/>
            <w:tcBorders>
              <w:top w:val="single" w:color="auto" w:sz="4" w:space="0"/>
              <w:left w:val="nil"/>
              <w:bottom w:val="single" w:color="auto" w:sz="4" w:space="0"/>
              <w:right w:val="single" w:color="auto" w:sz="4" w:space="0"/>
            </w:tcBorders>
            <w:noWrap/>
            <w:vAlign w:val="center"/>
          </w:tcPr>
          <w:p w14:paraId="63B09D65">
            <w:pPr>
              <w:widowControl/>
              <w:jc w:val="center"/>
              <w:textAlignment w:val="center"/>
              <w:rPr>
                <w:rFonts w:ascii="Times New Roman" w:hAnsi="Times New Roman" w:eastAsia="宋体" w:cs="Times New Roman"/>
                <w:szCs w:val="21"/>
              </w:rPr>
            </w:pPr>
            <w:r>
              <w:rPr>
                <w:rFonts w:hint="eastAsia" w:ascii="宋体" w:hAnsi="宋体" w:eastAsia="宋体" w:cs="宋体"/>
                <w:color w:val="000000"/>
                <w:kern w:val="0"/>
                <w:sz w:val="22"/>
                <w:szCs w:val="22"/>
                <w:lang w:bidi="ar"/>
              </w:rPr>
              <w:t>建材制品单体燃烧试验装置</w:t>
            </w:r>
          </w:p>
        </w:tc>
        <w:tc>
          <w:tcPr>
            <w:tcW w:w="780" w:type="dxa"/>
            <w:tcBorders>
              <w:top w:val="single" w:color="auto" w:sz="4" w:space="0"/>
              <w:left w:val="nil"/>
              <w:bottom w:val="single" w:color="auto" w:sz="4" w:space="0"/>
              <w:right w:val="single" w:color="auto" w:sz="4" w:space="0"/>
            </w:tcBorders>
            <w:noWrap/>
            <w:vAlign w:val="center"/>
          </w:tcPr>
          <w:p w14:paraId="2D96C924">
            <w:pPr>
              <w:widowControl/>
              <w:jc w:val="center"/>
              <w:textAlignment w:val="center"/>
              <w:rPr>
                <w:rFonts w:ascii="Times New Roman" w:hAnsi="Times New Roman" w:eastAsia="宋体" w:cs="Times New Roman"/>
                <w:szCs w:val="21"/>
              </w:rPr>
            </w:pPr>
            <w:r>
              <w:rPr>
                <w:rFonts w:hint="eastAsia" w:ascii="Times New Roman" w:hAnsi="Times New Roman" w:eastAsia="宋体" w:cs="Times New Roman"/>
                <w:szCs w:val="21"/>
              </w:rPr>
              <w:t>1套</w:t>
            </w:r>
          </w:p>
        </w:tc>
        <w:tc>
          <w:tcPr>
            <w:tcW w:w="7277" w:type="dxa"/>
            <w:tcBorders>
              <w:top w:val="single" w:color="auto" w:sz="4" w:space="0"/>
              <w:left w:val="nil"/>
              <w:bottom w:val="single" w:color="auto" w:sz="4" w:space="0"/>
              <w:right w:val="single" w:color="auto" w:sz="4" w:space="0"/>
            </w:tcBorders>
            <w:noWrap/>
            <w:vAlign w:val="center"/>
          </w:tcPr>
          <w:p w14:paraId="71C9163E">
            <w:pPr>
              <w:widowControl/>
              <w:spacing w:line="360" w:lineRule="auto"/>
              <w:jc w:val="left"/>
              <w:textAlignment w:val="center"/>
              <w:rPr>
                <w:rFonts w:ascii="宋体" w:hAnsi="宋体" w:eastAsia="宋体" w:cs="宋体"/>
                <w:szCs w:val="21"/>
              </w:rPr>
            </w:pPr>
            <w:r>
              <w:rPr>
                <w:rFonts w:hint="eastAsia" w:ascii="宋体" w:hAnsi="宋体" w:eastAsia="宋体" w:cs="宋体"/>
                <w:color w:val="000000"/>
                <w:kern w:val="0"/>
                <w:sz w:val="22"/>
                <w:szCs w:val="22"/>
                <w:lang w:bidi="ar"/>
              </w:rPr>
              <w:t>实验设备、燃烧室、排烟系统、综合测量装置、其他通用装置等。</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1、实验设备：</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（1）小推车：其上安装两个相互垂直的样品试件，在垂直角的底部有一砂盒燃烧器。</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（2）固定框架，小推车被推入其中进行试验并支撑集气罩:框架上固定有辅助燃烧器。</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（3）集气罩，位于固定框架顶部，用以收集燃烧产生的气体</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（4）收集器，位于集气罩的顶部，带有节气板和连接排烟管道的水平出口。</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（5）J型排烟管道，内径为(315±5)mm的隔热圆管，用50m</w:t>
            </w:r>
            <w:r>
              <w:rPr>
                <w:rFonts w:hint="eastAsia" w:ascii="宋体" w:hAnsi="宋体" w:eastAsia="宋体" w:cs="宋体"/>
                <w:color w:val="000000"/>
                <w:kern w:val="0"/>
                <w:sz w:val="22"/>
                <w:szCs w:val="22"/>
                <w:lang w:val="en-US" w:eastAsia="zh-CN" w:bidi="ar"/>
              </w:rPr>
              <w:t>m</w:t>
            </w:r>
            <w:r>
              <w:rPr>
                <w:rFonts w:hint="eastAsia" w:ascii="宋体" w:hAnsi="宋体" w:eastAsia="宋体" w:cs="宋体"/>
                <w:color w:val="000000"/>
                <w:kern w:val="0"/>
                <w:sz w:val="22"/>
                <w:szCs w:val="22"/>
                <w:lang w:bidi="ar"/>
              </w:rPr>
              <w:t xml:space="preserve"> 厚的耐高温矿物棉保温。</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（6）两个相同的砂盒燃烧器，其中一个位于小推车的底板上(为主燃烧器),另外一个固定在框架柱上(为辅助燃烧器)；</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（7）矩形屏蔽板，宽度为(370±5)mm、高度为(550±5)mm,由硅酸钙板制成(其规格与背板规格相同),用以保护试样免受辅助燃烧器火焰辐射热的影响。</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（8）背板，用以支撑小推车中试样的两翼。背板的材料为硅酸钙板，其密度为(800±150)kg/m</w:t>
            </w:r>
            <w:r>
              <w:rPr>
                <w:rFonts w:hint="eastAsia" w:ascii="宋体" w:hAnsi="宋体" w:eastAsia="宋体" w:cs="宋体"/>
                <w:color w:val="000000"/>
                <w:kern w:val="0"/>
                <w:sz w:val="22"/>
                <w:szCs w:val="22"/>
                <w:vertAlign w:val="superscript"/>
                <w:lang w:val="en-US" w:eastAsia="zh-CN" w:bidi="ar"/>
              </w:rPr>
              <w:t>3</w:t>
            </w:r>
            <w:r>
              <w:rPr>
                <w:rFonts w:hint="eastAsia" w:ascii="宋体" w:hAnsi="宋体" w:eastAsia="宋体" w:cs="宋体"/>
                <w:color w:val="000000"/>
                <w:kern w:val="0"/>
                <w:sz w:val="22"/>
                <w:szCs w:val="22"/>
                <w:lang w:bidi="ar"/>
              </w:rPr>
              <w:t>.厚度为(12±3)mm.</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（9）供气开关：供气开关，用以向其中一个燃烧器供应丙烷气体</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（10）活动板：为允许在试样两翼的后面增加空气流，应用它们一半大小的板替换，遮挡上半部分间隙。</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2、燃烧室：</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（1）燃烧室的墙体材料分为砖石砌块和碳钢框架内套硅酸钙板组成。</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2）燃烧室的室内高度为（2.4±0.1）m，室内地板面积为（3.0±0.2）m×（3.0±0.2）m。燃烧室的墙面上设有一开口，小推车可由该开口推入燃烧室，开口的宽度为1470mm，高度为2450mm。垂直试样板的两前表面正对的两面墙上分别开设有窗口。为便于在小推车就位后能调控好SBI装置和试件，还增设有一道门。门的内部设有一个支架，支架顶部对应收集器，支架上安装有辅助燃烧器。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3、排烟系统：</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（1）在试验条件下，当标准条件温度为298K时，排烟系统应能以0.50</w:t>
            </w:r>
            <w:r>
              <w:rPr>
                <w:rFonts w:ascii="Times New Roman" w:hAnsi="Times New Roman" w:eastAsia="宋体" w:cs="Times New Roman"/>
              </w:rPr>
              <w:t>m</w:t>
            </w:r>
            <w:r>
              <w:rPr>
                <w:rFonts w:hint="eastAsia" w:ascii="Times New Roman" w:hAnsi="Times New Roman" w:eastAsia="宋体" w:cs="Times New Roman"/>
                <w:vertAlign w:val="superscript"/>
              </w:rPr>
              <w:t>3</w:t>
            </w:r>
            <w:r>
              <w:rPr>
                <w:rFonts w:hint="eastAsia" w:ascii="Times New Roman" w:hAnsi="Times New Roman" w:eastAsia="宋体" w:cs="Times New Roman"/>
              </w:rPr>
              <w:t>/</w:t>
            </w:r>
            <w:r>
              <w:rPr>
                <w:rFonts w:ascii="Times New Roman" w:hAnsi="Times New Roman" w:eastAsia="宋体" w:cs="Times New Roman"/>
              </w:rPr>
              <w:t>s</w:t>
            </w:r>
            <w:r>
              <w:rPr>
                <w:rFonts w:hint="eastAsia" w:ascii="宋体" w:hAnsi="宋体" w:eastAsia="宋体" w:cs="宋体"/>
                <w:color w:val="000000"/>
                <w:kern w:val="0"/>
                <w:sz w:val="22"/>
                <w:szCs w:val="22"/>
                <w:lang w:bidi="ar"/>
              </w:rPr>
              <w:t>~0.65</w:t>
            </w:r>
            <w:r>
              <w:rPr>
                <w:rFonts w:ascii="Times New Roman" w:hAnsi="Times New Roman" w:eastAsia="宋体" w:cs="Times New Roman"/>
              </w:rPr>
              <w:t>m</w:t>
            </w:r>
            <w:r>
              <w:rPr>
                <w:rFonts w:hint="eastAsia" w:ascii="Times New Roman" w:hAnsi="Times New Roman" w:eastAsia="宋体" w:cs="Times New Roman"/>
                <w:vertAlign w:val="superscript"/>
              </w:rPr>
              <w:t>3</w:t>
            </w:r>
            <w:r>
              <w:rPr>
                <w:rFonts w:hint="eastAsia" w:ascii="Times New Roman" w:hAnsi="Times New Roman" w:eastAsia="宋体" w:cs="Times New Roman"/>
              </w:rPr>
              <w:t>/</w:t>
            </w:r>
            <w:r>
              <w:rPr>
                <w:rFonts w:ascii="Times New Roman" w:hAnsi="Times New Roman" w:eastAsia="宋体" w:cs="Times New Roman"/>
              </w:rPr>
              <w:t>s</w:t>
            </w:r>
            <w:r>
              <w:rPr>
                <w:rFonts w:hint="eastAsia" w:ascii="宋体" w:hAnsi="宋体" w:eastAsia="宋体" w:cs="宋体"/>
                <w:color w:val="000000"/>
                <w:kern w:val="0"/>
                <w:sz w:val="22"/>
                <w:szCs w:val="22"/>
                <w:lang w:bidi="ar"/>
              </w:rPr>
              <w:t>的速度持续抽排烟气。</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排烟管道配有两个测管（内径为45mm的圆形管道），与排烟管道的纵轴水平垂直且其轴线高度位置与排烟管道的纵轴线高度相等。在小推车的上部有收集器与集气罩以及其它的Φ400mm排烟管道共同组成了排烟系统。在试验条件下，当标准条件温度为298K时，排烟系统以0.50m</w:t>
            </w:r>
            <w:r>
              <w:rPr>
                <w:rFonts w:hint="eastAsia" w:ascii="宋体" w:hAnsi="宋体" w:eastAsia="宋体" w:cs="宋体"/>
                <w:color w:val="000000"/>
                <w:kern w:val="0"/>
                <w:sz w:val="22"/>
                <w:szCs w:val="22"/>
                <w:vertAlign w:val="superscript"/>
                <w:lang w:bidi="ar"/>
              </w:rPr>
              <w:t>3</w:t>
            </w:r>
            <w:r>
              <w:rPr>
                <w:rFonts w:hint="eastAsia" w:ascii="宋体" w:hAnsi="宋体" w:eastAsia="宋体" w:cs="宋体"/>
                <w:color w:val="000000"/>
                <w:kern w:val="0"/>
                <w:sz w:val="22"/>
                <w:szCs w:val="22"/>
                <w:lang w:bidi="ar"/>
              </w:rPr>
              <w:t>/s～0.65 m</w:t>
            </w:r>
            <w:r>
              <w:rPr>
                <w:rFonts w:hint="eastAsia" w:ascii="宋体" w:hAnsi="宋体" w:eastAsia="宋体" w:cs="宋体"/>
                <w:color w:val="000000"/>
                <w:kern w:val="0"/>
                <w:sz w:val="22"/>
                <w:szCs w:val="22"/>
                <w:vertAlign w:val="superscript"/>
                <w:lang w:bidi="ar"/>
              </w:rPr>
              <w:t>3</w:t>
            </w:r>
            <w:r>
              <w:rPr>
                <w:rFonts w:hint="eastAsia" w:ascii="宋体" w:hAnsi="宋体" w:eastAsia="宋体" w:cs="宋体"/>
                <w:color w:val="000000"/>
                <w:kern w:val="0"/>
                <w:sz w:val="22"/>
                <w:szCs w:val="22"/>
                <w:lang w:bidi="ar"/>
              </w:rPr>
              <w:t>/s。的速度持续抽排烟气。其中在排烟管道中有叶片导流器与烟气的各个参数的测量部分。</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4、综合测量装置：</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（1）三支热电偶：符合GB/T16839.1要求的铠装绝缘K型热电偶。其触点均位于距轴线半径为（87±5）mm的圆弧上，其角度为120°，用来测量烟道中的烟气的温度参数。</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（2）压差传感器采用双向探头：与精度为±2Pa的压力传感器相连接。压力传感器90%输出的响应时间最多为1s。</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（3）在烟道中的气体取样探头：与气体调节装置O</w:t>
            </w:r>
            <w:r>
              <w:rPr>
                <w:rFonts w:hint="eastAsia" w:ascii="宋体" w:hAnsi="宋体" w:eastAsia="宋体" w:cs="宋体"/>
                <w:color w:val="000000"/>
                <w:kern w:val="0"/>
                <w:sz w:val="22"/>
                <w:szCs w:val="22"/>
                <w:vertAlign w:val="subscript"/>
                <w:lang w:bidi="ar"/>
              </w:rPr>
              <w:t>2</w:t>
            </w:r>
            <w:r>
              <w:rPr>
                <w:rFonts w:hint="eastAsia" w:ascii="宋体" w:hAnsi="宋体" w:eastAsia="宋体" w:cs="宋体"/>
                <w:color w:val="000000"/>
                <w:kern w:val="0"/>
                <w:sz w:val="22"/>
                <w:szCs w:val="22"/>
                <w:lang w:bidi="ar"/>
              </w:rPr>
              <w:t>和CO</w:t>
            </w:r>
            <w:r>
              <w:rPr>
                <w:rFonts w:hint="eastAsia" w:ascii="宋体" w:hAnsi="宋体" w:eastAsia="宋体" w:cs="宋体"/>
                <w:color w:val="000000"/>
                <w:kern w:val="0"/>
                <w:sz w:val="22"/>
                <w:szCs w:val="22"/>
                <w:vertAlign w:val="subscript"/>
                <w:lang w:bidi="ar"/>
              </w:rPr>
              <w:t>2</w:t>
            </w:r>
            <w:r>
              <w:rPr>
                <w:rFonts w:hint="eastAsia" w:ascii="宋体" w:hAnsi="宋体" w:eastAsia="宋体" w:cs="宋体"/>
                <w:color w:val="000000"/>
                <w:kern w:val="0"/>
                <w:sz w:val="22"/>
                <w:szCs w:val="22"/>
                <w:lang w:bidi="ar"/>
              </w:rPr>
              <w:t>气体分析仪相连接。</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    a) 氧气分析仪为顺磁型且能测量出浓度为16%～21%（V氧气/V空气）O</w:t>
            </w:r>
            <w:r>
              <w:rPr>
                <w:rFonts w:hint="eastAsia" w:ascii="宋体" w:hAnsi="宋体" w:eastAsia="宋体" w:cs="宋体"/>
                <w:color w:val="000000"/>
                <w:kern w:val="0"/>
                <w:sz w:val="22"/>
                <w:szCs w:val="22"/>
                <w:vertAlign w:val="subscript"/>
                <w:lang w:bidi="ar"/>
              </w:rPr>
              <w:t>2</w:t>
            </w:r>
            <w:r>
              <w:rPr>
                <w:rFonts w:hint="eastAsia" w:ascii="宋体" w:hAnsi="宋体" w:eastAsia="宋体" w:cs="宋体"/>
                <w:color w:val="000000"/>
                <w:kern w:val="0"/>
                <w:sz w:val="22"/>
                <w:szCs w:val="22"/>
                <w:lang w:bidi="ar"/>
              </w:rPr>
              <w:t>的。氧气分析仪的响应时间不超过12s。30min内，分析仪的漂移和噪声均不超过100×10</w:t>
            </w:r>
            <w:r>
              <w:rPr>
                <w:rFonts w:hint="eastAsia" w:ascii="宋体" w:hAnsi="宋体" w:eastAsia="宋体" w:cs="宋体"/>
                <w:color w:val="000000"/>
                <w:kern w:val="0"/>
                <w:sz w:val="22"/>
                <w:szCs w:val="22"/>
                <w:vertAlign w:val="superscript"/>
                <w:lang w:bidi="ar"/>
              </w:rPr>
              <w:t>-6</w:t>
            </w:r>
            <w:r>
              <w:rPr>
                <w:rFonts w:hint="eastAsia" w:ascii="宋体" w:hAnsi="宋体" w:eastAsia="宋体" w:cs="宋体"/>
                <w:color w:val="000000"/>
                <w:kern w:val="0"/>
                <w:sz w:val="22"/>
                <w:szCs w:val="22"/>
                <w:lang w:bidi="ar"/>
              </w:rPr>
              <w:t>。分析仪对数据采集系统的输出应有100×10</w:t>
            </w:r>
            <w:r>
              <w:rPr>
                <w:rFonts w:hint="eastAsia" w:ascii="宋体" w:hAnsi="宋体" w:eastAsia="宋体" w:cs="宋体"/>
                <w:color w:val="000000"/>
                <w:kern w:val="0"/>
                <w:sz w:val="22"/>
                <w:szCs w:val="22"/>
                <w:vertAlign w:val="superscript"/>
                <w:lang w:bidi="ar"/>
              </w:rPr>
              <w:t>-6</w:t>
            </w:r>
            <w:r>
              <w:rPr>
                <w:rFonts w:hint="eastAsia" w:ascii="宋体" w:hAnsi="宋体" w:eastAsia="宋体" w:cs="宋体"/>
                <w:color w:val="000000"/>
                <w:kern w:val="0"/>
                <w:sz w:val="22"/>
                <w:szCs w:val="22"/>
                <w:lang w:bidi="ar"/>
              </w:rPr>
              <w:t>的最大分辨率。</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    b)二氧化碳分析仪为IR型测量浓度为0%～10%的CO</w:t>
            </w:r>
            <w:r>
              <w:rPr>
                <w:rFonts w:hint="eastAsia" w:ascii="宋体" w:hAnsi="宋体" w:eastAsia="宋体" w:cs="宋体"/>
                <w:color w:val="000000"/>
                <w:kern w:val="0"/>
                <w:sz w:val="22"/>
                <w:szCs w:val="22"/>
                <w:vertAlign w:val="subscript"/>
                <w:lang w:bidi="ar"/>
              </w:rPr>
              <w:t>2</w:t>
            </w:r>
            <w:r>
              <w:rPr>
                <w:rFonts w:hint="eastAsia" w:ascii="宋体" w:hAnsi="宋体" w:eastAsia="宋体" w:cs="宋体"/>
                <w:color w:val="000000"/>
                <w:kern w:val="0"/>
                <w:sz w:val="22"/>
                <w:szCs w:val="22"/>
                <w:lang w:bidi="ar"/>
              </w:rPr>
              <w:t>。分析仪的线性度满足量程的1%。分析仪的响应时间不超过12s。分析仪对数据采集系统的输出有100×10</w:t>
            </w:r>
            <w:r>
              <w:rPr>
                <w:rFonts w:hint="eastAsia" w:ascii="宋体" w:hAnsi="宋体" w:eastAsia="宋体" w:cs="宋体"/>
                <w:color w:val="000000"/>
                <w:kern w:val="0"/>
                <w:sz w:val="22"/>
                <w:szCs w:val="22"/>
                <w:vertAlign w:val="superscript"/>
                <w:lang w:bidi="ar"/>
              </w:rPr>
              <w:t>-6</w:t>
            </w:r>
            <w:r>
              <w:rPr>
                <w:rFonts w:hint="eastAsia" w:ascii="宋体" w:hAnsi="宋体" w:eastAsia="宋体" w:cs="宋体"/>
                <w:color w:val="000000"/>
                <w:kern w:val="0"/>
                <w:sz w:val="22"/>
                <w:szCs w:val="22"/>
                <w:lang w:bidi="ar"/>
              </w:rPr>
              <w:t>的最大分辨率。</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（4）光衰减系统：为白炽光型，采用柔性接头安装于排烟管的测管上，并包含有以下装置：</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a）白炽灯在（2900±100）K的色温下使用，电源为稳定的直流电，且电流的波动范围在±0.5%以内（包括温度、短期以及长期稳定性）。</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b）透镜系统，用以将光聚成一直径至少为20mm的平行光束。光电管的发光孔位于前面的透镜焦点上。</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c）探测器，其光谱分布响应度与CIE（光照曲线）相吻合，在至少两位数以上的输出范围内，探测器输出的线性度在所测量的透光率的3%以内或绝对透光率的1%以内。</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5、其他通用装置：其它的测量装置有采用3mm的K型热电偶，用以测量进入燃烧室空气的环境温度，热电偶安装在燃烧室的外墙上；测量环境压力的装置，精度为±200Pa；测量室内空气相对湿度的装置，在相对湿度为20%～80%范围内，精度为±5%。</w:t>
            </w:r>
          </w:p>
        </w:tc>
      </w:tr>
      <w:tr w14:paraId="170BE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1A83415C">
            <w:pPr>
              <w:spacing w:line="360" w:lineRule="auto"/>
              <w:jc w:val="center"/>
              <w:rPr>
                <w:rFonts w:hint="eastAsia" w:ascii="宋体" w:hAnsi="宋体" w:eastAsia="宋体" w:cs="Times New Roman"/>
                <w:szCs w:val="21"/>
              </w:rPr>
            </w:pPr>
            <w:r>
              <w:rPr>
                <w:rFonts w:hint="eastAsia" w:ascii="宋体" w:hAnsi="宋体" w:eastAsia="宋体" w:cs="Times New Roman"/>
                <w:szCs w:val="21"/>
              </w:rPr>
              <w:t>6</w:t>
            </w:r>
          </w:p>
        </w:tc>
        <w:tc>
          <w:tcPr>
            <w:tcW w:w="1090" w:type="dxa"/>
            <w:tcBorders>
              <w:top w:val="single" w:color="auto" w:sz="4" w:space="0"/>
              <w:left w:val="nil"/>
              <w:bottom w:val="single" w:color="auto" w:sz="4" w:space="0"/>
              <w:right w:val="single" w:color="auto" w:sz="4" w:space="0"/>
            </w:tcBorders>
            <w:noWrap/>
            <w:vAlign w:val="center"/>
          </w:tcPr>
          <w:p w14:paraId="65EC170A">
            <w:pPr>
              <w:widowControl/>
              <w:jc w:val="center"/>
              <w:textAlignment w:val="center"/>
              <w:rPr>
                <w:rFonts w:ascii="宋体" w:hAnsi="宋体" w:eastAsia="宋体" w:cs="宋体"/>
                <w:kern w:val="0"/>
                <w:szCs w:val="21"/>
                <w:lang w:bidi="ar"/>
              </w:rPr>
            </w:pPr>
            <w:r>
              <w:rPr>
                <w:rFonts w:hint="eastAsia" w:ascii="宋体" w:hAnsi="宋体" w:eastAsia="宋体" w:cs="宋体"/>
                <w:color w:val="000000"/>
                <w:kern w:val="0"/>
                <w:sz w:val="22"/>
                <w:szCs w:val="22"/>
                <w:lang w:bidi="ar"/>
              </w:rPr>
              <w:t>热释放及产烟毒性测试系统</w:t>
            </w:r>
          </w:p>
        </w:tc>
        <w:tc>
          <w:tcPr>
            <w:tcW w:w="780" w:type="dxa"/>
            <w:tcBorders>
              <w:top w:val="single" w:color="auto" w:sz="4" w:space="0"/>
              <w:left w:val="nil"/>
              <w:bottom w:val="single" w:color="auto" w:sz="4" w:space="0"/>
              <w:right w:val="single" w:color="auto" w:sz="4" w:space="0"/>
            </w:tcBorders>
            <w:noWrap/>
            <w:vAlign w:val="center"/>
          </w:tcPr>
          <w:p w14:paraId="053D58DA">
            <w:pPr>
              <w:widowControl/>
              <w:jc w:val="center"/>
              <w:textAlignment w:val="center"/>
              <w:rPr>
                <w:rFonts w:ascii="Times New Roman" w:hAnsi="Times New Roman" w:eastAsia="宋体" w:cs="Times New Roman"/>
                <w:szCs w:val="21"/>
              </w:rPr>
            </w:pPr>
            <w:r>
              <w:rPr>
                <w:rFonts w:hint="eastAsia" w:ascii="Times New Roman" w:hAnsi="Times New Roman" w:eastAsia="宋体" w:cs="Times New Roman"/>
                <w:szCs w:val="21"/>
              </w:rPr>
              <w:t>1套</w:t>
            </w:r>
          </w:p>
        </w:tc>
        <w:tc>
          <w:tcPr>
            <w:tcW w:w="7277" w:type="dxa"/>
            <w:tcBorders>
              <w:top w:val="single" w:color="auto" w:sz="4" w:space="0"/>
              <w:left w:val="nil"/>
              <w:bottom w:val="single" w:color="auto" w:sz="4" w:space="0"/>
              <w:right w:val="single" w:color="auto" w:sz="4" w:space="0"/>
            </w:tcBorders>
            <w:noWrap/>
            <w:vAlign w:val="center"/>
          </w:tcPr>
          <w:p w14:paraId="0D03898F">
            <w:pPr>
              <w:widowControl/>
              <w:spacing w:line="360" w:lineRule="auto"/>
              <w:jc w:val="left"/>
              <w:textAlignment w:val="center"/>
              <w:rPr>
                <w:rFonts w:ascii="宋体" w:hAnsi="宋体" w:eastAsia="宋体" w:cs="宋体"/>
                <w:kern w:val="0"/>
                <w:szCs w:val="21"/>
                <w:lang w:bidi="ar"/>
              </w:rPr>
            </w:pPr>
            <w:r>
              <w:rPr>
                <w:rFonts w:hint="eastAsia" w:ascii="宋体" w:hAnsi="宋体" w:eastAsia="宋体" w:cs="宋体"/>
                <w:color w:val="000000"/>
                <w:kern w:val="0"/>
                <w:sz w:val="22"/>
                <w:szCs w:val="22"/>
                <w:lang w:bidi="ar"/>
              </w:rPr>
              <w:t>1.1.适用范围：</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适用于建筑工程中使用的电缆及光缆燃烧性能试验。</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 试验可以得到电缆或光缆在特定燃烧条件下的下述特性：火焰蔓延(FS)；热释放速率(HRR)；热释放总量（THR）；产烟速率(SPR)；产烟总量(TSP)；</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燃烧增长速率指数(FIGRA)；燃烧的滴落物/微粒；</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1.2.符合标准：</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1.2.1.符合中国标准GB 31247-2014《电缆及光缆燃烧性能分级》</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1.2.2.符合中国标准GB/T 31248-2014《电缆和光缆在受火条件下火焰蔓延热释放和产烟特性的试验方法》；</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1.2.3.符合中国公安部标准GA/T716-2007《电缆和光缆在受火条件下的火焰传播及热释放和产烟特性的试验方法》。</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1.3.主要特点：</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1.3.1.严格按照GB/T31248-2014标准设计，符合GB</w:t>
            </w:r>
            <w:r>
              <w:rPr>
                <w:rFonts w:hint="eastAsia" w:ascii="宋体" w:hAnsi="宋体" w:eastAsia="宋体" w:cs="宋体"/>
                <w:color w:val="000000"/>
                <w:kern w:val="0"/>
                <w:sz w:val="22"/>
                <w:szCs w:val="22"/>
                <w:lang w:val="en-US" w:eastAsia="zh-CN" w:bidi="ar"/>
              </w:rPr>
              <w:t xml:space="preserve"> </w:t>
            </w:r>
            <w:r>
              <w:rPr>
                <w:rFonts w:hint="eastAsia" w:ascii="宋体" w:hAnsi="宋体" w:eastAsia="宋体" w:cs="宋体"/>
                <w:color w:val="000000"/>
                <w:kern w:val="0"/>
                <w:sz w:val="22"/>
                <w:szCs w:val="22"/>
                <w:lang w:bidi="ar"/>
              </w:rPr>
              <w:t>31247-2014电线和光缆燃烧性能分级外。</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1.3.2.气体分析：氧气，二氧化碳采用传感器和模块；</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1.4.主要参数：</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1.4.1.仪器组成：燃烧室、集烟罩、空气供给系统、标准梯、点火源、排烟管道段、取样和测量管道段、烟密度光学测试系统、气体分析模块、数据采集和软件处理系统、计算机控制系统、燃烧气体控制系统和排烟系统等部分组成。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1.4.2.燃烧室：</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1.4.2.1.试验箱：约宽（1000±50）mm，深（2000±50）mm和高（4000±50）mm的自立箱体。试验箱的顶部安装钢梯一侧开有出烟口，尺寸宽为300±30mm，长为1000±100mm。试验箱的后墙和两侧采用传热系数约为0.7W.m-2.K-1的热绝缘材料。符合GB/T 18380.31-2022之5.1条款要求</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1.4.2.2.试验箱的材质：采用方通钢结构，内壁为1.5mm厚不锈钢，在钢板上包覆65mm厚的传热系数为0.7W·m-2·K-1热绝缘棉，外壁为1.5mm不锈钢板。配备钢梯到燃烧室顶，符合GB/T 18380.31-2022之 5.3条款要求；</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1.4.2.3.试验箱正面安装大门，门上设有钢化玻璃视窗，能够随时观察室内试验情况。试验过程中，大门为关闭密封状态，防止燃烧产生的有害物质污染室内空气。</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1.4.3.空气供给系统：符合GB/T31248-2014之4.2节条款要求。</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1.4.3.1.试验箱底部空气进气口尺寸：（800±20）×（400±10）（mm）。在空气进气口安装有空气箱，空气通过安装于进气口下的空气箱直接引入到燃烧室，空气箱的尺寸与进气口大小一样。空气箱的深度为150mm±10mm，空气由风机通过矩形直管道吹入空气箱中，矩形管道宽300mm±10mm，高80mm±5mm，长为800mm，其底面与空气箱底面的间距为5～10mm；管道平行于底面，同时沿着喷灯的中心线敷设，并通过空气箱最长边的中间处将空气引入。在进气口处安装有格栅，使空气流动均匀并保持一致，格栅由2mm厚的钢板制成，钢板上钻有标称直径为5mm，中心距为8mm的孔。</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1.4.3.2.空气引入风机：试验前在矩形管道之前的圆形管道横截面上测量空气流量，并将空气流量设置为8000L/min±400L/min，试验过程中维持稳定的空气流量，其偏差在设定值的10%范围内。</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1.4.4.试样安装：</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1.4.4.1.常用安装：宽（500±5）,高(3500±10)mm；材质为SUS304不锈钢。安装方式符合GB/T31248-2014之6.5.1节和GB/T18380.31-2022试验要求；</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1.4.4.2.特殊安装：在常用钢梯后加装不燃硅酸钙背板，试样的安装与常用钢梯一样。将不燃硅酸钙背板沿标准钢梯固定在横档上，其密度为870kg/m</w:t>
            </w:r>
            <w:r>
              <w:rPr>
                <w:rFonts w:hint="eastAsia" w:ascii="宋体" w:hAnsi="宋体" w:eastAsia="宋体" w:cs="宋体"/>
                <w:color w:val="000000"/>
                <w:kern w:val="0"/>
                <w:sz w:val="22"/>
                <w:szCs w:val="22"/>
                <w:vertAlign w:val="superscript"/>
                <w:lang w:bidi="ar"/>
              </w:rPr>
              <w:t>3</w:t>
            </w:r>
            <w:r>
              <w:rPr>
                <w:rFonts w:hint="eastAsia" w:ascii="宋体" w:hAnsi="宋体" w:eastAsia="宋体" w:cs="宋体"/>
                <w:color w:val="000000"/>
                <w:kern w:val="0"/>
                <w:sz w:val="22"/>
                <w:szCs w:val="22"/>
                <w:lang w:bidi="ar"/>
              </w:rPr>
              <w:t>±50kg/m</w:t>
            </w:r>
            <w:r>
              <w:rPr>
                <w:rFonts w:hint="eastAsia" w:ascii="宋体" w:hAnsi="宋体" w:eastAsia="宋体" w:cs="宋体"/>
                <w:color w:val="000000"/>
                <w:kern w:val="0"/>
                <w:sz w:val="22"/>
                <w:szCs w:val="22"/>
                <w:vertAlign w:val="superscript"/>
                <w:lang w:bidi="ar"/>
              </w:rPr>
              <w:t>3</w:t>
            </w:r>
            <w:r>
              <w:rPr>
                <w:rFonts w:hint="eastAsia" w:ascii="宋体" w:hAnsi="宋体" w:eastAsia="宋体" w:cs="宋体"/>
                <w:color w:val="000000"/>
                <w:kern w:val="0"/>
                <w:sz w:val="22"/>
                <w:szCs w:val="22"/>
                <w:lang w:bidi="ar"/>
              </w:rPr>
              <w:t>，厚度为11mm±2mm，宽度为415mm±15mm,长度为3500mm±10mm。安装方式符合GB/T31248-2014之6.5.1节和GB/T18380.31-2022试验要求；</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1.4.4.3.箱体上端装有起吊钢梯用的电动葫芦及支架等组成。</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1.4.4.4.钢梯符合GB/T 18380.31-2022之 5.3节条款要求</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1.4.5.吸烟罩：</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1.4.5.1.吸烟罩安装于燃烧室排烟口的正上方，高于燃烧室排烟口200mm～400mm，最长边与排烟口的最长边平行，底面的最小尺寸为1500mm×1000mm。</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1.4.5.2.空气和烟气混合挡板：吸烟罩上方设有一个与排烟管道相连的集烟室在进烟口处安装有空气和烟气混合挡板。</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1.4.5.3.试验过程中产生的所有气体通过排烟管排出，整个过程不能有任何火焰的穿出和烟气的泄漏。系统的排烟能力为1.5m</w:t>
            </w:r>
            <w:r>
              <w:rPr>
                <w:rFonts w:hint="eastAsia" w:ascii="宋体" w:hAnsi="宋体" w:eastAsia="宋体" w:cs="宋体"/>
                <w:color w:val="000000"/>
                <w:kern w:val="0"/>
                <w:sz w:val="22"/>
                <w:szCs w:val="22"/>
                <w:vertAlign w:val="superscript"/>
                <w:lang w:bidi="ar"/>
              </w:rPr>
              <w:t>3</w:t>
            </w:r>
            <w:r>
              <w:rPr>
                <w:rFonts w:hint="eastAsia" w:ascii="宋体" w:hAnsi="宋体" w:eastAsia="宋体" w:cs="宋体"/>
                <w:color w:val="000000"/>
                <w:kern w:val="0"/>
                <w:sz w:val="22"/>
                <w:szCs w:val="22"/>
                <w:lang w:bidi="ar"/>
              </w:rPr>
              <w:t>/s以上。</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1.4.5.4.符合GB/T 31248-2014中4.3标准要求</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1.4.6.排烟管道：</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1.4.6.1.排烟管道与吸烟罩相连。管道的内径D250mm-400mm。为了在测量点处形成均匀的流量分布，管道的直管段长度不小于4800mm。</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1.4.6.2.排烟管道材质：采用双层管道，内层SUS304不锈钢，中间为石棉层，外层为碳钢。</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1.4.6.3.同时为了精确测量流量，我公司依照欧盟标准EN14390的规定，通过导流片，在测试段的前后形成匀流面。</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1.4.6.4.排烟管道内的体积流量：排烟管道内的体积流量设置为1.0m</w:t>
            </w:r>
            <w:r>
              <w:rPr>
                <w:rFonts w:hint="eastAsia" w:ascii="宋体" w:hAnsi="宋体" w:eastAsia="宋体" w:cs="宋体"/>
                <w:color w:val="000000"/>
                <w:kern w:val="0"/>
                <w:sz w:val="22"/>
                <w:szCs w:val="22"/>
                <w:vertAlign w:val="superscript"/>
                <w:lang w:bidi="ar"/>
              </w:rPr>
              <w:t>3</w:t>
            </w:r>
            <w:r>
              <w:rPr>
                <w:rFonts w:hint="eastAsia" w:ascii="宋体" w:hAnsi="宋体" w:eastAsia="宋体" w:cs="宋体"/>
                <w:color w:val="000000"/>
                <w:kern w:val="0"/>
                <w:sz w:val="22"/>
                <w:szCs w:val="22"/>
                <w:lang w:bidi="ar"/>
              </w:rPr>
              <w:t>/s±0.05m</w:t>
            </w:r>
            <w:r>
              <w:rPr>
                <w:rFonts w:hint="eastAsia" w:ascii="宋体" w:hAnsi="宋体" w:eastAsia="宋体" w:cs="宋体"/>
                <w:color w:val="000000"/>
                <w:kern w:val="0"/>
                <w:sz w:val="22"/>
                <w:szCs w:val="22"/>
                <w:vertAlign w:val="superscript"/>
                <w:lang w:bidi="ar"/>
              </w:rPr>
              <w:t>3</w:t>
            </w:r>
            <w:r>
              <w:rPr>
                <w:rFonts w:hint="eastAsia" w:ascii="宋体" w:hAnsi="宋体" w:eastAsia="宋体" w:cs="宋体"/>
                <w:color w:val="000000"/>
                <w:kern w:val="0"/>
                <w:sz w:val="22"/>
                <w:szCs w:val="22"/>
                <w:lang w:bidi="ar"/>
              </w:rPr>
              <w:t>/s，试验过程中体积流量保持在0.7m</w:t>
            </w:r>
            <w:r>
              <w:rPr>
                <w:rFonts w:hint="eastAsia" w:ascii="宋体" w:hAnsi="宋体" w:eastAsia="宋体" w:cs="宋体"/>
                <w:color w:val="000000"/>
                <w:kern w:val="0"/>
                <w:sz w:val="22"/>
                <w:szCs w:val="22"/>
                <w:vertAlign w:val="superscript"/>
                <w:lang w:bidi="ar"/>
              </w:rPr>
              <w:t>3</w:t>
            </w:r>
            <w:r>
              <w:rPr>
                <w:rFonts w:hint="eastAsia" w:ascii="宋体" w:hAnsi="宋体" w:eastAsia="宋体" w:cs="宋体"/>
                <w:color w:val="000000"/>
                <w:kern w:val="0"/>
                <w:sz w:val="22"/>
                <w:szCs w:val="22"/>
                <w:lang w:bidi="ar"/>
              </w:rPr>
              <w:t>/s～1.2m</w:t>
            </w:r>
            <w:r>
              <w:rPr>
                <w:rFonts w:hint="eastAsia" w:ascii="宋体" w:hAnsi="宋体" w:eastAsia="宋体" w:cs="宋体"/>
                <w:color w:val="000000"/>
                <w:kern w:val="0"/>
                <w:sz w:val="22"/>
                <w:szCs w:val="22"/>
                <w:vertAlign w:val="superscript"/>
                <w:lang w:bidi="ar"/>
              </w:rPr>
              <w:t>3</w:t>
            </w:r>
            <w:r>
              <w:rPr>
                <w:rFonts w:hint="eastAsia" w:ascii="宋体" w:hAnsi="宋体" w:eastAsia="宋体" w:cs="宋体"/>
                <w:color w:val="000000"/>
                <w:kern w:val="0"/>
                <w:sz w:val="22"/>
                <w:szCs w:val="22"/>
                <w:lang w:bidi="ar"/>
              </w:rPr>
              <w:t>/s范围内。</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1.4.7.双向探头:</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1.4.7.1.安装位置：双向探头测量排烟管道中的体积流量，探头安装在距排烟管道始端长度为3200mm的管道中心线位置上，至排烟管道末端的连接管道长度1600mm。探头为长32mm，外径16mm的圆柱体，由不锈钢材料制成。符合GB/T 31248-2014中4.5.1要求；</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1.4.7.2.差压传感器：采用高精度差压变送器，测量管道差压。为高精度双向探头，量程为（0～200）Pa、精度为±1Pa；</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1.4.7.3.热电偶：采用符合GB/T16839.1-2018规定的K型铠装热电偶测量探头附近区域的气体温度，热电偶丝径为1.5mm。</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1.4.8.取样探头：取样探头安装在排烟管道中烟气充分混合处。取样探头为圆柱形，以此减小对其周围烟气流的干扰。符合GB/T 31248-2014之4.5.2节要求；</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1.4.9.采样系统：</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1.4.9.1.采样系统组成：由取样管、烟尘过滤器、冷阱、干燥柱、真空取样泵组成，能保证有效地采集烟气样品。</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1.4.9.2.取样管采用PTEE耐腐蚀材料制成。</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1.4.9.3.烟尘过滤器：燃烧产生的气体由过滤器进行多级过滤，以达到分析部分要求的粒子浓度等级。</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1.4.9.4.冷阱：抽出来的烟气通过低温凝结，产生水蒸气，然后水蒸气从烟尘中分离出来；</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1.4.9.5.干燥柱：分离出来的烟气再经过双级干燥柱干燥；</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1.4.9.6.真空取样泵：采用隔膜泵，泵的排出能力在10L/min～50L/min。</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1.4.10.风机：在排烟管道末端安装一个排烟风机，在温度为25℃和常压的条件，风机的排风能力大于1.5m</w:t>
            </w:r>
            <w:r>
              <w:rPr>
                <w:rFonts w:hint="eastAsia" w:ascii="宋体" w:hAnsi="宋体" w:eastAsia="宋体" w:cs="宋体"/>
                <w:color w:val="000000"/>
                <w:kern w:val="0"/>
                <w:sz w:val="22"/>
                <w:szCs w:val="22"/>
                <w:vertAlign w:val="superscript"/>
                <w:lang w:bidi="ar"/>
              </w:rPr>
              <w:t>3</w:t>
            </w:r>
            <w:r>
              <w:rPr>
                <w:rFonts w:hint="eastAsia" w:ascii="宋体" w:hAnsi="宋体" w:eastAsia="宋体" w:cs="宋体"/>
                <w:color w:val="000000"/>
                <w:kern w:val="0"/>
                <w:sz w:val="22"/>
                <w:szCs w:val="22"/>
                <w:lang w:bidi="ar"/>
              </w:rPr>
              <w:t>/s。</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1.4.11.烟密度测量设备：</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1.4.11.1.排烟管道内的烟气透光率使用白光测烟系统测量</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1.4.11.2.白光测烟系统采用接头安装于排烟管的侧管上，并包含以下装置：</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①光源：为白炽灯并在(2900±100)K的色温下使用。电源为稳定的直流电，且电流的波动范围在±0.5%以内(包括温度、短期及长期稳定性)。</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②透镜系统：光电管的发光孔位于其前面的透镜的焦点上，且其直径(d)视透镜的焦距(f)而定以使d/f小于0.04。</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③检测器：检测器的光谱分布响应曲线与国际照明委员会(CIE)光视效率函数(V函数，用光视效率曲线表示)一致，其精度为±5%。在最大、最小透光率比值不小于2个对数单位(10</w:t>
            </w:r>
            <w:r>
              <w:rPr>
                <w:rFonts w:hint="eastAsia" w:ascii="宋体" w:hAnsi="宋体" w:eastAsia="宋体" w:cs="宋体"/>
                <w:color w:val="000000"/>
                <w:kern w:val="0"/>
                <w:sz w:val="22"/>
                <w:szCs w:val="22"/>
                <w:vertAlign w:val="superscript"/>
                <w:lang w:bidi="ar"/>
              </w:rPr>
              <w:t>2</w:t>
            </w:r>
            <w:r>
              <w:rPr>
                <w:rFonts w:hint="eastAsia" w:ascii="宋体" w:hAnsi="宋体" w:eastAsia="宋体" w:cs="宋体"/>
                <w:color w:val="000000"/>
                <w:kern w:val="0"/>
                <w:sz w:val="22"/>
                <w:szCs w:val="22"/>
                <w:lang w:bidi="ar"/>
              </w:rPr>
              <w:t>)的情况下，检测器输出线性度不超过滤光片透光率测量值的±3%或光密度测量值的±0.01。</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④光衰减系统的90%响应时间不超过3s,向侧管内导入空气以使光学器件保持符合光衰减漂移要求的洁净度，可使用压缩空气来替代自吸式系统，具体参数如下：</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1）光源：为白炽灯</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2）标称功率：100W</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3）标称电压：12V</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4）精度：±0.01V</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5）标称光通量：2000～3000Lm</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6）标称色温：2800K～3000K，满足GB/T17651.1 5.2要求。</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7）接受器：为硅光电池，经板卡放大信号，通过I/O板卡输入到电脑，光谱响应与国际照明委员会（CIE）的测光仪相匹配。</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8）安装：安装在长度为150mm的管子一端，另一端为防尘窗，管子內壁为光泽黑色，防反射。</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9）透光率0%为无光线通过，透光率100%光无遮挡完全通过。</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10）可测透光率范围(0～100)%；</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1.4.12.烟气分析设备：</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1.4.12.1.氧气分析：</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（1）测量范围：（0-25）%</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（2）信号输出：4-20mA；</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（3）分辨率100×10</w:t>
            </w:r>
            <w:r>
              <w:rPr>
                <w:rFonts w:hint="eastAsia" w:ascii="宋体" w:hAnsi="宋体" w:eastAsia="宋体" w:cs="宋体"/>
                <w:color w:val="000000"/>
                <w:kern w:val="0"/>
                <w:sz w:val="22"/>
                <w:szCs w:val="22"/>
                <w:vertAlign w:val="superscript"/>
                <w:lang w:bidi="ar"/>
              </w:rPr>
              <w:t>-6</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（4）相对湿度：&lt;90%（无凝结）；</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（5）线性度偏差：&lt;±0.1% O</w:t>
            </w:r>
            <w:r>
              <w:rPr>
                <w:rFonts w:hint="eastAsia" w:ascii="宋体" w:hAnsi="宋体" w:eastAsia="宋体" w:cs="宋体"/>
                <w:color w:val="000000"/>
                <w:kern w:val="0"/>
                <w:sz w:val="22"/>
                <w:szCs w:val="22"/>
                <w:vertAlign w:val="subscript"/>
                <w:lang w:bidi="ar"/>
              </w:rPr>
              <w:t>2</w:t>
            </w:r>
            <w:r>
              <w:rPr>
                <w:rFonts w:hint="eastAsia" w:ascii="宋体" w:hAnsi="宋体" w:eastAsia="宋体" w:cs="宋体"/>
                <w:color w:val="000000"/>
                <w:kern w:val="0"/>
                <w:sz w:val="22"/>
                <w:szCs w:val="22"/>
                <w:lang w:bidi="ar"/>
              </w:rPr>
              <w:t>；</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（6）零点漂移：≤0.5%/月；</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（7）量程漂移: ≤0.5%/月</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（8）内部信号处理时间小于1S；</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（9）响应时间：T90&lt;5秒</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（10）重复性：&lt;±0.02% O</w:t>
            </w:r>
            <w:r>
              <w:rPr>
                <w:rFonts w:hint="eastAsia" w:ascii="宋体" w:hAnsi="宋体" w:eastAsia="宋体" w:cs="宋体"/>
                <w:color w:val="000000"/>
                <w:kern w:val="0"/>
                <w:sz w:val="22"/>
                <w:szCs w:val="22"/>
                <w:vertAlign w:val="subscript"/>
                <w:lang w:bidi="ar"/>
              </w:rPr>
              <w:t>2</w:t>
            </w:r>
            <w:r>
              <w:rPr>
                <w:rFonts w:hint="eastAsia" w:ascii="宋体" w:hAnsi="宋体" w:eastAsia="宋体" w:cs="宋体"/>
                <w:color w:val="000000"/>
                <w:kern w:val="0"/>
                <w:sz w:val="22"/>
                <w:szCs w:val="22"/>
                <w:lang w:bidi="ar"/>
              </w:rPr>
              <w:t>；</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1.4.12.2.二氧化碳（CO</w:t>
            </w:r>
            <w:r>
              <w:rPr>
                <w:rFonts w:hint="eastAsia" w:ascii="宋体" w:hAnsi="宋体" w:eastAsia="宋体" w:cs="宋体"/>
                <w:color w:val="000000"/>
                <w:kern w:val="0"/>
                <w:sz w:val="22"/>
                <w:szCs w:val="22"/>
                <w:vertAlign w:val="subscript"/>
                <w:lang w:bidi="ar"/>
              </w:rPr>
              <w:t>2</w:t>
            </w:r>
            <w:r>
              <w:rPr>
                <w:rFonts w:hint="eastAsia" w:ascii="宋体" w:hAnsi="宋体" w:eastAsia="宋体" w:cs="宋体"/>
                <w:color w:val="000000"/>
                <w:kern w:val="0"/>
                <w:sz w:val="22"/>
                <w:szCs w:val="22"/>
                <w:lang w:bidi="ar"/>
              </w:rPr>
              <w:t>）测量：</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（1）采用红外线（IR）测量；</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（2）测量范围：0-10%；</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（3）重复性：＜±1%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（4）零点漂移：≤ 0.5%/月</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（5）量程漂移: ≤ 0.5%/月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（6）线性偏差: ＜±1%</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（7）响应时间:T90&lt;5秒</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（8）数据采集系统的输出分辨率优于100×10</w:t>
            </w:r>
            <w:r>
              <w:rPr>
                <w:rFonts w:hint="eastAsia" w:ascii="宋体" w:hAnsi="宋体" w:eastAsia="宋体" w:cs="宋体"/>
                <w:color w:val="000000"/>
                <w:kern w:val="0"/>
                <w:sz w:val="22"/>
                <w:szCs w:val="22"/>
                <w:vertAlign w:val="superscript"/>
                <w:lang w:bidi="ar"/>
              </w:rPr>
              <w:t>-6</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（9）模拟输出:4～20mA    750Ω</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（10）环境温度:5℃～＋45℃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（11）供电:220VAC±10%,50～60Hz   5000W</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（12） 30min内分析的噪声漂移均不超过100×10</w:t>
            </w:r>
            <w:r>
              <w:rPr>
                <w:rFonts w:hint="eastAsia" w:ascii="宋体" w:hAnsi="宋体" w:eastAsia="宋体" w:cs="宋体"/>
                <w:color w:val="000000"/>
                <w:kern w:val="0"/>
                <w:sz w:val="22"/>
                <w:szCs w:val="22"/>
                <w:vertAlign w:val="superscript"/>
                <w:lang w:bidi="ar"/>
              </w:rPr>
              <w:t>-6</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1.4.13.整台试验仪器的标定：</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1.4.13.1.流量分布测量：流速分布因子Kc测量，配备双向探头测量；</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1.4.13.2.采样滞后时间测量;采用电脑软件对所有数据做了修正；</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1.4.14.点火源：</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1.4.14.1.喷灯：文丘里空气丙烷混合型喷灯，长度为341mm</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A、每一个喷灯钻有242个Ø1.32mm的喷火孔</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B、燃烧气体：纯度达95％的丙烷。</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C、助燃气体：压缩空气。（气压需达到10Mba以上）</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D、空气流量: (600～6000)mg/min可调。</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E、丙烷流量：(200～2000±0.5)mg/min可调。</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1.4.14.2.质量流量：采用质量流量计，量程：0～2.5g/s，其中在量程范围（0.6～2.5）g/s；精度1%；数显，带4～20mA输出，通过采集卡直接可由电脑控制，反应速度快，控制精度高。</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1.4.15.数据采集精度及采集时间：</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1.4.15.1.O2和CO2，精度为100×10-6（0.01%）；</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1.4.15.2.温度测量：0-400℃; 精度±0.5℃；</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1.4.15.3.测量室内空气相对湿度装置：20％～80％，精度５％；</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1.4.15.4.时间记录系统精度：0.1s；</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1.4.15.5.测试时间：1～99m/s可设定；</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1.4.15.6.其他参数的精度：为满量程输出值的0.1％；</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1.4.15.7.采集时间：采集系统每３s自动采集储存一次。</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1.4.16.计算机控制系统：</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1.4.16.1.使用工控机。采用仪器设备专用开发软件及数据采集控制卡；</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1.4.16.2.校准程式：配有独立的常规校准程式。</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1.4.16.3.试验记录（3秒/次）按编号存储，可随时查询；可以实时查看试验报表打印效果，只需点击开始、计算和保存等按钮就可完成，使用简便。</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1.4.16.4.同时增加数据调取功能，可以加载以往的实验数据进行重新计算并形成报告。</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1.5.整机性能：</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1.5.1.整机使用空间：长11米，宽7米，高5.5米以上（含控制室、制样区域、燃气室等空间）</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1.5.2.控制室建设：长3米，宽3米，高2.8米（由采购人负责）；</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1.5.3.整机功率：AC380V，三相五线制；功率：＞15kw；</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1.5.4.设备具有下列安全保护装置：电源超载、 短路保护、控制回路过载保护。</w:t>
            </w:r>
          </w:p>
        </w:tc>
      </w:tr>
      <w:tr w14:paraId="14A7D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21B147B3">
            <w:pPr>
              <w:spacing w:line="360" w:lineRule="auto"/>
              <w:jc w:val="center"/>
              <w:rPr>
                <w:rFonts w:hint="eastAsia" w:ascii="宋体" w:hAnsi="宋体" w:eastAsia="宋体" w:cs="Times New Roman"/>
                <w:szCs w:val="21"/>
              </w:rPr>
            </w:pPr>
            <w:r>
              <w:rPr>
                <w:rFonts w:hint="eastAsia" w:ascii="宋体" w:hAnsi="宋体" w:eastAsia="宋体" w:cs="Times New Roman"/>
                <w:szCs w:val="21"/>
              </w:rPr>
              <w:t>7</w:t>
            </w:r>
          </w:p>
        </w:tc>
        <w:tc>
          <w:tcPr>
            <w:tcW w:w="1090" w:type="dxa"/>
            <w:tcBorders>
              <w:top w:val="single" w:color="auto" w:sz="4" w:space="0"/>
              <w:left w:val="nil"/>
              <w:bottom w:val="single" w:color="auto" w:sz="4" w:space="0"/>
              <w:right w:val="single" w:color="auto" w:sz="4" w:space="0"/>
            </w:tcBorders>
            <w:noWrap/>
            <w:vAlign w:val="center"/>
          </w:tcPr>
          <w:p w14:paraId="45278D2E">
            <w:pPr>
              <w:widowControl/>
              <w:jc w:val="center"/>
              <w:textAlignment w:val="center"/>
              <w:rPr>
                <w:rFonts w:ascii="宋体" w:hAnsi="宋体" w:eastAsia="宋体" w:cs="宋体"/>
                <w:kern w:val="0"/>
                <w:szCs w:val="21"/>
                <w:lang w:bidi="ar"/>
              </w:rPr>
            </w:pPr>
            <w:r>
              <w:rPr>
                <w:rFonts w:hint="eastAsia" w:ascii="宋体" w:hAnsi="宋体" w:eastAsia="宋体" w:cs="宋体"/>
                <w:color w:val="000000"/>
                <w:kern w:val="0"/>
                <w:sz w:val="22"/>
                <w:szCs w:val="22"/>
                <w:lang w:bidi="ar"/>
              </w:rPr>
              <w:t>热释放及产烟毒性测试系统</w:t>
            </w:r>
          </w:p>
        </w:tc>
        <w:tc>
          <w:tcPr>
            <w:tcW w:w="780" w:type="dxa"/>
            <w:tcBorders>
              <w:top w:val="single" w:color="auto" w:sz="4" w:space="0"/>
              <w:left w:val="nil"/>
              <w:bottom w:val="single" w:color="auto" w:sz="4" w:space="0"/>
              <w:right w:val="single" w:color="auto" w:sz="4" w:space="0"/>
            </w:tcBorders>
            <w:noWrap/>
            <w:vAlign w:val="center"/>
          </w:tcPr>
          <w:p w14:paraId="1ACAA10E">
            <w:pPr>
              <w:widowControl/>
              <w:jc w:val="center"/>
              <w:textAlignment w:val="center"/>
              <w:rPr>
                <w:rFonts w:ascii="Times New Roman" w:hAnsi="Times New Roman" w:eastAsia="宋体" w:cs="Times New Roman"/>
                <w:szCs w:val="21"/>
              </w:rPr>
            </w:pPr>
            <w:r>
              <w:rPr>
                <w:rFonts w:hint="eastAsia" w:ascii="Times New Roman" w:hAnsi="Times New Roman" w:eastAsia="宋体" w:cs="Times New Roman"/>
                <w:szCs w:val="21"/>
              </w:rPr>
              <w:t>1套</w:t>
            </w:r>
          </w:p>
        </w:tc>
        <w:tc>
          <w:tcPr>
            <w:tcW w:w="7277" w:type="dxa"/>
            <w:tcBorders>
              <w:top w:val="single" w:color="auto" w:sz="4" w:space="0"/>
              <w:left w:val="nil"/>
              <w:bottom w:val="single" w:color="auto" w:sz="4" w:space="0"/>
              <w:right w:val="single" w:color="auto" w:sz="4" w:space="0"/>
            </w:tcBorders>
            <w:noWrap/>
            <w:vAlign w:val="center"/>
          </w:tcPr>
          <w:p w14:paraId="2C46E899">
            <w:pPr>
              <w:widowControl/>
              <w:spacing w:line="360" w:lineRule="auto"/>
              <w:jc w:val="left"/>
              <w:textAlignment w:val="center"/>
              <w:rPr>
                <w:rFonts w:ascii="宋体" w:hAnsi="宋体" w:eastAsia="宋体" w:cs="宋体"/>
                <w:kern w:val="0"/>
                <w:szCs w:val="21"/>
                <w:lang w:bidi="ar"/>
              </w:rPr>
            </w:pPr>
            <w:r>
              <w:rPr>
                <w:rFonts w:hint="eastAsia" w:ascii="宋体" w:hAnsi="宋体" w:eastAsia="宋体" w:cs="宋体"/>
                <w:color w:val="000000"/>
                <w:kern w:val="0"/>
                <w:sz w:val="22"/>
                <w:szCs w:val="22"/>
                <w:lang w:bidi="ar"/>
              </w:rPr>
              <w:t>1.电源：380V、 50Hz  15KW</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2.燃烧箱内部尺寸：1000×2000×4000（mm）</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3.钢梯尺寸：标准钢梯：宽×高=500×3500mm；宽形钢梯：宽×高=800×3500mm。</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4.温度测量采用直径为1.5mm的K型热电偶。</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▲5.引燃源由一个带型丙烷燃气喷灯及和文丘里混合器组成，其供火表面应为钻有242个直径为1.32mm孔径的扁平金属板。引燃源定位：高600±5mm，水平距离任意可调。</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6.丙烷/空气气体流量采用质量流量控制测量及控制。</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7.采用可调焦的冷光源光源系统和硅光放大器的光接收系统组成;数据稳定，精确。</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8.氧气分析，测量范围：0-25%，测量精度：＜±0.05%，重复性：＜1%，零点漂移：≤0.5%/月，量程漂移：≤0.5%/月，线性偏差：＜1%，T90响应时间：≤3秒， RS232通讯接口。</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红外分析： CO</w:t>
            </w:r>
            <w:r>
              <w:rPr>
                <w:rFonts w:hint="eastAsia" w:ascii="宋体" w:hAnsi="宋体" w:eastAsia="宋体" w:cs="宋体"/>
                <w:color w:val="000000"/>
                <w:kern w:val="0"/>
                <w:sz w:val="22"/>
                <w:szCs w:val="22"/>
                <w:vertAlign w:val="subscript"/>
                <w:lang w:bidi="ar"/>
              </w:rPr>
              <w:t>2</w:t>
            </w:r>
            <w:r>
              <w:rPr>
                <w:rFonts w:hint="eastAsia" w:ascii="宋体" w:hAnsi="宋体" w:eastAsia="宋体" w:cs="宋体"/>
                <w:color w:val="000000"/>
                <w:kern w:val="0"/>
                <w:sz w:val="22"/>
                <w:szCs w:val="22"/>
                <w:lang w:bidi="ar"/>
              </w:rPr>
              <w:t>测量范围0-10%，测量精度：＜±0.1%，重复性：＜1%，零点漂移：≤0.5%/月，量程漂移：≤0.5%/月，线性偏差：＜1%，响应时间：T90≤2秒，RS232通讯接口。含除尘装置，烟雾收集塔。满足国标GB/T31248-2014《电缆或光缆在受火条件下火焰蔓延、热释放和产烟特性的试验方法》、GB/T31247-2014《电缆及光缆燃烧性能分级》的电缆或光缆的试验具体参数为1、采集塔全身采用优质304不锈钢制作，循环泵将塔内下方的水倒入两层填充层上方的喷头，将水均匀的洒到填充层，使填充层形成均匀的水膜；燃烧设备产生的黑烟经进风口进入到塔内向上流动，分别穿过两道填充层与水膜接触，水膜将黑烟吸附流到塔的下方；过滤后的烟气继续向上流动至活性炭，通过活性炭的吸附作用过滤烟气。</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9.空气层：在试验过程中排放的需要处理的废气，空气层与进气口相连接，以便于废气进入空气层。</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10.填充层：洗涤塔的填充材料采用PP材料的海胆中空小球，形状为多齿的TELLERTT形，填充层表面有视窗，便于清洗填充层小球。填充层主要功能是打散空气层中的废气，使其形成为分散的废气，以便于使废气在喷水层内得到充分的洁净。</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11.喷水层：喷水层中的洒水喷头采用PP120°螺旋无堵塞喷头，覆盖面积达95%，喷水层有一个独立的视窗，便于检查洒水喷头的工作状况。</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12.防雾层：能有效的过滤空气中的杂质，同时可填充活性炭以过滤烟气中的有害气体。</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13.循环泵：循环泵使循环液体层中的液体经过洒水喷头循环使用，节约用水。</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14.室内集烟系统外形美观，噪音小，耐用。</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15.电压：380V、600w。</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16.处理风量：3000m³。</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17.入口含尘浓度：≤30g/Nm³。</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18.出口含尘浓度：≤300mg/ Nm</w:t>
            </w:r>
            <w:r>
              <w:rPr>
                <w:rFonts w:hint="eastAsia" w:ascii="宋体" w:hAnsi="宋体" w:eastAsia="宋体" w:cs="宋体"/>
                <w:color w:val="000000"/>
                <w:kern w:val="0"/>
                <w:sz w:val="22"/>
                <w:szCs w:val="22"/>
                <w:vertAlign w:val="superscript"/>
                <w:lang w:bidi="ar"/>
              </w:rPr>
              <w:t>3</w:t>
            </w:r>
          </w:p>
        </w:tc>
      </w:tr>
      <w:tr w14:paraId="76655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4F3B4B2F">
            <w:pPr>
              <w:spacing w:line="360" w:lineRule="auto"/>
              <w:jc w:val="center"/>
              <w:rPr>
                <w:rFonts w:hint="eastAsia" w:ascii="宋体" w:hAnsi="宋体" w:eastAsia="宋体" w:cs="Times New Roman"/>
                <w:szCs w:val="21"/>
              </w:rPr>
            </w:pPr>
            <w:r>
              <w:rPr>
                <w:rFonts w:hint="eastAsia" w:ascii="宋体" w:hAnsi="宋体" w:eastAsia="宋体" w:cs="Times New Roman"/>
                <w:szCs w:val="21"/>
              </w:rPr>
              <w:t>8</w:t>
            </w:r>
          </w:p>
        </w:tc>
        <w:tc>
          <w:tcPr>
            <w:tcW w:w="1090" w:type="dxa"/>
            <w:tcBorders>
              <w:top w:val="single" w:color="auto" w:sz="4" w:space="0"/>
              <w:left w:val="nil"/>
              <w:bottom w:val="single" w:color="auto" w:sz="4" w:space="0"/>
              <w:right w:val="single" w:color="auto" w:sz="4" w:space="0"/>
            </w:tcBorders>
            <w:noWrap/>
            <w:vAlign w:val="center"/>
          </w:tcPr>
          <w:p w14:paraId="708AAE41">
            <w:pPr>
              <w:widowControl/>
              <w:jc w:val="center"/>
              <w:textAlignment w:val="center"/>
              <w:rPr>
                <w:rFonts w:ascii="宋体" w:hAnsi="宋体" w:eastAsia="宋体" w:cs="宋体"/>
                <w:kern w:val="0"/>
                <w:szCs w:val="21"/>
                <w:lang w:bidi="ar"/>
              </w:rPr>
            </w:pPr>
            <w:r>
              <w:rPr>
                <w:rFonts w:hint="eastAsia" w:ascii="宋体" w:hAnsi="宋体" w:eastAsia="宋体" w:cs="宋体"/>
                <w:color w:val="000000"/>
                <w:kern w:val="0"/>
                <w:sz w:val="22"/>
                <w:szCs w:val="22"/>
                <w:lang w:bidi="ar"/>
              </w:rPr>
              <w:t>管材耐压爆破试验机</w:t>
            </w:r>
          </w:p>
        </w:tc>
        <w:tc>
          <w:tcPr>
            <w:tcW w:w="780" w:type="dxa"/>
            <w:tcBorders>
              <w:top w:val="single" w:color="auto" w:sz="4" w:space="0"/>
              <w:left w:val="nil"/>
              <w:bottom w:val="single" w:color="auto" w:sz="4" w:space="0"/>
              <w:right w:val="single" w:color="auto" w:sz="4" w:space="0"/>
            </w:tcBorders>
            <w:noWrap/>
            <w:vAlign w:val="center"/>
          </w:tcPr>
          <w:p w14:paraId="3DFB12EC">
            <w:pPr>
              <w:widowControl/>
              <w:jc w:val="center"/>
              <w:textAlignment w:val="center"/>
              <w:rPr>
                <w:rFonts w:ascii="Times New Roman" w:hAnsi="Times New Roman" w:eastAsia="宋体" w:cs="Times New Roman"/>
                <w:szCs w:val="21"/>
              </w:rPr>
            </w:pPr>
            <w:r>
              <w:rPr>
                <w:rFonts w:hint="eastAsia" w:ascii="Times New Roman" w:hAnsi="Times New Roman" w:eastAsia="宋体" w:cs="Times New Roman"/>
                <w:szCs w:val="21"/>
              </w:rPr>
              <w:t>1台</w:t>
            </w:r>
          </w:p>
        </w:tc>
        <w:tc>
          <w:tcPr>
            <w:tcW w:w="7277" w:type="dxa"/>
            <w:tcBorders>
              <w:top w:val="single" w:color="auto" w:sz="4" w:space="0"/>
              <w:left w:val="nil"/>
              <w:bottom w:val="single" w:color="auto" w:sz="4" w:space="0"/>
              <w:right w:val="single" w:color="auto" w:sz="4" w:space="0"/>
            </w:tcBorders>
            <w:noWrap/>
            <w:vAlign w:val="center"/>
          </w:tcPr>
          <w:p w14:paraId="55859378">
            <w:pPr>
              <w:widowControl/>
              <w:spacing w:line="360" w:lineRule="auto"/>
              <w:jc w:val="left"/>
              <w:textAlignment w:val="center"/>
              <w:rPr>
                <w:rFonts w:ascii="宋体" w:hAnsi="宋体" w:eastAsia="宋体" w:cs="宋体"/>
                <w:kern w:val="0"/>
                <w:szCs w:val="21"/>
                <w:lang w:bidi="ar"/>
              </w:rPr>
            </w:pPr>
            <w:r>
              <w:rPr>
                <w:rFonts w:hint="eastAsia" w:ascii="宋体" w:hAnsi="宋体" w:eastAsia="宋体" w:cs="宋体"/>
                <w:color w:val="000000"/>
                <w:kern w:val="0"/>
                <w:sz w:val="22"/>
                <w:szCs w:val="22"/>
                <w:lang w:bidi="ar"/>
              </w:rPr>
              <w:t>1.1 电源要求：380V±10%；</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1.2 环境温度：10℃～40℃；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1.3 相对湿度：≤85%；</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2.主要技术参数</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2.1 满足标准：GB/T 6111-2018</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▲2.2传感器最大压力：16MPa</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2.3 示值允许误差极限：示值的0.3%以内</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2.4 压力范围：5%～100%</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▲2.5恒压准确度：-1%～+2%</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▲2.6压力显示精度：≤0.001MPa</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▲2.7测试路数：≥6路</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2.8 水箱控温分辨率：≤0.1℃</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2.9 水箱控温范围：室温～95℃</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▲2.10水箱平均温差：±1℃</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▲2.11水箱内壁厚度：≥3mm</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▲2.12要求将控制主机集成在试验机主机上，以节约试验场地空间(投标时提供集成后的实物图片)</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2.13采用程序进行控制，触摸屏显示和操作；使用脉冲占空比补压技术，将升压环节和补压环节合二为一；系统可连续无障碍工作高达10000小时；</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2.14采用蓄能器补压，实现了无源控制，减少了电机和加压系统的工作时间，提高加压系统的使用寿命的同时能够精确控制压力的准确度，保压效果好，实时自动补压；</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2.15电动柱塞泵中心压力源加压方式，流量大，增压稳定；</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2.16可实现多路多工位，各路试验相互独立，方便操作和维修，可同时进行试验互不影响，当某一路试样破坏时可手动关闭该路手动阀，其它各路正常试验不受影响；</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2.17保证试验机的精度和稳定性，并针对多路数的情况，采用变频电机变频控制，实现柱塞泵流量的可调，满足多路数同时试验的要求；</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2.18具有掉电追加功能，通电后只须调用上次试验则可以继续试验，降低工作强度，提高工作效率。</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2.19运行状况实时监测，有泄漏及破裂自动判断停机功能。</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 配置清单：</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3.1 管材耐压爆破试验机主机 1 台、</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3.2 水箱 1 台（B型卧式恒温水箱）</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3.3 试样管径：Φ16mm～Φ630mm（包括夹具）</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3.4 恒温水箱及温度控制系统：1套、补水系统：1套、水循环系统：1套</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3.5 产品说明书、产品合格证、保修卡、出厂检验报告;</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3.6 控制主机 1 台</w:t>
            </w:r>
          </w:p>
        </w:tc>
      </w:tr>
      <w:tr w14:paraId="49A37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35F974E1">
            <w:pPr>
              <w:spacing w:line="360" w:lineRule="auto"/>
              <w:jc w:val="center"/>
              <w:rPr>
                <w:rFonts w:hint="eastAsia" w:ascii="宋体" w:hAnsi="宋体" w:eastAsia="宋体" w:cs="Times New Roman"/>
                <w:szCs w:val="21"/>
              </w:rPr>
            </w:pPr>
            <w:r>
              <w:rPr>
                <w:rFonts w:hint="eastAsia" w:ascii="宋体" w:hAnsi="宋体" w:eastAsia="宋体" w:cs="Times New Roman"/>
                <w:szCs w:val="21"/>
              </w:rPr>
              <w:t>9</w:t>
            </w:r>
          </w:p>
        </w:tc>
        <w:tc>
          <w:tcPr>
            <w:tcW w:w="1090" w:type="dxa"/>
            <w:tcBorders>
              <w:top w:val="single" w:color="auto" w:sz="4" w:space="0"/>
              <w:left w:val="nil"/>
              <w:bottom w:val="single" w:color="auto" w:sz="4" w:space="0"/>
              <w:right w:val="single" w:color="auto" w:sz="4" w:space="0"/>
            </w:tcBorders>
            <w:noWrap/>
            <w:vAlign w:val="center"/>
          </w:tcPr>
          <w:p w14:paraId="1D44C032">
            <w:pPr>
              <w:widowControl/>
              <w:jc w:val="center"/>
              <w:textAlignment w:val="center"/>
              <w:rPr>
                <w:rFonts w:ascii="宋体" w:hAnsi="宋体" w:eastAsia="宋体" w:cs="宋体"/>
                <w:kern w:val="0"/>
                <w:szCs w:val="21"/>
                <w:lang w:bidi="ar"/>
              </w:rPr>
            </w:pPr>
            <w:r>
              <w:rPr>
                <w:rFonts w:hint="eastAsia" w:ascii="宋体" w:hAnsi="宋体" w:eastAsia="宋体" w:cs="宋体"/>
                <w:color w:val="000000"/>
                <w:kern w:val="0"/>
                <w:sz w:val="22"/>
                <w:szCs w:val="22"/>
                <w:lang w:bidi="ar"/>
              </w:rPr>
              <w:t>耐压爆破试验机</w:t>
            </w:r>
          </w:p>
        </w:tc>
        <w:tc>
          <w:tcPr>
            <w:tcW w:w="780" w:type="dxa"/>
            <w:tcBorders>
              <w:top w:val="single" w:color="auto" w:sz="4" w:space="0"/>
              <w:left w:val="nil"/>
              <w:bottom w:val="single" w:color="auto" w:sz="4" w:space="0"/>
              <w:right w:val="single" w:color="auto" w:sz="4" w:space="0"/>
            </w:tcBorders>
            <w:noWrap/>
            <w:vAlign w:val="center"/>
          </w:tcPr>
          <w:p w14:paraId="33A99A05">
            <w:pPr>
              <w:widowControl/>
              <w:jc w:val="center"/>
              <w:textAlignment w:val="center"/>
              <w:rPr>
                <w:rFonts w:ascii="Times New Roman" w:hAnsi="Times New Roman" w:eastAsia="宋体" w:cs="Times New Roman"/>
                <w:szCs w:val="21"/>
              </w:rPr>
            </w:pPr>
            <w:r>
              <w:rPr>
                <w:rFonts w:hint="eastAsia" w:ascii="Times New Roman" w:hAnsi="Times New Roman" w:eastAsia="宋体" w:cs="Times New Roman"/>
                <w:szCs w:val="21"/>
              </w:rPr>
              <w:t>1台</w:t>
            </w:r>
          </w:p>
        </w:tc>
        <w:tc>
          <w:tcPr>
            <w:tcW w:w="7277" w:type="dxa"/>
            <w:tcBorders>
              <w:top w:val="single" w:color="auto" w:sz="4" w:space="0"/>
              <w:left w:val="nil"/>
              <w:bottom w:val="single" w:color="auto" w:sz="4" w:space="0"/>
              <w:right w:val="single" w:color="auto" w:sz="4" w:space="0"/>
            </w:tcBorders>
            <w:noWrap/>
            <w:vAlign w:val="center"/>
          </w:tcPr>
          <w:p w14:paraId="3ABE3B0D">
            <w:pPr>
              <w:widowControl/>
              <w:spacing w:line="360" w:lineRule="auto"/>
              <w:jc w:val="left"/>
              <w:textAlignment w:val="center"/>
              <w:rPr>
                <w:rFonts w:ascii="宋体" w:hAnsi="宋体" w:eastAsia="宋体" w:cs="宋体"/>
                <w:kern w:val="0"/>
                <w:szCs w:val="21"/>
                <w:lang w:bidi="ar"/>
              </w:rPr>
            </w:pPr>
            <w:r>
              <w:rPr>
                <w:rFonts w:hint="eastAsia" w:ascii="宋体" w:hAnsi="宋体" w:eastAsia="宋体" w:cs="宋体"/>
                <w:color w:val="000000"/>
                <w:kern w:val="0"/>
                <w:sz w:val="22"/>
                <w:szCs w:val="22"/>
                <w:lang w:bidi="ar"/>
              </w:rPr>
              <w:t>1.1 电源要求：380V±10%；</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1.2 环境温度：10℃～40℃；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1.3 相对湿度：≤85%；</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2.主要技术参数</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▲2.1传感器最大压力：20MPa</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2.2 示值允许误差极限：示值的0.3%以内</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2.3 压力范围：5%～100%</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▲2.4恒压准确度：-1%～+2%</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▲2.5压力显示精度：≤0.001MPa</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▲2.6测试路数：≥3路</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2.7 水箱控温分辨率：≤0.1℃</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2.8 水箱控温范围：室温～95℃</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▲2.9水箱平均温差：±1℃</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▲2.10水箱内壁厚度：≥3mm</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▲2.11要求将控制主机集成在试验机主机上，以节约试验场地空间(投标文件提供集成后的实物图片)</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2.13采用蓄能器补压，实现了无源控制，减少了电机和加压系统的工作时间，提高加压系统的使用寿命的同时能够精确控制压力的准确度，保压效果好，实时自动补压；</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2.14电动柱塞泵中心压力源加压方式，流量大，增压稳定；</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2.15保证试验机的精度和稳定性，并针对多路数的情况，采用变频电机变频控制，实现柱塞泵流量的可调，满足多路数同时试验的要求；</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2.16具有掉电追加功能，通电后只须调用上次试验则可以继续试验，降低工作强度，提高工作效率。</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2.17运行状况实时监测，有泄漏及破裂自动判断停机功能。</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3配置清单：</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3.1 耐压爆破试验机主机 1 台</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3.2 水箱1台</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3.3 不锈钢夹具（规格Ф16、Ф20、Ф25、Ф32、Ф40、Ф50、Ф63、Ф75、Ф 90、Ф110)各1套</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3.4 水箱加热系统1套、</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3.5 补水系统1套、</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3.6 水循环系统：1套</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3.7 产品说明书、产品合格证、保修卡、出厂检验报告</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3.8 控制主机 1 台</w:t>
            </w:r>
          </w:p>
        </w:tc>
      </w:tr>
      <w:tr w14:paraId="1B04A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27144C33">
            <w:pPr>
              <w:spacing w:line="360" w:lineRule="auto"/>
              <w:jc w:val="center"/>
              <w:rPr>
                <w:rFonts w:ascii="宋体" w:hAnsi="宋体" w:eastAsia="宋体" w:cs="Times New Roman"/>
                <w:szCs w:val="21"/>
              </w:rPr>
            </w:pPr>
            <w:r>
              <w:rPr>
                <w:rFonts w:hint="eastAsia" w:ascii="宋体" w:hAnsi="宋体" w:eastAsia="宋体" w:cs="Times New Roman"/>
                <w:szCs w:val="21"/>
              </w:rPr>
              <w:t>10</w:t>
            </w:r>
          </w:p>
        </w:tc>
        <w:tc>
          <w:tcPr>
            <w:tcW w:w="1090" w:type="dxa"/>
            <w:tcBorders>
              <w:top w:val="single" w:color="auto" w:sz="4" w:space="0"/>
              <w:left w:val="nil"/>
              <w:bottom w:val="single" w:color="auto" w:sz="4" w:space="0"/>
              <w:right w:val="single" w:color="auto" w:sz="4" w:space="0"/>
            </w:tcBorders>
            <w:noWrap/>
            <w:vAlign w:val="center"/>
          </w:tcPr>
          <w:p w14:paraId="489C6881">
            <w:pPr>
              <w:widowControl/>
              <w:jc w:val="center"/>
              <w:textAlignment w:val="center"/>
              <w:rPr>
                <w:rFonts w:ascii="宋体" w:hAnsi="宋体" w:eastAsia="宋体" w:cs="宋体"/>
                <w:kern w:val="0"/>
                <w:szCs w:val="21"/>
                <w:lang w:bidi="ar"/>
              </w:rPr>
            </w:pPr>
            <w:r>
              <w:rPr>
                <w:rFonts w:hint="eastAsia" w:ascii="宋体" w:hAnsi="宋体" w:eastAsia="宋体" w:cs="宋体"/>
                <w:color w:val="000000"/>
                <w:kern w:val="0"/>
                <w:sz w:val="22"/>
                <w:szCs w:val="22"/>
                <w:lang w:bidi="ar"/>
              </w:rPr>
              <w:t>差示扫描量热仪</w:t>
            </w:r>
          </w:p>
        </w:tc>
        <w:tc>
          <w:tcPr>
            <w:tcW w:w="780" w:type="dxa"/>
            <w:tcBorders>
              <w:top w:val="single" w:color="auto" w:sz="4" w:space="0"/>
              <w:left w:val="nil"/>
              <w:bottom w:val="single" w:color="auto" w:sz="4" w:space="0"/>
              <w:right w:val="single" w:color="auto" w:sz="4" w:space="0"/>
            </w:tcBorders>
            <w:noWrap/>
            <w:vAlign w:val="center"/>
          </w:tcPr>
          <w:p w14:paraId="1F361E6F">
            <w:pPr>
              <w:widowControl/>
              <w:jc w:val="center"/>
              <w:textAlignment w:val="center"/>
              <w:rPr>
                <w:rFonts w:ascii="Times New Roman" w:hAnsi="Times New Roman" w:eastAsia="宋体" w:cs="Times New Roman"/>
                <w:szCs w:val="21"/>
              </w:rPr>
            </w:pPr>
            <w:r>
              <w:rPr>
                <w:rFonts w:hint="eastAsia" w:ascii="Times New Roman" w:hAnsi="Times New Roman" w:eastAsia="宋体" w:cs="Times New Roman"/>
                <w:szCs w:val="21"/>
              </w:rPr>
              <w:t>1台</w:t>
            </w:r>
          </w:p>
        </w:tc>
        <w:tc>
          <w:tcPr>
            <w:tcW w:w="7277" w:type="dxa"/>
            <w:tcBorders>
              <w:top w:val="single" w:color="auto" w:sz="4" w:space="0"/>
              <w:left w:val="nil"/>
              <w:bottom w:val="single" w:color="auto" w:sz="4" w:space="0"/>
              <w:right w:val="single" w:color="auto" w:sz="4" w:space="0"/>
            </w:tcBorders>
            <w:noWrap/>
            <w:vAlign w:val="center"/>
          </w:tcPr>
          <w:p w14:paraId="34C20FB5">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1、用途：</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测量与热量有关的物理、化学变化，如玻璃化转变温度、熔点。熔融温度、结晶与结晶热、相转变反应热，产品的热稳定性、固化/ 交联、氧化诱导期等。</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2、温度数据</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(1)温度范围：-30℃～600℃（机械制冷）</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(2)温度分辨率：0.1℃</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(3)温度波动：±0.1℃</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(4)温度准确度：±0.1℃</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(5)升温速率：0.1℃/min至100℃/min（可自定义）</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(6)控温方式：升温、恒温（程序自动控制）</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(7)搭载40位全自动进样模块，采用紧凑型模块化结构设计，可在有限实验室空间内实现高通量实验需求；（投标文件提供软件设置界面截图及进样器实物图片）</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(8)支持多类型实验模式混排（如等温/变温/循环扫描），满足多场景的复杂需求；</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(9)支持 24 小时连续无人值守运行；</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(10)进样器定位精度≤±0.05mm确保样品与传感器精准对齐；</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(11)支持动态进样队列，实验中途插入紧急样品或调整顺序，系统自动优化；</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(12)具有多重安全保障技术：过载保护、异常状态预警及自动停机、报警、样品防护等；</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(13)可选配样品托盘快换，托盘扫码或RFID自动识别样品托盘信息，减少人为误差；</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(14)两种炉体升温控温模式：①根据样品热电偶控制升温②根据炉温热电偶控制升温，并且两种工作模式可通过软件设置任意切换。</w:t>
            </w:r>
          </w:p>
          <w:p w14:paraId="310773A2">
            <w:pPr>
              <w:widowControl/>
              <w:spacing w:line="360" w:lineRule="auto"/>
              <w:jc w:val="left"/>
              <w:textAlignment w:val="center"/>
              <w:rPr>
                <w:rFonts w:ascii="宋体" w:hAnsi="宋体" w:eastAsia="宋体" w:cs="宋体"/>
                <w:kern w:val="0"/>
                <w:szCs w:val="21"/>
                <w:lang w:bidi="ar"/>
              </w:rPr>
            </w:pPr>
            <w:r>
              <w:rPr>
                <w:rFonts w:hint="eastAsia" w:ascii="宋体" w:hAnsi="宋体" w:eastAsia="宋体" w:cs="宋体"/>
                <w:color w:val="000000"/>
                <w:kern w:val="0"/>
                <w:sz w:val="22"/>
                <w:szCs w:val="22"/>
                <w:lang w:bidi="ar"/>
              </w:rPr>
              <w:t>(15)气氛控制系统：采用质量流量控制器，（可以定制耐各种腐蚀性气体的气氛控制系统）</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(16)气体流速：10-200ml/min(实验过程中可精确控制流量，可自动切换气体)</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(17)坩埚：标配铝坩埚</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(18)选配：高压坩埚，密封铝坩埚（可配封样器）、石墨坩埚、石英坩埚、铂金坩埚</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3、DSC数据</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(1)DSC测量范围：0至±500mW</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(2)DSC解析度：0.01 µW</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(3)DSC灵敏度：0.1 µW</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(4)功率准确度：±0.1µW</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(5)功率噪声：≤0.1µW</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4、数据处理：</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(1)横坐标轴可选择温度或时间作标尺；</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▲(2)具有步冷曲线测试功能；（投标文件提供软件截图证明）</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▲(3)具有结晶动力学测试功能；（投标文件提供软件截图证明）</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(4)玻璃化转变温度、比热的测量；</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5、可自由选择的基线修正，配有标准物质（铟、锡、铅、锌、铝）用户可自行校正温度及热焓；</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6、所有数据可存储、打印，并可以通用格式输出；</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7、可扩展样品反应观察窗，观察样品状态变化。</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8、设备软件终身免费升级。</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9、主要配置</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(1)差示扫描量热仪主机，1台</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(2)仪器操作和数据处理软件，1套</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(3)机械制冷机，1台</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(4)内置质量流量计，1个</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(5)温度和热焓校正标样（石英、苯甲酸、月桂酸、铟、锡、铅、锌），1套</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(6)铝坩埚压机，1个</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(7)铝坩埚，500套</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(8)控制主机 1台</w:t>
            </w:r>
          </w:p>
        </w:tc>
      </w:tr>
      <w:tr w14:paraId="380C6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6F546E44">
            <w:pPr>
              <w:spacing w:line="360" w:lineRule="auto"/>
              <w:jc w:val="center"/>
              <w:rPr>
                <w:rFonts w:ascii="宋体" w:hAnsi="宋体" w:eastAsia="宋体" w:cs="Times New Roman"/>
                <w:szCs w:val="21"/>
              </w:rPr>
            </w:pPr>
            <w:r>
              <w:rPr>
                <w:rFonts w:hint="eastAsia" w:ascii="宋体" w:hAnsi="宋体" w:eastAsia="宋体" w:cs="Times New Roman"/>
                <w:szCs w:val="21"/>
              </w:rPr>
              <w:t>11</w:t>
            </w:r>
          </w:p>
        </w:tc>
        <w:tc>
          <w:tcPr>
            <w:tcW w:w="1090" w:type="dxa"/>
            <w:tcBorders>
              <w:top w:val="single" w:color="auto" w:sz="4" w:space="0"/>
              <w:left w:val="nil"/>
              <w:bottom w:val="single" w:color="auto" w:sz="4" w:space="0"/>
              <w:right w:val="single" w:color="auto" w:sz="4" w:space="0"/>
            </w:tcBorders>
            <w:noWrap/>
            <w:vAlign w:val="center"/>
          </w:tcPr>
          <w:p w14:paraId="11A29635">
            <w:pPr>
              <w:widowControl/>
              <w:jc w:val="center"/>
              <w:textAlignment w:val="center"/>
              <w:rPr>
                <w:rFonts w:ascii="宋体" w:hAnsi="宋体" w:eastAsia="宋体" w:cs="宋体"/>
                <w:kern w:val="0"/>
                <w:szCs w:val="21"/>
                <w:lang w:bidi="ar"/>
              </w:rPr>
            </w:pPr>
            <w:r>
              <w:rPr>
                <w:rFonts w:hint="eastAsia" w:ascii="宋体" w:hAnsi="宋体" w:eastAsia="宋体" w:cs="宋体"/>
                <w:color w:val="000000"/>
                <w:kern w:val="0"/>
                <w:sz w:val="22"/>
                <w:szCs w:val="22"/>
                <w:lang w:bidi="ar"/>
              </w:rPr>
              <w:t>导热系数测量设备</w:t>
            </w:r>
          </w:p>
        </w:tc>
        <w:tc>
          <w:tcPr>
            <w:tcW w:w="780" w:type="dxa"/>
            <w:tcBorders>
              <w:top w:val="single" w:color="auto" w:sz="4" w:space="0"/>
              <w:left w:val="nil"/>
              <w:bottom w:val="single" w:color="auto" w:sz="4" w:space="0"/>
              <w:right w:val="single" w:color="auto" w:sz="4" w:space="0"/>
            </w:tcBorders>
            <w:noWrap/>
            <w:vAlign w:val="center"/>
          </w:tcPr>
          <w:p w14:paraId="083C1C12">
            <w:pPr>
              <w:widowControl/>
              <w:jc w:val="center"/>
              <w:textAlignment w:val="center"/>
              <w:rPr>
                <w:rFonts w:ascii="Times New Roman" w:hAnsi="Times New Roman" w:eastAsia="宋体" w:cs="Times New Roman"/>
                <w:szCs w:val="21"/>
              </w:rPr>
            </w:pPr>
            <w:r>
              <w:rPr>
                <w:rFonts w:ascii="Times New Roman" w:hAnsi="Times New Roman" w:eastAsia="宋体" w:cs="Times New Roman"/>
                <w:szCs w:val="21"/>
              </w:rPr>
              <w:t>1台</w:t>
            </w:r>
          </w:p>
        </w:tc>
        <w:tc>
          <w:tcPr>
            <w:tcW w:w="7277" w:type="dxa"/>
            <w:tcBorders>
              <w:top w:val="single" w:color="auto" w:sz="4" w:space="0"/>
              <w:left w:val="nil"/>
              <w:bottom w:val="single" w:color="auto" w:sz="4" w:space="0"/>
              <w:right w:val="single" w:color="auto" w:sz="4" w:space="0"/>
            </w:tcBorders>
            <w:noWrap/>
            <w:vAlign w:val="center"/>
          </w:tcPr>
          <w:p w14:paraId="2569051D">
            <w:pPr>
              <w:widowControl/>
              <w:spacing w:line="360" w:lineRule="auto"/>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1、试件规格（外形尺寸）：单试样 300×300（mm）</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2、试件厚度：10～37.5(mm) </w:t>
            </w:r>
          </w:p>
          <w:p w14:paraId="1AF909DC">
            <w:pPr>
              <w:widowControl/>
              <w:spacing w:line="360" w:lineRule="auto"/>
              <w:jc w:val="left"/>
              <w:textAlignment w:val="center"/>
              <w:rPr>
                <w:rFonts w:ascii="宋体" w:hAnsi="宋体" w:eastAsia="宋体" w:cs="宋体"/>
                <w:kern w:val="0"/>
                <w:szCs w:val="21"/>
                <w:lang w:bidi="ar"/>
              </w:rPr>
            </w:pPr>
            <w:r>
              <w:rPr>
                <w:rFonts w:hint="eastAsia" w:ascii="宋体" w:hAnsi="宋体" w:eastAsia="宋体" w:cs="宋体"/>
                <w:color w:val="000000"/>
                <w:kern w:val="0"/>
                <w:sz w:val="22"/>
                <w:szCs w:val="22"/>
                <w:lang w:bidi="ar"/>
              </w:rPr>
              <w:t>3、冷板温度：5℃～60℃</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4、热板温度：室温+5℃～80℃</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5、热板计量单元加热功率控制稳定度：0.001W</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 xml:space="preserve">▲6、测试重复性： ≤2%                                                                                                                                                                                                                                                                                                                     </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7、配带动力1kW  220V</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8、使用环境：恒温环境23±2℃</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▲9、试验时间：约3小时</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10、采用半导体片制冷方式</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11、采用触摸屏一体机操作</w:t>
            </w:r>
            <w:r>
              <w:rPr>
                <w:rFonts w:hint="eastAsia" w:ascii="宋体" w:hAnsi="宋体" w:eastAsia="宋体" w:cs="宋体"/>
                <w:color w:val="000000"/>
                <w:kern w:val="0"/>
                <w:sz w:val="22"/>
                <w:szCs w:val="22"/>
                <w:lang w:bidi="ar"/>
              </w:rPr>
              <w:br w:type="textWrapping"/>
            </w:r>
            <w:r>
              <w:rPr>
                <w:rFonts w:hint="eastAsia" w:ascii="宋体" w:hAnsi="宋体" w:eastAsia="宋体" w:cs="宋体"/>
                <w:color w:val="000000"/>
                <w:kern w:val="0"/>
                <w:sz w:val="22"/>
                <w:szCs w:val="22"/>
                <w:lang w:bidi="ar"/>
              </w:rPr>
              <w:t>12、热板升降采用电动推杆升降机构，试样水平放置，恒定夹紧力由热板部件的自重供给。</w:t>
            </w:r>
          </w:p>
        </w:tc>
      </w:tr>
      <w:tr w14:paraId="68872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23" w:type="dxa"/>
            <w:gridSpan w:val="4"/>
            <w:tcBorders>
              <w:left w:val="single" w:color="auto" w:sz="4" w:space="0"/>
              <w:right w:val="single" w:color="auto" w:sz="4" w:space="0"/>
            </w:tcBorders>
            <w:noWrap/>
            <w:vAlign w:val="center"/>
          </w:tcPr>
          <w:p w14:paraId="5DEEAE16">
            <w:pPr>
              <w:widowControl/>
              <w:spacing w:line="360" w:lineRule="auto"/>
              <w:jc w:val="left"/>
              <w:textAlignment w:val="center"/>
              <w:rPr>
                <w:rFonts w:ascii="宋体" w:hAnsi="宋体" w:eastAsia="宋体" w:cs="宋体"/>
                <w:kern w:val="0"/>
                <w:szCs w:val="21"/>
                <w:lang w:bidi="ar"/>
              </w:rPr>
            </w:pPr>
            <w:r>
              <w:rPr>
                <w:rFonts w:hint="eastAsia" w:ascii="宋体" w:hAnsi="宋体" w:eastAsia="宋体" w:cs="宋体"/>
                <w:b/>
                <w:bCs/>
                <w:kern w:val="0"/>
                <w:szCs w:val="21"/>
                <w:lang w:bidi="ar"/>
              </w:rPr>
              <w:t>商务要求</w:t>
            </w:r>
          </w:p>
        </w:tc>
      </w:tr>
      <w:tr w14:paraId="3D808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6" w:type="dxa"/>
            <w:gridSpan w:val="2"/>
            <w:tcBorders>
              <w:top w:val="single" w:color="auto" w:sz="4" w:space="0"/>
              <w:left w:val="single" w:color="auto" w:sz="4" w:space="0"/>
              <w:bottom w:val="single" w:color="auto" w:sz="4" w:space="0"/>
              <w:right w:val="single" w:color="auto" w:sz="4" w:space="0"/>
            </w:tcBorders>
            <w:noWrap/>
            <w:vAlign w:val="center"/>
          </w:tcPr>
          <w:p w14:paraId="0EC0A92F">
            <w:pPr>
              <w:snapToGrid w:val="0"/>
              <w:spacing w:line="360" w:lineRule="auto"/>
              <w:jc w:val="center"/>
              <w:rPr>
                <w:rFonts w:ascii="宋体" w:hAnsi="宋体" w:eastAsia="宋体" w:cs="宋体"/>
                <w:szCs w:val="21"/>
              </w:rPr>
            </w:pPr>
            <w:r>
              <w:rPr>
                <w:rFonts w:hint="eastAsia" w:ascii="宋体" w:hAnsi="宋体" w:eastAsia="宋体" w:cs="宋体"/>
                <w:szCs w:val="21"/>
              </w:rPr>
              <w:t>投标报价</w:t>
            </w:r>
          </w:p>
        </w:tc>
        <w:tc>
          <w:tcPr>
            <w:tcW w:w="8057" w:type="dxa"/>
            <w:gridSpan w:val="2"/>
            <w:tcBorders>
              <w:top w:val="single" w:color="auto" w:sz="4" w:space="0"/>
              <w:left w:val="nil"/>
              <w:bottom w:val="single" w:color="auto" w:sz="4" w:space="0"/>
              <w:right w:val="single" w:color="auto" w:sz="4" w:space="0"/>
            </w:tcBorders>
            <w:noWrap/>
            <w:vAlign w:val="center"/>
          </w:tcPr>
          <w:p w14:paraId="5AB8F546">
            <w:pPr>
              <w:snapToGrid w:val="0"/>
              <w:spacing w:line="360" w:lineRule="auto"/>
              <w:jc w:val="left"/>
              <w:rPr>
                <w:rFonts w:ascii="Times New Roman" w:hAnsi="Times New Roman" w:eastAsia="宋体" w:cs="Times New Roman"/>
                <w:szCs w:val="21"/>
              </w:rPr>
            </w:pPr>
            <w:r>
              <w:rPr>
                <w:rFonts w:hint="eastAsia" w:ascii="Times New Roman" w:hAnsi="Times New Roman" w:eastAsia="宋体" w:cs="Times New Roman"/>
                <w:szCs w:val="21"/>
              </w:rPr>
              <w:t>投标报价为采购人指定地点的现场交货价，包括：</w:t>
            </w:r>
          </w:p>
          <w:p w14:paraId="1194CC04">
            <w:pPr>
              <w:snapToGrid w:val="0"/>
              <w:spacing w:line="360" w:lineRule="auto"/>
              <w:jc w:val="left"/>
              <w:rPr>
                <w:rFonts w:ascii="Times New Roman" w:hAnsi="Times New Roman" w:eastAsia="宋体" w:cs="Times New Roman"/>
                <w:szCs w:val="21"/>
              </w:rPr>
            </w:pPr>
            <w:r>
              <w:rPr>
                <w:rFonts w:hint="eastAsia" w:ascii="Times New Roman" w:hAnsi="Times New Roman" w:eastAsia="宋体" w:cs="Times New Roman"/>
                <w:szCs w:val="21"/>
              </w:rPr>
              <w:t>（1）货物的价格：包括货款、安装调试费、验收费（含检定、校准费，如有）；</w:t>
            </w:r>
          </w:p>
          <w:p w14:paraId="4D98A9DD">
            <w:pPr>
              <w:snapToGrid w:val="0"/>
              <w:spacing w:line="360" w:lineRule="auto"/>
              <w:jc w:val="left"/>
              <w:rPr>
                <w:rFonts w:ascii="Times New Roman" w:hAnsi="Times New Roman" w:eastAsia="宋体" w:cs="Times New Roman"/>
                <w:szCs w:val="21"/>
              </w:rPr>
            </w:pPr>
            <w:r>
              <w:rPr>
                <w:rFonts w:hint="eastAsia" w:ascii="Times New Roman" w:hAnsi="Times New Roman" w:eastAsia="宋体" w:cs="Times New Roman"/>
                <w:szCs w:val="21"/>
              </w:rPr>
              <w:t>（2）货物的标准附件、备品备件、专用工具的价格。</w:t>
            </w:r>
          </w:p>
          <w:p w14:paraId="60BAC611">
            <w:pPr>
              <w:snapToGrid w:val="0"/>
              <w:spacing w:line="360" w:lineRule="auto"/>
              <w:jc w:val="left"/>
              <w:rPr>
                <w:rFonts w:ascii="Times New Roman" w:hAnsi="Times New Roman" w:eastAsia="宋体" w:cs="Times New Roman"/>
                <w:szCs w:val="21"/>
              </w:rPr>
            </w:pPr>
            <w:r>
              <w:rPr>
                <w:rFonts w:hint="eastAsia" w:ascii="Times New Roman" w:hAnsi="Times New Roman" w:eastAsia="宋体" w:cs="Times New Roman"/>
                <w:szCs w:val="21"/>
              </w:rPr>
              <w:t>（3）运输、装卸、调试、培训、技术支持、售后服务费。</w:t>
            </w:r>
          </w:p>
        </w:tc>
      </w:tr>
      <w:tr w14:paraId="4E11B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6" w:type="dxa"/>
            <w:gridSpan w:val="2"/>
            <w:tcBorders>
              <w:top w:val="single" w:color="auto" w:sz="4" w:space="0"/>
              <w:left w:val="single" w:color="auto" w:sz="4" w:space="0"/>
              <w:bottom w:val="single" w:color="auto" w:sz="4" w:space="0"/>
              <w:right w:val="single" w:color="auto" w:sz="4" w:space="0"/>
            </w:tcBorders>
            <w:noWrap/>
            <w:vAlign w:val="center"/>
          </w:tcPr>
          <w:p w14:paraId="256A311D">
            <w:pPr>
              <w:spacing w:line="360" w:lineRule="auto"/>
              <w:ind w:leftChars="-51" w:right="-107" w:rightChars="-51" w:hanging="107" w:hangingChars="51"/>
              <w:jc w:val="center"/>
              <w:rPr>
                <w:rFonts w:ascii="宋体" w:hAnsi="宋体" w:eastAsia="宋体" w:cs="宋体"/>
                <w:szCs w:val="21"/>
              </w:rPr>
            </w:pPr>
            <w:r>
              <w:rPr>
                <w:rFonts w:hint="eastAsia" w:ascii="宋体" w:hAnsi="宋体" w:eastAsia="宋体" w:cs="宋体"/>
                <w:szCs w:val="21"/>
              </w:rPr>
              <w:t>合同签订时间</w:t>
            </w:r>
          </w:p>
        </w:tc>
        <w:tc>
          <w:tcPr>
            <w:tcW w:w="8057" w:type="dxa"/>
            <w:gridSpan w:val="2"/>
            <w:tcBorders>
              <w:top w:val="single" w:color="auto" w:sz="4" w:space="0"/>
              <w:left w:val="nil"/>
              <w:bottom w:val="single" w:color="auto" w:sz="4" w:space="0"/>
              <w:right w:val="single" w:color="auto" w:sz="4" w:space="0"/>
            </w:tcBorders>
            <w:noWrap/>
            <w:vAlign w:val="center"/>
          </w:tcPr>
          <w:p w14:paraId="1AB4983F">
            <w:pPr>
              <w:spacing w:line="360" w:lineRule="auto"/>
              <w:rPr>
                <w:rFonts w:ascii="Times New Roman" w:hAnsi="Times New Roman" w:eastAsia="宋体" w:cs="Times New Roman"/>
                <w:szCs w:val="21"/>
              </w:rPr>
            </w:pPr>
            <w:r>
              <w:rPr>
                <w:rFonts w:hint="eastAsia" w:ascii="Times New Roman" w:hAnsi="Times New Roman" w:eastAsia="宋体" w:cs="Times New Roman"/>
              </w:rPr>
              <w:t>中标通知书发出后25日内</w:t>
            </w:r>
          </w:p>
        </w:tc>
      </w:tr>
      <w:tr w14:paraId="1491F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6" w:type="dxa"/>
            <w:gridSpan w:val="2"/>
            <w:tcBorders>
              <w:top w:val="single" w:color="auto" w:sz="4" w:space="0"/>
              <w:left w:val="single" w:color="auto" w:sz="4" w:space="0"/>
              <w:bottom w:val="single" w:color="auto" w:sz="4" w:space="0"/>
              <w:right w:val="single" w:color="auto" w:sz="4" w:space="0"/>
            </w:tcBorders>
            <w:noWrap/>
            <w:vAlign w:val="center"/>
          </w:tcPr>
          <w:p w14:paraId="7F099AE9">
            <w:pPr>
              <w:spacing w:line="360" w:lineRule="auto"/>
              <w:ind w:leftChars="-51" w:right="-107" w:rightChars="-51" w:hanging="107" w:hangingChars="51"/>
              <w:jc w:val="center"/>
              <w:rPr>
                <w:rFonts w:ascii="宋体" w:hAnsi="宋体" w:eastAsia="宋体" w:cs="宋体"/>
                <w:szCs w:val="21"/>
              </w:rPr>
            </w:pPr>
            <w:r>
              <w:rPr>
                <w:rFonts w:hint="eastAsia" w:ascii="宋体" w:hAnsi="宋体" w:eastAsia="宋体" w:cs="宋体"/>
                <w:szCs w:val="21"/>
              </w:rPr>
              <w:t>质保期</w:t>
            </w:r>
          </w:p>
        </w:tc>
        <w:tc>
          <w:tcPr>
            <w:tcW w:w="8057" w:type="dxa"/>
            <w:gridSpan w:val="2"/>
            <w:tcBorders>
              <w:top w:val="single" w:color="auto" w:sz="4" w:space="0"/>
              <w:left w:val="nil"/>
              <w:bottom w:val="single" w:color="auto" w:sz="4" w:space="0"/>
              <w:right w:val="single" w:color="auto" w:sz="4" w:space="0"/>
            </w:tcBorders>
            <w:noWrap/>
            <w:vAlign w:val="center"/>
          </w:tcPr>
          <w:p w14:paraId="0D1D0D63">
            <w:pPr>
              <w:spacing w:line="360" w:lineRule="auto"/>
              <w:rPr>
                <w:rFonts w:ascii="Times New Roman" w:hAnsi="Times New Roman" w:eastAsia="宋体" w:cs="Times New Roman"/>
              </w:rPr>
            </w:pPr>
            <w:r>
              <w:rPr>
                <w:rFonts w:hint="eastAsia" w:ascii="宋体" w:hAnsi="宋体" w:eastAsia="宋体" w:cs="宋体"/>
                <w:szCs w:val="21"/>
              </w:rPr>
              <w:t>按国家有关规定实行产品“三包”，货物（易耗品除外）质保期不少于一年，分项设备有质保期要求的按其要求。保修期自安装调试验收合格，并以双方最终验收报告签字日开始计算。保修期内，中标供应商将负责处理并解决故障，并免费更换有故障的零、部件，一切费用由中标供应商负责。</w:t>
            </w:r>
          </w:p>
        </w:tc>
      </w:tr>
      <w:tr w14:paraId="4DB7A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6" w:type="dxa"/>
            <w:gridSpan w:val="2"/>
            <w:tcBorders>
              <w:top w:val="single" w:color="auto" w:sz="4" w:space="0"/>
              <w:left w:val="single" w:color="auto" w:sz="4" w:space="0"/>
              <w:bottom w:val="single" w:color="auto" w:sz="4" w:space="0"/>
              <w:right w:val="single" w:color="auto" w:sz="4" w:space="0"/>
            </w:tcBorders>
            <w:noWrap/>
            <w:vAlign w:val="center"/>
          </w:tcPr>
          <w:p w14:paraId="6A9BCBB9">
            <w:pPr>
              <w:spacing w:line="360" w:lineRule="auto"/>
              <w:jc w:val="center"/>
              <w:rPr>
                <w:rFonts w:ascii="宋体" w:hAnsi="宋体" w:eastAsia="宋体" w:cs="宋体"/>
                <w:szCs w:val="21"/>
              </w:rPr>
            </w:pPr>
            <w:r>
              <w:rPr>
                <w:rFonts w:hint="eastAsia" w:ascii="宋体" w:hAnsi="宋体" w:eastAsia="宋体" w:cs="宋体"/>
                <w:szCs w:val="21"/>
              </w:rPr>
              <w:t>售后技术服务要求</w:t>
            </w:r>
          </w:p>
        </w:tc>
        <w:tc>
          <w:tcPr>
            <w:tcW w:w="8057" w:type="dxa"/>
            <w:gridSpan w:val="2"/>
            <w:tcBorders>
              <w:top w:val="single" w:color="auto" w:sz="4" w:space="0"/>
              <w:left w:val="nil"/>
              <w:bottom w:val="single" w:color="auto" w:sz="4" w:space="0"/>
              <w:right w:val="single" w:color="auto" w:sz="4" w:space="0"/>
            </w:tcBorders>
            <w:noWrap/>
            <w:vAlign w:val="center"/>
          </w:tcPr>
          <w:p w14:paraId="0FFFAB11">
            <w:pPr>
              <w:spacing w:line="360" w:lineRule="auto"/>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1.</w:t>
            </w:r>
            <w:r>
              <w:rPr>
                <w:rFonts w:hint="eastAsia" w:ascii="宋体" w:hAnsi="宋体" w:eastAsia="宋体" w:cs="宋体"/>
                <w:szCs w:val="21"/>
              </w:rPr>
              <w:t>售后技术服务包括</w:t>
            </w:r>
            <w:r>
              <w:rPr>
                <w:rFonts w:hint="eastAsia" w:ascii="宋体" w:hAnsi="宋体" w:eastAsia="宋体" w:cs="宋体"/>
                <w:kern w:val="0"/>
                <w:szCs w:val="21"/>
                <w:shd w:val="clear" w:color="auto" w:fill="FFFFFF"/>
              </w:rPr>
              <w:t>送货上门、安装调试、现场培训2～3名相关人员至掌握设备操作及日常维护等，投标报价应包含为实施项目所必须的售后技术服务。分项设备要求产品生产厂家提供技术人员培训的，按其要求执行。</w:t>
            </w:r>
          </w:p>
          <w:p w14:paraId="0233F6F7">
            <w:pPr>
              <w:spacing w:line="360" w:lineRule="auto"/>
              <w:rPr>
                <w:rFonts w:ascii="宋体" w:hAnsi="宋体" w:eastAsia="宋体" w:cs="宋体"/>
                <w:kern w:val="0"/>
                <w:szCs w:val="21"/>
                <w:shd w:val="clear" w:color="auto" w:fill="FFFFFF"/>
              </w:rPr>
            </w:pPr>
            <w:r>
              <w:rPr>
                <w:rFonts w:hint="eastAsia" w:ascii="宋体" w:hAnsi="宋体" w:eastAsia="宋体" w:cs="宋体"/>
                <w:szCs w:val="21"/>
                <w:shd w:val="clear" w:color="auto" w:fill="FFFFFF"/>
              </w:rPr>
              <w:t>2.设备出现故障后，中标供应商负责需要2小时内做出响应，24小时内派工程师到现场进行故障排除，48小时内故障无法修复的，需要立即提供与原设备技术参数要求相同或高于原设备技术参数要求的备用产品，以保证采购人的正常工作。</w:t>
            </w:r>
          </w:p>
          <w:p w14:paraId="20C3D261">
            <w:pPr>
              <w:spacing w:line="360" w:lineRule="auto"/>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3.软件在维保期内免费维修及完善性升级</w:t>
            </w:r>
          </w:p>
          <w:p w14:paraId="537EF9C5">
            <w:pPr>
              <w:spacing w:line="360" w:lineRule="auto"/>
              <w:rPr>
                <w:rFonts w:ascii="宋体" w:hAnsi="宋体" w:eastAsia="宋体" w:cs="宋体"/>
                <w:szCs w:val="21"/>
              </w:rPr>
            </w:pPr>
            <w:r>
              <w:rPr>
                <w:rFonts w:hint="eastAsia" w:ascii="宋体" w:hAnsi="宋体" w:eastAsia="宋体" w:cs="宋体"/>
                <w:szCs w:val="21"/>
                <w:shd w:val="clear" w:color="auto" w:fill="FFFFFF"/>
              </w:rPr>
              <w:t>4.投标文件提供培训方案，培训内容、培训措施符合项目实施的实际情况。</w:t>
            </w:r>
          </w:p>
        </w:tc>
      </w:tr>
      <w:tr w14:paraId="78581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6" w:type="dxa"/>
            <w:gridSpan w:val="2"/>
            <w:tcBorders>
              <w:top w:val="single" w:color="auto" w:sz="4" w:space="0"/>
              <w:left w:val="single" w:color="auto" w:sz="4" w:space="0"/>
              <w:bottom w:val="single" w:color="auto" w:sz="4" w:space="0"/>
              <w:right w:val="single" w:color="auto" w:sz="4" w:space="0"/>
            </w:tcBorders>
            <w:noWrap/>
            <w:vAlign w:val="center"/>
          </w:tcPr>
          <w:p w14:paraId="12799AF8">
            <w:pPr>
              <w:spacing w:line="360" w:lineRule="auto"/>
              <w:jc w:val="center"/>
              <w:rPr>
                <w:rFonts w:ascii="宋体" w:hAnsi="宋体" w:eastAsia="宋体" w:cs="宋体"/>
                <w:szCs w:val="21"/>
              </w:rPr>
            </w:pPr>
            <w:r>
              <w:rPr>
                <w:rFonts w:hint="eastAsia" w:ascii="宋体" w:hAnsi="宋体" w:eastAsia="宋体" w:cs="宋体"/>
                <w:szCs w:val="21"/>
              </w:rPr>
              <w:t>交货时间及地点</w:t>
            </w:r>
          </w:p>
        </w:tc>
        <w:tc>
          <w:tcPr>
            <w:tcW w:w="8057" w:type="dxa"/>
            <w:gridSpan w:val="2"/>
            <w:tcBorders>
              <w:top w:val="single" w:color="auto" w:sz="4" w:space="0"/>
              <w:left w:val="nil"/>
              <w:bottom w:val="single" w:color="auto" w:sz="4" w:space="0"/>
              <w:right w:val="single" w:color="auto" w:sz="4" w:space="0"/>
            </w:tcBorders>
            <w:noWrap/>
            <w:vAlign w:val="center"/>
          </w:tcPr>
          <w:p w14:paraId="595B200C">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交付使用期：自合同签订之日起90天内验收合格并交付使用。</w:t>
            </w:r>
          </w:p>
          <w:p w14:paraId="2D1BEA70">
            <w:pPr>
              <w:spacing w:line="360" w:lineRule="auto"/>
              <w:rPr>
                <w:rFonts w:ascii="宋体" w:hAnsi="宋体" w:eastAsia="宋体" w:cs="宋体"/>
                <w:kern w:val="0"/>
                <w:szCs w:val="21"/>
                <w:shd w:val="clear" w:color="auto" w:fill="FFFFFF"/>
              </w:rPr>
            </w:pPr>
            <w:r>
              <w:rPr>
                <w:rFonts w:hint="eastAsia" w:ascii="宋体" w:hAnsi="宋体" w:eastAsia="宋体" w:cs="宋体"/>
                <w:szCs w:val="21"/>
                <w:shd w:val="clear" w:color="auto" w:fill="FFFFFF"/>
              </w:rPr>
              <w:t>交货地点：南宁市采购人指定地点。</w:t>
            </w:r>
          </w:p>
        </w:tc>
      </w:tr>
      <w:tr w14:paraId="0BB22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6" w:type="dxa"/>
            <w:gridSpan w:val="2"/>
            <w:tcBorders>
              <w:top w:val="single" w:color="auto" w:sz="4" w:space="0"/>
              <w:left w:val="single" w:color="auto" w:sz="4" w:space="0"/>
              <w:bottom w:val="single" w:color="auto" w:sz="4" w:space="0"/>
              <w:right w:val="single" w:color="auto" w:sz="4" w:space="0"/>
            </w:tcBorders>
            <w:noWrap/>
            <w:vAlign w:val="center"/>
          </w:tcPr>
          <w:p w14:paraId="231A47F8">
            <w:pPr>
              <w:spacing w:line="360" w:lineRule="auto"/>
              <w:jc w:val="center"/>
              <w:rPr>
                <w:rFonts w:ascii="宋体" w:hAnsi="宋体" w:eastAsia="宋体" w:cs="宋体"/>
                <w:szCs w:val="21"/>
              </w:rPr>
            </w:pPr>
            <w:r>
              <w:rPr>
                <w:rFonts w:hint="eastAsia" w:ascii="宋体" w:hAnsi="宋体" w:eastAsia="宋体" w:cs="宋体"/>
                <w:szCs w:val="21"/>
              </w:rPr>
              <w:t>其它要求</w:t>
            </w:r>
          </w:p>
        </w:tc>
        <w:tc>
          <w:tcPr>
            <w:tcW w:w="8057" w:type="dxa"/>
            <w:gridSpan w:val="2"/>
            <w:tcBorders>
              <w:top w:val="single" w:color="auto" w:sz="4" w:space="0"/>
              <w:left w:val="nil"/>
              <w:bottom w:val="single" w:color="auto" w:sz="4" w:space="0"/>
              <w:right w:val="single" w:color="auto" w:sz="4" w:space="0"/>
            </w:tcBorders>
            <w:noWrap/>
            <w:vAlign w:val="center"/>
          </w:tcPr>
          <w:p w14:paraId="465EAD28">
            <w:pPr>
              <w:spacing w:line="360" w:lineRule="auto"/>
              <w:rPr>
                <w:rFonts w:ascii="宋体" w:hAnsi="宋体" w:eastAsia="宋体" w:cs="宋体"/>
                <w:szCs w:val="21"/>
                <w:shd w:val="clear" w:color="auto" w:fill="FFFFFF"/>
              </w:rPr>
            </w:pPr>
            <w:r>
              <w:rPr>
                <w:rFonts w:hint="eastAsia" w:ascii="宋体" w:hAnsi="宋体" w:eastAsia="宋体" w:cs="宋体"/>
                <w:szCs w:val="21"/>
              </w:rPr>
              <w:t>投标人必须根据招标要求的技术参数及配置中的每项指标要求，如实逐项填写技术规格偏离表。</w:t>
            </w:r>
          </w:p>
        </w:tc>
      </w:tr>
      <w:tr w14:paraId="28C92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6" w:type="dxa"/>
            <w:gridSpan w:val="2"/>
            <w:tcBorders>
              <w:top w:val="single" w:color="auto" w:sz="4" w:space="0"/>
              <w:left w:val="single" w:color="auto" w:sz="4" w:space="0"/>
              <w:bottom w:val="single" w:color="auto" w:sz="4" w:space="0"/>
              <w:right w:val="single" w:color="auto" w:sz="4" w:space="0"/>
            </w:tcBorders>
            <w:noWrap/>
            <w:vAlign w:val="center"/>
          </w:tcPr>
          <w:p w14:paraId="6BD01CE3">
            <w:pPr>
              <w:spacing w:line="360" w:lineRule="auto"/>
              <w:jc w:val="center"/>
              <w:rPr>
                <w:rFonts w:ascii="宋体" w:hAnsi="宋体" w:eastAsia="宋体" w:cs="宋体"/>
                <w:szCs w:val="21"/>
              </w:rPr>
            </w:pPr>
            <w:r>
              <w:rPr>
                <w:rFonts w:hint="eastAsia" w:ascii="宋体" w:hAnsi="宋体" w:eastAsia="宋体" w:cs="宋体"/>
                <w:szCs w:val="21"/>
              </w:rPr>
              <w:t>付款方式</w:t>
            </w:r>
          </w:p>
        </w:tc>
        <w:tc>
          <w:tcPr>
            <w:tcW w:w="8057" w:type="dxa"/>
            <w:gridSpan w:val="2"/>
            <w:tcBorders>
              <w:top w:val="single" w:color="auto" w:sz="4" w:space="0"/>
              <w:left w:val="nil"/>
              <w:bottom w:val="single" w:color="auto" w:sz="4" w:space="0"/>
              <w:right w:val="single" w:color="auto" w:sz="4" w:space="0"/>
            </w:tcBorders>
            <w:noWrap/>
            <w:vAlign w:val="center"/>
          </w:tcPr>
          <w:p w14:paraId="036A81ED">
            <w:pPr>
              <w:spacing w:line="360" w:lineRule="auto"/>
              <w:rPr>
                <w:rFonts w:hint="eastAsia" w:ascii="宋体" w:hAnsi="宋体" w:eastAsia="宋体" w:cs="宋体"/>
                <w:szCs w:val="21"/>
              </w:rPr>
            </w:pPr>
            <w:r>
              <w:rPr>
                <w:rFonts w:hint="eastAsia" w:ascii="宋体" w:hAnsi="宋体" w:eastAsia="宋体" w:cs="宋体"/>
                <w:szCs w:val="21"/>
              </w:rPr>
              <w:t>本合同分四期支付，合同生效后且中标供应商已按时足额支付履约保证金后10个工作日内支付预付款(即合同金额50%)；已到货设备金额超过合同总金额的65%后10个工作日内采购人支付合同进度款(合同金额15%)；已到货设备金额超过合同总金额的80%后10个工作日内采购人支付合同进度款(合同金额15%)；验收合格后10个工作日内采购人支付尾款(合同金额20%)。每次付款前，中标供应商必须先行开具并交付当期足额增值税专用发票给采购人，否则采购人有权顺延付款时间。采购人以银行转账、支票或汇票方式付款，如中标供应商未提交合法有效发票、交付完整付款资料或存在违约情形的，采购人有权顺延付款或暂不付款且不承担逾期付款责任。</w:t>
            </w:r>
          </w:p>
        </w:tc>
      </w:tr>
      <w:tr w14:paraId="65DDB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6" w:type="dxa"/>
            <w:gridSpan w:val="2"/>
            <w:tcBorders>
              <w:top w:val="single" w:color="auto" w:sz="4" w:space="0"/>
              <w:left w:val="single" w:color="auto" w:sz="4" w:space="0"/>
              <w:bottom w:val="single" w:color="auto" w:sz="4" w:space="0"/>
              <w:right w:val="single" w:color="auto" w:sz="4" w:space="0"/>
            </w:tcBorders>
            <w:noWrap/>
            <w:vAlign w:val="center"/>
          </w:tcPr>
          <w:p w14:paraId="53FBCBA1">
            <w:pPr>
              <w:spacing w:line="360" w:lineRule="auto"/>
              <w:jc w:val="center"/>
              <w:rPr>
                <w:rFonts w:ascii="宋体" w:hAnsi="宋体" w:eastAsia="宋体" w:cs="宋体"/>
                <w:szCs w:val="21"/>
              </w:rPr>
            </w:pPr>
            <w:r>
              <w:rPr>
                <w:rFonts w:hint="eastAsia" w:ascii="宋体" w:hAnsi="宋体" w:eastAsia="宋体" w:cs="宋体"/>
                <w:szCs w:val="21"/>
              </w:rPr>
              <w:t>履约保证金</w:t>
            </w:r>
          </w:p>
        </w:tc>
        <w:tc>
          <w:tcPr>
            <w:tcW w:w="8057" w:type="dxa"/>
            <w:gridSpan w:val="2"/>
            <w:tcBorders>
              <w:top w:val="single" w:color="auto" w:sz="4" w:space="0"/>
              <w:left w:val="nil"/>
              <w:bottom w:val="single" w:color="auto" w:sz="4" w:space="0"/>
              <w:right w:val="single" w:color="auto" w:sz="4" w:space="0"/>
            </w:tcBorders>
            <w:noWrap/>
            <w:vAlign w:val="center"/>
          </w:tcPr>
          <w:p w14:paraId="33315A27">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1.履约保证金金额：按中标总金额的2%。</w:t>
            </w:r>
          </w:p>
          <w:p w14:paraId="7536128A">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2.履约保证金递交方式：中标人在收到中标通知后5个工作日内以银行转账、支票、汇票、本票或者金融机构、担保机构出具的保函等非现金方式向采购人提交。</w:t>
            </w:r>
          </w:p>
          <w:p w14:paraId="50D0B3F5">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3.履约保证金退付方式、时间及条件：若中标供应商不能履行或不完全履行合同，履约保证金不予退还；若中标供应商完全履行合同，且货物验收合格后，中标供应商凭履约保证金财务凭证到采购人财务部门办理退还手续，办理手续后十个工作日内由采购人无息退还。</w:t>
            </w:r>
          </w:p>
          <w:p w14:paraId="0857DE60">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4.缴纳履约保证金的指定账户：</w:t>
            </w:r>
          </w:p>
          <w:p w14:paraId="50DEEE26">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开户名称：广西壮族自治区产品质量检验研究院</w:t>
            </w:r>
          </w:p>
          <w:p w14:paraId="32E58A44">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开户银行：工行南宁市民族支行</w:t>
            </w:r>
          </w:p>
          <w:p w14:paraId="61740D71">
            <w:pPr>
              <w:spacing w:line="360" w:lineRule="auto"/>
              <w:rPr>
                <w:rFonts w:ascii="宋体" w:hAnsi="宋体" w:eastAsia="宋体" w:cs="宋体"/>
                <w:szCs w:val="21"/>
              </w:rPr>
            </w:pPr>
            <w:r>
              <w:rPr>
                <w:rFonts w:hint="eastAsia" w:ascii="宋体" w:hAnsi="宋体" w:eastAsia="宋体" w:cs="宋体"/>
                <w:szCs w:val="21"/>
                <w:shd w:val="clear" w:color="auto" w:fill="FFFFFF"/>
              </w:rPr>
              <w:t>银行账号：2102109209249002028</w:t>
            </w:r>
          </w:p>
        </w:tc>
      </w:tr>
      <w:tr w14:paraId="3F78A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6" w:type="dxa"/>
            <w:gridSpan w:val="2"/>
            <w:tcBorders>
              <w:top w:val="single" w:color="auto" w:sz="4" w:space="0"/>
              <w:left w:val="single" w:color="auto" w:sz="4" w:space="0"/>
              <w:bottom w:val="single" w:color="auto" w:sz="4" w:space="0"/>
              <w:right w:val="single" w:color="auto" w:sz="4" w:space="0"/>
            </w:tcBorders>
            <w:noWrap/>
            <w:vAlign w:val="center"/>
          </w:tcPr>
          <w:p w14:paraId="772CB5A6">
            <w:pPr>
              <w:spacing w:line="360" w:lineRule="auto"/>
              <w:jc w:val="center"/>
              <w:rPr>
                <w:rFonts w:ascii="宋体" w:hAnsi="宋体" w:eastAsia="宋体" w:cs="宋体"/>
                <w:szCs w:val="21"/>
              </w:rPr>
            </w:pPr>
            <w:r>
              <w:rPr>
                <w:rFonts w:hint="eastAsia" w:ascii="宋体" w:hAnsi="宋体" w:eastAsia="宋体" w:cs="宋体"/>
                <w:szCs w:val="21"/>
              </w:rPr>
              <w:t>验收标准</w:t>
            </w:r>
          </w:p>
        </w:tc>
        <w:tc>
          <w:tcPr>
            <w:tcW w:w="8057" w:type="dxa"/>
            <w:gridSpan w:val="2"/>
            <w:tcBorders>
              <w:top w:val="single" w:color="auto" w:sz="4" w:space="0"/>
              <w:left w:val="nil"/>
              <w:bottom w:val="single" w:color="auto" w:sz="4" w:space="0"/>
              <w:right w:val="single" w:color="auto" w:sz="4" w:space="0"/>
            </w:tcBorders>
            <w:noWrap/>
            <w:vAlign w:val="center"/>
          </w:tcPr>
          <w:p w14:paraId="3B904BCF">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1.检查供货范围或服务范围</w:t>
            </w:r>
          </w:p>
          <w:p w14:paraId="6CDE6DC2">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货物类：产品到达现场后，中标供应商应在采购人单位人员在场情况下当面开箱，共同清点、检查外观，作出开箱记录，双方签字确认。中标供应商应保证货物到达采购人所在地完好无损，如有缺漏、损坏，由中标人负责调换、补齐或赔偿。</w:t>
            </w:r>
          </w:p>
          <w:p w14:paraId="36C5CA03">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服务类：根据招标文件检查服务内容是否满足要求。</w:t>
            </w:r>
          </w:p>
          <w:p w14:paraId="4F4DFAD9">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2.中标供应商应提供完备的技术或服务资料、装箱单和合格证等，并派遣专业人员进行现场安装调试。验收合格条件如下：</w:t>
            </w:r>
          </w:p>
          <w:p w14:paraId="293EF88F">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2.1货物或服务技术参数与投标文件中技术需求偏离表或证明材料一致，性能或指标达到规定的标准，否则，以实际货物或服务技术参数与投标文件技术需求偏离表参数或证明材料比较，按如下情况处理：</w:t>
            </w:r>
          </w:p>
          <w:p w14:paraId="18F33F17">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1）中标供应商投标文件技术需求偏离表或证明材料中满足或优于的技术参数，在验收时实际不满足技术参数要求的，视为供货商违约，采购人有权终止合同拒收货物，并追究中标供应商责任，同时报财政部门备案。</w:t>
            </w:r>
          </w:p>
          <w:p w14:paraId="6FACF352">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2）中标供应商投标文件技术需求偏离表或证明材料中优于的技术参数，在验收时实际仅满足并未优于技术参数要求的，视为供货商违约，采购人有权终止合同拒收货物，并追究中标供应商责任，同时报财政部门备案。</w:t>
            </w:r>
          </w:p>
          <w:p w14:paraId="04977C91">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（3）中标供应商投标文件技术需求偏离表或证明材料中满足的技术参数，在验收时实际优于技术参数的要求，以满足技术参数的要求验收。</w:t>
            </w:r>
          </w:p>
          <w:p w14:paraId="35C718E9">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4）中标供应商投标文件技术需求偏离表或证明材料中优于的技术参数，在验收时实际也优于技术参数的要求，但没有达到技术需求偏离表或证明材料中优于的程度，视为不满足投标承诺，按验收不合格，违约处理。</w:t>
            </w:r>
          </w:p>
          <w:p w14:paraId="637495E7">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5）实际货物与投标货物型号不一致的，验收时不论实际是优于还是满足技术参数的要求，采购人均有权终止合同拒收货物。如影响货物或服务的使用、质量、档次及采购人需求的，还可视为供货商违约，追究中标供应商责任，同时报财政部门备案。</w:t>
            </w:r>
          </w:p>
          <w:p w14:paraId="0C1CE883">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2.2技术资料、装箱单、合格证等资料齐全。</w:t>
            </w:r>
          </w:p>
          <w:p w14:paraId="57DD1340">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2.3在测试或试运行期间所出现的问题得到解决，并运行或工作正常。</w:t>
            </w:r>
          </w:p>
          <w:p w14:paraId="353876BB">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2.4在规定时间内完成交货及验收，并经采购人确认。</w:t>
            </w:r>
          </w:p>
          <w:p w14:paraId="0EF7CEA9">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3.产品或服务在安装调试并试运行符合要求后，还必须负责完成原有所有设备及软件系统的重新部署安装、集成、调试并能整体通过测试顺利运行，运行顺畅才作为最终验收。</w:t>
            </w:r>
          </w:p>
          <w:p w14:paraId="01057EEC">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4.中标供应商提供的货物或服务未达到招标文件规定要求，且对采购人造成损失的，由中标供应商承担一切责任，并赔偿所造成的损失。</w:t>
            </w:r>
          </w:p>
          <w:p w14:paraId="773A39F5">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5.采购人需要制造商对中标供应商交付的产品或服务（包括质量、参数等）进行确认的，制造商应予以配合并出具书面意见，相关配合事项由中标供应商与制造商协调。</w:t>
            </w:r>
          </w:p>
          <w:p w14:paraId="164207CC">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6.产品包装材料归采购人所有。</w:t>
            </w:r>
          </w:p>
          <w:p w14:paraId="786F93D5">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7.其他验收要求按第五章《拟签订的合同文本》执行，未尽事宜按照《关于印发广西壮族自治区政府采购项目履约验收管理办法的通知》[桂财采〔2015〕22号]以及《财政部关于进一步加强政府采购需求和履约验收管理的指导意见》[财库〔2016〕205号]规定执行。</w:t>
            </w:r>
          </w:p>
        </w:tc>
      </w:tr>
      <w:tr w14:paraId="1B54A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6" w:type="dxa"/>
            <w:gridSpan w:val="2"/>
            <w:tcBorders>
              <w:top w:val="single" w:color="auto" w:sz="4" w:space="0"/>
              <w:left w:val="single" w:color="auto" w:sz="4" w:space="0"/>
              <w:bottom w:val="single" w:color="auto" w:sz="4" w:space="0"/>
              <w:right w:val="single" w:color="auto" w:sz="4" w:space="0"/>
            </w:tcBorders>
            <w:noWrap/>
            <w:vAlign w:val="center"/>
          </w:tcPr>
          <w:p w14:paraId="473A973E">
            <w:pPr>
              <w:snapToGrid w:val="0"/>
              <w:spacing w:line="360" w:lineRule="auto"/>
              <w:jc w:val="center"/>
              <w:rPr>
                <w:rFonts w:ascii="宋体" w:hAnsi="宋体" w:eastAsia="宋体" w:cs="宋体"/>
                <w:b/>
                <w:bCs/>
                <w:szCs w:val="21"/>
              </w:rPr>
            </w:pPr>
            <w:r>
              <w:rPr>
                <w:rFonts w:hint="eastAsia" w:ascii="宋体" w:hAnsi="宋体" w:eastAsia="宋体" w:cs="宋体"/>
                <w:b/>
                <w:bCs/>
                <w:szCs w:val="21"/>
              </w:rPr>
              <w:t>其他说明</w:t>
            </w:r>
          </w:p>
        </w:tc>
        <w:tc>
          <w:tcPr>
            <w:tcW w:w="8057" w:type="dxa"/>
            <w:gridSpan w:val="2"/>
            <w:tcBorders>
              <w:top w:val="single" w:color="auto" w:sz="4" w:space="0"/>
              <w:left w:val="nil"/>
              <w:bottom w:val="single" w:color="auto" w:sz="4" w:space="0"/>
              <w:right w:val="single" w:color="auto" w:sz="4" w:space="0"/>
            </w:tcBorders>
            <w:noWrap/>
            <w:vAlign w:val="center"/>
          </w:tcPr>
          <w:p w14:paraId="1BA8793A">
            <w:pPr>
              <w:snapToGrid w:val="0"/>
              <w:spacing w:line="360" w:lineRule="auto"/>
              <w:jc w:val="left"/>
              <w:rPr>
                <w:rFonts w:hint="eastAsia" w:ascii="宋体" w:hAnsi="宋体" w:eastAsia="宋体" w:cs="宋体"/>
                <w:szCs w:val="21"/>
              </w:rPr>
            </w:pPr>
            <w:r>
              <w:rPr>
                <w:rFonts w:hint="eastAsia" w:ascii="宋体" w:hAnsi="宋体" w:eastAsia="宋体" w:cs="宋体"/>
                <w:szCs w:val="21"/>
              </w:rPr>
              <w:t>一、进口产品说明：</w:t>
            </w:r>
          </w:p>
          <w:p w14:paraId="52E928DC">
            <w:pPr>
              <w:snapToGrid w:val="0"/>
              <w:spacing w:line="360" w:lineRule="auto"/>
              <w:jc w:val="left"/>
              <w:rPr>
                <w:rFonts w:hint="eastAsia" w:ascii="宋体" w:hAnsi="宋体" w:eastAsia="宋体" w:cs="宋体"/>
                <w:szCs w:val="21"/>
              </w:rPr>
            </w:pPr>
            <w:r>
              <w:rPr>
                <w:rFonts w:hint="eastAsia" w:ascii="宋体" w:hAnsi="宋体" w:eastAsia="宋体" w:cs="宋体"/>
                <w:szCs w:val="21"/>
              </w:rPr>
              <w:t>□本项目已按规定办妥进口产品采购审核手续，投标产品可选用进口产品；但如选用进口产品时必须为全套原装进口产品（即通过中国海关报关验放进入中国境内且产自关境外的产品）并</w:t>
            </w:r>
            <w:r>
              <w:rPr>
                <w:rFonts w:hint="eastAsia" w:ascii="宋体" w:hAnsi="宋体" w:eastAsia="宋体" w:cs="宋体"/>
                <w:kern w:val="0"/>
                <w:szCs w:val="21"/>
                <w:lang w:bidi="ar"/>
              </w:rPr>
              <w:t>提供原厂商或中国大陆有效代理商出具有效授权书原件和有效的售后服务承诺书原件</w:t>
            </w:r>
            <w:r>
              <w:rPr>
                <w:rFonts w:hint="eastAsia" w:ascii="宋体" w:hAnsi="宋体" w:eastAsia="宋体" w:cs="宋体"/>
                <w:szCs w:val="21"/>
              </w:rPr>
              <w:t>，同时投标人必须负责办理进口产品所有相关手续并承担所有费用。优先采购向我国企业转让技术、与我国企业签订消化吸收再创新方案的投标人的进口产品。其他货物不接受进口产品参与投标，否则作无效投标处理。</w:t>
            </w:r>
          </w:p>
          <w:p w14:paraId="4448A558">
            <w:pPr>
              <w:snapToGrid w:val="0"/>
              <w:spacing w:line="360" w:lineRule="auto"/>
              <w:jc w:val="left"/>
              <w:rPr>
                <w:rFonts w:hint="eastAsia" w:ascii="宋体" w:hAnsi="宋体" w:eastAsia="宋体" w:cs="宋体"/>
                <w:szCs w:val="21"/>
              </w:rPr>
            </w:pPr>
            <w:r>
              <w:rPr>
                <w:rFonts w:hint="eastAsia" w:ascii="宋体" w:hAnsi="宋体" w:eastAsia="宋体" w:cs="宋体"/>
                <w:szCs w:val="21"/>
              </w:rPr>
              <w:t>☑本项目货物所涉及的货物不接受进口产品（即通过中国海关报关验放进入中国境内且产自关境外的产品）参与投标，如有进口产品参与投标的作无效投标处理。</w:t>
            </w:r>
          </w:p>
          <w:p w14:paraId="295E02A9">
            <w:pPr>
              <w:snapToGrid w:val="0"/>
              <w:spacing w:line="360" w:lineRule="auto"/>
              <w:jc w:val="left"/>
              <w:rPr>
                <w:rFonts w:hint="eastAsia" w:ascii="宋体" w:hAnsi="宋体" w:eastAsia="宋体" w:cs="宋体"/>
                <w:kern w:val="0"/>
                <w:szCs w:val="21"/>
                <w:lang w:bidi="ar"/>
              </w:rPr>
            </w:pPr>
            <w:r>
              <w:rPr>
                <w:rFonts w:hint="eastAsia" w:ascii="宋体" w:hAnsi="宋体" w:eastAsia="宋体" w:cs="宋体"/>
                <w:kern w:val="0"/>
                <w:szCs w:val="21"/>
                <w:lang w:bidi="ar"/>
              </w:rPr>
              <w:t>二、根据《国务院办公厅关于在政府采购中实施本国产品标准及相关政策的通知》（国办发〔2025〕34号）的规定，政府采购活动中既有本国产品又有非本国产品参与竞争的，依法对符合政策要求的本国产品给予价格评审优惠，具体详见“第四章 评标方法和评标标准”。产品在中国境内生产的组件成本，按照《中国境内生产的组件成本核算基本规则》（见附件3）计算。</w:t>
            </w:r>
          </w:p>
          <w:p w14:paraId="6493972B">
            <w:pPr>
              <w:snapToGrid w:val="0"/>
              <w:spacing w:line="360" w:lineRule="auto"/>
              <w:jc w:val="left"/>
              <w:rPr>
                <w:rFonts w:hint="eastAsia" w:ascii="宋体" w:hAnsi="宋体" w:eastAsia="宋体" w:cs="宋体"/>
                <w:kern w:val="0"/>
                <w:szCs w:val="21"/>
                <w:lang w:bidi="ar"/>
              </w:rPr>
            </w:pPr>
            <w:r>
              <w:rPr>
                <w:rFonts w:hint="eastAsia" w:ascii="宋体" w:hAnsi="宋体" w:eastAsia="宋体" w:cs="宋体"/>
                <w:kern w:val="0"/>
                <w:szCs w:val="21"/>
                <w:lang w:bidi="ar"/>
              </w:rPr>
              <w:t>三、与本项目有关的设计图纸、技术规范、文件等附件资料及其获取方式：</w:t>
            </w:r>
          </w:p>
          <w:p w14:paraId="363ABE8A">
            <w:pPr>
              <w:snapToGrid w:val="0"/>
              <w:spacing w:line="360" w:lineRule="auto"/>
              <w:jc w:val="left"/>
              <w:rPr>
                <w:rFonts w:hint="eastAsia" w:ascii="宋体" w:hAnsi="宋体" w:eastAsia="宋体" w:cs="宋体"/>
                <w:kern w:val="0"/>
                <w:szCs w:val="21"/>
                <w:lang w:bidi="ar"/>
              </w:rPr>
            </w:pPr>
            <w:r>
              <w:rPr>
                <w:rFonts w:hint="eastAsia" w:ascii="宋体" w:hAnsi="宋体" w:eastAsia="宋体" w:cs="宋体"/>
                <w:kern w:val="0"/>
                <w:szCs w:val="21"/>
                <w:lang w:bidi="ar"/>
              </w:rPr>
              <w:t>文件或者资料名称：无</w:t>
            </w:r>
          </w:p>
          <w:p w14:paraId="5989A8BC">
            <w:pPr>
              <w:snapToGrid w:val="0"/>
              <w:spacing w:line="360" w:lineRule="auto"/>
              <w:jc w:val="left"/>
              <w:rPr>
                <w:rFonts w:hint="eastAsia" w:ascii="宋体" w:hAnsi="宋体" w:eastAsia="宋体" w:cs="宋体"/>
                <w:kern w:val="0"/>
                <w:szCs w:val="21"/>
                <w:lang w:bidi="ar"/>
              </w:rPr>
            </w:pPr>
            <w:r>
              <w:rPr>
                <w:rFonts w:hint="eastAsia" w:ascii="宋体" w:hAnsi="宋体" w:eastAsia="宋体" w:cs="宋体"/>
                <w:kern w:val="0"/>
                <w:szCs w:val="21"/>
                <w:lang w:bidi="ar"/>
              </w:rPr>
              <w:t xml:space="preserve">公布渠道或者获取方式：无        </w:t>
            </w:r>
          </w:p>
          <w:p w14:paraId="770DBF5D">
            <w:pPr>
              <w:snapToGrid w:val="0"/>
              <w:spacing w:line="360" w:lineRule="auto"/>
              <w:jc w:val="left"/>
              <w:rPr>
                <w:rFonts w:hint="eastAsia" w:ascii="宋体" w:hAnsi="宋体" w:eastAsia="宋体" w:cs="宋体"/>
                <w:szCs w:val="21"/>
                <w:shd w:val="clear" w:color="auto" w:fill="FFFFFF"/>
              </w:rPr>
            </w:pPr>
            <w:r>
              <w:rPr>
                <w:rFonts w:hint="eastAsia" w:ascii="宋体" w:hAnsi="宋体" w:eastAsia="宋体" w:cs="宋体"/>
                <w:szCs w:val="21"/>
                <w:shd w:val="clear" w:color="auto" w:fill="FFFFFF"/>
              </w:rPr>
              <w:t>四、核心产品：</w:t>
            </w:r>
          </w:p>
          <w:p w14:paraId="48129ED1">
            <w:pPr>
              <w:snapToGrid w:val="0"/>
              <w:spacing w:line="360" w:lineRule="auto"/>
              <w:jc w:val="left"/>
              <w:rPr>
                <w:rFonts w:hint="eastAsia" w:ascii="宋体" w:hAnsi="宋体" w:eastAsia="宋体" w:cs="宋体"/>
                <w:szCs w:val="21"/>
              </w:rPr>
            </w:pPr>
            <w:r>
              <w:rPr>
                <w:rFonts w:hint="eastAsia" w:ascii="宋体" w:hAnsi="宋体" w:eastAsia="宋体" w:cs="宋体"/>
                <w:szCs w:val="21"/>
              </w:rPr>
              <w:t>本项目的核心产品为“需求一览表”中第</w:t>
            </w:r>
            <w:r>
              <w:rPr>
                <w:rFonts w:hint="eastAsia" w:ascii="宋体" w:hAnsi="宋体" w:eastAsia="宋体" w:cs="宋体"/>
                <w:szCs w:val="21"/>
                <w:u w:val="single"/>
              </w:rPr>
              <w:t xml:space="preserve">  2  </w:t>
            </w:r>
            <w:r>
              <w:rPr>
                <w:rFonts w:hint="eastAsia" w:ascii="宋体" w:hAnsi="宋体" w:eastAsia="宋体" w:cs="宋体"/>
                <w:szCs w:val="21"/>
              </w:rPr>
              <w:t>项产品：</w:t>
            </w:r>
            <w:r>
              <w:rPr>
                <w:rFonts w:hint="eastAsia" w:ascii="宋体" w:hAnsi="宋体" w:eastAsia="宋体" w:cs="宋体"/>
                <w:szCs w:val="21"/>
                <w:u w:val="single"/>
              </w:rPr>
              <w:t xml:space="preserve">液相色谱串联质谱联用仪 </w:t>
            </w:r>
            <w:r>
              <w:rPr>
                <w:rFonts w:hint="eastAsia" w:ascii="宋体" w:hAnsi="宋体" w:eastAsia="宋体" w:cs="宋体"/>
                <w:szCs w:val="21"/>
              </w:rPr>
              <w:t>。</w:t>
            </w:r>
          </w:p>
        </w:tc>
      </w:tr>
    </w:tbl>
    <w:p w14:paraId="4ECB2216">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2">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80F654"/>
    <w:multiLevelType w:val="singleLevel"/>
    <w:tmpl w:val="8B80F654"/>
    <w:lvl w:ilvl="0" w:tentative="0">
      <w:start w:val="1"/>
      <w:numFmt w:val="chineseCounting"/>
      <w:suff w:val="nothing"/>
      <w:lvlText w:val="%1、"/>
      <w:lvlJc w:val="left"/>
      <w:rPr>
        <w:rFonts w:hint="eastAsia"/>
      </w:rPr>
    </w:lvl>
  </w:abstractNum>
  <w:abstractNum w:abstractNumId="1">
    <w:nsid w:val="EBF6E3DA"/>
    <w:multiLevelType w:val="singleLevel"/>
    <w:tmpl w:val="EBF6E3DA"/>
    <w:lvl w:ilvl="0" w:tentative="0">
      <w:start w:val="1"/>
      <w:numFmt w:val="decimal"/>
      <w:lvlText w:val="%1."/>
      <w:lvlJc w:val="left"/>
      <w:pPr>
        <w:tabs>
          <w:tab w:val="left" w:pos="312"/>
        </w:tabs>
      </w:pPr>
    </w:lvl>
  </w:abstractNum>
  <w:abstractNum w:abstractNumId="2">
    <w:nsid w:val="2B2C192E"/>
    <w:multiLevelType w:val="singleLevel"/>
    <w:tmpl w:val="2B2C192E"/>
    <w:lvl w:ilvl="0" w:tentative="0">
      <w:start w:val="1"/>
      <w:numFmt w:val="chineseCounting"/>
      <w:suff w:val="nothing"/>
      <w:lvlText w:val="%1、"/>
      <w:lvlJc w:val="left"/>
      <w:rPr>
        <w:rFonts w:hint="eastAsia"/>
      </w:rPr>
    </w:lvl>
  </w:abstractNum>
  <w:abstractNum w:abstractNumId="3">
    <w:nsid w:val="2BD9536C"/>
    <w:multiLevelType w:val="singleLevel"/>
    <w:tmpl w:val="2BD9536C"/>
    <w:lvl w:ilvl="0" w:tentative="0">
      <w:start w:val="1"/>
      <w:numFmt w:val="chineseCounting"/>
      <w:suff w:val="nothing"/>
      <w:lvlText w:val="%1、"/>
      <w:lvlJc w:val="left"/>
      <w:rPr>
        <w:rFonts w:hint="eastAsia"/>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B941D9"/>
    <w:rsid w:val="72B941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index 8"/>
    <w:next w:val="1"/>
    <w:qFormat/>
    <w:uiPriority w:val="0"/>
    <w:pPr>
      <w:widowControl w:val="0"/>
      <w:ind w:left="2940"/>
      <w:jc w:val="both"/>
    </w:pPr>
    <w:rPr>
      <w:rFonts w:ascii="Times New Roman" w:hAnsi="Times New Roman" w:eastAsia="宋体" w:cs="Times New Roman"/>
      <w:kern w:val="2"/>
      <w:sz w:val="21"/>
      <w:szCs w:val="24"/>
      <w:lang w:val="en-US" w:eastAsia="zh-CN" w:bidi="ar-SA"/>
    </w:rPr>
  </w:style>
  <w:style w:type="paragraph" w:styleId="3">
    <w:name w:val="Plain Text"/>
    <w:next w:val="2"/>
    <w:qFormat/>
    <w:uiPriority w:val="0"/>
    <w:pPr>
      <w:widowControl w:val="0"/>
      <w:jc w:val="both"/>
    </w:pPr>
    <w:rPr>
      <w:rFonts w:ascii="宋体" w:hAnsi="Courier New" w:eastAsia="宋体" w:cs="Times New Roman"/>
      <w:kern w:val="2"/>
      <w:sz w:val="21"/>
      <w:szCs w:val="20"/>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127</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2026-08-31T12:15:00Z</dcterms:created>
  <dc:creator>欧明聪</dc:creator>
  <cp:lastModifiedBy>欧明聪</cp:lastModifiedBy>
  <dcterms:modified xsi:type="dcterms:W3CDTF">2026-08-31T12:16:20Z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FCC3B1D3E7AE44F8A05A6419C4BF63EF_11</vt:lpwstr>
  </property>
  <property fmtid="{D5CDD505-2E9C-101B-9397-08002B2CF9AE}" pid="4" name="KSOTemplateDocerSaveRecord">
    <vt:lpwstr>eyJoZGlkIjoiZjU5NTE4Y2EwNGUwNTA5ZTk0ODVmYmYwNWU3YjQyYWUiLCJ1c2VySWQiOiIxNTkyNDk1NTU5In0=</vt:lpwstr>
  </property>
</Properties>
</file>