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46DB6">
      <w:pPr>
        <w:spacing w:before="166" w:beforeLines="50" w:line="360" w:lineRule="auto"/>
        <w:jc w:val="center"/>
        <w:rPr>
          <w:rFonts w:ascii="宋体" w:cs="宋体"/>
          <w:color w:val="auto"/>
          <w:sz w:val="52"/>
          <w:szCs w:val="52"/>
          <w:highlight w:val="none"/>
        </w:rPr>
      </w:pPr>
    </w:p>
    <w:p w14:paraId="2DA8FF86">
      <w:pPr>
        <w:spacing w:before="166" w:beforeLines="50" w:line="360" w:lineRule="auto"/>
        <w:jc w:val="center"/>
        <w:rPr>
          <w:rFonts w:ascii="宋体" w:cs="宋体"/>
          <w:color w:val="auto"/>
          <w:sz w:val="72"/>
          <w:szCs w:val="72"/>
          <w:highlight w:val="none"/>
        </w:rPr>
      </w:pPr>
      <w:r>
        <w:rPr>
          <w:rFonts w:hint="eastAsia" w:ascii="宋体" w:cs="宋体"/>
          <w:color w:val="auto"/>
          <w:sz w:val="72"/>
          <w:szCs w:val="72"/>
          <w:highlight w:val="none"/>
        </w:rPr>
        <w:t>广西科联招标中心有限公司</w:t>
      </w:r>
    </w:p>
    <w:p w14:paraId="57B3E3D5">
      <w:pPr>
        <w:spacing w:before="166" w:beforeLines="50" w:line="360" w:lineRule="auto"/>
        <w:jc w:val="center"/>
        <w:rPr>
          <w:rFonts w:ascii="宋体" w:cs="宋体"/>
          <w:b/>
          <w:color w:val="auto"/>
          <w:sz w:val="48"/>
          <w:szCs w:val="48"/>
          <w:highlight w:val="none"/>
        </w:rPr>
      </w:pPr>
    </w:p>
    <w:p w14:paraId="155AA975">
      <w:pPr>
        <w:spacing w:before="166" w:beforeLines="50" w:line="360" w:lineRule="auto"/>
        <w:jc w:val="center"/>
        <w:rPr>
          <w:rFonts w:ascii="宋体" w:cs="宋体"/>
          <w:b/>
          <w:color w:val="auto"/>
          <w:sz w:val="48"/>
          <w:szCs w:val="48"/>
          <w:highlight w:val="none"/>
        </w:rPr>
      </w:pPr>
    </w:p>
    <w:p w14:paraId="685E9724">
      <w:pPr>
        <w:snapToGrid w:val="0"/>
        <w:spacing w:before="166" w:beforeLines="50" w:line="360" w:lineRule="auto"/>
        <w:jc w:val="center"/>
        <w:rPr>
          <w:rFonts w:ascii="宋体" w:cs="宋体"/>
          <w:color w:val="auto"/>
          <w:sz w:val="72"/>
          <w:szCs w:val="72"/>
          <w:highlight w:val="none"/>
        </w:rPr>
      </w:pPr>
      <w:r>
        <w:rPr>
          <w:rFonts w:hint="eastAsia" w:ascii="宋体" w:cs="宋体"/>
          <w:color w:val="auto"/>
          <w:sz w:val="72"/>
          <w:szCs w:val="72"/>
          <w:highlight w:val="none"/>
        </w:rPr>
        <w:t>招 标 文 件</w:t>
      </w:r>
    </w:p>
    <w:p w14:paraId="27852BA4">
      <w:pPr>
        <w:snapToGrid w:val="0"/>
        <w:spacing w:before="166" w:beforeLines="50" w:line="360" w:lineRule="auto"/>
        <w:jc w:val="center"/>
        <w:rPr>
          <w:rFonts w:ascii="宋体" w:cs="宋体"/>
          <w:color w:val="auto"/>
          <w:sz w:val="30"/>
          <w:szCs w:val="72"/>
          <w:highlight w:val="none"/>
        </w:rPr>
      </w:pPr>
      <w:r>
        <w:rPr>
          <w:rFonts w:hint="eastAsia" w:ascii="宋体" w:cs="宋体"/>
          <w:color w:val="auto"/>
          <w:sz w:val="30"/>
          <w:szCs w:val="72"/>
          <w:highlight w:val="none"/>
        </w:rPr>
        <w:t>（全流程电子化评标）</w:t>
      </w:r>
    </w:p>
    <w:p w14:paraId="7299EE70">
      <w:pPr>
        <w:snapToGrid w:val="0"/>
        <w:spacing w:before="166" w:beforeLines="50" w:line="360" w:lineRule="auto"/>
        <w:rPr>
          <w:rFonts w:ascii="宋体" w:cs="宋体"/>
          <w:color w:val="auto"/>
          <w:sz w:val="30"/>
          <w:szCs w:val="72"/>
          <w:highlight w:val="none"/>
        </w:rPr>
      </w:pPr>
    </w:p>
    <w:p w14:paraId="59871257">
      <w:pPr>
        <w:pStyle w:val="16"/>
        <w:snapToGrid w:val="0"/>
        <w:spacing w:before="50" w:after="120" w:line="360" w:lineRule="auto"/>
        <w:jc w:val="center"/>
        <w:rPr>
          <w:rFonts w:hint="eastAsia" w:eastAsia="宋体" w:cs="宋体"/>
          <w:b/>
          <w:bCs/>
          <w:color w:val="auto"/>
          <w:sz w:val="30"/>
          <w:szCs w:val="30"/>
          <w:highlight w:val="none"/>
          <w:lang w:eastAsia="zh-CN"/>
        </w:rPr>
      </w:pPr>
      <w:r>
        <w:rPr>
          <w:rFonts w:hint="eastAsia" w:cs="宋体"/>
          <w:b/>
          <w:bCs/>
          <w:color w:val="auto"/>
          <w:sz w:val="30"/>
          <w:szCs w:val="30"/>
          <w:highlight w:val="none"/>
        </w:rPr>
        <w:t>项目</w:t>
      </w:r>
      <w:r>
        <w:rPr>
          <w:rFonts w:hint="eastAsia" w:cs="宋体"/>
          <w:b/>
          <w:bCs/>
          <w:color w:val="auto"/>
          <w:w w:val="95"/>
          <w:sz w:val="30"/>
          <w:szCs w:val="30"/>
          <w:highlight w:val="none"/>
        </w:rPr>
        <w:t>名称</w:t>
      </w:r>
      <w:r>
        <w:rPr>
          <w:rFonts w:hint="eastAsia" w:cs="宋体"/>
          <w:b/>
          <w:bCs/>
          <w:color w:val="auto"/>
          <w:sz w:val="30"/>
          <w:szCs w:val="30"/>
          <w:highlight w:val="none"/>
        </w:rPr>
        <w:t>：2025年医疗服务与保障能力提升（县域医疗卫生机构能力建设）项目</w:t>
      </w:r>
    </w:p>
    <w:p w14:paraId="1543BBC7">
      <w:pPr>
        <w:snapToGrid w:val="0"/>
        <w:spacing w:before="166" w:beforeLines="50" w:line="360" w:lineRule="auto"/>
        <w:jc w:val="center"/>
        <w:rPr>
          <w:rFonts w:hint="eastAsia" w:ascii="宋体" w:eastAsia="宋体" w:cs="宋体"/>
          <w:b/>
          <w:color w:val="auto"/>
          <w:sz w:val="30"/>
          <w:szCs w:val="48"/>
          <w:highlight w:val="none"/>
          <w:lang w:eastAsia="zh-CN"/>
        </w:rPr>
      </w:pPr>
      <w:r>
        <w:rPr>
          <w:rFonts w:hint="eastAsia" w:ascii="宋体" w:cs="宋体"/>
          <w:b/>
          <w:bCs/>
          <w:color w:val="auto"/>
          <w:w w:val="95"/>
          <w:sz w:val="30"/>
          <w:szCs w:val="30"/>
          <w:highlight w:val="none"/>
        </w:rPr>
        <w:t>项目</w:t>
      </w:r>
      <w:r>
        <w:rPr>
          <w:rFonts w:hint="eastAsia" w:ascii="宋体" w:cs="宋体"/>
          <w:b/>
          <w:bCs/>
          <w:color w:val="auto"/>
          <w:sz w:val="30"/>
          <w:szCs w:val="30"/>
          <w:highlight w:val="none"/>
        </w:rPr>
        <w:t>编号</w:t>
      </w:r>
      <w:r>
        <w:rPr>
          <w:rFonts w:hint="eastAsia" w:ascii="宋体" w:cs="宋体"/>
          <w:b/>
          <w:bCs/>
          <w:color w:val="auto"/>
          <w:w w:val="95"/>
          <w:sz w:val="30"/>
          <w:szCs w:val="30"/>
          <w:highlight w:val="none"/>
        </w:rPr>
        <w:t>：</w:t>
      </w:r>
      <w:r>
        <w:rPr>
          <w:rFonts w:hint="eastAsia" w:ascii="宋体" w:cs="宋体"/>
          <w:b/>
          <w:bCs/>
          <w:color w:val="auto"/>
          <w:w w:val="95"/>
          <w:sz w:val="30"/>
          <w:szCs w:val="30"/>
          <w:highlight w:val="none"/>
          <w:lang w:eastAsia="zh-CN"/>
        </w:rPr>
        <w:t>CZZC2026-G1-250167-GXKL</w:t>
      </w:r>
    </w:p>
    <w:p w14:paraId="2C6B9F0A">
      <w:pPr>
        <w:pStyle w:val="16"/>
        <w:snapToGrid w:val="0"/>
        <w:spacing w:before="50" w:after="120" w:line="360" w:lineRule="auto"/>
        <w:ind w:firstLine="1125" w:firstLineChars="393"/>
        <w:rPr>
          <w:rFonts w:cs="宋体"/>
          <w:b/>
          <w:bCs/>
          <w:color w:val="auto"/>
          <w:w w:val="95"/>
          <w:sz w:val="30"/>
          <w:szCs w:val="30"/>
          <w:highlight w:val="none"/>
        </w:rPr>
      </w:pPr>
    </w:p>
    <w:p w14:paraId="329DF734">
      <w:pPr>
        <w:pStyle w:val="16"/>
        <w:snapToGrid w:val="0"/>
        <w:spacing w:before="50" w:after="120" w:line="360" w:lineRule="auto"/>
        <w:ind w:firstLine="1125" w:firstLineChars="393"/>
        <w:rPr>
          <w:rFonts w:cs="宋体"/>
          <w:b/>
          <w:bCs/>
          <w:color w:val="auto"/>
          <w:w w:val="95"/>
          <w:sz w:val="30"/>
          <w:szCs w:val="30"/>
          <w:highlight w:val="none"/>
        </w:rPr>
      </w:pPr>
    </w:p>
    <w:p w14:paraId="2173CB7C">
      <w:pPr>
        <w:pStyle w:val="16"/>
        <w:snapToGrid w:val="0"/>
        <w:spacing w:before="50" w:after="120" w:line="360" w:lineRule="auto"/>
        <w:ind w:firstLine="1125" w:firstLineChars="393"/>
        <w:jc w:val="center"/>
        <w:rPr>
          <w:rFonts w:cs="宋体"/>
          <w:b/>
          <w:bCs/>
          <w:color w:val="auto"/>
          <w:w w:val="95"/>
          <w:sz w:val="30"/>
          <w:szCs w:val="30"/>
          <w:highlight w:val="none"/>
        </w:rPr>
      </w:pPr>
    </w:p>
    <w:p w14:paraId="176483D0">
      <w:pPr>
        <w:pStyle w:val="16"/>
        <w:snapToGrid w:val="0"/>
        <w:spacing w:before="50" w:after="120" w:line="360" w:lineRule="auto"/>
        <w:jc w:val="center"/>
        <w:rPr>
          <w:rFonts w:hint="eastAsia" w:eastAsia="宋体" w:cs="宋体"/>
          <w:b/>
          <w:bCs/>
          <w:color w:val="auto"/>
          <w:sz w:val="30"/>
          <w:szCs w:val="30"/>
          <w:highlight w:val="none"/>
          <w:lang w:eastAsia="zh-CN"/>
        </w:rPr>
      </w:pPr>
      <w:r>
        <w:rPr>
          <w:rFonts w:hint="eastAsia" w:cs="宋体"/>
          <w:b/>
          <w:bCs/>
          <w:color w:val="auto"/>
          <w:sz w:val="30"/>
          <w:szCs w:val="30"/>
          <w:highlight w:val="none"/>
        </w:rPr>
        <w:t>采 购 人：</w:t>
      </w:r>
      <w:r>
        <w:rPr>
          <w:rFonts w:hint="eastAsia" w:cs="宋体"/>
          <w:b/>
          <w:bCs/>
          <w:color w:val="auto"/>
          <w:sz w:val="30"/>
          <w:szCs w:val="30"/>
          <w:highlight w:val="none"/>
          <w:lang w:eastAsia="zh-CN"/>
        </w:rPr>
        <w:t>天等县卫生健康局</w:t>
      </w:r>
    </w:p>
    <w:p w14:paraId="780B5250">
      <w:pPr>
        <w:pStyle w:val="16"/>
        <w:snapToGrid w:val="0"/>
        <w:spacing w:before="50" w:after="120" w:line="360" w:lineRule="auto"/>
        <w:jc w:val="center"/>
        <w:rPr>
          <w:rFonts w:hint="eastAsia" w:cs="宋体"/>
          <w:b/>
          <w:bCs/>
          <w:color w:val="auto"/>
          <w:sz w:val="30"/>
          <w:szCs w:val="30"/>
          <w:highlight w:val="none"/>
        </w:rPr>
      </w:pPr>
      <w:r>
        <w:rPr>
          <w:rFonts w:hint="eastAsia" w:cs="宋体"/>
          <w:b/>
          <w:bCs/>
          <w:color w:val="auto"/>
          <w:sz w:val="30"/>
          <w:szCs w:val="30"/>
          <w:highlight w:val="none"/>
        </w:rPr>
        <w:t>采购代理机构：</w:t>
      </w:r>
      <w:bookmarkStart w:id="0" w:name="PO_3000001867_PM031"/>
      <w:r>
        <w:rPr>
          <w:rFonts w:hint="eastAsia" w:cs="宋体"/>
          <w:b/>
          <w:bCs/>
          <w:color w:val="auto"/>
          <w:sz w:val="30"/>
          <w:szCs w:val="30"/>
          <w:highlight w:val="none"/>
        </w:rPr>
        <w:t>广西科联招标中心有限公司</w:t>
      </w:r>
      <w:bookmarkEnd w:id="0"/>
    </w:p>
    <w:p w14:paraId="0E8ABCE3">
      <w:pPr>
        <w:pStyle w:val="16"/>
        <w:snapToGrid w:val="0"/>
        <w:spacing w:before="50" w:after="120" w:line="360" w:lineRule="auto"/>
        <w:jc w:val="center"/>
        <w:rPr>
          <w:rFonts w:cs="宋体"/>
          <w:b/>
          <w:bCs/>
          <w:color w:val="auto"/>
          <w:w w:val="95"/>
          <w:sz w:val="30"/>
          <w:szCs w:val="30"/>
          <w:highlight w:val="none"/>
        </w:rPr>
      </w:pPr>
      <w:r>
        <w:rPr>
          <w:rFonts w:hint="eastAsia" w:cs="宋体"/>
          <w:b/>
          <w:bCs/>
          <w:color w:val="auto"/>
          <w:w w:val="95"/>
          <w:sz w:val="30"/>
          <w:szCs w:val="30"/>
          <w:highlight w:val="none"/>
        </w:rPr>
        <w:t>202</w:t>
      </w:r>
      <w:r>
        <w:rPr>
          <w:rFonts w:hint="eastAsia" w:cs="宋体"/>
          <w:b/>
          <w:bCs/>
          <w:color w:val="auto"/>
          <w:w w:val="95"/>
          <w:sz w:val="30"/>
          <w:szCs w:val="30"/>
          <w:highlight w:val="none"/>
          <w:lang w:val="en-US" w:eastAsia="zh-CN"/>
        </w:rPr>
        <w:t>6</w:t>
      </w:r>
      <w:r>
        <w:rPr>
          <w:rFonts w:hint="eastAsia" w:cs="宋体"/>
          <w:b/>
          <w:bCs/>
          <w:color w:val="auto"/>
          <w:w w:val="95"/>
          <w:sz w:val="30"/>
          <w:szCs w:val="30"/>
          <w:highlight w:val="none"/>
        </w:rPr>
        <w:t>年</w:t>
      </w:r>
      <w:r>
        <w:rPr>
          <w:rFonts w:hint="eastAsia" w:cs="宋体"/>
          <w:b/>
          <w:bCs/>
          <w:color w:val="auto"/>
          <w:w w:val="95"/>
          <w:sz w:val="30"/>
          <w:szCs w:val="30"/>
          <w:highlight w:val="none"/>
          <w:lang w:val="en-US" w:eastAsia="zh-CN"/>
        </w:rPr>
        <w:t>9</w:t>
      </w:r>
      <w:r>
        <w:rPr>
          <w:rFonts w:hint="eastAsia" w:cs="宋体"/>
          <w:b/>
          <w:bCs/>
          <w:color w:val="auto"/>
          <w:w w:val="95"/>
          <w:sz w:val="30"/>
          <w:szCs w:val="30"/>
          <w:highlight w:val="none"/>
        </w:rPr>
        <w:t>月</w:t>
      </w:r>
      <w:r>
        <w:rPr>
          <w:rFonts w:hint="eastAsia" w:cs="宋体"/>
          <w:b/>
          <w:bCs/>
          <w:color w:val="auto"/>
          <w:w w:val="95"/>
          <w:sz w:val="30"/>
          <w:szCs w:val="30"/>
          <w:highlight w:val="none"/>
          <w:lang w:val="en-US" w:eastAsia="zh-CN"/>
        </w:rPr>
        <w:t>29</w:t>
      </w:r>
      <w:r>
        <w:rPr>
          <w:rFonts w:hint="eastAsia" w:cs="宋体"/>
          <w:b/>
          <w:bCs/>
          <w:color w:val="auto"/>
          <w:w w:val="95"/>
          <w:sz w:val="30"/>
          <w:szCs w:val="30"/>
          <w:highlight w:val="none"/>
        </w:rPr>
        <w:t>日</w:t>
      </w:r>
    </w:p>
    <w:p w14:paraId="31D432C2">
      <w:pPr>
        <w:pStyle w:val="12"/>
        <w:kinsoku w:val="0"/>
        <w:overflowPunct w:val="0"/>
        <w:ind w:firstLine="800"/>
        <w:rPr>
          <w:rFonts w:ascii="宋体" w:cs="宋体"/>
          <w:color w:val="auto"/>
          <w:sz w:val="40"/>
          <w:highlight w:val="none"/>
        </w:rPr>
      </w:pPr>
    </w:p>
    <w:p w14:paraId="25938E9D">
      <w:pPr>
        <w:pStyle w:val="16"/>
        <w:jc w:val="center"/>
        <w:rPr>
          <w:rFonts w:hint="eastAsia" w:cs="宋体"/>
          <w:b/>
          <w:color w:val="auto"/>
          <w:sz w:val="48"/>
          <w:szCs w:val="48"/>
          <w:highlight w:val="none"/>
        </w:rPr>
        <w:sectPr>
          <w:pgSz w:w="11906" w:h="16838"/>
          <w:pgMar w:top="1134" w:right="1134" w:bottom="1134" w:left="1134" w:header="720" w:footer="720" w:gutter="0"/>
          <w:pgNumType w:start="0"/>
          <w:cols w:space="720" w:num="1"/>
          <w:docGrid w:type="lines" w:linePitch="331" w:charSpace="0"/>
        </w:sectPr>
      </w:pPr>
    </w:p>
    <w:p w14:paraId="71649A11">
      <w:pPr>
        <w:pStyle w:val="16"/>
        <w:jc w:val="center"/>
        <w:rPr>
          <w:rFonts w:cs="宋体"/>
          <w:b/>
          <w:color w:val="auto"/>
          <w:sz w:val="48"/>
          <w:szCs w:val="48"/>
          <w:highlight w:val="none"/>
        </w:rPr>
      </w:pPr>
      <w:r>
        <w:rPr>
          <w:rFonts w:hint="eastAsia" w:cs="宋体"/>
          <w:b/>
          <w:color w:val="auto"/>
          <w:sz w:val="48"/>
          <w:szCs w:val="48"/>
          <w:highlight w:val="none"/>
        </w:rPr>
        <w:t>目     录</w:t>
      </w:r>
    </w:p>
    <w:p w14:paraId="17A8C0FA">
      <w:pPr>
        <w:pStyle w:val="8"/>
        <w:rPr>
          <w:rFonts w:ascii="宋体" w:cs="宋体"/>
          <w:b/>
          <w:color w:val="auto"/>
          <w:sz w:val="48"/>
          <w:szCs w:val="48"/>
          <w:highlight w:val="none"/>
        </w:rPr>
      </w:pPr>
    </w:p>
    <w:p w14:paraId="7177F297">
      <w:pPr>
        <w:rPr>
          <w:rFonts w:hint="eastAsia" w:ascii="宋体" w:hAnsi="宋体" w:cs="宋体"/>
          <w:color w:val="auto"/>
          <w:sz w:val="32"/>
          <w:szCs w:val="32"/>
          <w:highlight w:val="none"/>
        </w:rPr>
      </w:pPr>
    </w:p>
    <w:p w14:paraId="6A8D3A4E">
      <w:pPr>
        <w:pStyle w:val="22"/>
        <w:tabs>
          <w:tab w:val="right" w:leader="dot" w:pos="9638"/>
        </w:tabs>
      </w:pP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TOC \o "1-1" \h \u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Cs w:val="0"/>
          <w:szCs w:val="30"/>
          <w:highlight w:val="none"/>
        </w:rPr>
        <w:fldChar w:fldCharType="begin"/>
      </w:r>
      <w:r>
        <w:rPr>
          <w:rFonts w:hint="eastAsia" w:ascii="宋体" w:hAnsi="宋体" w:eastAsia="宋体" w:cs="宋体"/>
          <w:bCs w:val="0"/>
          <w:szCs w:val="30"/>
          <w:highlight w:val="none"/>
        </w:rPr>
        <w:instrText xml:space="preserve"> HYPERLINK \l _Toc10196 </w:instrText>
      </w:r>
      <w:r>
        <w:rPr>
          <w:rFonts w:hint="eastAsia" w:ascii="宋体" w:hAnsi="宋体" w:eastAsia="宋体" w:cs="宋体"/>
          <w:bCs w:val="0"/>
          <w:szCs w:val="30"/>
          <w:highlight w:val="none"/>
        </w:rPr>
        <w:fldChar w:fldCharType="separate"/>
      </w:r>
      <w:r>
        <w:rPr>
          <w:rFonts w:hint="eastAsia" w:cs="宋体"/>
          <w:highlight w:val="none"/>
        </w:rPr>
        <w:t>第一章  招标公告</w:t>
      </w:r>
      <w:r>
        <w:tab/>
      </w:r>
      <w:r>
        <w:fldChar w:fldCharType="begin"/>
      </w:r>
      <w:r>
        <w:instrText xml:space="preserve"> PAGEREF _Toc10196 \h </w:instrText>
      </w:r>
      <w:r>
        <w:fldChar w:fldCharType="separate"/>
      </w:r>
      <w:r>
        <w:t>1</w:t>
      </w:r>
      <w:r>
        <w:fldChar w:fldCharType="end"/>
      </w:r>
      <w:r>
        <w:rPr>
          <w:rFonts w:hint="eastAsia" w:ascii="宋体" w:hAnsi="宋体" w:eastAsia="宋体" w:cs="宋体"/>
          <w:bCs w:val="0"/>
          <w:color w:val="auto"/>
          <w:szCs w:val="30"/>
          <w:highlight w:val="none"/>
        </w:rPr>
        <w:fldChar w:fldCharType="end"/>
      </w:r>
    </w:p>
    <w:p w14:paraId="2A659CE1">
      <w:pPr>
        <w:pStyle w:val="22"/>
        <w:tabs>
          <w:tab w:val="right" w:leader="dot" w:pos="9638"/>
        </w:tabs>
      </w:pPr>
      <w:r>
        <w:rPr>
          <w:rFonts w:hint="eastAsia" w:ascii="宋体" w:hAnsi="宋体" w:eastAsia="宋体" w:cs="宋体"/>
          <w:bCs w:val="0"/>
          <w:szCs w:val="30"/>
          <w:highlight w:val="none"/>
        </w:rPr>
        <w:fldChar w:fldCharType="begin"/>
      </w:r>
      <w:r>
        <w:rPr>
          <w:rFonts w:hint="eastAsia" w:ascii="宋体" w:hAnsi="宋体" w:eastAsia="宋体" w:cs="宋体"/>
          <w:bCs w:val="0"/>
          <w:szCs w:val="30"/>
          <w:highlight w:val="none"/>
        </w:rPr>
        <w:instrText xml:space="preserve"> HYPERLINK \l _Toc23353 </w:instrText>
      </w:r>
      <w:r>
        <w:rPr>
          <w:rFonts w:hint="eastAsia" w:ascii="宋体" w:hAnsi="宋体" w:eastAsia="宋体" w:cs="宋体"/>
          <w:bCs w:val="0"/>
          <w:szCs w:val="30"/>
          <w:highlight w:val="none"/>
        </w:rPr>
        <w:fldChar w:fldCharType="separate"/>
      </w:r>
      <w:r>
        <w:rPr>
          <w:rFonts w:hint="eastAsia" w:cs="宋体"/>
          <w:highlight w:val="none"/>
        </w:rPr>
        <w:t>第二章  采购需求</w:t>
      </w:r>
      <w:r>
        <w:tab/>
      </w:r>
      <w:r>
        <w:fldChar w:fldCharType="begin"/>
      </w:r>
      <w:r>
        <w:instrText xml:space="preserve"> PAGEREF _Toc23353 \h </w:instrText>
      </w:r>
      <w:r>
        <w:fldChar w:fldCharType="separate"/>
      </w:r>
      <w:r>
        <w:t>6</w:t>
      </w:r>
      <w:r>
        <w:fldChar w:fldCharType="end"/>
      </w:r>
      <w:r>
        <w:rPr>
          <w:rFonts w:hint="eastAsia" w:ascii="宋体" w:hAnsi="宋体" w:eastAsia="宋体" w:cs="宋体"/>
          <w:bCs w:val="0"/>
          <w:color w:val="auto"/>
          <w:szCs w:val="30"/>
          <w:highlight w:val="none"/>
        </w:rPr>
        <w:fldChar w:fldCharType="end"/>
      </w:r>
    </w:p>
    <w:p w14:paraId="13AEC977">
      <w:pPr>
        <w:pStyle w:val="22"/>
        <w:tabs>
          <w:tab w:val="right" w:leader="dot" w:pos="9638"/>
        </w:tabs>
      </w:pPr>
      <w:r>
        <w:rPr>
          <w:rFonts w:hint="eastAsia" w:ascii="宋体" w:hAnsi="宋体" w:eastAsia="宋体" w:cs="宋体"/>
          <w:bCs w:val="0"/>
          <w:szCs w:val="30"/>
          <w:highlight w:val="none"/>
        </w:rPr>
        <w:fldChar w:fldCharType="begin"/>
      </w:r>
      <w:r>
        <w:rPr>
          <w:rFonts w:hint="eastAsia" w:ascii="宋体" w:hAnsi="宋体" w:eastAsia="宋体" w:cs="宋体"/>
          <w:bCs w:val="0"/>
          <w:szCs w:val="30"/>
          <w:highlight w:val="none"/>
        </w:rPr>
        <w:instrText xml:space="preserve"> HYPERLINK \l _Toc25180 </w:instrText>
      </w:r>
      <w:r>
        <w:rPr>
          <w:rFonts w:hint="eastAsia" w:ascii="宋体" w:hAnsi="宋体" w:eastAsia="宋体" w:cs="宋体"/>
          <w:bCs w:val="0"/>
          <w:szCs w:val="30"/>
          <w:highlight w:val="none"/>
        </w:rPr>
        <w:fldChar w:fldCharType="separate"/>
      </w:r>
      <w:r>
        <w:rPr>
          <w:rFonts w:hint="eastAsia" w:cs="宋体"/>
          <w:highlight w:val="none"/>
        </w:rPr>
        <w:t>第三章  投标人须知</w:t>
      </w:r>
      <w:r>
        <w:tab/>
      </w:r>
      <w:r>
        <w:fldChar w:fldCharType="begin"/>
      </w:r>
      <w:r>
        <w:instrText xml:space="preserve"> PAGEREF _Toc25180 \h </w:instrText>
      </w:r>
      <w:r>
        <w:fldChar w:fldCharType="separate"/>
      </w:r>
      <w:r>
        <w:t>73</w:t>
      </w:r>
      <w:r>
        <w:fldChar w:fldCharType="end"/>
      </w:r>
      <w:r>
        <w:rPr>
          <w:rFonts w:hint="eastAsia" w:ascii="宋体" w:hAnsi="宋体" w:eastAsia="宋体" w:cs="宋体"/>
          <w:bCs w:val="0"/>
          <w:color w:val="auto"/>
          <w:szCs w:val="30"/>
          <w:highlight w:val="none"/>
        </w:rPr>
        <w:fldChar w:fldCharType="end"/>
      </w:r>
    </w:p>
    <w:p w14:paraId="6380151F">
      <w:pPr>
        <w:pStyle w:val="22"/>
        <w:tabs>
          <w:tab w:val="right" w:leader="dot" w:pos="9638"/>
        </w:tabs>
      </w:pPr>
      <w:r>
        <w:rPr>
          <w:rFonts w:hint="eastAsia" w:ascii="宋体" w:hAnsi="宋体" w:eastAsia="宋体" w:cs="宋体"/>
          <w:bCs w:val="0"/>
          <w:szCs w:val="30"/>
          <w:highlight w:val="none"/>
        </w:rPr>
        <w:fldChar w:fldCharType="begin"/>
      </w:r>
      <w:r>
        <w:rPr>
          <w:rFonts w:hint="eastAsia" w:ascii="宋体" w:hAnsi="宋体" w:eastAsia="宋体" w:cs="宋体"/>
          <w:bCs w:val="0"/>
          <w:szCs w:val="30"/>
          <w:highlight w:val="none"/>
        </w:rPr>
        <w:instrText xml:space="preserve"> HYPERLINK \l _Toc7854 </w:instrText>
      </w:r>
      <w:r>
        <w:rPr>
          <w:rFonts w:hint="eastAsia" w:ascii="宋体" w:hAnsi="宋体" w:eastAsia="宋体" w:cs="宋体"/>
          <w:bCs w:val="0"/>
          <w:szCs w:val="30"/>
          <w:highlight w:val="none"/>
        </w:rPr>
        <w:fldChar w:fldCharType="separate"/>
      </w:r>
      <w:r>
        <w:rPr>
          <w:rFonts w:hint="eastAsia" w:cs="宋体"/>
          <w:highlight w:val="none"/>
        </w:rPr>
        <w:t>第四章  评标方法和评标标准</w:t>
      </w:r>
      <w:r>
        <w:tab/>
      </w:r>
      <w:r>
        <w:fldChar w:fldCharType="begin"/>
      </w:r>
      <w:r>
        <w:instrText xml:space="preserve"> PAGEREF _Toc7854 \h </w:instrText>
      </w:r>
      <w:r>
        <w:fldChar w:fldCharType="separate"/>
      </w:r>
      <w:r>
        <w:t>101</w:t>
      </w:r>
      <w:r>
        <w:fldChar w:fldCharType="end"/>
      </w:r>
      <w:r>
        <w:rPr>
          <w:rFonts w:hint="eastAsia" w:ascii="宋体" w:hAnsi="宋体" w:eastAsia="宋体" w:cs="宋体"/>
          <w:bCs w:val="0"/>
          <w:color w:val="auto"/>
          <w:szCs w:val="30"/>
          <w:highlight w:val="none"/>
        </w:rPr>
        <w:fldChar w:fldCharType="end"/>
      </w:r>
    </w:p>
    <w:p w14:paraId="76B2997F">
      <w:pPr>
        <w:pStyle w:val="22"/>
        <w:tabs>
          <w:tab w:val="right" w:leader="dot" w:pos="9638"/>
        </w:tabs>
      </w:pPr>
      <w:r>
        <w:rPr>
          <w:rFonts w:hint="eastAsia" w:ascii="宋体" w:hAnsi="宋体" w:eastAsia="宋体" w:cs="宋体"/>
          <w:bCs w:val="0"/>
          <w:szCs w:val="30"/>
          <w:highlight w:val="none"/>
        </w:rPr>
        <w:fldChar w:fldCharType="begin"/>
      </w:r>
      <w:r>
        <w:rPr>
          <w:rFonts w:hint="eastAsia" w:ascii="宋体" w:hAnsi="宋体" w:eastAsia="宋体" w:cs="宋体"/>
          <w:bCs w:val="0"/>
          <w:szCs w:val="30"/>
          <w:highlight w:val="none"/>
        </w:rPr>
        <w:instrText xml:space="preserve"> HYPERLINK \l _Toc4982 </w:instrText>
      </w:r>
      <w:r>
        <w:rPr>
          <w:rFonts w:hint="eastAsia" w:ascii="宋体" w:hAnsi="宋体" w:eastAsia="宋体" w:cs="宋体"/>
          <w:bCs w:val="0"/>
          <w:szCs w:val="30"/>
          <w:highlight w:val="none"/>
        </w:rPr>
        <w:fldChar w:fldCharType="separate"/>
      </w:r>
      <w:r>
        <w:rPr>
          <w:rFonts w:hint="eastAsia" w:cs="宋体"/>
          <w:highlight w:val="none"/>
        </w:rPr>
        <w:t>第五章 拟签订的合同文本</w:t>
      </w:r>
      <w:r>
        <w:tab/>
      </w:r>
      <w:r>
        <w:fldChar w:fldCharType="begin"/>
      </w:r>
      <w:r>
        <w:instrText xml:space="preserve"> PAGEREF _Toc4982 \h </w:instrText>
      </w:r>
      <w:r>
        <w:fldChar w:fldCharType="separate"/>
      </w:r>
      <w:r>
        <w:t>110</w:t>
      </w:r>
      <w:r>
        <w:fldChar w:fldCharType="end"/>
      </w:r>
      <w:r>
        <w:rPr>
          <w:rFonts w:hint="eastAsia" w:ascii="宋体" w:hAnsi="宋体" w:eastAsia="宋体" w:cs="宋体"/>
          <w:bCs w:val="0"/>
          <w:color w:val="auto"/>
          <w:szCs w:val="30"/>
          <w:highlight w:val="none"/>
        </w:rPr>
        <w:fldChar w:fldCharType="end"/>
      </w:r>
    </w:p>
    <w:p w14:paraId="0C75209B">
      <w:pPr>
        <w:pStyle w:val="22"/>
        <w:tabs>
          <w:tab w:val="right" w:leader="dot" w:pos="9638"/>
        </w:tabs>
      </w:pPr>
      <w:r>
        <w:rPr>
          <w:rFonts w:hint="eastAsia" w:ascii="宋体" w:hAnsi="宋体" w:eastAsia="宋体" w:cs="宋体"/>
          <w:bCs w:val="0"/>
          <w:szCs w:val="30"/>
          <w:highlight w:val="none"/>
        </w:rPr>
        <w:fldChar w:fldCharType="begin"/>
      </w:r>
      <w:r>
        <w:rPr>
          <w:rFonts w:hint="eastAsia" w:ascii="宋体" w:hAnsi="宋体" w:eastAsia="宋体" w:cs="宋体"/>
          <w:bCs w:val="0"/>
          <w:szCs w:val="30"/>
          <w:highlight w:val="none"/>
        </w:rPr>
        <w:instrText xml:space="preserve"> HYPERLINK \l _Toc6930 </w:instrText>
      </w:r>
      <w:r>
        <w:rPr>
          <w:rFonts w:hint="eastAsia" w:ascii="宋体" w:hAnsi="宋体" w:eastAsia="宋体" w:cs="宋体"/>
          <w:bCs w:val="0"/>
          <w:szCs w:val="30"/>
          <w:highlight w:val="none"/>
        </w:rPr>
        <w:fldChar w:fldCharType="separate"/>
      </w:r>
      <w:r>
        <w:rPr>
          <w:rFonts w:hint="eastAsia" w:cs="宋体"/>
          <w:highlight w:val="none"/>
        </w:rPr>
        <w:t>第六章 投标文件格式</w:t>
      </w:r>
      <w:r>
        <w:tab/>
      </w:r>
      <w:r>
        <w:fldChar w:fldCharType="begin"/>
      </w:r>
      <w:r>
        <w:instrText xml:space="preserve"> PAGEREF _Toc6930 \h </w:instrText>
      </w:r>
      <w:r>
        <w:fldChar w:fldCharType="separate"/>
      </w:r>
      <w:r>
        <w:t>119</w:t>
      </w:r>
      <w:r>
        <w:fldChar w:fldCharType="end"/>
      </w:r>
      <w:r>
        <w:rPr>
          <w:rFonts w:hint="eastAsia" w:ascii="宋体" w:hAnsi="宋体" w:eastAsia="宋体" w:cs="宋体"/>
          <w:bCs w:val="0"/>
          <w:color w:val="auto"/>
          <w:szCs w:val="30"/>
          <w:highlight w:val="none"/>
        </w:rPr>
        <w:fldChar w:fldCharType="end"/>
      </w:r>
    </w:p>
    <w:p w14:paraId="2029F28C">
      <w:pPr>
        <w:pStyle w:val="22"/>
        <w:tabs>
          <w:tab w:val="right" w:leader="dot" w:pos="9638"/>
        </w:tabs>
      </w:pPr>
      <w:r>
        <w:rPr>
          <w:rFonts w:hint="eastAsia" w:ascii="宋体" w:hAnsi="宋体" w:eastAsia="宋体" w:cs="宋体"/>
          <w:bCs w:val="0"/>
          <w:szCs w:val="30"/>
          <w:highlight w:val="none"/>
        </w:rPr>
        <w:fldChar w:fldCharType="begin"/>
      </w:r>
      <w:r>
        <w:rPr>
          <w:rFonts w:hint="eastAsia" w:ascii="宋体" w:hAnsi="宋体" w:eastAsia="宋体" w:cs="宋体"/>
          <w:bCs w:val="0"/>
          <w:szCs w:val="30"/>
          <w:highlight w:val="none"/>
        </w:rPr>
        <w:instrText xml:space="preserve"> HYPERLINK \l _Toc26838 </w:instrText>
      </w:r>
      <w:r>
        <w:rPr>
          <w:rFonts w:hint="eastAsia" w:ascii="宋体" w:hAnsi="宋体" w:eastAsia="宋体" w:cs="宋体"/>
          <w:bCs w:val="0"/>
          <w:szCs w:val="30"/>
          <w:highlight w:val="none"/>
        </w:rPr>
        <w:fldChar w:fldCharType="separate"/>
      </w:r>
      <w:r>
        <w:rPr>
          <w:rFonts w:hint="eastAsia" w:cs="宋体"/>
          <w:highlight w:val="none"/>
        </w:rPr>
        <w:t>第七章 质疑、投诉材料格式</w:t>
      </w:r>
      <w:r>
        <w:tab/>
      </w:r>
      <w:r>
        <w:fldChar w:fldCharType="begin"/>
      </w:r>
      <w:r>
        <w:instrText xml:space="preserve"> PAGEREF _Toc26838 \h </w:instrText>
      </w:r>
      <w:r>
        <w:fldChar w:fldCharType="separate"/>
      </w:r>
      <w:r>
        <w:t>150</w:t>
      </w:r>
      <w:r>
        <w:fldChar w:fldCharType="end"/>
      </w:r>
      <w:r>
        <w:rPr>
          <w:rFonts w:hint="eastAsia" w:ascii="宋体" w:hAnsi="宋体" w:eastAsia="宋体" w:cs="宋体"/>
          <w:bCs w:val="0"/>
          <w:color w:val="auto"/>
          <w:szCs w:val="30"/>
          <w:highlight w:val="none"/>
        </w:rPr>
        <w:fldChar w:fldCharType="end"/>
      </w:r>
    </w:p>
    <w:p w14:paraId="499FD071">
      <w:pPr>
        <w:pStyle w:val="16"/>
        <w:jc w:val="center"/>
        <w:rPr>
          <w:rFonts w:cs="宋体"/>
          <w:color w:val="auto"/>
          <w:highlight w:val="none"/>
        </w:rPr>
      </w:pPr>
      <w:r>
        <w:rPr>
          <w:rFonts w:hint="eastAsia" w:ascii="宋体" w:hAnsi="宋体" w:eastAsia="宋体" w:cs="宋体"/>
          <w:bCs w:val="0"/>
          <w:color w:val="auto"/>
          <w:szCs w:val="30"/>
          <w:highlight w:val="none"/>
        </w:rPr>
        <w:fldChar w:fldCharType="end"/>
      </w:r>
      <w:r>
        <w:rPr>
          <w:rFonts w:hint="eastAsia" w:cs="宋体"/>
          <w:color w:val="auto"/>
          <w:highlight w:val="none"/>
        </w:rPr>
        <w:tab/>
      </w:r>
      <w:bookmarkStart w:id="1" w:name="_Toc532545041"/>
    </w:p>
    <w:p w14:paraId="14F54115">
      <w:pPr>
        <w:pStyle w:val="16"/>
        <w:jc w:val="center"/>
        <w:outlineLvl w:val="0"/>
        <w:rPr>
          <w:rFonts w:hint="eastAsia" w:cs="宋体"/>
          <w:b/>
          <w:color w:val="auto"/>
          <w:sz w:val="36"/>
          <w:highlight w:val="none"/>
        </w:rPr>
        <w:sectPr>
          <w:footerReference r:id="rId3" w:type="default"/>
          <w:pgSz w:w="11906" w:h="16838"/>
          <w:pgMar w:top="1134" w:right="1134" w:bottom="1134" w:left="1134" w:header="720" w:footer="720" w:gutter="0"/>
          <w:pgNumType w:start="1"/>
          <w:cols w:space="720" w:num="1"/>
          <w:docGrid w:type="lines" w:linePitch="331" w:charSpace="0"/>
        </w:sectPr>
      </w:pPr>
      <w:bookmarkStart w:id="2" w:name="_Toc12135"/>
      <w:bookmarkStart w:id="3" w:name="_Toc23304"/>
      <w:bookmarkStart w:id="4" w:name="_Toc11023"/>
      <w:bookmarkStart w:id="5" w:name="_Toc22419"/>
      <w:bookmarkStart w:id="6" w:name="_Toc14935"/>
      <w:bookmarkStart w:id="7" w:name="_Toc10196"/>
      <w:bookmarkStart w:id="8" w:name="_Toc20152"/>
      <w:bookmarkStart w:id="9" w:name="_Toc19710"/>
      <w:bookmarkStart w:id="10" w:name="_Toc2182"/>
      <w:bookmarkStart w:id="11" w:name="_Toc539"/>
    </w:p>
    <w:p w14:paraId="741DB599">
      <w:pPr>
        <w:pStyle w:val="16"/>
        <w:jc w:val="center"/>
        <w:outlineLvl w:val="0"/>
        <w:rPr>
          <w:rFonts w:cs="宋体"/>
          <w:b/>
          <w:color w:val="auto"/>
          <w:sz w:val="36"/>
          <w:highlight w:val="none"/>
        </w:rPr>
      </w:pPr>
      <w:r>
        <w:rPr>
          <w:rFonts w:hint="eastAsia" w:cs="宋体"/>
          <w:b/>
          <w:color w:val="auto"/>
          <w:sz w:val="36"/>
          <w:highlight w:val="none"/>
        </w:rPr>
        <w:t>第一章  招标公告</w:t>
      </w:r>
      <w:bookmarkEnd w:id="1"/>
      <w:bookmarkEnd w:id="2"/>
      <w:bookmarkEnd w:id="3"/>
      <w:bookmarkEnd w:id="4"/>
      <w:bookmarkEnd w:id="5"/>
      <w:bookmarkEnd w:id="6"/>
      <w:bookmarkEnd w:id="7"/>
      <w:bookmarkEnd w:id="8"/>
      <w:bookmarkEnd w:id="9"/>
      <w:bookmarkEnd w:id="10"/>
      <w:bookmarkEnd w:id="11"/>
    </w:p>
    <w:p w14:paraId="16612B06">
      <w:pPr>
        <w:pStyle w:val="16"/>
        <w:jc w:val="center"/>
        <w:rPr>
          <w:rFonts w:cs="宋体"/>
          <w:b/>
          <w:color w:val="auto"/>
          <w:sz w:val="30"/>
          <w:szCs w:val="30"/>
          <w:highlight w:val="none"/>
        </w:rPr>
      </w:pPr>
      <w:r>
        <w:rPr>
          <w:rFonts w:hint="eastAsia" w:cs="宋体"/>
          <w:b/>
          <w:color w:val="auto"/>
          <w:sz w:val="30"/>
          <w:szCs w:val="30"/>
          <w:highlight w:val="none"/>
        </w:rPr>
        <w:t>招标公告</w:t>
      </w:r>
    </w:p>
    <w:p w14:paraId="13035AF6">
      <w:pPr>
        <w:pBdr>
          <w:top w:val="single" w:color="auto" w:sz="4" w:space="1"/>
          <w:left w:val="single" w:color="auto" w:sz="4" w:space="4"/>
          <w:bottom w:val="single" w:color="auto" w:sz="4" w:space="1"/>
          <w:right w:val="single" w:color="auto" w:sz="4" w:space="4"/>
        </w:pBdr>
        <w:spacing w:line="360" w:lineRule="auto"/>
        <w:rPr>
          <w:rFonts w:ascii="宋体" w:cs="宋体"/>
          <w:color w:val="auto"/>
          <w:szCs w:val="21"/>
          <w:highlight w:val="none"/>
        </w:rPr>
      </w:pPr>
      <w:r>
        <w:rPr>
          <w:rFonts w:hint="eastAsia" w:ascii="宋体" w:cs="宋体"/>
          <w:color w:val="auto"/>
          <w:szCs w:val="21"/>
          <w:highlight w:val="none"/>
        </w:rPr>
        <w:t>项目概况</w:t>
      </w:r>
    </w:p>
    <w:p w14:paraId="1172FCDE">
      <w:pPr>
        <w:pBdr>
          <w:top w:val="single" w:color="auto" w:sz="4" w:space="1"/>
          <w:left w:val="single" w:color="auto" w:sz="4" w:space="4"/>
          <w:bottom w:val="single" w:color="auto" w:sz="4" w:space="1"/>
          <w:right w:val="single" w:color="auto" w:sz="4" w:space="4"/>
        </w:pBdr>
        <w:spacing w:line="360" w:lineRule="auto"/>
        <w:ind w:firstLine="525" w:firstLineChars="250"/>
        <w:rPr>
          <w:rFonts w:ascii="宋体" w:cs="宋体"/>
          <w:color w:val="auto"/>
          <w:szCs w:val="21"/>
          <w:highlight w:val="none"/>
          <w:u w:val="single"/>
        </w:rPr>
      </w:pPr>
      <w:r>
        <w:rPr>
          <w:rFonts w:hint="eastAsia" w:ascii="宋体" w:cs="宋体"/>
          <w:color w:val="auto"/>
          <w:szCs w:val="21"/>
          <w:highlight w:val="none"/>
          <w:u w:val="single"/>
          <w:lang w:eastAsia="zh-CN"/>
        </w:rPr>
        <w:t>2025年医疗服务与保障能力提升（县域医疗卫生机构能力建设）项目</w:t>
      </w:r>
      <w:r>
        <w:rPr>
          <w:rFonts w:hint="eastAsia" w:ascii="宋体" w:cs="宋体"/>
          <w:color w:val="auto"/>
          <w:szCs w:val="21"/>
          <w:highlight w:val="none"/>
        </w:rPr>
        <w:t>的潜在投标人应在广西政府采购云平台（https：//www.gcy.zfcg.gxzf.gov.cn/）获取招标文件，并于</w:t>
      </w:r>
      <w:bookmarkStart w:id="12" w:name="PO_3000001867_PM015"/>
      <w:r>
        <w:rPr>
          <w:rFonts w:hint="eastAsia" w:ascii="宋体" w:cs="宋体"/>
          <w:color w:val="auto"/>
          <w:szCs w:val="21"/>
          <w:highlight w:val="none"/>
        </w:rPr>
        <w:t>202</w:t>
      </w:r>
      <w:r>
        <w:rPr>
          <w:rFonts w:hint="eastAsia" w:ascii="宋体" w:cs="宋体"/>
          <w:color w:val="auto"/>
          <w:szCs w:val="21"/>
          <w:highlight w:val="none"/>
          <w:lang w:val="en-US" w:eastAsia="zh-CN"/>
        </w:rPr>
        <w:t>6</w:t>
      </w:r>
      <w:r>
        <w:rPr>
          <w:rFonts w:hint="eastAsia" w:ascii="宋体" w:cs="宋体"/>
          <w:color w:val="auto"/>
          <w:szCs w:val="21"/>
          <w:highlight w:val="none"/>
        </w:rPr>
        <w:t>年</w:t>
      </w:r>
      <w:r>
        <w:rPr>
          <w:rFonts w:hint="eastAsia" w:ascii="宋体" w:cs="宋体"/>
          <w:color w:val="auto"/>
          <w:szCs w:val="21"/>
          <w:highlight w:val="none"/>
          <w:lang w:val="en-US" w:eastAsia="zh-CN"/>
        </w:rPr>
        <w:t>10</w:t>
      </w:r>
      <w:r>
        <w:rPr>
          <w:rFonts w:hint="eastAsia" w:ascii="宋体" w:cs="宋体"/>
          <w:color w:val="auto"/>
          <w:szCs w:val="21"/>
          <w:highlight w:val="none"/>
        </w:rPr>
        <w:t>月</w:t>
      </w:r>
      <w:r>
        <w:rPr>
          <w:rFonts w:hint="eastAsia" w:ascii="宋体" w:cs="宋体"/>
          <w:color w:val="auto"/>
          <w:szCs w:val="21"/>
          <w:highlight w:val="none"/>
          <w:lang w:val="en-US" w:eastAsia="zh-CN"/>
        </w:rPr>
        <w:t>27</w:t>
      </w:r>
      <w:r>
        <w:rPr>
          <w:rFonts w:hint="eastAsia" w:ascii="宋体" w:cs="宋体"/>
          <w:color w:val="auto"/>
          <w:szCs w:val="21"/>
          <w:highlight w:val="none"/>
        </w:rPr>
        <w:t>日</w:t>
      </w:r>
      <w:r>
        <w:rPr>
          <w:rFonts w:hint="eastAsia" w:ascii="宋体" w:cs="宋体"/>
          <w:color w:val="auto"/>
          <w:szCs w:val="21"/>
          <w:highlight w:val="none"/>
          <w:lang w:val="en-US" w:eastAsia="zh-CN"/>
        </w:rPr>
        <w:t>9</w:t>
      </w:r>
      <w:r>
        <w:rPr>
          <w:rFonts w:hint="eastAsia" w:ascii="宋体" w:cs="宋体"/>
          <w:color w:val="auto"/>
          <w:szCs w:val="21"/>
          <w:highlight w:val="none"/>
        </w:rPr>
        <w:t>点</w:t>
      </w:r>
      <w:r>
        <w:rPr>
          <w:rFonts w:hint="eastAsia" w:ascii="宋体" w:cs="宋体"/>
          <w:color w:val="auto"/>
          <w:szCs w:val="21"/>
          <w:highlight w:val="none"/>
          <w:lang w:val="en-US" w:eastAsia="zh-CN"/>
        </w:rPr>
        <w:t>30</w:t>
      </w:r>
      <w:r>
        <w:rPr>
          <w:rFonts w:hint="eastAsia" w:ascii="宋体" w:cs="宋体"/>
          <w:color w:val="auto"/>
          <w:szCs w:val="21"/>
          <w:highlight w:val="none"/>
        </w:rPr>
        <w:t>分</w:t>
      </w:r>
      <w:bookmarkEnd w:id="12"/>
      <w:r>
        <w:rPr>
          <w:rFonts w:hint="eastAsia" w:ascii="宋体" w:cs="宋体"/>
          <w:bCs/>
          <w:color w:val="auto"/>
          <w:szCs w:val="21"/>
          <w:highlight w:val="none"/>
        </w:rPr>
        <w:t>（北京时间）前</w:t>
      </w:r>
      <w:r>
        <w:rPr>
          <w:rFonts w:hint="eastAsia" w:ascii="宋体" w:cs="宋体"/>
          <w:color w:val="auto"/>
          <w:szCs w:val="21"/>
          <w:highlight w:val="none"/>
        </w:rPr>
        <w:t>递交（上传）投标文件。</w:t>
      </w:r>
    </w:p>
    <w:p w14:paraId="01774BF4">
      <w:pPr>
        <w:spacing w:line="460" w:lineRule="exact"/>
        <w:rPr>
          <w:rFonts w:ascii="宋体" w:cs="宋体"/>
          <w:b/>
          <w:bCs/>
          <w:color w:val="auto"/>
          <w:sz w:val="24"/>
          <w:highlight w:val="none"/>
        </w:rPr>
      </w:pPr>
      <w:bookmarkStart w:id="13" w:name="_Toc28359079"/>
      <w:bookmarkStart w:id="14" w:name="_Toc28359002"/>
      <w:bookmarkStart w:id="15" w:name="_Toc35393621"/>
      <w:bookmarkStart w:id="16" w:name="_Toc35393790"/>
      <w:bookmarkStart w:id="17" w:name="_Hlk24379207"/>
      <w:r>
        <w:rPr>
          <w:rFonts w:hint="eastAsia" w:ascii="宋体" w:cs="宋体"/>
          <w:b/>
          <w:bCs/>
          <w:color w:val="auto"/>
          <w:sz w:val="24"/>
          <w:highlight w:val="none"/>
        </w:rPr>
        <w:t>一、项目基本情况</w:t>
      </w:r>
      <w:bookmarkEnd w:id="13"/>
      <w:bookmarkEnd w:id="14"/>
      <w:bookmarkEnd w:id="15"/>
      <w:bookmarkEnd w:id="16"/>
    </w:p>
    <w:bookmarkEnd w:id="17"/>
    <w:p w14:paraId="084B149D">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b w:val="0"/>
          <w:bCs w:val="0"/>
          <w:color w:val="auto"/>
          <w:szCs w:val="21"/>
          <w:highlight w:val="none"/>
        </w:rPr>
        <w:t>项目编号：</w:t>
      </w:r>
      <w:r>
        <w:rPr>
          <w:rFonts w:hint="eastAsia" w:ascii="宋体" w:hAnsi="宋体" w:eastAsia="宋体" w:cs="Times New Roman"/>
          <w:b w:val="0"/>
          <w:bCs w:val="0"/>
          <w:color w:val="auto"/>
          <w:szCs w:val="21"/>
          <w:highlight w:val="none"/>
          <w:lang w:eastAsia="zh-CN"/>
        </w:rPr>
        <w:t>CZZC2026-G1-250167-GXKL</w:t>
      </w:r>
      <w:r>
        <w:rPr>
          <w:rFonts w:hint="eastAsia" w:ascii="宋体" w:hAnsi="宋体" w:eastAsia="宋体" w:cs="Times New Roman"/>
          <w:color w:val="auto"/>
          <w:szCs w:val="21"/>
          <w:highlight w:val="none"/>
          <w:lang w:val="en-US" w:eastAsia="zh-CN"/>
        </w:rPr>
        <w:t xml:space="preserve"> </w:t>
      </w:r>
    </w:p>
    <w:p w14:paraId="63983327">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b w:val="0"/>
          <w:bCs w:val="0"/>
          <w:color w:val="auto"/>
          <w:szCs w:val="21"/>
          <w:highlight w:val="none"/>
        </w:rPr>
        <w:t>项目名称：</w:t>
      </w:r>
      <w:r>
        <w:rPr>
          <w:rFonts w:hint="eastAsia" w:ascii="宋体" w:hAnsi="宋体" w:eastAsia="宋体" w:cs="Times New Roman"/>
          <w:b w:val="0"/>
          <w:bCs w:val="0"/>
          <w:color w:val="auto"/>
          <w:szCs w:val="21"/>
          <w:highlight w:val="none"/>
          <w:lang w:eastAsia="zh-CN"/>
        </w:rPr>
        <w:t>2025年医疗服务与保障能力提升（县域医疗卫生机构能力建设）项目</w:t>
      </w:r>
      <w:r>
        <w:rPr>
          <w:rFonts w:hint="eastAsia" w:ascii="宋体" w:hAnsi="宋体" w:eastAsia="宋体" w:cs="Times New Roman"/>
          <w:color w:val="auto"/>
          <w:szCs w:val="21"/>
          <w:highlight w:val="none"/>
          <w:lang w:val="en-US" w:eastAsia="zh-CN"/>
        </w:rPr>
        <w:t xml:space="preserve"> </w:t>
      </w:r>
    </w:p>
    <w:p w14:paraId="534D155F">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Times New Roman"/>
          <w:b w:val="0"/>
          <w:bCs w:val="0"/>
          <w:color w:val="auto"/>
          <w:szCs w:val="21"/>
          <w:highlight w:val="none"/>
        </w:rPr>
        <w:t>预算总金额（元）：</w:t>
      </w:r>
      <w:bookmarkStart w:id="18" w:name="PO_3000001867_PM001392"/>
      <w:r>
        <w:rPr>
          <w:rFonts w:hint="eastAsia" w:ascii="宋体" w:hAnsi="宋体" w:eastAsia="宋体" w:cs="Times New Roman"/>
          <w:b w:val="0"/>
          <w:bCs w:val="0"/>
          <w:color w:val="auto"/>
          <w:szCs w:val="21"/>
          <w:highlight w:val="none"/>
        </w:rPr>
        <w:t>6930881.1</w:t>
      </w:r>
      <w:r>
        <w:rPr>
          <w:rFonts w:hint="eastAsia" w:ascii="宋体" w:hAnsi="宋体" w:eastAsia="宋体" w:cs="Times New Roman"/>
          <w:b w:val="0"/>
          <w:bCs w:val="0"/>
          <w:color w:val="auto"/>
          <w:szCs w:val="21"/>
          <w:highlight w:val="none"/>
          <w:lang w:val="en-US" w:eastAsia="zh-CN"/>
        </w:rPr>
        <w:t>0</w:t>
      </w:r>
      <w:r>
        <w:rPr>
          <w:rFonts w:hint="eastAsia" w:ascii="宋体" w:hAnsi="宋体" w:eastAsia="宋体" w:cs="宋体"/>
          <w:color w:val="auto"/>
          <w:szCs w:val="21"/>
          <w:highlight w:val="none"/>
          <w:lang w:eastAsia="zh-CN"/>
        </w:rPr>
        <w:t>。</w:t>
      </w:r>
      <w:bookmarkEnd w:id="18"/>
    </w:p>
    <w:p w14:paraId="0D1B812E">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highlight w:val="none"/>
        </w:rPr>
        <w:t>采购需求：</w:t>
      </w:r>
      <w:bookmarkStart w:id="19" w:name="PO_3000001867_PM004"/>
    </w:p>
    <w:p w14:paraId="151D1768">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标项</w:t>
      </w:r>
      <w:r>
        <w:rPr>
          <w:rFonts w:hint="eastAsia" w:ascii="宋体" w:hAnsi="宋体" w:eastAsia="宋体" w:cs="宋体"/>
          <w:color w:val="auto"/>
          <w:highlight w:val="none"/>
        </w:rPr>
        <w:t>1</w:t>
      </w:r>
      <w:r>
        <w:rPr>
          <w:rFonts w:hint="eastAsia" w:ascii="宋体" w:hAnsi="宋体" w:eastAsia="宋体" w:cs="宋体"/>
          <w:color w:val="auto"/>
          <w:highlight w:val="none"/>
          <w:lang w:eastAsia="zh-CN"/>
        </w:rPr>
        <w:t>：</w:t>
      </w:r>
    </w:p>
    <w:p w14:paraId="692575B5">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标的名称：</w:t>
      </w:r>
      <w:r>
        <w:rPr>
          <w:rFonts w:hint="eastAsia" w:ascii="宋体" w:hAnsi="宋体" w:eastAsia="宋体" w:cs="宋体"/>
          <w:color w:val="auto"/>
          <w:highlight w:val="none"/>
          <w:lang w:eastAsia="zh-CN"/>
        </w:rPr>
        <w:t>2025年医疗服务与保障能力提升（县域医疗卫生机构能力建设）项目——天等县人民医院医疗设备采购</w:t>
      </w:r>
    </w:p>
    <w:p w14:paraId="662503B2">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预算金额（元）</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4786956.9</w:t>
      </w:r>
    </w:p>
    <w:p w14:paraId="0926F239">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简要规格描述或项目基本概况介绍、用途：</w:t>
      </w:r>
      <w:r>
        <w:rPr>
          <w:rFonts w:hint="eastAsia" w:ascii="宋体" w:hAnsi="宋体" w:eastAsia="宋体" w:cs="宋体"/>
          <w:color w:val="auto"/>
          <w:highlight w:val="none"/>
        </w:rPr>
        <w:t>血透机16台、血滤机4台、中频治疗机10台、多通道输注工作站2台、除颤监护仪1台、肠内营养泵3台、多通道输注工作站2台、医用升温毯1台、肠内营养泵6台、便携式彩色多普勒超声诊断系统2台、电动洗胃机1台、医用升温毯1台、心电监护仪11台、脉搏血氧仪1台、振动式物理治疗仪1台、输液泵23台、数字眼底照相机1台、加热式超声雾化器2台、视力筛选仪1台、微量注射泵20台、脉搏血氧仪5台、新生儿呼吸机1台、婴儿辐射保暖台1台、新生儿蓝光治疗仪2台、T组合复苏器1台、中央监护管理系统1台、麻醉机2台、病人监护仪3台</w:t>
      </w:r>
      <w:r>
        <w:rPr>
          <w:rFonts w:hint="eastAsia" w:ascii="宋体" w:hAnsi="宋体" w:eastAsia="宋体" w:cs="宋体"/>
          <w:color w:val="auto"/>
          <w:highlight w:val="none"/>
          <w:lang w:eastAsia="zh-CN"/>
        </w:rPr>
        <w:t>，如需进一步了解详细内容，详见招标文件</w:t>
      </w:r>
      <w:r>
        <w:rPr>
          <w:rFonts w:hint="eastAsia" w:ascii="宋体" w:hAnsi="宋体" w:eastAsia="宋体" w:cs="宋体"/>
          <w:color w:val="auto"/>
          <w:szCs w:val="21"/>
          <w:highlight w:val="none"/>
          <w:lang w:eastAsia="zh-CN"/>
        </w:rPr>
        <w:t>。</w:t>
      </w:r>
    </w:p>
    <w:p w14:paraId="6BFB389A">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最高限价（如有）：4786956.9</w:t>
      </w:r>
    </w:p>
    <w:p w14:paraId="54C3ED6A">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合同履行期限：</w:t>
      </w:r>
      <w:r>
        <w:rPr>
          <w:rFonts w:hint="eastAsia" w:ascii="宋体" w:hAnsi="宋体" w:eastAsia="宋体" w:cs="宋体"/>
          <w:color w:val="auto"/>
          <w:szCs w:val="21"/>
          <w:highlight w:val="none"/>
          <w:u w:val="none"/>
        </w:rPr>
        <w:t>自合同签订之日起30日内安装调试完毕并验收合格交付使用</w:t>
      </w:r>
      <w:r>
        <w:rPr>
          <w:rFonts w:hint="eastAsia" w:ascii="宋体" w:hAnsi="宋体" w:eastAsia="宋体" w:cs="宋体"/>
          <w:color w:val="auto"/>
          <w:kern w:val="0"/>
          <w:highlight w:val="none"/>
          <w:lang w:val="en-GB" w:eastAsia="zh-CN"/>
        </w:rPr>
        <w:t>。</w:t>
      </w:r>
    </w:p>
    <w:p w14:paraId="6227FB30">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本项目</w:t>
      </w:r>
      <w:r>
        <w:rPr>
          <w:rFonts w:hint="eastAsia" w:ascii="宋体" w:hAnsi="宋体" w:eastAsia="宋体" w:cs="宋体"/>
          <w:color w:val="auto"/>
          <w:szCs w:val="21"/>
          <w:highlight w:val="none"/>
        </w:rPr>
        <w:t>（</w:t>
      </w:r>
      <w:r>
        <w:rPr>
          <w:rFonts w:hint="eastAsia" w:ascii="宋体" w:hAnsi="宋体" w:eastAsia="宋体" w:cs="宋体"/>
          <w:i/>
          <w:iCs/>
          <w:color w:val="auto"/>
          <w:szCs w:val="21"/>
          <w:highlight w:val="none"/>
        </w:rPr>
        <w:t>是/否</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接受联合体投标</w:t>
      </w:r>
      <w:r>
        <w:rPr>
          <w:rFonts w:hint="eastAsia" w:ascii="宋体" w:hAnsi="宋体" w:eastAsia="宋体" w:cs="宋体"/>
          <w:color w:val="auto"/>
          <w:szCs w:val="21"/>
          <w:highlight w:val="none"/>
        </w:rPr>
        <w:t>：否。</w:t>
      </w:r>
    </w:p>
    <w:p w14:paraId="1A4CBF17">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val="en-US" w:eastAsia="zh-CN"/>
        </w:rPr>
      </w:pPr>
    </w:p>
    <w:p w14:paraId="20EC993B">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标项2：</w:t>
      </w:r>
    </w:p>
    <w:p w14:paraId="6C29259E">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标的名称：2025年医疗服务与保障能力提升（县域医疗卫生机构能力建设）项目——基层乡镇卫生院医疗设备采购</w:t>
      </w:r>
    </w:p>
    <w:bookmarkEnd w:id="19"/>
    <w:p w14:paraId="065C99DF">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预算金额（元）：2143924.2</w:t>
      </w:r>
    </w:p>
    <w:p w14:paraId="055273A3">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highlight w:val="none"/>
          <w:lang w:eastAsia="zh-CN"/>
        </w:rPr>
        <w:t>简要规格描述或项目基本概况介绍、用途：全自动生化分析仪 8 台，心电图机 4 台，彩色 B 超机 2 台，全自动</w:t>
      </w:r>
      <w:r>
        <w:rPr>
          <w:rFonts w:hint="eastAsia" w:ascii="宋体" w:hAnsi="宋体" w:cs="宋体"/>
          <w:color w:val="auto"/>
          <w:highlight w:val="none"/>
          <w:lang w:val="en-US" w:eastAsia="zh-CN"/>
        </w:rPr>
        <w:t>血液</w:t>
      </w:r>
      <w:r>
        <w:rPr>
          <w:rFonts w:hint="eastAsia" w:ascii="宋体" w:hAnsi="宋体" w:eastAsia="宋体" w:cs="宋体"/>
          <w:color w:val="auto"/>
          <w:highlight w:val="none"/>
          <w:lang w:eastAsia="zh-CN"/>
        </w:rPr>
        <w:t>细胞分析仪 2 台，尿</w:t>
      </w:r>
      <w:r>
        <w:rPr>
          <w:rFonts w:hint="eastAsia" w:ascii="宋体" w:hAnsi="宋体" w:cs="宋体"/>
          <w:color w:val="auto"/>
          <w:highlight w:val="none"/>
          <w:lang w:val="en-US" w:eastAsia="zh-CN"/>
        </w:rPr>
        <w:t>液</w:t>
      </w:r>
      <w:r>
        <w:rPr>
          <w:rFonts w:hint="eastAsia" w:ascii="宋体" w:hAnsi="宋体" w:eastAsia="宋体" w:cs="宋体"/>
          <w:color w:val="auto"/>
          <w:highlight w:val="none"/>
          <w:lang w:eastAsia="zh-CN"/>
        </w:rPr>
        <w:t>分析仪 1 台，床头柜 40 张，牙科综合治疗机 1 台</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lang w:eastAsia="zh-CN"/>
        </w:rPr>
        <w:t>如需进一步了解详细内容，详见招标文件</w:t>
      </w:r>
      <w:r>
        <w:rPr>
          <w:rFonts w:hint="eastAsia" w:ascii="宋体" w:hAnsi="宋体" w:eastAsia="宋体" w:cs="宋体"/>
          <w:color w:val="auto"/>
          <w:szCs w:val="21"/>
          <w:highlight w:val="none"/>
          <w:lang w:eastAsia="zh-CN"/>
        </w:rPr>
        <w:t>。</w:t>
      </w:r>
    </w:p>
    <w:p w14:paraId="699A8F6F">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最高限价（如有）：2143924.2</w:t>
      </w:r>
    </w:p>
    <w:p w14:paraId="541615C2">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合同履行期限：</w:t>
      </w:r>
      <w:r>
        <w:rPr>
          <w:rFonts w:hint="eastAsia" w:ascii="宋体" w:hAnsi="宋体" w:eastAsia="宋体" w:cs="宋体"/>
          <w:color w:val="auto"/>
          <w:szCs w:val="21"/>
          <w:highlight w:val="none"/>
          <w:u w:val="none"/>
        </w:rPr>
        <w:t>自合同签订之日起30日内安装调试完毕并验收合格交付使用</w:t>
      </w:r>
      <w:r>
        <w:rPr>
          <w:rFonts w:hint="eastAsia" w:ascii="宋体" w:hAnsi="宋体" w:eastAsia="宋体" w:cs="宋体"/>
          <w:color w:val="auto"/>
          <w:kern w:val="0"/>
          <w:highlight w:val="none"/>
          <w:lang w:val="en-GB" w:eastAsia="zh-CN"/>
        </w:rPr>
        <w:t>。</w:t>
      </w:r>
    </w:p>
    <w:p w14:paraId="49C1E107">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本项目</w:t>
      </w:r>
      <w:r>
        <w:rPr>
          <w:rFonts w:hint="eastAsia" w:ascii="宋体" w:hAnsi="宋体" w:eastAsia="宋体" w:cs="宋体"/>
          <w:color w:val="auto"/>
          <w:szCs w:val="21"/>
          <w:highlight w:val="none"/>
        </w:rPr>
        <w:t>（</w:t>
      </w:r>
      <w:r>
        <w:rPr>
          <w:rFonts w:hint="eastAsia" w:ascii="宋体" w:hAnsi="宋体" w:eastAsia="宋体" w:cs="宋体"/>
          <w:i/>
          <w:iCs/>
          <w:color w:val="auto"/>
          <w:szCs w:val="21"/>
          <w:highlight w:val="none"/>
        </w:rPr>
        <w:t>是/否</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接受联合体投标</w:t>
      </w:r>
      <w:r>
        <w:rPr>
          <w:rFonts w:hint="eastAsia" w:ascii="宋体" w:hAnsi="宋体" w:eastAsia="宋体" w:cs="宋体"/>
          <w:color w:val="auto"/>
          <w:szCs w:val="21"/>
          <w:highlight w:val="none"/>
        </w:rPr>
        <w:t>：否。</w:t>
      </w:r>
    </w:p>
    <w:p w14:paraId="6B9E523D">
      <w:pPr>
        <w:spacing w:line="460" w:lineRule="exact"/>
        <w:rPr>
          <w:rFonts w:ascii="宋体" w:cs="宋体"/>
          <w:b/>
          <w:bCs/>
          <w:color w:val="auto"/>
          <w:sz w:val="24"/>
          <w:highlight w:val="none"/>
        </w:rPr>
      </w:pPr>
      <w:bookmarkStart w:id="20" w:name="_Toc35393622"/>
      <w:bookmarkStart w:id="21" w:name="_Toc35393791"/>
      <w:bookmarkStart w:id="22" w:name="_Toc28359080"/>
      <w:bookmarkStart w:id="23" w:name="_Toc28359003"/>
      <w:r>
        <w:rPr>
          <w:rFonts w:hint="eastAsia" w:ascii="宋体" w:cs="宋体"/>
          <w:b/>
          <w:bCs/>
          <w:color w:val="auto"/>
          <w:sz w:val="24"/>
          <w:highlight w:val="none"/>
        </w:rPr>
        <w:t>二、申请人的资格要求：</w:t>
      </w:r>
      <w:bookmarkEnd w:id="20"/>
      <w:bookmarkEnd w:id="21"/>
      <w:bookmarkEnd w:id="22"/>
      <w:bookmarkEnd w:id="23"/>
    </w:p>
    <w:p w14:paraId="5F7959A9">
      <w:pPr>
        <w:spacing w:line="460" w:lineRule="exact"/>
        <w:ind w:firstLine="420" w:firstLineChars="200"/>
        <w:rPr>
          <w:rFonts w:hint="eastAsia" w:ascii="宋体" w:cs="宋体"/>
          <w:color w:val="auto"/>
          <w:szCs w:val="21"/>
          <w:highlight w:val="none"/>
        </w:rPr>
      </w:pPr>
      <w:bookmarkStart w:id="24" w:name="_Toc28359081"/>
      <w:bookmarkStart w:id="25" w:name="_Toc28359004"/>
      <w:r>
        <w:rPr>
          <w:rFonts w:hint="eastAsia" w:ascii="宋体" w:cs="宋体"/>
          <w:color w:val="auto"/>
          <w:szCs w:val="21"/>
          <w:highlight w:val="none"/>
        </w:rPr>
        <w:t>1.满足《中华人民共和国政府采购法》第二十二条规定；</w:t>
      </w:r>
    </w:p>
    <w:p w14:paraId="4E397FAA">
      <w:pPr>
        <w:spacing w:line="460" w:lineRule="exact"/>
        <w:ind w:firstLine="420" w:firstLineChars="200"/>
        <w:rPr>
          <w:rFonts w:hint="eastAsia" w:ascii="宋体" w:cs="宋体"/>
          <w:color w:val="auto"/>
          <w:szCs w:val="21"/>
          <w:highlight w:val="none"/>
        </w:rPr>
      </w:pPr>
      <w:r>
        <w:rPr>
          <w:rFonts w:hint="eastAsia" w:ascii="宋体" w:cs="宋体"/>
          <w:color w:val="auto"/>
          <w:szCs w:val="21"/>
          <w:highlight w:val="none"/>
        </w:rPr>
        <w:t>2.落实政府采购政策需满足的资格要求：</w:t>
      </w:r>
    </w:p>
    <w:p w14:paraId="4DAC9E66">
      <w:pPr>
        <w:spacing w:line="460" w:lineRule="exact"/>
        <w:ind w:firstLine="420" w:firstLineChars="200"/>
        <w:rPr>
          <w:rFonts w:hint="eastAsia" w:ascii="宋体" w:cs="宋体"/>
          <w:color w:val="auto"/>
          <w:szCs w:val="21"/>
          <w:highlight w:val="none"/>
        </w:rPr>
      </w:pPr>
      <w:r>
        <w:rPr>
          <w:rFonts w:hint="eastAsia" w:ascii="宋体" w:cs="宋体"/>
          <w:color w:val="auto"/>
          <w:szCs w:val="21"/>
          <w:highlight w:val="none"/>
        </w:rPr>
        <w:t>标项1：本标项属于预留采购份额专门面向中小企业采购的项目，预留采购份额：专门面向中小企业份额不低于</w:t>
      </w:r>
      <w:r>
        <w:rPr>
          <w:rFonts w:hint="eastAsia" w:ascii="宋体" w:cs="宋体"/>
          <w:color w:val="auto"/>
          <w:szCs w:val="21"/>
          <w:highlight w:val="none"/>
          <w:lang w:val="en-US" w:eastAsia="zh-CN"/>
        </w:rPr>
        <w:t>30</w:t>
      </w:r>
      <w:r>
        <w:rPr>
          <w:rFonts w:hint="eastAsia" w:ascii="宋体" w:cs="宋体"/>
          <w:color w:val="auto"/>
          <w:szCs w:val="21"/>
          <w:highlight w:val="none"/>
        </w:rPr>
        <w:t>%，专门面向小微企业占专门面向中小企业份额不低于60%。投标人必须提供中小企业声明函或者残疾人福利性单位声明函（格式后附）或者供应商属于监狱企业的需提供由省级以上监狱管理局、戒毒管理局（含新疆生产建设兵团）出具的属于监狱企业的证明文件。</w:t>
      </w:r>
    </w:p>
    <w:p w14:paraId="02E69607">
      <w:pPr>
        <w:spacing w:line="460" w:lineRule="exact"/>
        <w:ind w:firstLine="420" w:firstLineChars="200"/>
        <w:rPr>
          <w:rFonts w:hint="eastAsia" w:ascii="宋体" w:cs="宋体"/>
          <w:color w:val="auto"/>
          <w:szCs w:val="21"/>
          <w:highlight w:val="none"/>
        </w:rPr>
      </w:pPr>
      <w:r>
        <w:rPr>
          <w:rFonts w:hint="eastAsia" w:ascii="宋体" w:cs="宋体"/>
          <w:color w:val="auto"/>
          <w:szCs w:val="21"/>
          <w:highlight w:val="none"/>
        </w:rPr>
        <w:t>标项2：本标项属于预留采购份额专门面向中小企业采购的项目，预留采购份额：专门面向中小企业份额不低于</w:t>
      </w:r>
      <w:r>
        <w:rPr>
          <w:rFonts w:hint="eastAsia" w:ascii="宋体" w:cs="宋体"/>
          <w:color w:val="auto"/>
          <w:szCs w:val="21"/>
          <w:highlight w:val="none"/>
          <w:lang w:val="en-US" w:eastAsia="zh-CN"/>
        </w:rPr>
        <w:t>30</w:t>
      </w:r>
      <w:r>
        <w:rPr>
          <w:rFonts w:hint="eastAsia" w:ascii="宋体" w:cs="宋体"/>
          <w:color w:val="auto"/>
          <w:szCs w:val="21"/>
          <w:highlight w:val="none"/>
        </w:rPr>
        <w:t>%，专门面向小微企业占专门面向中小企业份额不低于60%。投标人必须提供中小企业声明函或者残疾人福利性单位声明函（格式后附）或者供应商属于监狱企业的需提供由省级以上监狱管理局、戒毒管理局（含新疆生产建设兵团）出具的属于监狱企业的证明文件。</w:t>
      </w:r>
    </w:p>
    <w:p w14:paraId="411FA65E">
      <w:pPr>
        <w:spacing w:line="460" w:lineRule="exact"/>
        <w:ind w:firstLine="420" w:firstLineChars="200"/>
        <w:rPr>
          <w:rFonts w:hint="eastAsia" w:ascii="宋体" w:cs="宋体"/>
          <w:color w:val="auto"/>
          <w:szCs w:val="21"/>
          <w:highlight w:val="none"/>
        </w:rPr>
      </w:pPr>
      <w:r>
        <w:rPr>
          <w:rFonts w:hint="eastAsia" w:ascii="宋体" w:cs="宋体"/>
          <w:color w:val="auto"/>
          <w:szCs w:val="21"/>
          <w:highlight w:val="none"/>
        </w:rPr>
        <w:t>3.本项目的特定资格要求：</w:t>
      </w:r>
    </w:p>
    <w:p w14:paraId="49208995">
      <w:pPr>
        <w:spacing w:line="460" w:lineRule="exact"/>
        <w:ind w:firstLine="420" w:firstLineChars="200"/>
        <w:rPr>
          <w:rFonts w:hint="eastAsia" w:ascii="宋体" w:cs="宋体"/>
          <w:color w:val="auto"/>
          <w:szCs w:val="21"/>
          <w:highlight w:val="none"/>
        </w:rPr>
      </w:pPr>
      <w:r>
        <w:rPr>
          <w:rFonts w:hint="eastAsia" w:ascii="宋体" w:cs="宋体"/>
          <w:color w:val="auto"/>
          <w:szCs w:val="21"/>
          <w:highlight w:val="none"/>
        </w:rPr>
        <w:t>标项1：投标产品属第二类医疗器械产品的，投标人须承诺供货时按《医疗器械监督管理条例》（国务院令第739号）医疗器械分类管理要求提供有效的医疗器械经营备案凭证，且经营范围必须包含采购标的[符合《医疗器械监督管理条例》第四十一条第二款规定的除外]；投标产品属第三类医疗器械产品的，投标人须在投标文件中提供按《医疗器械监督管理条例》（国务院令第739号）医疗器械分类管理要求具备的有效医疗器械经营许可证，且经营范围必须包含采购标的；投标人提供其为《医疗器械监督管理条例》第四十三条规定的“医疗器械注册人、备案人经营其注册、备案的医疗器械”情形的凭证（则无须提供上述资格证明文件）。</w:t>
      </w:r>
    </w:p>
    <w:p w14:paraId="239AFB71">
      <w:pPr>
        <w:spacing w:line="460" w:lineRule="exact"/>
        <w:ind w:firstLine="420" w:firstLineChars="200"/>
        <w:rPr>
          <w:color w:val="auto"/>
          <w:highlight w:val="none"/>
        </w:rPr>
      </w:pPr>
      <w:r>
        <w:rPr>
          <w:rFonts w:hint="eastAsia" w:ascii="宋体" w:cs="宋体"/>
          <w:color w:val="auto"/>
          <w:szCs w:val="21"/>
          <w:highlight w:val="none"/>
        </w:rPr>
        <w:t>标项2：投标产品属第二类医疗器械产品的，投标人须承诺供货时按《医疗器械监督管理条例》（国务院令第739号）医疗器械分类管理要求提供有效的医疗器械经营备案凭证，且经营范围必须包含采购标的[符合《医疗器械监督管理条例》第四十一条第二款规定的除外]；投标人提供其为《医疗器械监督管理条例》第四十三条规定的“医疗器械注册人、备案人经营其注册、备案的医疗器械”情形的凭证（则无须提供上述资格证明文件）</w:t>
      </w:r>
      <w:r>
        <w:rPr>
          <w:color w:val="auto"/>
          <w:highlight w:val="none"/>
        </w:rPr>
        <w:t>。</w:t>
      </w:r>
    </w:p>
    <w:p w14:paraId="02081385">
      <w:pPr>
        <w:spacing w:line="460" w:lineRule="exact"/>
        <w:rPr>
          <w:rFonts w:ascii="宋体" w:cs="宋体"/>
          <w:b/>
          <w:bCs/>
          <w:color w:val="auto"/>
          <w:sz w:val="24"/>
          <w:highlight w:val="none"/>
        </w:rPr>
      </w:pPr>
      <w:bookmarkStart w:id="26" w:name="_Toc35393623"/>
      <w:bookmarkStart w:id="27" w:name="_Toc35393792"/>
      <w:r>
        <w:rPr>
          <w:rFonts w:hint="eastAsia" w:ascii="宋体" w:cs="宋体"/>
          <w:b/>
          <w:bCs/>
          <w:color w:val="auto"/>
          <w:sz w:val="24"/>
          <w:highlight w:val="none"/>
        </w:rPr>
        <w:t>三、获取招标文件</w:t>
      </w:r>
      <w:bookmarkEnd w:id="24"/>
      <w:bookmarkEnd w:id="25"/>
      <w:bookmarkEnd w:id="26"/>
      <w:bookmarkEnd w:id="27"/>
    </w:p>
    <w:p w14:paraId="1B73A15E">
      <w:pPr>
        <w:spacing w:line="460" w:lineRule="exact"/>
        <w:ind w:firstLine="540"/>
        <w:rPr>
          <w:rFonts w:ascii="宋体" w:cs="宋体"/>
          <w:color w:val="auto"/>
          <w:szCs w:val="21"/>
          <w:highlight w:val="none"/>
        </w:rPr>
      </w:pPr>
      <w:bookmarkStart w:id="28" w:name="_Toc28359082"/>
      <w:bookmarkStart w:id="29" w:name="_Toc28359005"/>
      <w:bookmarkStart w:id="30" w:name="_Toc35393624"/>
      <w:bookmarkStart w:id="31" w:name="_Toc35393793"/>
      <w:r>
        <w:rPr>
          <w:rFonts w:hint="eastAsia" w:ascii="宋体" w:cs="宋体"/>
          <w:color w:val="auto"/>
          <w:szCs w:val="21"/>
          <w:highlight w:val="none"/>
        </w:rPr>
        <w:t>时间：</w:t>
      </w:r>
      <w:r>
        <w:rPr>
          <w:rFonts w:hint="eastAsia" w:ascii="宋体" w:cs="宋体"/>
          <w:bCs/>
          <w:color w:val="auto"/>
          <w:kern w:val="0"/>
          <w:szCs w:val="21"/>
          <w:highlight w:val="none"/>
        </w:rPr>
        <w:t>202</w:t>
      </w:r>
      <w:r>
        <w:rPr>
          <w:rFonts w:hint="eastAsia" w:ascii="宋体" w:cs="宋体"/>
          <w:bCs/>
          <w:color w:val="auto"/>
          <w:kern w:val="0"/>
          <w:szCs w:val="21"/>
          <w:highlight w:val="none"/>
          <w:lang w:val="en-US" w:eastAsia="zh-CN"/>
        </w:rPr>
        <w:t>6</w:t>
      </w:r>
      <w:r>
        <w:rPr>
          <w:rFonts w:hint="eastAsia" w:ascii="宋体" w:cs="宋体"/>
          <w:bCs/>
          <w:color w:val="auto"/>
          <w:kern w:val="0"/>
          <w:szCs w:val="21"/>
          <w:highlight w:val="none"/>
        </w:rPr>
        <w:t>年</w:t>
      </w:r>
      <w:r>
        <w:rPr>
          <w:rFonts w:hint="eastAsia" w:ascii="宋体" w:cs="宋体"/>
          <w:bCs/>
          <w:color w:val="auto"/>
          <w:kern w:val="0"/>
          <w:szCs w:val="21"/>
          <w:highlight w:val="none"/>
          <w:lang w:val="en-US" w:eastAsia="zh-CN"/>
        </w:rPr>
        <w:t>9</w:t>
      </w:r>
      <w:r>
        <w:rPr>
          <w:rFonts w:hint="eastAsia" w:ascii="宋体" w:cs="宋体"/>
          <w:bCs/>
          <w:color w:val="auto"/>
          <w:kern w:val="0"/>
          <w:szCs w:val="21"/>
          <w:highlight w:val="none"/>
        </w:rPr>
        <w:t>月</w:t>
      </w:r>
      <w:r>
        <w:rPr>
          <w:rFonts w:hint="eastAsia" w:ascii="宋体" w:cs="宋体"/>
          <w:bCs/>
          <w:color w:val="auto"/>
          <w:kern w:val="0"/>
          <w:szCs w:val="21"/>
          <w:highlight w:val="none"/>
          <w:lang w:val="en-US" w:eastAsia="zh-CN"/>
        </w:rPr>
        <w:t>29</w:t>
      </w:r>
      <w:r>
        <w:rPr>
          <w:rFonts w:hint="eastAsia" w:ascii="宋体" w:cs="宋体"/>
          <w:bCs/>
          <w:color w:val="auto"/>
          <w:kern w:val="0"/>
          <w:szCs w:val="21"/>
          <w:highlight w:val="none"/>
        </w:rPr>
        <w:t>日至202</w:t>
      </w:r>
      <w:r>
        <w:rPr>
          <w:rFonts w:hint="eastAsia" w:ascii="宋体" w:cs="宋体"/>
          <w:bCs/>
          <w:color w:val="auto"/>
          <w:kern w:val="0"/>
          <w:szCs w:val="21"/>
          <w:highlight w:val="none"/>
          <w:lang w:val="en-US" w:eastAsia="zh-CN"/>
        </w:rPr>
        <w:t>6</w:t>
      </w:r>
      <w:r>
        <w:rPr>
          <w:rFonts w:hint="eastAsia" w:ascii="宋体" w:cs="宋体"/>
          <w:bCs/>
          <w:color w:val="auto"/>
          <w:kern w:val="0"/>
          <w:szCs w:val="21"/>
          <w:highlight w:val="none"/>
        </w:rPr>
        <w:t>年</w:t>
      </w:r>
      <w:r>
        <w:rPr>
          <w:rFonts w:hint="eastAsia" w:ascii="宋体" w:cs="宋体"/>
          <w:bCs/>
          <w:color w:val="auto"/>
          <w:kern w:val="0"/>
          <w:szCs w:val="21"/>
          <w:highlight w:val="none"/>
          <w:lang w:val="en-US" w:eastAsia="zh-CN"/>
        </w:rPr>
        <w:t>10</w:t>
      </w:r>
      <w:r>
        <w:rPr>
          <w:rFonts w:hint="eastAsia" w:ascii="宋体" w:cs="宋体"/>
          <w:bCs/>
          <w:color w:val="auto"/>
          <w:kern w:val="0"/>
          <w:szCs w:val="21"/>
          <w:highlight w:val="none"/>
        </w:rPr>
        <w:t>月</w:t>
      </w:r>
      <w:r>
        <w:rPr>
          <w:rFonts w:hint="eastAsia" w:ascii="宋体" w:cs="宋体"/>
          <w:bCs/>
          <w:color w:val="auto"/>
          <w:kern w:val="0"/>
          <w:szCs w:val="21"/>
          <w:highlight w:val="none"/>
          <w:lang w:val="en-US" w:eastAsia="zh-CN"/>
        </w:rPr>
        <w:t>12</w:t>
      </w:r>
      <w:r>
        <w:rPr>
          <w:rFonts w:hint="eastAsia" w:ascii="宋体" w:cs="宋体"/>
          <w:bCs/>
          <w:color w:val="auto"/>
          <w:kern w:val="0"/>
          <w:szCs w:val="21"/>
          <w:highlight w:val="none"/>
        </w:rPr>
        <w:t>日，</w:t>
      </w:r>
      <w:r>
        <w:rPr>
          <w:rFonts w:hint="eastAsia" w:ascii="宋体"/>
          <w:color w:val="auto"/>
          <w:szCs w:val="21"/>
          <w:highlight w:val="none"/>
        </w:rPr>
        <w:t>每天上午00：00至11：59，下午12：00至23：59（北京时间，法定节假日除外）</w:t>
      </w:r>
      <w:r>
        <w:rPr>
          <w:rFonts w:hint="eastAsia" w:ascii="宋体" w:cs="宋体"/>
          <w:color w:val="auto"/>
          <w:szCs w:val="21"/>
          <w:highlight w:val="none"/>
        </w:rPr>
        <w:t>。</w:t>
      </w:r>
    </w:p>
    <w:p w14:paraId="4FF4579F">
      <w:pPr>
        <w:spacing w:line="460" w:lineRule="exact"/>
        <w:ind w:firstLine="540"/>
        <w:rPr>
          <w:rFonts w:ascii="宋体" w:cs="宋体"/>
          <w:color w:val="auto"/>
          <w:szCs w:val="21"/>
          <w:highlight w:val="none"/>
        </w:rPr>
      </w:pPr>
      <w:r>
        <w:rPr>
          <w:rFonts w:hint="eastAsia" w:ascii="宋体" w:cs="宋体"/>
          <w:color w:val="auto"/>
          <w:szCs w:val="21"/>
          <w:highlight w:val="none"/>
        </w:rPr>
        <w:t>地点：广西政府采购云平台（https：//www.gcy.zfcg.gxzf.gov.cn/）</w:t>
      </w:r>
    </w:p>
    <w:p w14:paraId="528695B7">
      <w:pPr>
        <w:spacing w:line="460" w:lineRule="exact"/>
        <w:ind w:firstLine="540"/>
        <w:rPr>
          <w:rFonts w:ascii="宋体" w:cs="宋体"/>
          <w:color w:val="auto"/>
          <w:szCs w:val="21"/>
          <w:highlight w:val="none"/>
        </w:rPr>
      </w:pPr>
      <w:r>
        <w:rPr>
          <w:rFonts w:hint="eastAsia" w:ascii="宋体" w:cs="宋体"/>
          <w:color w:val="auto"/>
          <w:szCs w:val="21"/>
          <w:highlight w:val="none"/>
        </w:rPr>
        <w:t>方式：本项目不发放纸质文件，潜在投标人可自行在广西政府采购云平台（https：//www.gcy.zfcg.gxzf.gov.cn/）下载招标文件（操作路径：登录广西政府采购云平台-项目采购-获取采购文件-找到本项目-点击“申请获取采购文件”），电子投标文件制作需要基于广西政府采购云平台获取的招标文件编制。</w:t>
      </w:r>
    </w:p>
    <w:p w14:paraId="47453787">
      <w:pPr>
        <w:spacing w:line="460" w:lineRule="exact"/>
        <w:ind w:firstLine="540"/>
        <w:rPr>
          <w:rFonts w:ascii="宋体" w:cs="宋体"/>
          <w:color w:val="auto"/>
          <w:szCs w:val="21"/>
          <w:highlight w:val="none"/>
        </w:rPr>
      </w:pPr>
      <w:r>
        <w:rPr>
          <w:rFonts w:hint="eastAsia" w:ascii="宋体" w:cs="宋体"/>
          <w:color w:val="auto"/>
          <w:szCs w:val="21"/>
          <w:highlight w:val="none"/>
        </w:rPr>
        <w:t>售价：人民币0元。</w:t>
      </w:r>
    </w:p>
    <w:p w14:paraId="23632309">
      <w:pPr>
        <w:spacing w:line="460" w:lineRule="exact"/>
        <w:rPr>
          <w:rFonts w:ascii="宋体" w:cs="宋体"/>
          <w:b/>
          <w:bCs/>
          <w:color w:val="auto"/>
          <w:sz w:val="24"/>
          <w:highlight w:val="none"/>
        </w:rPr>
      </w:pPr>
      <w:r>
        <w:rPr>
          <w:rFonts w:hint="eastAsia" w:ascii="宋体" w:cs="宋体"/>
          <w:b/>
          <w:bCs/>
          <w:color w:val="auto"/>
          <w:sz w:val="24"/>
          <w:highlight w:val="none"/>
        </w:rPr>
        <w:t>四、提交投标文件</w:t>
      </w:r>
      <w:bookmarkEnd w:id="28"/>
      <w:bookmarkEnd w:id="29"/>
      <w:r>
        <w:rPr>
          <w:rFonts w:hint="eastAsia" w:ascii="宋体" w:cs="宋体"/>
          <w:b/>
          <w:bCs/>
          <w:color w:val="auto"/>
          <w:sz w:val="24"/>
          <w:highlight w:val="none"/>
        </w:rPr>
        <w:t>截止时间、开标时间和地点</w:t>
      </w:r>
      <w:bookmarkEnd w:id="30"/>
      <w:bookmarkEnd w:id="31"/>
    </w:p>
    <w:p w14:paraId="760ADD6C">
      <w:pPr>
        <w:spacing w:line="460" w:lineRule="exact"/>
        <w:ind w:firstLine="420" w:firstLineChars="200"/>
        <w:rPr>
          <w:rFonts w:ascii="宋体" w:cs="宋体"/>
          <w:bCs/>
          <w:color w:val="auto"/>
          <w:szCs w:val="21"/>
          <w:highlight w:val="none"/>
        </w:rPr>
      </w:pPr>
      <w:r>
        <w:rPr>
          <w:rFonts w:hint="eastAsia" w:ascii="宋体" w:cs="宋体"/>
          <w:bCs/>
          <w:color w:val="auto"/>
          <w:szCs w:val="21"/>
          <w:highlight w:val="none"/>
        </w:rPr>
        <w:t>提交投标文件截止时间：202</w:t>
      </w:r>
      <w:r>
        <w:rPr>
          <w:rFonts w:hint="eastAsia" w:ascii="宋体" w:cs="宋体"/>
          <w:bCs/>
          <w:color w:val="auto"/>
          <w:szCs w:val="21"/>
          <w:highlight w:val="none"/>
          <w:lang w:val="en-US" w:eastAsia="zh-CN"/>
        </w:rPr>
        <w:t>6</w:t>
      </w:r>
      <w:r>
        <w:rPr>
          <w:rFonts w:hint="eastAsia" w:ascii="宋体" w:cs="宋体"/>
          <w:bCs/>
          <w:color w:val="auto"/>
          <w:szCs w:val="21"/>
          <w:highlight w:val="none"/>
        </w:rPr>
        <w:t>年</w:t>
      </w:r>
      <w:r>
        <w:rPr>
          <w:rFonts w:hint="eastAsia" w:ascii="宋体" w:cs="宋体"/>
          <w:bCs/>
          <w:color w:val="auto"/>
          <w:szCs w:val="21"/>
          <w:highlight w:val="none"/>
          <w:lang w:val="en-US" w:eastAsia="zh-CN"/>
        </w:rPr>
        <w:t>10</w:t>
      </w:r>
      <w:r>
        <w:rPr>
          <w:rFonts w:hint="eastAsia" w:ascii="宋体" w:cs="宋体"/>
          <w:bCs/>
          <w:color w:val="auto"/>
          <w:szCs w:val="21"/>
          <w:highlight w:val="none"/>
        </w:rPr>
        <w:t>月</w:t>
      </w:r>
      <w:r>
        <w:rPr>
          <w:rFonts w:hint="eastAsia" w:ascii="宋体" w:cs="宋体"/>
          <w:bCs/>
          <w:color w:val="auto"/>
          <w:szCs w:val="21"/>
          <w:highlight w:val="none"/>
          <w:lang w:val="en-US" w:eastAsia="zh-CN"/>
        </w:rPr>
        <w:t>27</w:t>
      </w:r>
      <w:r>
        <w:rPr>
          <w:rFonts w:hint="eastAsia" w:ascii="宋体" w:cs="宋体"/>
          <w:bCs/>
          <w:color w:val="auto"/>
          <w:szCs w:val="21"/>
          <w:highlight w:val="none"/>
        </w:rPr>
        <w:t>日 09：30（北京时间）</w:t>
      </w:r>
    </w:p>
    <w:p w14:paraId="0F5745B8">
      <w:pPr>
        <w:spacing w:line="460" w:lineRule="exact"/>
        <w:ind w:firstLine="420" w:firstLineChars="200"/>
        <w:rPr>
          <w:rFonts w:ascii="宋体" w:cs="宋体"/>
          <w:bCs/>
          <w:color w:val="auto"/>
          <w:szCs w:val="21"/>
          <w:highlight w:val="none"/>
        </w:rPr>
      </w:pPr>
      <w:r>
        <w:rPr>
          <w:rFonts w:hint="eastAsia" w:ascii="宋体" w:cs="宋体"/>
          <w:bCs/>
          <w:color w:val="auto"/>
          <w:szCs w:val="21"/>
          <w:highlight w:val="none"/>
        </w:rPr>
        <w:t>投标地点（网址）：广西政府采购云平台（https：//www.gcy.zfcg.gxzf.gov.cn/）</w:t>
      </w:r>
    </w:p>
    <w:p w14:paraId="4CE49801">
      <w:pPr>
        <w:spacing w:line="460" w:lineRule="exact"/>
        <w:ind w:firstLine="420" w:firstLineChars="200"/>
        <w:rPr>
          <w:rFonts w:ascii="宋体" w:cs="宋体"/>
          <w:bCs/>
          <w:color w:val="auto"/>
          <w:szCs w:val="21"/>
          <w:highlight w:val="none"/>
        </w:rPr>
      </w:pPr>
      <w:r>
        <w:rPr>
          <w:rFonts w:hint="eastAsia" w:ascii="宋体" w:cs="宋体"/>
          <w:bCs/>
          <w:color w:val="auto"/>
          <w:szCs w:val="21"/>
          <w:highlight w:val="none"/>
        </w:rPr>
        <w:t>开标时间：202</w:t>
      </w:r>
      <w:r>
        <w:rPr>
          <w:rFonts w:hint="eastAsia" w:ascii="宋体" w:cs="宋体"/>
          <w:bCs/>
          <w:color w:val="auto"/>
          <w:szCs w:val="21"/>
          <w:highlight w:val="none"/>
          <w:lang w:val="en-US" w:eastAsia="zh-CN"/>
        </w:rPr>
        <w:t>6</w:t>
      </w:r>
      <w:r>
        <w:rPr>
          <w:rFonts w:hint="eastAsia" w:ascii="宋体" w:cs="宋体"/>
          <w:bCs/>
          <w:color w:val="auto"/>
          <w:szCs w:val="21"/>
          <w:highlight w:val="none"/>
        </w:rPr>
        <w:t>年</w:t>
      </w:r>
      <w:r>
        <w:rPr>
          <w:rFonts w:hint="eastAsia" w:ascii="宋体" w:cs="宋体"/>
          <w:bCs/>
          <w:color w:val="auto"/>
          <w:szCs w:val="21"/>
          <w:highlight w:val="none"/>
          <w:lang w:val="en-US" w:eastAsia="zh-CN"/>
        </w:rPr>
        <w:t>10</w:t>
      </w:r>
      <w:r>
        <w:rPr>
          <w:rFonts w:hint="eastAsia" w:ascii="宋体" w:cs="宋体"/>
          <w:bCs/>
          <w:color w:val="auto"/>
          <w:szCs w:val="21"/>
          <w:highlight w:val="none"/>
        </w:rPr>
        <w:t>月</w:t>
      </w:r>
      <w:r>
        <w:rPr>
          <w:rFonts w:hint="eastAsia" w:ascii="宋体" w:cs="宋体"/>
          <w:bCs/>
          <w:color w:val="auto"/>
          <w:szCs w:val="21"/>
          <w:highlight w:val="none"/>
          <w:lang w:val="en-US" w:eastAsia="zh-CN"/>
        </w:rPr>
        <w:t>27</w:t>
      </w:r>
      <w:bookmarkStart w:id="319" w:name="_GoBack"/>
      <w:bookmarkEnd w:id="319"/>
      <w:r>
        <w:rPr>
          <w:rFonts w:hint="eastAsia" w:ascii="宋体" w:cs="宋体"/>
          <w:bCs/>
          <w:color w:val="auto"/>
          <w:szCs w:val="21"/>
          <w:highlight w:val="none"/>
        </w:rPr>
        <w:t>日 09：30</w:t>
      </w:r>
    </w:p>
    <w:p w14:paraId="1A0C7255">
      <w:pPr>
        <w:spacing w:line="460" w:lineRule="exact"/>
        <w:ind w:firstLine="420" w:firstLineChars="200"/>
        <w:rPr>
          <w:rFonts w:ascii="宋体" w:cs="宋体"/>
          <w:color w:val="auto"/>
          <w:szCs w:val="21"/>
          <w:highlight w:val="none"/>
        </w:rPr>
      </w:pPr>
      <w:r>
        <w:rPr>
          <w:rFonts w:hint="eastAsia" w:ascii="宋体" w:cs="宋体"/>
          <w:bCs/>
          <w:color w:val="auto"/>
          <w:szCs w:val="21"/>
          <w:highlight w:val="none"/>
        </w:rPr>
        <w:t>开标地点：广西政府采购云平台电子开标大厅</w:t>
      </w:r>
    </w:p>
    <w:p w14:paraId="7E0F4BBC">
      <w:pPr>
        <w:spacing w:line="460" w:lineRule="exact"/>
        <w:rPr>
          <w:rFonts w:ascii="宋体" w:cs="宋体"/>
          <w:b/>
          <w:bCs/>
          <w:color w:val="auto"/>
          <w:sz w:val="24"/>
          <w:highlight w:val="none"/>
        </w:rPr>
      </w:pPr>
      <w:bookmarkStart w:id="32" w:name="_Toc35393625"/>
      <w:bookmarkStart w:id="33" w:name="_Toc35393794"/>
      <w:bookmarkStart w:id="34" w:name="_Toc28359007"/>
      <w:bookmarkStart w:id="35" w:name="_Toc28359084"/>
      <w:r>
        <w:rPr>
          <w:rFonts w:hint="eastAsia" w:ascii="宋体" w:cs="宋体"/>
          <w:b/>
          <w:bCs/>
          <w:color w:val="auto"/>
          <w:sz w:val="24"/>
          <w:highlight w:val="none"/>
        </w:rPr>
        <w:t>五、公告期限</w:t>
      </w:r>
      <w:bookmarkEnd w:id="32"/>
      <w:bookmarkEnd w:id="33"/>
      <w:bookmarkEnd w:id="34"/>
      <w:bookmarkEnd w:id="35"/>
    </w:p>
    <w:p w14:paraId="111CA5E2">
      <w:pPr>
        <w:spacing w:line="460" w:lineRule="exact"/>
        <w:ind w:firstLine="420" w:firstLineChars="200"/>
        <w:rPr>
          <w:rFonts w:ascii="宋体" w:cs="宋体"/>
          <w:color w:val="auto"/>
          <w:kern w:val="0"/>
          <w:szCs w:val="21"/>
          <w:highlight w:val="none"/>
        </w:rPr>
      </w:pPr>
      <w:r>
        <w:rPr>
          <w:rFonts w:hint="eastAsia" w:ascii="宋体" w:cs="宋体"/>
          <w:color w:val="auto"/>
          <w:kern w:val="0"/>
          <w:szCs w:val="21"/>
          <w:highlight w:val="none"/>
        </w:rPr>
        <w:t>自本公告发布之日起5个工作日。</w:t>
      </w:r>
    </w:p>
    <w:p w14:paraId="040FE3B6">
      <w:pPr>
        <w:spacing w:line="460" w:lineRule="exact"/>
        <w:rPr>
          <w:rFonts w:ascii="宋体" w:cs="宋体"/>
          <w:b/>
          <w:bCs/>
          <w:color w:val="auto"/>
          <w:sz w:val="24"/>
          <w:highlight w:val="none"/>
        </w:rPr>
      </w:pPr>
      <w:bookmarkStart w:id="36" w:name="_Toc35393795"/>
      <w:bookmarkStart w:id="37" w:name="_Toc35393626"/>
      <w:r>
        <w:rPr>
          <w:rFonts w:hint="eastAsia" w:ascii="宋体" w:cs="宋体"/>
          <w:b/>
          <w:bCs/>
          <w:color w:val="auto"/>
          <w:sz w:val="24"/>
          <w:highlight w:val="none"/>
        </w:rPr>
        <w:t>六、其他补充事宜</w:t>
      </w:r>
      <w:bookmarkEnd w:id="36"/>
      <w:bookmarkEnd w:id="37"/>
    </w:p>
    <w:p w14:paraId="4802BC6B">
      <w:pPr>
        <w:spacing w:line="460" w:lineRule="exact"/>
        <w:ind w:firstLine="420" w:firstLineChars="200"/>
        <w:rPr>
          <w:rFonts w:hint="eastAsia" w:ascii="宋体" w:cs="宋体"/>
          <w:color w:val="auto"/>
          <w:kern w:val="0"/>
          <w:szCs w:val="21"/>
          <w:highlight w:val="none"/>
          <w:lang w:eastAsia="zh-CN"/>
        </w:rPr>
      </w:pPr>
      <w:r>
        <w:rPr>
          <w:rFonts w:hint="eastAsia" w:ascii="宋体" w:cs="宋体"/>
          <w:color w:val="auto"/>
          <w:kern w:val="0"/>
          <w:szCs w:val="21"/>
          <w:highlight w:val="none"/>
          <w:lang w:val="en-US" w:eastAsia="zh-CN"/>
        </w:rPr>
        <w:t>1</w:t>
      </w:r>
      <w:r>
        <w:rPr>
          <w:rFonts w:hint="eastAsia" w:ascii="宋体" w:cs="宋体"/>
          <w:color w:val="auto"/>
          <w:kern w:val="0"/>
          <w:szCs w:val="21"/>
          <w:highlight w:val="none"/>
        </w:rPr>
        <w:t>.投标保证金：本项目不需要缴纳投标保证金</w:t>
      </w:r>
      <w:r>
        <w:rPr>
          <w:rFonts w:hint="eastAsia" w:ascii="宋体" w:cs="宋体"/>
          <w:color w:val="auto"/>
          <w:kern w:val="0"/>
          <w:szCs w:val="21"/>
          <w:highlight w:val="none"/>
          <w:lang w:eastAsia="zh-CN"/>
        </w:rPr>
        <w:t>。</w:t>
      </w:r>
      <w:bookmarkStart w:id="38" w:name="_Hlk37429595"/>
      <w:bookmarkStart w:id="39" w:name="_Hlk37429585"/>
    </w:p>
    <w:p w14:paraId="2D930E44">
      <w:pPr>
        <w:spacing w:line="460" w:lineRule="exact"/>
        <w:ind w:firstLine="420" w:firstLineChars="200"/>
        <w:rPr>
          <w:rFonts w:ascii="宋体" w:cs="宋体"/>
          <w:color w:val="auto"/>
          <w:kern w:val="0"/>
          <w:szCs w:val="21"/>
          <w:highlight w:val="none"/>
        </w:rPr>
      </w:pPr>
      <w:r>
        <w:rPr>
          <w:rFonts w:hint="eastAsia" w:ascii="宋体" w:cs="宋体"/>
          <w:color w:val="auto"/>
          <w:kern w:val="0"/>
          <w:szCs w:val="21"/>
          <w:highlight w:val="none"/>
        </w:rPr>
        <w:t>2.网上查询地址</w:t>
      </w:r>
    </w:p>
    <w:bookmarkEnd w:id="38"/>
    <w:bookmarkEnd w:id="39"/>
    <w:p w14:paraId="573DD74B">
      <w:pPr>
        <w:widowControl/>
        <w:pBdr>
          <w:top w:val="none" w:color="auto" w:sz="0" w:space="0"/>
          <w:left w:val="none" w:color="auto" w:sz="0" w:space="0"/>
          <w:bottom w:val="none" w:color="auto" w:sz="0" w:space="0"/>
          <w:right w:val="none" w:color="auto" w:sz="0" w:space="0"/>
        </w:pBdr>
        <w:spacing w:line="460" w:lineRule="exact"/>
        <w:ind w:firstLine="420" w:firstLineChars="200"/>
        <w:jc w:val="left"/>
        <w:rPr>
          <w:rFonts w:hint="eastAsia" w:ascii="宋体" w:cs="宋体"/>
          <w:color w:val="auto"/>
          <w:kern w:val="0"/>
          <w:szCs w:val="21"/>
          <w:highlight w:val="none"/>
        </w:rPr>
      </w:pPr>
      <w:bookmarkStart w:id="40" w:name="_Hlk37429674"/>
      <w:r>
        <w:rPr>
          <w:rFonts w:hint="eastAsia" w:ascii="宋体" w:cs="宋体"/>
          <w:color w:val="auto"/>
          <w:kern w:val="0"/>
          <w:szCs w:val="21"/>
          <w:highlight w:val="none"/>
        </w:rPr>
        <w:t>http：//www.ccgp.gov.cn/（中国政府采购网）、</w:t>
      </w:r>
      <w:r>
        <w:rPr>
          <w:rFonts w:hint="eastAsia" w:ascii="宋体" w:hAnsi="Times New Roman" w:cs="宋体"/>
          <w:color w:val="auto"/>
          <w:kern w:val="0"/>
          <w:szCs w:val="21"/>
          <w:highlight w:val="none"/>
        </w:rPr>
        <w:t>http：//www.ccgp-guangxi.gov.cn/ (中国政府采购网广西分网)</w:t>
      </w:r>
      <w:r>
        <w:rPr>
          <w:rFonts w:hint="eastAsia" w:ascii="宋体" w:cs="宋体"/>
          <w:color w:val="auto"/>
          <w:kern w:val="0"/>
          <w:szCs w:val="21"/>
          <w:highlight w:val="none"/>
        </w:rPr>
        <w:t>、</w:t>
      </w:r>
      <w:r>
        <w:rPr>
          <w:rFonts w:hint="eastAsia" w:ascii="宋体" w:hAnsi="Times New Roman" w:eastAsia="宋体" w:cs="宋体"/>
          <w:color w:val="auto"/>
          <w:kern w:val="0"/>
          <w:sz w:val="21"/>
          <w:szCs w:val="21"/>
          <w:highlight w:val="none"/>
          <w:u w:val="none"/>
          <w:shd w:val="clear" w:color="auto" w:fill="auto"/>
        </w:rPr>
        <w:fldChar w:fldCharType="begin"/>
      </w:r>
      <w:r>
        <w:instrText xml:space="preserve">HYPERLINK "http://ggzy.jgswj.gxzf.gov.cn/czggzy/"</w:instrText>
      </w:r>
      <w:r>
        <w:rPr>
          <w:rFonts w:hint="eastAsia" w:ascii="宋体" w:hAnsi="Times New Roman" w:eastAsia="宋体" w:cs="宋体"/>
          <w:color w:val="auto"/>
          <w:kern w:val="0"/>
          <w:sz w:val="21"/>
          <w:szCs w:val="21"/>
          <w:highlight w:val="none"/>
          <w:u w:val="none"/>
          <w:shd w:val="clear" w:color="auto" w:fill="auto"/>
        </w:rPr>
        <w:fldChar w:fldCharType="separate"/>
      </w:r>
      <w:r>
        <w:rPr>
          <w:rFonts w:hint="eastAsia" w:ascii="宋体" w:hAnsi="Times New Roman" w:eastAsia="宋体" w:cs="宋体"/>
          <w:color w:val="auto"/>
          <w:kern w:val="0"/>
          <w:sz w:val="21"/>
          <w:szCs w:val="21"/>
          <w:highlight w:val="none"/>
          <w:u w:val="none"/>
          <w:shd w:val="clear" w:color="auto" w:fill="auto"/>
        </w:rPr>
        <w:t>http://ggzy.jgswj.gxzf.gov.cn/czggzy/(全国公共资源交易平台(广西・崇左</w:t>
      </w:r>
      <w:r>
        <w:rPr>
          <w:rFonts w:hint="eastAsia" w:ascii="宋体" w:hAnsi="Times New Roman" w:eastAsia="宋体" w:cs="宋体"/>
          <w:color w:val="auto"/>
          <w:kern w:val="0"/>
          <w:sz w:val="21"/>
          <w:szCs w:val="21"/>
          <w:highlight w:val="none"/>
          <w:u w:val="none"/>
          <w:shd w:val="clear" w:color="auto" w:fill="auto"/>
        </w:rPr>
        <w:fldChar w:fldCharType="end"/>
      </w:r>
      <w:r>
        <w:rPr>
          <w:rFonts w:hint="eastAsia" w:ascii="宋体" w:hAnsi="Times New Roman" w:eastAsia="宋体" w:cs="宋体"/>
          <w:color w:val="auto"/>
          <w:kern w:val="0"/>
          <w:sz w:val="21"/>
          <w:szCs w:val="21"/>
          <w:highlight w:val="none"/>
          <w:shd w:val="clear" w:color="auto" w:fill="auto"/>
          <w:lang w:val="en-US" w:eastAsia="zh-CN"/>
        </w:rPr>
        <w:t>）</w:t>
      </w:r>
      <w:r>
        <w:rPr>
          <w:rFonts w:hint="eastAsia" w:ascii="宋体" w:cs="宋体"/>
          <w:color w:val="auto"/>
          <w:kern w:val="0"/>
          <w:szCs w:val="21"/>
          <w:highlight w:val="none"/>
        </w:rPr>
        <w:t>。</w:t>
      </w:r>
    </w:p>
    <w:p w14:paraId="5437FAFF">
      <w:pPr>
        <w:spacing w:line="460" w:lineRule="exact"/>
        <w:ind w:firstLine="420" w:firstLineChars="200"/>
        <w:rPr>
          <w:rFonts w:ascii="宋体" w:cs="宋体"/>
          <w:color w:val="auto"/>
          <w:kern w:val="0"/>
          <w:szCs w:val="21"/>
          <w:highlight w:val="none"/>
        </w:rPr>
      </w:pPr>
      <w:r>
        <w:rPr>
          <w:rFonts w:hint="eastAsia" w:ascii="宋体" w:cs="宋体"/>
          <w:color w:val="auto"/>
          <w:szCs w:val="21"/>
          <w:highlight w:val="none"/>
        </w:rPr>
        <w:t>3.</w:t>
      </w:r>
      <w:r>
        <w:rPr>
          <w:rFonts w:hint="eastAsia" w:ascii="宋体" w:cs="宋体"/>
          <w:color w:val="auto"/>
          <w:kern w:val="0"/>
          <w:szCs w:val="21"/>
          <w:highlight w:val="none"/>
        </w:rPr>
        <w:t>本项目需要落实的政府采购政策：</w:t>
      </w:r>
      <w:bookmarkStart w:id="41" w:name="PO_3000001867_PM023"/>
    </w:p>
    <w:bookmarkEnd w:id="41"/>
    <w:p w14:paraId="62E06811">
      <w:pPr>
        <w:spacing w:line="460" w:lineRule="exact"/>
        <w:ind w:firstLine="735" w:firstLineChars="350"/>
        <w:rPr>
          <w:rFonts w:ascii="宋体" w:cs="宋体"/>
          <w:color w:val="auto"/>
          <w:kern w:val="0"/>
          <w:szCs w:val="21"/>
          <w:highlight w:val="none"/>
        </w:rPr>
      </w:pPr>
      <w:r>
        <w:rPr>
          <w:rFonts w:hint="eastAsia" w:ascii="宋体" w:cs="宋体"/>
          <w:color w:val="auto"/>
          <w:kern w:val="0"/>
          <w:szCs w:val="21"/>
          <w:highlight w:val="none"/>
        </w:rPr>
        <w:t>（1）政府采购促进中小企业发展。</w:t>
      </w:r>
    </w:p>
    <w:p w14:paraId="02C91978">
      <w:pPr>
        <w:spacing w:line="460" w:lineRule="exact"/>
        <w:ind w:firstLine="735" w:firstLineChars="350"/>
        <w:rPr>
          <w:rFonts w:ascii="宋体" w:cs="宋体"/>
          <w:color w:val="auto"/>
          <w:kern w:val="0"/>
          <w:szCs w:val="21"/>
          <w:highlight w:val="none"/>
        </w:rPr>
      </w:pPr>
      <w:r>
        <w:rPr>
          <w:rFonts w:hint="eastAsia" w:ascii="宋体" w:cs="宋体"/>
          <w:color w:val="auto"/>
          <w:kern w:val="0"/>
          <w:szCs w:val="21"/>
          <w:highlight w:val="none"/>
        </w:rPr>
        <w:t>（2）政府采购支持采用本国产品的政策。</w:t>
      </w:r>
    </w:p>
    <w:p w14:paraId="363976CB">
      <w:pPr>
        <w:spacing w:line="460" w:lineRule="exact"/>
        <w:ind w:firstLine="735" w:firstLineChars="350"/>
        <w:rPr>
          <w:rFonts w:ascii="宋体" w:cs="宋体"/>
          <w:color w:val="auto"/>
          <w:kern w:val="0"/>
          <w:szCs w:val="21"/>
          <w:highlight w:val="none"/>
        </w:rPr>
      </w:pPr>
      <w:r>
        <w:rPr>
          <w:rFonts w:hint="eastAsia" w:ascii="宋体" w:cs="宋体"/>
          <w:color w:val="auto"/>
          <w:kern w:val="0"/>
          <w:szCs w:val="21"/>
          <w:highlight w:val="none"/>
        </w:rPr>
        <w:t>（3）强制采购节能产品；优先采购节能产品、环境标志产品。</w:t>
      </w:r>
    </w:p>
    <w:p w14:paraId="38412187">
      <w:pPr>
        <w:spacing w:line="460" w:lineRule="exact"/>
        <w:ind w:firstLine="735" w:firstLineChars="350"/>
        <w:rPr>
          <w:rFonts w:ascii="宋体" w:cs="宋体"/>
          <w:color w:val="auto"/>
          <w:kern w:val="0"/>
          <w:szCs w:val="21"/>
          <w:highlight w:val="none"/>
        </w:rPr>
      </w:pPr>
      <w:r>
        <w:rPr>
          <w:rFonts w:hint="eastAsia" w:ascii="宋体" w:cs="宋体"/>
          <w:color w:val="auto"/>
          <w:kern w:val="0"/>
          <w:szCs w:val="21"/>
          <w:highlight w:val="none"/>
        </w:rPr>
        <w:t>（4）政府采购促进残疾人就业政策。</w:t>
      </w:r>
    </w:p>
    <w:p w14:paraId="32035A9E">
      <w:pPr>
        <w:spacing w:line="460" w:lineRule="exact"/>
        <w:ind w:firstLine="735" w:firstLineChars="350"/>
        <w:rPr>
          <w:rFonts w:hint="eastAsia" w:ascii="宋体" w:cs="宋体"/>
          <w:color w:val="auto"/>
          <w:kern w:val="0"/>
          <w:szCs w:val="21"/>
          <w:highlight w:val="none"/>
        </w:rPr>
      </w:pPr>
      <w:r>
        <w:rPr>
          <w:rFonts w:hint="eastAsia" w:ascii="宋体" w:cs="宋体"/>
          <w:color w:val="auto"/>
          <w:kern w:val="0"/>
          <w:szCs w:val="21"/>
          <w:highlight w:val="none"/>
        </w:rPr>
        <w:t>（5）政府采购支持监狱企业发展。</w:t>
      </w:r>
    </w:p>
    <w:p w14:paraId="6EA06240">
      <w:pPr>
        <w:spacing w:line="460" w:lineRule="exact"/>
        <w:ind w:firstLine="735" w:firstLineChars="350"/>
        <w:rPr>
          <w:rFonts w:ascii="宋体" w:cs="宋体"/>
          <w:color w:val="auto"/>
          <w:kern w:val="0"/>
          <w:szCs w:val="21"/>
          <w:highlight w:val="none"/>
        </w:rPr>
      </w:pPr>
      <w:r>
        <w:rPr>
          <w:rFonts w:hint="eastAsia" w:ascii="宋体" w:cs="宋体"/>
          <w:color w:val="auto"/>
          <w:kern w:val="0"/>
          <w:szCs w:val="21"/>
          <w:highlight w:val="none"/>
        </w:rPr>
        <w:t>（6）在政府采购中实施本国产品标准及相关政策。</w:t>
      </w:r>
    </w:p>
    <w:p w14:paraId="6CB9CEE5">
      <w:pPr>
        <w:snapToGrid w:val="0"/>
        <w:spacing w:line="460" w:lineRule="exact"/>
        <w:ind w:firstLine="420" w:firstLineChars="200"/>
        <w:jc w:val="left"/>
        <w:rPr>
          <w:rFonts w:ascii="宋体" w:cs="宋体"/>
          <w:color w:val="auto"/>
          <w:szCs w:val="21"/>
          <w:highlight w:val="none"/>
        </w:rPr>
      </w:pPr>
      <w:r>
        <w:rPr>
          <w:rFonts w:hint="eastAsia" w:ascii="宋体" w:cs="宋体"/>
          <w:color w:val="auto"/>
          <w:szCs w:val="21"/>
          <w:highlight w:val="none"/>
        </w:rPr>
        <w:t>4.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460D7A7">
      <w:pPr>
        <w:spacing w:line="460" w:lineRule="exact"/>
        <w:ind w:firstLine="420" w:firstLineChars="200"/>
        <w:rPr>
          <w:rFonts w:ascii="宋体" w:cs="宋体"/>
          <w:color w:val="auto"/>
          <w:kern w:val="0"/>
          <w:szCs w:val="21"/>
          <w:highlight w:val="none"/>
        </w:rPr>
      </w:pPr>
      <w:r>
        <w:rPr>
          <w:rFonts w:hint="eastAsia" w:ascii="宋体" w:cs="宋体"/>
          <w:color w:val="auto"/>
          <w:szCs w:val="21"/>
          <w:highlight w:val="none"/>
        </w:rPr>
        <w:t>5.对在“信用中国”网站(www.creditchina.gov.cn)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bookmarkEnd w:id="40"/>
    <w:p w14:paraId="0A2AE1E6">
      <w:pPr>
        <w:spacing w:line="460" w:lineRule="exact"/>
        <w:ind w:firstLine="422" w:firstLineChars="200"/>
        <w:rPr>
          <w:rFonts w:ascii="宋体" w:cs="宋体"/>
          <w:b/>
          <w:bCs/>
          <w:color w:val="auto"/>
          <w:kern w:val="0"/>
          <w:szCs w:val="21"/>
          <w:highlight w:val="none"/>
        </w:rPr>
      </w:pPr>
      <w:r>
        <w:rPr>
          <w:rFonts w:hint="eastAsia" w:ascii="宋体" w:cs="宋体"/>
          <w:b/>
          <w:bCs/>
          <w:color w:val="auto"/>
          <w:szCs w:val="21"/>
          <w:highlight w:val="none"/>
        </w:rPr>
        <w:t>6.在线投标的有关说明</w:t>
      </w:r>
      <w:r>
        <w:rPr>
          <w:rFonts w:hint="eastAsia" w:ascii="宋体" w:cs="宋体"/>
          <w:b/>
          <w:bCs/>
          <w:color w:val="auto"/>
          <w:kern w:val="0"/>
          <w:szCs w:val="21"/>
          <w:highlight w:val="none"/>
        </w:rPr>
        <w:t>：</w:t>
      </w:r>
    </w:p>
    <w:p w14:paraId="3F32D28A">
      <w:pPr>
        <w:widowControl/>
        <w:spacing w:line="460" w:lineRule="exact"/>
        <w:ind w:firstLine="420" w:firstLineChars="200"/>
        <w:jc w:val="left"/>
        <w:rPr>
          <w:rFonts w:ascii="宋体" w:cs="宋体"/>
          <w:color w:val="auto"/>
          <w:szCs w:val="21"/>
          <w:highlight w:val="none"/>
        </w:rPr>
      </w:pPr>
      <w:r>
        <w:rPr>
          <w:rFonts w:hint="eastAsia" w:ascii="宋体" w:cs="宋体"/>
          <w:color w:val="auto"/>
          <w:szCs w:val="21"/>
          <w:highlight w:val="none"/>
        </w:rPr>
        <w:t>（1）投标文件提交方式：本项目为全流程电子化项目，通过广西政府采购云平台（https：//www.gcy.zfcg.gxzf.gov.cn/）实行在线电子投标，供应商应先安装广西政府采购云平台新版客户端［新版客户端下载路径：广西政府采购网（访问地址http：//zfcg.gxzf.gov.cn/）—办事</w:t>
      </w:r>
      <w:r>
        <w:rPr>
          <w:rFonts w:hint="eastAsia" w:ascii="宋体" w:cs="宋体"/>
          <w:color w:val="auto"/>
          <w:szCs w:val="21"/>
          <w:highlight w:val="none"/>
          <w:lang w:val="en-US" w:eastAsia="zh-CN"/>
        </w:rPr>
        <w:t>指南</w:t>
      </w:r>
      <w:r>
        <w:rPr>
          <w:rFonts w:hint="eastAsia" w:ascii="宋体" w:cs="宋体"/>
          <w:color w:val="auto"/>
          <w:szCs w:val="21"/>
          <w:highlight w:val="none"/>
        </w:rPr>
        <w:t>—下载专区］，并按照本项目招标文件和广西政府采购云平台的要求编制、加密后在投标截止时间前通过网络上传至广西政府采购云平台，</w:t>
      </w:r>
      <w:r>
        <w:rPr>
          <w:rFonts w:hint="eastAsia" w:ascii="宋体" w:cs="宋体"/>
          <w:b/>
          <w:color w:val="auto"/>
          <w:szCs w:val="21"/>
          <w:highlight w:val="none"/>
        </w:rPr>
        <w:t>投标人在广西政府采购云平台提交电子版投标文件时，请填写参加远程开标活动经办人联系方式</w:t>
      </w:r>
      <w:r>
        <w:rPr>
          <w:rFonts w:hint="eastAsia" w:ascii="宋体" w:cs="宋体"/>
          <w:color w:val="auto"/>
          <w:szCs w:val="21"/>
          <w:highlight w:val="none"/>
        </w:rPr>
        <w:t>。</w:t>
      </w:r>
    </w:p>
    <w:p w14:paraId="3CA806C2">
      <w:pPr>
        <w:widowControl/>
        <w:spacing w:line="460" w:lineRule="exact"/>
        <w:ind w:firstLine="420" w:firstLineChars="200"/>
        <w:jc w:val="left"/>
        <w:rPr>
          <w:rFonts w:ascii="宋体" w:cs="宋体"/>
          <w:color w:val="auto"/>
          <w:szCs w:val="21"/>
          <w:highlight w:val="none"/>
        </w:rPr>
      </w:pPr>
      <w:r>
        <w:rPr>
          <w:rFonts w:hint="eastAsia" w:ascii="宋体" w:cs="宋体"/>
          <w:color w:val="auto"/>
          <w:szCs w:val="21"/>
          <w:highlight w:val="none"/>
        </w:rPr>
        <w:t>（2）未进行网上注册并办理数字证书（CA认证）的供应商将无法参与本项目政府采购活动，潜在投标人应当在投标截止时间前，完成电子交易平台上的CA数字证书办理及投标文件的提交。</w:t>
      </w:r>
    </w:p>
    <w:p w14:paraId="5BD9C895">
      <w:pPr>
        <w:widowControl/>
        <w:spacing w:line="460" w:lineRule="exact"/>
        <w:ind w:firstLine="420" w:firstLineChars="200"/>
        <w:jc w:val="left"/>
        <w:rPr>
          <w:rFonts w:ascii="宋体" w:cs="宋体"/>
          <w:color w:val="auto"/>
          <w:szCs w:val="21"/>
          <w:highlight w:val="none"/>
        </w:rPr>
      </w:pPr>
      <w:r>
        <w:rPr>
          <w:rFonts w:hint="eastAsia" w:ascii="宋体" w:cs="宋体"/>
          <w:color w:val="auto"/>
          <w:szCs w:val="21"/>
          <w:highlight w:val="none"/>
        </w:rPr>
        <w:t>（3）为确保网上操作合法、有效和安全，请投标人确保在电子投标过程中能够对相关数据电文进行加密和使用电子签章，妥善保管CA数字证书并使用有效的CA数字证书参与整个招标活动。</w:t>
      </w:r>
    </w:p>
    <w:p w14:paraId="0543A95D">
      <w:pPr>
        <w:widowControl/>
        <w:spacing w:line="460" w:lineRule="exact"/>
        <w:ind w:firstLine="422" w:firstLineChars="200"/>
        <w:jc w:val="left"/>
        <w:rPr>
          <w:rFonts w:ascii="宋体" w:cs="宋体"/>
          <w:b/>
          <w:color w:val="auto"/>
          <w:szCs w:val="21"/>
          <w:highlight w:val="none"/>
          <w:u w:val="single"/>
        </w:rPr>
      </w:pPr>
      <w:r>
        <w:rPr>
          <w:rFonts w:hint="eastAsia" w:ascii="宋体" w:cs="宋体"/>
          <w:b/>
          <w:color w:val="auto"/>
          <w:szCs w:val="21"/>
          <w:highlight w:val="none"/>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22D16507">
      <w:pPr>
        <w:widowControl/>
        <w:spacing w:line="460" w:lineRule="exact"/>
        <w:ind w:firstLine="420" w:firstLineChars="200"/>
        <w:jc w:val="left"/>
        <w:rPr>
          <w:rFonts w:hint="eastAsia" w:ascii="宋体" w:cs="宋体"/>
          <w:color w:val="auto"/>
          <w:kern w:val="0"/>
          <w:szCs w:val="21"/>
          <w:highlight w:val="none"/>
        </w:rPr>
      </w:pPr>
      <w:r>
        <w:rPr>
          <w:rFonts w:hint="eastAsia" w:ascii="宋体" w:cs="宋体"/>
          <w:color w:val="auto"/>
          <w:kern w:val="0"/>
          <w:szCs w:val="21"/>
          <w:highlight w:val="none"/>
        </w:rPr>
        <w:t>（4）CA证书在线解密：投标人投标时，需携带制作投标文件时用来加密的有效数字证书（CA认证）登录广西政府采购云平台电子开标大厅现场按规定时间对加密的投标文件进行解密。</w:t>
      </w:r>
    </w:p>
    <w:p w14:paraId="030FB011">
      <w:pPr>
        <w:widowControl/>
        <w:spacing w:line="460" w:lineRule="exact"/>
        <w:ind w:firstLine="420" w:firstLineChars="200"/>
        <w:jc w:val="left"/>
        <w:rPr>
          <w:rFonts w:hint="eastAsia" w:ascii="宋体" w:cs="宋体"/>
          <w:color w:val="auto"/>
          <w:kern w:val="0"/>
          <w:szCs w:val="21"/>
          <w:highlight w:val="none"/>
        </w:rPr>
      </w:pPr>
      <w:r>
        <w:rPr>
          <w:rFonts w:hint="eastAsia" w:ascii="宋体" w:cs="宋体"/>
          <w:color w:val="auto"/>
          <w:kern w:val="0"/>
          <w:szCs w:val="21"/>
          <w:highlight w:val="none"/>
        </w:rPr>
        <w:t>（5）若对项目采购电子交易系统操作有疑问，可登录广西政府采购云平台（https：//www.gcy.zfcg.gxzf.gov.cn/），点击右侧咨询小采，获取采小蜜智能服务管家帮助，或拨打广西政府采购云平台服务热线95763获取热线服务帮助。</w:t>
      </w:r>
    </w:p>
    <w:p w14:paraId="1A18C67D">
      <w:pPr>
        <w:widowControl/>
        <w:spacing w:line="460" w:lineRule="exact"/>
        <w:ind w:firstLine="420" w:firstLineChars="200"/>
        <w:jc w:val="left"/>
        <w:rPr>
          <w:rFonts w:ascii="宋体" w:cs="宋体"/>
          <w:color w:val="auto"/>
          <w:kern w:val="0"/>
          <w:szCs w:val="21"/>
          <w:highlight w:val="none"/>
        </w:rPr>
      </w:pPr>
      <w:r>
        <w:rPr>
          <w:rFonts w:hint="eastAsia" w:ascii="宋体" w:hAnsi="宋体" w:cs="宋体"/>
          <w:color w:val="auto"/>
          <w:kern w:val="0"/>
          <w:szCs w:val="21"/>
          <w:highlight w:val="none"/>
          <w:lang w:val="en-US" w:eastAsia="zh-CN"/>
        </w:rPr>
        <w:t>7.银行、保险、石油石化、电力、电信等有行业特殊情况的，法人的分支机构经法人授权后可以分支机构的身份参加政府采购。如投标人为分支机构的，必须在投标文件中同时提供经法人授权投标人以分支机构名义参加投标的</w:t>
      </w:r>
      <w:r>
        <w:rPr>
          <w:rFonts w:hint="eastAsia" w:ascii="宋体" w:hAnsi="宋体" w:cs="宋体"/>
          <w:color w:val="auto"/>
          <w:sz w:val="21"/>
          <w:szCs w:val="21"/>
          <w:highlight w:val="none"/>
          <w:lang w:val="en-US" w:eastAsia="zh-CN"/>
        </w:rPr>
        <w:t>授权委托书、法人营业执照及分支机构营业执照的复印件</w:t>
      </w:r>
      <w:r>
        <w:rPr>
          <w:rFonts w:hint="eastAsia" w:ascii="宋体" w:hAnsi="宋体" w:cs="宋体"/>
          <w:color w:val="auto"/>
          <w:kern w:val="0"/>
          <w:szCs w:val="21"/>
          <w:highlight w:val="none"/>
          <w:lang w:val="en-US" w:eastAsia="zh-CN"/>
        </w:rPr>
        <w:t>。</w:t>
      </w:r>
    </w:p>
    <w:p w14:paraId="1CC232A4">
      <w:pPr>
        <w:spacing w:line="460" w:lineRule="exact"/>
        <w:rPr>
          <w:rFonts w:ascii="宋体" w:hAnsi="宋体" w:eastAsia="宋体" w:cs="宋体"/>
          <w:color w:val="auto"/>
          <w:kern w:val="0"/>
          <w:szCs w:val="21"/>
          <w:highlight w:val="none"/>
          <w:lang w:val="en-US" w:eastAsia="zh-CN"/>
        </w:rPr>
      </w:pPr>
      <w:bookmarkStart w:id="42" w:name="_Toc28359085"/>
      <w:bookmarkStart w:id="43" w:name="_Toc35393627"/>
      <w:bookmarkStart w:id="44" w:name="_Toc28359008"/>
      <w:bookmarkStart w:id="45" w:name="_Toc35393796"/>
      <w:r>
        <w:rPr>
          <w:rFonts w:hint="eastAsia" w:ascii="宋体" w:cs="宋体"/>
          <w:b/>
          <w:bCs/>
          <w:color w:val="auto"/>
          <w:sz w:val="24"/>
          <w:highlight w:val="none"/>
          <w:lang w:val="en-US" w:eastAsia="zh-CN"/>
        </w:rPr>
        <w:t xml:space="preserve">   </w:t>
      </w:r>
      <w:r>
        <w:rPr>
          <w:rFonts w:hint="eastAsia" w:ascii="宋体" w:hAnsi="宋体" w:eastAsia="宋体" w:cs="宋体"/>
          <w:color w:val="auto"/>
          <w:kern w:val="0"/>
          <w:szCs w:val="21"/>
          <w:highlight w:val="none"/>
          <w:lang w:val="en-US" w:eastAsia="zh-CN"/>
        </w:rPr>
        <w:t>8.评标说明：本项目为远程异地全流程电子评标，评标主场设在崇左市公共资源交易中心（崇左市城南新区石景林路东段政务服务中心综合楼五楼），分会场设在</w:t>
      </w:r>
      <w:r>
        <w:rPr>
          <w:rFonts w:hint="eastAsia" w:ascii="宋体" w:hAnsi="宋体" w:cs="宋体"/>
          <w:color w:val="auto"/>
          <w:kern w:val="0"/>
          <w:szCs w:val="21"/>
          <w:highlight w:val="none"/>
          <w:lang w:val="en-US" w:eastAsia="zh-CN"/>
        </w:rPr>
        <w:t>柳州市</w:t>
      </w:r>
      <w:r>
        <w:rPr>
          <w:rFonts w:hint="eastAsia" w:ascii="宋体" w:hAnsi="宋体" w:eastAsia="宋体" w:cs="宋体"/>
          <w:color w:val="auto"/>
          <w:kern w:val="0"/>
          <w:szCs w:val="21"/>
          <w:highlight w:val="none"/>
          <w:lang w:val="en-US" w:eastAsia="zh-CN"/>
        </w:rPr>
        <w:t>公共资源交易中心（广西壮族自治区柳州市鱼峰区柳州市民服务中心（龙湖路13号））</w:t>
      </w:r>
    </w:p>
    <w:p w14:paraId="603CEA1D">
      <w:pPr>
        <w:spacing w:line="460" w:lineRule="exact"/>
        <w:rPr>
          <w:rFonts w:ascii="宋体" w:cs="宋体"/>
          <w:b/>
          <w:bCs/>
          <w:color w:val="auto"/>
          <w:sz w:val="24"/>
          <w:highlight w:val="none"/>
        </w:rPr>
      </w:pPr>
      <w:r>
        <w:rPr>
          <w:rFonts w:hint="eastAsia" w:ascii="宋体" w:cs="宋体"/>
          <w:b/>
          <w:bCs/>
          <w:color w:val="auto"/>
          <w:sz w:val="24"/>
          <w:highlight w:val="none"/>
        </w:rPr>
        <w:t>七、对本次招标提出询问，请按以下方式联系。</w:t>
      </w:r>
      <w:bookmarkEnd w:id="42"/>
      <w:bookmarkEnd w:id="43"/>
      <w:bookmarkEnd w:id="44"/>
      <w:bookmarkEnd w:id="45"/>
    </w:p>
    <w:p w14:paraId="7531714F">
      <w:pPr>
        <w:spacing w:line="460" w:lineRule="exact"/>
        <w:jc w:val="left"/>
        <w:rPr>
          <w:rFonts w:ascii="宋体" w:cs="宋体"/>
          <w:color w:val="auto"/>
          <w:szCs w:val="21"/>
          <w:highlight w:val="none"/>
        </w:rPr>
      </w:pPr>
      <w:r>
        <w:rPr>
          <w:rFonts w:hint="eastAsia" w:ascii="宋体" w:cs="宋体"/>
          <w:color w:val="auto"/>
          <w:szCs w:val="21"/>
          <w:highlight w:val="none"/>
        </w:rPr>
        <w:t>　　　1.采购人信息</w:t>
      </w:r>
    </w:p>
    <w:p w14:paraId="01924F38">
      <w:pPr>
        <w:spacing w:line="460" w:lineRule="exact"/>
        <w:ind w:left="1041" w:leftChars="371" w:hanging="262" w:hangingChars="125"/>
        <w:jc w:val="left"/>
        <w:rPr>
          <w:rFonts w:hint="eastAsia" w:ascii="宋体" w:cs="宋体"/>
          <w:color w:val="auto"/>
          <w:szCs w:val="21"/>
          <w:highlight w:val="none"/>
          <w:lang w:eastAsia="zh-CN"/>
        </w:rPr>
      </w:pPr>
      <w:r>
        <w:rPr>
          <w:rFonts w:hint="eastAsia" w:ascii="宋体" w:cs="宋体"/>
          <w:color w:val="auto"/>
          <w:szCs w:val="21"/>
          <w:highlight w:val="none"/>
        </w:rPr>
        <w:t>名称：</w:t>
      </w:r>
      <w:r>
        <w:rPr>
          <w:rFonts w:hint="eastAsia" w:ascii="宋体" w:cs="宋体"/>
          <w:color w:val="auto"/>
          <w:szCs w:val="21"/>
          <w:highlight w:val="none"/>
          <w:lang w:eastAsia="zh-CN"/>
        </w:rPr>
        <w:t>天等县卫生健康局</w:t>
      </w:r>
    </w:p>
    <w:p w14:paraId="64C8B34A">
      <w:pPr>
        <w:spacing w:line="460" w:lineRule="exact"/>
        <w:ind w:left="1041" w:leftChars="371" w:hanging="262" w:hangingChars="125"/>
        <w:jc w:val="left"/>
        <w:rPr>
          <w:rFonts w:hint="eastAsia" w:ascii="宋体" w:cs="宋体"/>
          <w:color w:val="auto"/>
          <w:szCs w:val="21"/>
          <w:highlight w:val="none"/>
          <w:lang w:eastAsia="zh-CN"/>
        </w:rPr>
      </w:pPr>
      <w:r>
        <w:rPr>
          <w:rFonts w:hint="eastAsia" w:ascii="宋体" w:cs="宋体"/>
          <w:color w:val="auto"/>
          <w:szCs w:val="21"/>
          <w:highlight w:val="none"/>
        </w:rPr>
        <w:t>地址：天等县政府城南办公区5栋</w:t>
      </w:r>
    </w:p>
    <w:p w14:paraId="7D29A1B7">
      <w:pPr>
        <w:spacing w:line="460" w:lineRule="exact"/>
        <w:ind w:left="1041" w:leftChars="371" w:hanging="262" w:hangingChars="125"/>
        <w:jc w:val="left"/>
        <w:rPr>
          <w:rFonts w:hint="eastAsia" w:ascii="宋体" w:cs="宋体"/>
          <w:color w:val="auto"/>
          <w:szCs w:val="21"/>
          <w:highlight w:val="none"/>
          <w:lang w:val="en-US" w:eastAsia="zh-CN"/>
        </w:rPr>
      </w:pPr>
      <w:r>
        <w:rPr>
          <w:rFonts w:hint="eastAsia" w:ascii="宋体" w:cs="宋体"/>
          <w:color w:val="auto"/>
          <w:szCs w:val="21"/>
          <w:highlight w:val="none"/>
        </w:rPr>
        <w:t>项目联系人：</w:t>
      </w:r>
      <w:r>
        <w:rPr>
          <w:rFonts w:hint="eastAsia" w:ascii="宋体" w:cs="宋体"/>
          <w:color w:val="auto"/>
          <w:szCs w:val="21"/>
          <w:highlight w:val="none"/>
          <w:lang w:val="en-US" w:eastAsia="zh-CN"/>
        </w:rPr>
        <w:t xml:space="preserve">冯工 </w:t>
      </w:r>
    </w:p>
    <w:p w14:paraId="42C7113D">
      <w:pPr>
        <w:spacing w:line="460" w:lineRule="exact"/>
        <w:ind w:left="1041" w:leftChars="371" w:hanging="262" w:hangingChars="125"/>
        <w:jc w:val="left"/>
        <w:rPr>
          <w:rFonts w:hint="eastAsia" w:ascii="宋体" w:cs="宋体"/>
          <w:color w:val="auto"/>
          <w:szCs w:val="21"/>
          <w:highlight w:val="none"/>
          <w:lang w:eastAsia="zh-CN"/>
        </w:rPr>
      </w:pPr>
      <w:r>
        <w:rPr>
          <w:rFonts w:hint="eastAsia" w:ascii="宋体" w:cs="宋体"/>
          <w:color w:val="auto"/>
          <w:szCs w:val="21"/>
          <w:highlight w:val="none"/>
        </w:rPr>
        <w:t>项目联系方式：0771-3532248</w:t>
      </w:r>
    </w:p>
    <w:p w14:paraId="2BC1B6AD">
      <w:pPr>
        <w:spacing w:line="460" w:lineRule="exact"/>
        <w:ind w:left="1041" w:leftChars="371" w:hanging="262" w:hangingChars="125"/>
        <w:jc w:val="left"/>
        <w:rPr>
          <w:rFonts w:ascii="宋体" w:cs="宋体"/>
          <w:color w:val="auto"/>
          <w:szCs w:val="21"/>
          <w:highlight w:val="none"/>
        </w:rPr>
      </w:pPr>
      <w:r>
        <w:rPr>
          <w:rFonts w:hint="eastAsia" w:ascii="宋体" w:cs="宋体"/>
          <w:color w:val="auto"/>
          <w:szCs w:val="21"/>
          <w:highlight w:val="none"/>
        </w:rPr>
        <w:t>2.采购代理机构信息</w:t>
      </w:r>
    </w:p>
    <w:p w14:paraId="4D2304E8">
      <w:pPr>
        <w:spacing w:line="460" w:lineRule="exact"/>
        <w:ind w:firstLine="735" w:firstLineChars="350"/>
        <w:rPr>
          <w:rFonts w:ascii="宋体" w:cs="宋体"/>
          <w:color w:val="auto"/>
          <w:szCs w:val="21"/>
          <w:highlight w:val="none"/>
          <w:u w:val="single"/>
        </w:rPr>
      </w:pPr>
      <w:r>
        <w:rPr>
          <w:rFonts w:hint="eastAsia" w:ascii="宋体" w:cs="宋体"/>
          <w:color w:val="auto"/>
          <w:szCs w:val="21"/>
          <w:highlight w:val="none"/>
        </w:rPr>
        <w:t>名 称：</w:t>
      </w:r>
      <w:r>
        <w:rPr>
          <w:rFonts w:hint="eastAsia" w:ascii="宋体"/>
          <w:color w:val="auto"/>
          <w:szCs w:val="21"/>
          <w:highlight w:val="none"/>
        </w:rPr>
        <w:t>广西科联招标中心有限公司</w:t>
      </w:r>
    </w:p>
    <w:p w14:paraId="3711A661">
      <w:pPr>
        <w:spacing w:line="460" w:lineRule="exact"/>
        <w:ind w:firstLine="735" w:firstLineChars="350"/>
        <w:rPr>
          <w:rFonts w:ascii="宋体" w:cs="宋体"/>
          <w:color w:val="auto"/>
          <w:szCs w:val="21"/>
          <w:highlight w:val="none"/>
        </w:rPr>
      </w:pPr>
      <w:r>
        <w:rPr>
          <w:rFonts w:hint="eastAsia" w:ascii="宋体" w:cs="宋体"/>
          <w:color w:val="auto"/>
          <w:szCs w:val="21"/>
          <w:highlight w:val="none"/>
        </w:rPr>
        <w:t>地　址：</w:t>
      </w:r>
      <w:r>
        <w:rPr>
          <w:rFonts w:hint="eastAsia" w:ascii="宋体" w:hAnsi="宋体" w:eastAsia="宋体" w:cs="宋体"/>
          <w:color w:val="auto"/>
          <w:sz w:val="21"/>
          <w:szCs w:val="21"/>
          <w:highlight w:val="none"/>
          <w:lang w:val="en-US" w:eastAsia="zh-CN"/>
        </w:rPr>
        <w:t>崇左市新城区新城路2号阳光名邸C#5栋204号</w:t>
      </w:r>
    </w:p>
    <w:p w14:paraId="59F886EE">
      <w:pPr>
        <w:spacing w:line="460" w:lineRule="exact"/>
        <w:ind w:firstLine="735" w:firstLineChars="350"/>
        <w:rPr>
          <w:rFonts w:hint="eastAsia" w:ascii="宋体" w:eastAsia="宋体"/>
          <w:color w:val="auto"/>
          <w:szCs w:val="21"/>
          <w:highlight w:val="none"/>
          <w:lang w:eastAsia="zh-CN"/>
        </w:rPr>
      </w:pPr>
      <w:r>
        <w:rPr>
          <w:rFonts w:hint="eastAsia" w:ascii="宋体" w:cs="宋体"/>
          <w:color w:val="auto"/>
          <w:szCs w:val="21"/>
          <w:highlight w:val="none"/>
        </w:rPr>
        <w:t>项目联系人：</w:t>
      </w:r>
      <w:r>
        <w:rPr>
          <w:rFonts w:hint="eastAsia" w:ascii="宋体"/>
          <w:color w:val="auto"/>
          <w:szCs w:val="21"/>
          <w:highlight w:val="none"/>
          <w:lang w:val="en-US" w:eastAsia="zh-CN"/>
        </w:rPr>
        <w:t>欧明聪</w:t>
      </w:r>
    </w:p>
    <w:p w14:paraId="1A9771F7">
      <w:pPr>
        <w:spacing w:line="460" w:lineRule="exact"/>
        <w:ind w:firstLine="735" w:firstLineChars="350"/>
        <w:rPr>
          <w:rFonts w:ascii="宋体" w:eastAsia="宋体" w:cs="宋体"/>
          <w:color w:val="auto"/>
          <w:szCs w:val="21"/>
          <w:highlight w:val="none"/>
          <w:lang w:val="en-US" w:eastAsia="zh-CN"/>
        </w:rPr>
      </w:pPr>
      <w:r>
        <w:rPr>
          <w:rFonts w:hint="eastAsia" w:ascii="宋体"/>
          <w:color w:val="auto"/>
          <w:szCs w:val="21"/>
          <w:highlight w:val="none"/>
        </w:rPr>
        <w:t>项目联系方式：</w:t>
      </w:r>
      <w:r>
        <w:rPr>
          <w:rFonts w:hint="eastAsia" w:ascii="宋体" w:hAnsi="宋体" w:eastAsia="宋体" w:cs="宋体"/>
          <w:color w:val="auto"/>
          <w:kern w:val="0"/>
          <w:sz w:val="21"/>
          <w:szCs w:val="21"/>
          <w:highlight w:val="none"/>
        </w:rPr>
        <w:t>0771-</w:t>
      </w:r>
      <w:r>
        <w:rPr>
          <w:rFonts w:hint="eastAsia" w:ascii="宋体" w:hAnsi="宋体" w:cs="宋体"/>
          <w:color w:val="auto"/>
          <w:kern w:val="0"/>
          <w:sz w:val="21"/>
          <w:szCs w:val="21"/>
          <w:highlight w:val="none"/>
          <w:lang w:val="en-US" w:eastAsia="zh-CN"/>
        </w:rPr>
        <w:t>3482237</w:t>
      </w:r>
    </w:p>
    <w:p w14:paraId="182C1944">
      <w:pPr>
        <w:spacing w:line="360" w:lineRule="auto"/>
        <w:jc w:val="left"/>
        <w:rPr>
          <w:rFonts w:ascii="宋体" w:cs="宋体"/>
          <w:color w:val="auto"/>
          <w:szCs w:val="21"/>
          <w:highlight w:val="none"/>
        </w:rPr>
      </w:pPr>
    </w:p>
    <w:p w14:paraId="61C1C57F">
      <w:pPr>
        <w:pStyle w:val="16"/>
        <w:jc w:val="center"/>
        <w:outlineLvl w:val="0"/>
        <w:rPr>
          <w:rFonts w:cs="宋体"/>
          <w:b/>
          <w:color w:val="auto"/>
          <w:sz w:val="36"/>
          <w:highlight w:val="none"/>
        </w:rPr>
      </w:pPr>
      <w:r>
        <w:rPr>
          <w:rFonts w:hint="eastAsia" w:cs="宋体"/>
          <w:color w:val="auto"/>
          <w:szCs w:val="21"/>
          <w:highlight w:val="none"/>
        </w:rPr>
        <w:br w:type="page"/>
      </w:r>
      <w:bookmarkStart w:id="46" w:name="_Toc532545042"/>
      <w:bookmarkStart w:id="47" w:name="_Toc23353"/>
      <w:bookmarkStart w:id="48" w:name="_Toc10157"/>
      <w:bookmarkStart w:id="49" w:name="_Toc32271"/>
      <w:bookmarkStart w:id="50" w:name="_Toc4656"/>
      <w:bookmarkStart w:id="51" w:name="_Toc23540"/>
      <w:bookmarkStart w:id="52" w:name="_Toc15135"/>
      <w:bookmarkStart w:id="53" w:name="_Toc28626"/>
      <w:bookmarkStart w:id="54" w:name="_Toc10599"/>
      <w:bookmarkStart w:id="55" w:name="_Toc22518"/>
      <w:bookmarkStart w:id="56" w:name="_Toc12160"/>
      <w:bookmarkStart w:id="57" w:name="_Toc5131"/>
      <w:r>
        <w:rPr>
          <w:rFonts w:hint="eastAsia" w:cs="宋体"/>
          <w:b/>
          <w:color w:val="auto"/>
          <w:sz w:val="36"/>
          <w:highlight w:val="none"/>
        </w:rPr>
        <w:t xml:space="preserve">第二章  </w:t>
      </w:r>
      <w:bookmarkEnd w:id="46"/>
      <w:r>
        <w:rPr>
          <w:rFonts w:hint="eastAsia" w:cs="宋体"/>
          <w:b/>
          <w:color w:val="auto"/>
          <w:sz w:val="36"/>
          <w:highlight w:val="none"/>
        </w:rPr>
        <w:t>采购需求</w:t>
      </w:r>
      <w:bookmarkEnd w:id="47"/>
      <w:bookmarkEnd w:id="48"/>
      <w:bookmarkEnd w:id="49"/>
      <w:bookmarkEnd w:id="50"/>
      <w:bookmarkEnd w:id="51"/>
      <w:bookmarkEnd w:id="52"/>
      <w:bookmarkEnd w:id="53"/>
      <w:bookmarkEnd w:id="54"/>
      <w:bookmarkEnd w:id="55"/>
      <w:bookmarkEnd w:id="56"/>
      <w:bookmarkEnd w:id="57"/>
    </w:p>
    <w:p w14:paraId="68279894">
      <w:pPr>
        <w:adjustRightInd w:val="0"/>
        <w:spacing w:line="400" w:lineRule="exact"/>
        <w:rPr>
          <w:rFonts w:ascii="宋体" w:cs="宋体"/>
          <w:b/>
          <w:color w:val="auto"/>
          <w:szCs w:val="21"/>
          <w:highlight w:val="none"/>
        </w:rPr>
      </w:pPr>
      <w:r>
        <w:rPr>
          <w:rFonts w:hint="eastAsia" w:ascii="宋体" w:cs="宋体"/>
          <w:b/>
          <w:color w:val="auto"/>
          <w:szCs w:val="21"/>
          <w:highlight w:val="none"/>
        </w:rPr>
        <w:t>说明：</w:t>
      </w:r>
    </w:p>
    <w:p w14:paraId="110F8037">
      <w:pPr>
        <w:spacing w:line="360" w:lineRule="auto"/>
        <w:ind w:firstLine="420" w:firstLineChars="200"/>
        <w:jc w:val="left"/>
        <w:rPr>
          <w:rFonts w:ascii="宋体" w:hAnsi="宋体" w:eastAsia="宋体" w:cs="宋体"/>
          <w:i/>
          <w:iCs/>
          <w:color w:val="auto"/>
          <w:szCs w:val="21"/>
          <w:highlight w:val="none"/>
        </w:rPr>
      </w:pPr>
      <w:r>
        <w:rPr>
          <w:rFonts w:hint="eastAsia" w:ascii="宋体" w:hAnsi="宋体" w:eastAsia="宋体" w:cs="宋体"/>
          <w:color w:val="auto"/>
          <w:highlight w:val="none"/>
        </w:rPr>
        <w:t>1. 为落实政府采购政策需满足的要求</w:t>
      </w:r>
    </w:p>
    <w:p w14:paraId="5AED25B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（1）本招标文件所称中小企业必须符合《政府采购促进中小企业发展管理办法》（财库〔2020〕46号）的规定。</w:t>
      </w:r>
    </w:p>
    <w:p w14:paraId="2C663517">
      <w:pPr>
        <w:spacing w:line="360" w:lineRule="auto"/>
        <w:ind w:firstLine="424" w:firstLineChars="202"/>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w:t>
      </w:r>
      <w:r>
        <w:rPr>
          <w:rFonts w:hint="eastAsia" w:ascii="宋体" w:hAnsi="宋体" w:eastAsia="宋体" w:cs="宋体"/>
          <w:b/>
          <w:bCs/>
          <w:color w:val="auto"/>
          <w:szCs w:val="21"/>
          <w:highlight w:val="none"/>
        </w:rPr>
        <w:t>投标人的投标货物必须使用政府强制采购的节能产品，投标人必须在投标文件中提供所投标产品有效期内的节能产品认证证书复印件（加盖</w:t>
      </w:r>
      <w:r>
        <w:rPr>
          <w:rFonts w:hint="eastAsia" w:ascii="宋体" w:hAnsi="宋体" w:eastAsia="宋体" w:cs="宋体"/>
          <w:b/>
          <w:bCs/>
          <w:color w:val="auto"/>
          <w:szCs w:val="21"/>
          <w:highlight w:val="none"/>
          <w:lang w:eastAsia="zh-CN"/>
        </w:rPr>
        <w:t>投标人公章</w:t>
      </w:r>
      <w:r>
        <w:rPr>
          <w:rFonts w:hint="eastAsia" w:ascii="宋体" w:hAnsi="宋体" w:eastAsia="宋体" w:cs="宋体"/>
          <w:b/>
          <w:bCs/>
          <w:color w:val="auto"/>
          <w:szCs w:val="21"/>
          <w:highlight w:val="none"/>
        </w:rPr>
        <w:t>），否则投标文件作无效处理</w:t>
      </w:r>
      <w:r>
        <w:rPr>
          <w:rFonts w:hint="eastAsia" w:ascii="宋体" w:hAnsi="宋体" w:eastAsia="宋体" w:cs="宋体"/>
          <w:color w:val="auto"/>
          <w:szCs w:val="21"/>
          <w:highlight w:val="none"/>
        </w:rPr>
        <w:t xml:space="preserve">。如本项目包含的货物属于品目清单内非标注“★”的产品时，应优先采购，具体详见“第四章 </w:t>
      </w:r>
      <w:r>
        <w:rPr>
          <w:rFonts w:hint="eastAsia" w:ascii="宋体" w:hAnsi="宋体" w:eastAsia="宋体" w:cs="宋体"/>
          <w:color w:val="auto"/>
          <w:szCs w:val="21"/>
          <w:highlight w:val="none"/>
          <w:lang w:eastAsia="zh-CN"/>
        </w:rPr>
        <w:t>评标方法和评标标准</w:t>
      </w:r>
      <w:r>
        <w:rPr>
          <w:rFonts w:hint="eastAsia" w:ascii="宋体" w:hAnsi="宋体" w:eastAsia="宋体" w:cs="宋体"/>
          <w:color w:val="auto"/>
          <w:szCs w:val="21"/>
          <w:highlight w:val="none"/>
        </w:rPr>
        <w:t>”。</w:t>
      </w:r>
    </w:p>
    <w:p w14:paraId="41E21A65">
      <w:pPr>
        <w:spacing w:line="360" w:lineRule="auto"/>
        <w:ind w:firstLine="424" w:firstLineChars="202"/>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2.“实质性要求”是指招标文件中已经指明不满足则投标无效的条款，或者不能负偏离的条款，或者采购需求中带“</w:t>
      </w:r>
      <w:r>
        <w:rPr>
          <w:rFonts w:hint="eastAsia" w:ascii="宋体" w:hAnsi="宋体" w:eastAsia="宋体" w:cs="宋体"/>
          <w:bCs/>
          <w:color w:val="auto"/>
          <w:highlight w:val="none"/>
        </w:rPr>
        <w:t>▲</w:t>
      </w:r>
      <w:r>
        <w:rPr>
          <w:rFonts w:hint="eastAsia" w:ascii="宋体" w:hAnsi="宋体" w:eastAsia="宋体" w:cs="宋体"/>
          <w:color w:val="auto"/>
          <w:szCs w:val="21"/>
          <w:highlight w:val="none"/>
        </w:rPr>
        <w:t>”的条款。</w:t>
      </w:r>
    </w:p>
    <w:p w14:paraId="3E0EB18D">
      <w:pPr>
        <w:spacing w:line="360" w:lineRule="auto"/>
        <w:ind w:firstLine="424" w:firstLineChars="202"/>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3.采购需求中出现的品牌、型号或者生产厂家仅起参考作用，不属于指定品牌、型号或者生产厂家的情形。投标人可参照或者选用其他相当的品牌、型号或者生产厂家替代，但选用的投标产品</w:t>
      </w:r>
      <w:r>
        <w:rPr>
          <w:rFonts w:hint="eastAsia" w:ascii="宋体" w:hAnsi="宋体" w:eastAsia="宋体" w:cs="宋体"/>
          <w:color w:val="auto"/>
          <w:szCs w:val="21"/>
          <w:highlight w:val="none"/>
          <w:lang w:eastAsia="zh-CN"/>
        </w:rPr>
        <w:t>技术</w:t>
      </w:r>
      <w:r>
        <w:rPr>
          <w:rFonts w:hint="eastAsia" w:ascii="宋体" w:hAnsi="宋体" w:eastAsia="宋体" w:cs="宋体"/>
          <w:color w:val="auto"/>
          <w:szCs w:val="21"/>
          <w:highlight w:val="none"/>
        </w:rPr>
        <w:t>参数</w:t>
      </w:r>
      <w:r>
        <w:rPr>
          <w:rFonts w:hint="eastAsia" w:ascii="宋体" w:hAnsi="宋体" w:eastAsia="宋体" w:cs="宋体"/>
          <w:color w:val="auto"/>
          <w:szCs w:val="21"/>
          <w:highlight w:val="none"/>
          <w:lang w:eastAsia="zh-CN"/>
        </w:rPr>
        <w:t>及配置</w:t>
      </w:r>
      <w:r>
        <w:rPr>
          <w:rFonts w:hint="eastAsia" w:ascii="宋体" w:hAnsi="宋体" w:eastAsia="宋体" w:cs="宋体"/>
          <w:color w:val="auto"/>
          <w:szCs w:val="21"/>
          <w:highlight w:val="none"/>
        </w:rPr>
        <w:t>必须满足</w:t>
      </w: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要求。</w:t>
      </w:r>
    </w:p>
    <w:p w14:paraId="2FDD104B">
      <w:pPr>
        <w:spacing w:line="360" w:lineRule="auto"/>
        <w:ind w:firstLine="424" w:firstLineChars="202"/>
        <w:jc w:val="left"/>
        <w:rPr>
          <w:rFonts w:hint="eastAsia" w:ascii="宋体" w:hAnsi="宋体" w:eastAsia="宋体" w:cs="宋体"/>
          <w:color w:val="auto"/>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.投标人必须对投标文件中提供的证明材料和资质文件真实性负责，如出现虚假应标情况，投标人除了应接受有关部门的处罚外，还应依据《中华人民共和国民法典》的相关条款来</w:t>
      </w:r>
      <w:r>
        <w:rPr>
          <w:rFonts w:hint="eastAsia" w:ascii="宋体" w:hAnsi="宋体" w:eastAsia="宋体" w:cs="宋体"/>
          <w:color w:val="auto"/>
          <w:szCs w:val="21"/>
          <w:highlight w:val="none"/>
          <w:lang w:eastAsia="zh-CN"/>
        </w:rPr>
        <w:t>进行</w:t>
      </w:r>
      <w:r>
        <w:rPr>
          <w:rFonts w:hint="eastAsia" w:ascii="宋体" w:hAnsi="宋体" w:eastAsia="宋体" w:cs="宋体"/>
          <w:color w:val="auto"/>
          <w:szCs w:val="21"/>
          <w:highlight w:val="none"/>
        </w:rPr>
        <w:t>赔偿。</w:t>
      </w:r>
    </w:p>
    <w:p w14:paraId="321B4C04">
      <w:pPr>
        <w:spacing w:line="360" w:lineRule="auto"/>
        <w:ind w:firstLine="424" w:firstLineChars="202"/>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.投标人应对投标内容所涉及的专利承担法律责任，并负责保护</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的利益不受任何损害。一切由于文字、商标、技术和软件专利授权引起的法律裁决、诉讼和赔偿费用均由中标人负责。</w:t>
      </w:r>
    </w:p>
    <w:p w14:paraId="3D84B828">
      <w:pPr>
        <w:tabs>
          <w:tab w:val="left" w:pos="180"/>
          <w:tab w:val="left" w:pos="1620"/>
        </w:tabs>
        <w:spacing w:line="420" w:lineRule="exact"/>
        <w:ind w:firstLine="420" w:firstLineChars="200"/>
        <w:jc w:val="left"/>
        <w:rPr>
          <w:rFonts w:hint="eastAsia" w:ascii="宋体" w:hAnsi="宋体" w:eastAsia="宋体" w:cs="宋体"/>
          <w:color w:val="auto"/>
          <w:highlight w:val="none"/>
          <w:u w:val="single"/>
          <w:lang w:val="en-US" w:eastAsia="zh-CN"/>
        </w:rPr>
      </w:pPr>
      <w:r>
        <w:rPr>
          <w:rFonts w:hint="eastAsia" w:ascii="宋体" w:hAnsi="宋体" w:eastAsia="宋体" w:cs="宋体"/>
          <w:color w:val="auto"/>
          <w:highlight w:val="none"/>
          <w:lang w:val="en-US" w:eastAsia="zh-CN"/>
        </w:rPr>
        <w:t>6.采购标的对应的中小企业划分标准所属行业名称：</w:t>
      </w:r>
      <w:r>
        <w:rPr>
          <w:rFonts w:hint="eastAsia" w:ascii="宋体" w:hAnsi="宋体" w:eastAsia="宋体" w:cs="宋体"/>
          <w:color w:val="auto"/>
          <w:highlight w:val="none"/>
          <w:u w:val="single"/>
          <w:lang w:val="en-US" w:eastAsia="zh-CN"/>
        </w:rPr>
        <w:t>工业。</w:t>
      </w:r>
    </w:p>
    <w:p w14:paraId="6FC634C3">
      <w:pPr>
        <w:tabs>
          <w:tab w:val="left" w:pos="180"/>
          <w:tab w:val="left" w:pos="1620"/>
        </w:tabs>
        <w:spacing w:line="420" w:lineRule="exact"/>
        <w:ind w:firstLine="420" w:firstLineChars="200"/>
        <w:jc w:val="left"/>
        <w:rPr>
          <w:rFonts w:ascii="宋体" w:hAnsi="宋体" w:eastAsia="宋体" w:cs="宋体"/>
          <w:color w:val="auto"/>
          <w:highlight w:val="none"/>
          <w:u w:val="none"/>
          <w:lang w:val="en-US" w:eastAsia="zh-CN"/>
        </w:rPr>
      </w:pPr>
      <w:bookmarkStart w:id="58" w:name="OLE_LINK3"/>
      <w:r>
        <w:rPr>
          <w:rFonts w:hint="eastAsia" w:ascii="宋体" w:hAnsi="宋体" w:eastAsia="宋体" w:cs="宋体"/>
          <w:color w:val="auto"/>
          <w:highlight w:val="none"/>
          <w:u w:val="none"/>
          <w:lang w:val="en-US" w:eastAsia="zh-CN"/>
        </w:rPr>
        <w:t>7.采购标的对应的医疗器械类别：</w:t>
      </w:r>
      <w:r>
        <w:rPr>
          <w:rFonts w:hint="eastAsia" w:ascii="宋体" w:hAnsi="宋体" w:eastAsia="宋体" w:cs="宋体"/>
          <w:color w:val="auto"/>
          <w:szCs w:val="21"/>
          <w:highlight w:val="none"/>
          <w:u w:val="none"/>
          <w:lang w:val="en-US" w:eastAsia="zh-CN"/>
        </w:rPr>
        <w:t>标项</w:t>
      </w:r>
      <w:r>
        <w:rPr>
          <w:rFonts w:hint="eastAsia" w:ascii="宋体" w:hAnsi="宋体" w:eastAsia="宋体" w:cs="Times New Roman"/>
          <w:color w:val="auto"/>
          <w:szCs w:val="21"/>
          <w:highlight w:val="none"/>
          <w:u w:val="none"/>
          <w:lang w:val="en-US" w:eastAsia="zh-CN"/>
        </w:rPr>
        <w:t>1：本标项需求一览表中“血透机”</w:t>
      </w:r>
      <w:r>
        <w:rPr>
          <w:rFonts w:hint="eastAsia" w:ascii="宋体" w:hAnsi="宋体" w:cs="Times New Roman"/>
          <w:color w:val="auto"/>
          <w:szCs w:val="21"/>
          <w:highlight w:val="none"/>
          <w:u w:val="none"/>
          <w:lang w:val="en-US" w:eastAsia="zh-CN"/>
        </w:rPr>
        <w:t>“血滤机”</w:t>
      </w:r>
      <w:r>
        <w:rPr>
          <w:rFonts w:hint="eastAsia" w:ascii="宋体" w:hAnsi="宋体" w:eastAsia="宋体" w:cs="Times New Roman"/>
          <w:color w:val="auto"/>
          <w:szCs w:val="21"/>
          <w:highlight w:val="none"/>
          <w:u w:val="none"/>
          <w:lang w:val="en-US" w:eastAsia="zh-CN"/>
        </w:rPr>
        <w:t>“除颤监护仪”</w:t>
      </w:r>
      <w:r>
        <w:rPr>
          <w:rFonts w:hint="eastAsia" w:ascii="宋体" w:hAnsi="宋体" w:cs="Times New Roman"/>
          <w:color w:val="auto"/>
          <w:szCs w:val="21"/>
          <w:highlight w:val="none"/>
          <w:u w:val="none"/>
          <w:lang w:val="en-US" w:eastAsia="zh-CN"/>
        </w:rPr>
        <w:t>“新生儿呼吸机”“婴儿辐射保暖台”“麻醉机”</w:t>
      </w:r>
      <w:r>
        <w:rPr>
          <w:rFonts w:hint="eastAsia" w:ascii="宋体" w:hAnsi="宋体" w:eastAsia="宋体" w:cs="Times New Roman"/>
          <w:color w:val="auto"/>
          <w:szCs w:val="21"/>
          <w:highlight w:val="none"/>
          <w:u w:val="none"/>
          <w:lang w:val="en-US" w:eastAsia="zh-CN"/>
        </w:rPr>
        <w:t>属于第三类医疗器械；其余标的均属于第二类医疗器械</w:t>
      </w:r>
      <w:r>
        <w:rPr>
          <w:rFonts w:hint="eastAsia" w:ascii="宋体" w:hAnsi="宋体" w:eastAsia="宋体" w:cs="Times New Roman"/>
          <w:b w:val="0"/>
          <w:bCs w:val="0"/>
          <w:color w:val="auto"/>
          <w:szCs w:val="21"/>
          <w:highlight w:val="none"/>
          <w:u w:val="none"/>
          <w:lang w:val="en-US" w:eastAsia="zh-CN"/>
        </w:rPr>
        <w:t>；</w:t>
      </w:r>
      <w:r>
        <w:rPr>
          <w:rFonts w:hint="eastAsia" w:ascii="宋体" w:hAnsi="宋体" w:eastAsia="宋体" w:cs="宋体"/>
          <w:color w:val="auto"/>
          <w:szCs w:val="21"/>
          <w:highlight w:val="none"/>
          <w:u w:val="none"/>
          <w:lang w:val="en-US" w:eastAsia="zh-CN"/>
        </w:rPr>
        <w:t>标项</w:t>
      </w:r>
      <w:r>
        <w:rPr>
          <w:rFonts w:hint="eastAsia" w:ascii="宋体" w:hAnsi="宋体" w:eastAsia="宋体" w:cs="Times New Roman"/>
          <w:color w:val="auto"/>
          <w:szCs w:val="21"/>
          <w:highlight w:val="none"/>
          <w:u w:val="none"/>
          <w:lang w:val="en-US" w:eastAsia="zh-CN"/>
        </w:rPr>
        <w:t>2：本标项需求一览表中</w:t>
      </w:r>
      <w:r>
        <w:rPr>
          <w:rFonts w:hint="eastAsia" w:ascii="宋体" w:hAnsi="宋体" w:cs="Times New Roman"/>
          <w:color w:val="auto"/>
          <w:szCs w:val="21"/>
          <w:highlight w:val="none"/>
          <w:u w:val="none"/>
          <w:lang w:val="en-US" w:eastAsia="zh-CN"/>
        </w:rPr>
        <w:t>“床头柜”非医疗器械，其余标的均属于第二类医疗器械</w:t>
      </w:r>
      <w:r>
        <w:rPr>
          <w:rFonts w:hint="eastAsia" w:ascii="宋体" w:hAnsi="宋体" w:eastAsia="宋体" w:cs="Times New Roman"/>
          <w:b w:val="0"/>
          <w:bCs w:val="0"/>
          <w:color w:val="auto"/>
          <w:szCs w:val="21"/>
          <w:highlight w:val="none"/>
          <w:u w:val="none"/>
          <w:lang w:eastAsia="zh-CN"/>
        </w:rPr>
        <w:t>。</w:t>
      </w:r>
    </w:p>
    <w:bookmarkEnd w:id="58"/>
    <w:p w14:paraId="4E61DFCC">
      <w:pPr>
        <w:rPr>
          <w:color w:val="auto"/>
          <w:highlight w:val="none"/>
        </w:rPr>
      </w:pPr>
    </w:p>
    <w:tbl>
      <w:tblPr>
        <w:tblStyle w:val="29"/>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092"/>
        <w:gridCol w:w="670"/>
        <w:gridCol w:w="6241"/>
        <w:gridCol w:w="1028"/>
      </w:tblGrid>
      <w:tr w14:paraId="69A69B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6"/>
            <w:tcBorders>
              <w:top w:val="single" w:color="auto" w:sz="4" w:space="0"/>
              <w:left w:val="single" w:color="auto" w:sz="4" w:space="0"/>
              <w:bottom w:val="nil"/>
              <w:right w:val="single" w:color="auto" w:sz="4" w:space="0"/>
            </w:tcBorders>
            <w:vAlign w:val="center"/>
          </w:tcPr>
          <w:p w14:paraId="50DB7409">
            <w:pPr>
              <w:spacing w:line="320" w:lineRule="exact"/>
              <w:jc w:val="left"/>
              <w:rPr>
                <w:rFonts w:hint="eastAsia" w:ascii="宋体" w:hAnsi="宋体" w:eastAsia="宋体" w:cs="宋体"/>
                <w:b/>
                <w:bCs/>
                <w:color w:val="auto"/>
                <w:sz w:val="28"/>
                <w:highlight w:val="none"/>
              </w:rPr>
            </w:pPr>
            <w:r>
              <w:rPr>
                <w:rFonts w:hint="eastAsia" w:ascii="宋体" w:hAnsi="宋体" w:eastAsia="宋体" w:cs="宋体"/>
                <w:b/>
                <w:bCs/>
                <w:color w:val="auto"/>
                <w:sz w:val="21"/>
                <w:szCs w:val="21"/>
                <w:highlight w:val="none"/>
                <w:lang w:val="en-US" w:eastAsia="zh-CN"/>
              </w:rPr>
              <w:t>标项1</w:t>
            </w:r>
            <w:r>
              <w:rPr>
                <w:rFonts w:hint="eastAsia" w:ascii="宋体" w:hAnsi="宋体" w:eastAsia="宋体" w:cs="宋体"/>
                <w:b/>
                <w:bCs/>
                <w:color w:val="auto"/>
                <w:sz w:val="21"/>
                <w:szCs w:val="21"/>
                <w:highlight w:val="none"/>
                <w:lang w:eastAsia="zh-CN"/>
              </w:rPr>
              <w:t>：2025年医疗服务与保障能力提升（县域医疗卫生机构能力建设）项目——天等县人民医院医疗设备采购</w:t>
            </w:r>
          </w:p>
        </w:tc>
      </w:tr>
      <w:tr w14:paraId="1976ED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vAlign w:val="center"/>
          </w:tcPr>
          <w:p w14:paraId="309002A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需求一览表</w:t>
            </w:r>
          </w:p>
          <w:p w14:paraId="792E3724">
            <w:pPr>
              <w:widowControl/>
              <w:jc w:val="left"/>
              <w:rPr>
                <w:rFonts w:ascii="宋体" w:hAnsi="宋体" w:eastAsia="宋体" w:cs="宋体"/>
                <w:color w:val="auto"/>
                <w:sz w:val="24"/>
                <w:highlight w:val="none"/>
              </w:rPr>
            </w:pPr>
          </w:p>
          <w:p w14:paraId="739E2FBA">
            <w:pPr>
              <w:widowControl/>
              <w:jc w:val="left"/>
              <w:rPr>
                <w:rFonts w:ascii="宋体" w:hAnsi="宋体" w:eastAsia="宋体" w:cs="宋体"/>
                <w:color w:val="auto"/>
                <w:sz w:val="24"/>
                <w:highlight w:val="none"/>
              </w:rPr>
            </w:pPr>
          </w:p>
        </w:tc>
        <w:tc>
          <w:tcPr>
            <w:tcW w:w="545"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14:paraId="1B99E46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092" w:type="dxa"/>
            <w:tcBorders>
              <w:top w:val="single" w:color="auto" w:sz="4" w:space="0"/>
              <w:left w:val="single" w:color="auto" w:sz="4" w:space="0"/>
              <w:bottom w:val="single" w:color="auto" w:sz="4" w:space="0"/>
              <w:right w:val="single" w:color="auto" w:sz="4" w:space="0"/>
            </w:tcBorders>
            <w:vAlign w:val="center"/>
          </w:tcPr>
          <w:p w14:paraId="323FC8C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标的名称</w:t>
            </w:r>
          </w:p>
        </w:tc>
        <w:tc>
          <w:tcPr>
            <w:tcW w:w="670" w:type="dxa"/>
            <w:tcBorders>
              <w:top w:val="single" w:color="auto" w:sz="4" w:space="0"/>
              <w:left w:val="single" w:color="auto" w:sz="4" w:space="0"/>
              <w:bottom w:val="single" w:color="auto" w:sz="4" w:space="0"/>
              <w:right w:val="single" w:color="auto" w:sz="4" w:space="0"/>
            </w:tcBorders>
            <w:vAlign w:val="center"/>
          </w:tcPr>
          <w:p w14:paraId="444D652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数量及</w:t>
            </w:r>
            <w:r>
              <w:rPr>
                <w:rFonts w:hint="eastAsia" w:ascii="宋体" w:hAnsi="宋体" w:eastAsia="宋体" w:cs="宋体"/>
                <w:color w:val="auto"/>
                <w:sz w:val="21"/>
                <w:szCs w:val="21"/>
                <w:highlight w:val="none"/>
              </w:rPr>
              <w:t>单位</w:t>
            </w:r>
          </w:p>
        </w:tc>
        <w:tc>
          <w:tcPr>
            <w:tcW w:w="6241" w:type="dxa"/>
            <w:tcBorders>
              <w:top w:val="single" w:color="auto" w:sz="4" w:space="0"/>
              <w:left w:val="single" w:color="auto" w:sz="4" w:space="0"/>
              <w:bottom w:val="single" w:color="auto" w:sz="4" w:space="0"/>
              <w:right w:val="single" w:color="auto" w:sz="4" w:space="0"/>
            </w:tcBorders>
            <w:vAlign w:val="center"/>
          </w:tcPr>
          <w:p w14:paraId="6F64F879">
            <w:pPr>
              <w:jc w:val="center"/>
              <w:rPr>
                <w:rFonts w:hint="eastAsia" w:ascii="宋体" w:hAnsi="宋体" w:eastAsia="宋体" w:cs="宋体"/>
                <w:color w:val="auto"/>
                <w:sz w:val="24"/>
                <w:highlight w:val="none"/>
              </w:rPr>
            </w:pPr>
            <w:r>
              <w:rPr>
                <w:rFonts w:hint="eastAsia" w:ascii="宋体" w:hAnsi="宋体" w:eastAsia="宋体" w:cs="宋体"/>
                <w:color w:val="auto"/>
                <w:sz w:val="21"/>
                <w:szCs w:val="21"/>
                <w:highlight w:val="none"/>
                <w:lang w:eastAsia="zh-CN"/>
              </w:rPr>
              <w:t>技术参数及配置</w:t>
            </w:r>
          </w:p>
        </w:tc>
        <w:tc>
          <w:tcPr>
            <w:tcW w:w="1028" w:type="dxa"/>
            <w:tcBorders>
              <w:top w:val="single" w:color="auto" w:sz="4" w:space="0"/>
              <w:left w:val="single" w:color="auto" w:sz="4" w:space="0"/>
              <w:bottom w:val="single" w:color="auto" w:sz="4" w:space="0"/>
              <w:right w:val="single" w:color="auto" w:sz="4" w:space="0"/>
            </w:tcBorders>
            <w:vAlign w:val="center"/>
          </w:tcPr>
          <w:p w14:paraId="188961CC">
            <w:pPr>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单价上控价（元）</w:t>
            </w:r>
          </w:p>
        </w:tc>
      </w:tr>
      <w:tr w14:paraId="616F81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4135079F"/>
        </w:tc>
        <w:tc>
          <w:tcPr>
            <w:tcW w:w="545" w:type="dxa"/>
            <w:tcBorders>
              <w:top w:val="single" w:color="auto" w:sz="4" w:space="0"/>
              <w:left w:val="single" w:color="auto" w:sz="4" w:space="0"/>
              <w:bottom w:val="single" w:color="auto" w:sz="4" w:space="0"/>
              <w:right w:val="single" w:color="auto" w:sz="4" w:space="0"/>
            </w:tcBorders>
            <w:vAlign w:val="center"/>
          </w:tcPr>
          <w:p w14:paraId="39B4553B">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092" w:type="dxa"/>
            <w:tcBorders>
              <w:top w:val="single" w:color="auto" w:sz="4" w:space="0"/>
              <w:left w:val="single" w:color="auto" w:sz="4" w:space="0"/>
              <w:bottom w:val="single" w:color="auto" w:sz="4" w:space="0"/>
              <w:right w:val="single" w:color="auto" w:sz="4" w:space="0"/>
            </w:tcBorders>
            <w:vAlign w:val="center"/>
          </w:tcPr>
          <w:p w14:paraId="7806D1C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血透机</w:t>
            </w:r>
          </w:p>
        </w:tc>
        <w:tc>
          <w:tcPr>
            <w:tcW w:w="670" w:type="dxa"/>
            <w:tcBorders>
              <w:top w:val="single" w:color="auto" w:sz="4" w:space="0"/>
              <w:left w:val="single" w:color="auto" w:sz="4" w:space="0"/>
              <w:bottom w:val="single" w:color="auto" w:sz="4" w:space="0"/>
              <w:right w:val="single" w:color="auto" w:sz="4" w:space="0"/>
            </w:tcBorders>
            <w:vAlign w:val="center"/>
          </w:tcPr>
          <w:p w14:paraId="372C49B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16台</w:t>
            </w:r>
          </w:p>
        </w:tc>
        <w:tc>
          <w:tcPr>
            <w:tcW w:w="6241" w:type="dxa"/>
            <w:tcBorders>
              <w:top w:val="single" w:color="auto" w:sz="4" w:space="0"/>
              <w:left w:val="single" w:color="auto" w:sz="4" w:space="0"/>
              <w:bottom w:val="single" w:color="auto" w:sz="4" w:space="0"/>
              <w:right w:val="single" w:color="auto" w:sz="4" w:space="0"/>
            </w:tcBorders>
            <w:vAlign w:val="center"/>
          </w:tcPr>
          <w:p w14:paraId="4BBEAD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1．适用于血液透析治疗、血液透析灌流联合治疗、床旁血液透析治疗等。</w:t>
            </w:r>
          </w:p>
          <w:p w14:paraId="3A8218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2．全液晶触摸屏显示，中文或英文界面。</w:t>
            </w:r>
          </w:p>
          <w:p w14:paraId="19F1F7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3．血液流速：15～620ml/min。</w:t>
            </w:r>
          </w:p>
          <w:p w14:paraId="611840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4．血泵管径可调，具有忘开提醒功能。</w:t>
            </w:r>
          </w:p>
          <w:p w14:paraId="002CA8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5．透析液温度高精准安全控制范围33℃~40℃。</w:t>
            </w:r>
          </w:p>
          <w:p w14:paraId="3E75AE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6．可调透析液流量：300～800ml/min，可线性调节。</w:t>
            </w:r>
          </w:p>
          <w:p w14:paraId="38720C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7．超滤率：0～4000ml/h；超滤精度：±30ml/h或±1%，二者取绝对值大者，具有超滤泵忘开提醒、反馈提醒功能。</w:t>
            </w:r>
          </w:p>
          <w:p w14:paraId="5249FC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8．肝素泵流量：0.1～10ml/h，注射器尺寸：10ml/20ml/30ml均可用。肝素泵可设定停泵时间，具有肝素泵忘开提醒功能。</w:t>
            </w:r>
          </w:p>
          <w:p w14:paraId="5238DD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9．静脉压力监测范围：-700mmHg～+700mmHg；精度：±10mmHg</w:t>
            </w:r>
          </w:p>
          <w:p w14:paraId="2D2DAD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10．动脉压力监测范围：-700mmHg～+700mmHg；精度：±10mmHg</w:t>
            </w:r>
          </w:p>
          <w:p w14:paraId="39077C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11．跨膜压监测范围：-700mmHg～+700mmHg；精度：±10mmHg</w:t>
            </w:r>
          </w:p>
          <w:p w14:paraId="5D696F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12．电导率监测范围：12mS/cm～18mS/cm；误差：0.1mS/cm</w:t>
            </w:r>
          </w:p>
          <w:p w14:paraId="6F1745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13．漏血监测：透析液中漏血等于或小于0.35ml/mi</w:t>
            </w:r>
            <w:r>
              <w:rPr>
                <w:rFonts w:hint="eastAsia" w:ascii="宋体" w:hAnsi="宋体" w:cs="宋体"/>
                <w:color w:val="auto"/>
                <w:szCs w:val="21"/>
                <w:highlight w:val="none"/>
                <w:lang w:val="en-US" w:eastAsia="zh-CN"/>
              </w:rPr>
              <w:t>n</w:t>
            </w:r>
            <w:r>
              <w:rPr>
                <w:rFonts w:hint="eastAsia" w:ascii="宋体" w:hAnsi="宋体" w:eastAsia="宋体" w:cs="宋体"/>
                <w:color w:val="auto"/>
                <w:szCs w:val="21"/>
                <w:highlight w:val="none"/>
                <w:lang w:eastAsia="zh-CN"/>
              </w:rPr>
              <w:t>(流量300～800ml/min)</w:t>
            </w:r>
          </w:p>
          <w:p w14:paraId="33E042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14．气泡监测：红外线、反应阈值：在200ml/min血流量下，出现单个容积200µL气泡</w:t>
            </w:r>
          </w:p>
          <w:p w14:paraId="3D0D40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15．可设定可调钠的曲线治疗图，具有多种可选择的自动调整程序，可实现个体化透析并保证病人安全，有八条以上钠曲线选择。</w:t>
            </w:r>
          </w:p>
          <w:p w14:paraId="0528A7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16．可设定可调超滤曲线模式治疗，具有多种可选择的自动调整程序，可实现个体化透析并保证病人安全，有八条以上超滤曲线选择。</w:t>
            </w:r>
          </w:p>
          <w:p w14:paraId="3E50B8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17．</w:t>
            </w:r>
            <w:r>
              <w:rPr>
                <w:rFonts w:hint="eastAsia" w:ascii="宋体" w:hAnsi="宋体" w:eastAsia="宋体" w:cs="宋体"/>
                <w:color w:val="auto"/>
                <w:szCs w:val="21"/>
                <w:highlight w:val="none"/>
                <w:lang w:val="en-US" w:eastAsia="zh-CN"/>
              </w:rPr>
              <w:t>具有</w:t>
            </w:r>
            <w:r>
              <w:rPr>
                <w:rFonts w:hint="eastAsia" w:ascii="宋体" w:hAnsi="宋体" w:eastAsia="宋体" w:cs="宋体"/>
                <w:color w:val="auto"/>
                <w:szCs w:val="21"/>
                <w:highlight w:val="none"/>
                <w:lang w:eastAsia="zh-CN"/>
              </w:rPr>
              <w:t>以表格和曲线图多形式存储多次治疗信息</w:t>
            </w:r>
            <w:r>
              <w:rPr>
                <w:rFonts w:hint="eastAsia" w:ascii="宋体" w:hAnsi="宋体" w:eastAsia="宋体" w:cs="宋体"/>
                <w:color w:val="auto"/>
                <w:szCs w:val="21"/>
                <w:highlight w:val="none"/>
                <w:lang w:val="en-US" w:eastAsia="zh-CN"/>
              </w:rPr>
              <w:t>功能</w:t>
            </w:r>
            <w:r>
              <w:rPr>
                <w:rFonts w:hint="eastAsia" w:ascii="宋体" w:hAnsi="宋体" w:eastAsia="宋体" w:cs="宋体"/>
                <w:color w:val="auto"/>
                <w:szCs w:val="21"/>
                <w:highlight w:val="none"/>
                <w:lang w:eastAsia="zh-CN"/>
              </w:rPr>
              <w:t>。</w:t>
            </w:r>
          </w:p>
          <w:p w14:paraId="506BC8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18．双泵装置：机器标准配置为血泵和功能泵，血泵和功能泵可以互相更换，能兼容大小管径血路管道。</w:t>
            </w:r>
          </w:p>
          <w:p w14:paraId="18A757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19．电导度控制及保护：具备不少于3个电导度监测，确保病人安全。</w:t>
            </w:r>
          </w:p>
          <w:p w14:paraId="2FC5C3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20．具备声、光、文字报警功能，显示报警原因、提示处理方法。</w:t>
            </w:r>
          </w:p>
          <w:p w14:paraId="4F163A25">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21．透析液配制方式：具有电导在线调节功能，可适合多种不同透析液配方。</w:t>
            </w:r>
          </w:p>
          <w:p w14:paraId="521319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22．清洗消毒程序：可提供化学消毒、热消毒、化学热消毒等消毒清洗程序；可用20%或50%柠檬酸，消毒、脱钙可一次完成，在进入实质消毒阶段后机器自动进行强制冲洗，以确保无药液残留，消毒完成，具有自动开关机功能。</w:t>
            </w:r>
          </w:p>
          <w:p w14:paraId="18B737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23．有</w:t>
            </w:r>
            <w:r>
              <w:rPr>
                <w:rFonts w:hint="eastAsia" w:ascii="宋体" w:hAnsi="宋体" w:cs="宋体"/>
                <w:color w:val="auto"/>
                <w:szCs w:val="21"/>
                <w:highlight w:val="none"/>
                <w:lang w:val="en-US" w:eastAsia="zh-CN"/>
              </w:rPr>
              <w:t>效</w:t>
            </w:r>
            <w:r>
              <w:rPr>
                <w:rFonts w:hint="eastAsia" w:ascii="宋体" w:hAnsi="宋体" w:eastAsia="宋体" w:cs="宋体"/>
                <w:color w:val="auto"/>
                <w:szCs w:val="21"/>
                <w:highlight w:val="none"/>
                <w:lang w:eastAsia="zh-CN"/>
              </w:rPr>
              <w:t>杜绝患者交叉感染，在化学消毒和热消毒时，血透机的供液回路与使用过的回液回路独立分开进行消毒。</w:t>
            </w:r>
          </w:p>
          <w:p w14:paraId="2CCA04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24．全功能数字化自检，具有平衡腔开机自检和平衡腔在线检测功能，保证超滤正常。</w:t>
            </w:r>
          </w:p>
          <w:p w14:paraId="0F86D0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25．可使用通用型血路管和透析器等耗材。</w:t>
            </w:r>
          </w:p>
          <w:p w14:paraId="1AC0D5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26．具有自动预冲、回血程序、排空功能。</w:t>
            </w:r>
          </w:p>
          <w:p w14:paraId="601070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27．具有动、静脉压力和跨膜压监测、自动卡标功能，防止动脉端血流不畅及静脉端堵塞引发的爆管问题和穿刺针脱落引发的体外失血问题。</w:t>
            </w:r>
          </w:p>
          <w:p w14:paraId="7A8EB2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28．空气监测：采用光学和超声双重监测，可监测液面和累积气泡。</w:t>
            </w:r>
          </w:p>
          <w:p w14:paraId="01A913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29．具有安全、灵敏的漏血检测装置，防止体外失血发生。</w:t>
            </w:r>
          </w:p>
          <w:p w14:paraId="765AE2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30．当遇到断电，机器内标准配置的UPS后备电池保证血泵、补充液泵、动脉压监测、静脉压监测、漏血监测、液位监测、气泡监测、肝素泵持续运行，维持时间至少15-30分钟。</w:t>
            </w:r>
          </w:p>
          <w:p w14:paraId="20D7D7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31．可实现软硬件升级，完全的水电路分离设计，单独水路控制系统，增加机器的安全性。</w:t>
            </w:r>
          </w:p>
          <w:p w14:paraId="11AF14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32．能在应急情况下脱离水处理进行床边血液透析治疗。</w:t>
            </w:r>
          </w:p>
          <w:p w14:paraId="404809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33．透析过程可开启超滤测试功能，在超滤测试口接超滤液体，能直观地获得患者透析治疗的超滤总量。</w:t>
            </w:r>
          </w:p>
          <w:p w14:paraId="2DA8E3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34．具有待机省液模式。</w:t>
            </w:r>
          </w:p>
          <w:p w14:paraId="3B3E36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35．</w:t>
            </w:r>
            <w:r>
              <w:rPr>
                <w:rFonts w:hint="eastAsia" w:ascii="宋体" w:hAnsi="宋体" w:eastAsia="宋体" w:cs="宋体"/>
                <w:color w:val="auto"/>
                <w:szCs w:val="21"/>
                <w:highlight w:val="none"/>
                <w:lang w:val="en-US" w:eastAsia="zh-CN"/>
              </w:rPr>
              <w:t>具有</w:t>
            </w:r>
            <w:r>
              <w:rPr>
                <w:rFonts w:hint="eastAsia" w:ascii="宋体" w:hAnsi="宋体" w:eastAsia="宋体" w:cs="宋体"/>
                <w:color w:val="auto"/>
                <w:szCs w:val="21"/>
                <w:highlight w:val="none"/>
                <w:lang w:eastAsia="zh-CN"/>
              </w:rPr>
              <w:t>内毒素过滤功能，减少透析液污染引起的不良反应。</w:t>
            </w:r>
          </w:p>
          <w:p w14:paraId="018A41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36．</w:t>
            </w:r>
            <w:r>
              <w:rPr>
                <w:rFonts w:hint="eastAsia" w:ascii="宋体" w:hAnsi="宋体" w:eastAsia="宋体" w:cs="宋体"/>
                <w:color w:val="auto"/>
                <w:szCs w:val="21"/>
                <w:highlight w:val="none"/>
                <w:lang w:val="en-US" w:eastAsia="zh-CN"/>
              </w:rPr>
              <w:t>具有</w:t>
            </w:r>
            <w:r>
              <w:rPr>
                <w:rFonts w:hint="eastAsia" w:ascii="宋体" w:hAnsi="宋体" w:eastAsia="宋体" w:cs="宋体"/>
                <w:color w:val="auto"/>
                <w:szCs w:val="21"/>
                <w:highlight w:val="none"/>
                <w:lang w:eastAsia="zh-CN"/>
              </w:rPr>
              <w:t>干粉筒支架系统。</w:t>
            </w:r>
          </w:p>
          <w:p w14:paraId="2E4548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37．</w:t>
            </w:r>
            <w:r>
              <w:rPr>
                <w:rFonts w:hint="eastAsia" w:ascii="宋体" w:hAnsi="宋体" w:eastAsia="宋体" w:cs="宋体"/>
                <w:color w:val="auto"/>
                <w:szCs w:val="21"/>
                <w:highlight w:val="none"/>
                <w:lang w:val="en-US" w:eastAsia="zh-CN"/>
              </w:rPr>
              <w:t>具有</w:t>
            </w:r>
            <w:r>
              <w:rPr>
                <w:rFonts w:hint="eastAsia" w:ascii="宋体" w:hAnsi="宋体" w:eastAsia="宋体" w:cs="宋体"/>
                <w:color w:val="auto"/>
                <w:szCs w:val="21"/>
                <w:highlight w:val="none"/>
                <w:lang w:eastAsia="zh-CN"/>
              </w:rPr>
              <w:t>通讯组件：标准的通讯232串口。</w:t>
            </w:r>
          </w:p>
          <w:p w14:paraId="4C17BF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38．具有透析液旁路一键式切换功能。</w:t>
            </w:r>
          </w:p>
          <w:p w14:paraId="2DD6FF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39．具有在线血压监测。</w:t>
            </w:r>
          </w:p>
        </w:tc>
        <w:tc>
          <w:tcPr>
            <w:tcW w:w="1028" w:type="dxa"/>
            <w:tcBorders>
              <w:top w:val="single" w:color="auto" w:sz="4" w:space="0"/>
              <w:left w:val="single" w:color="auto" w:sz="4" w:space="0"/>
              <w:bottom w:val="single" w:color="auto" w:sz="4" w:space="0"/>
              <w:right w:val="single" w:color="auto" w:sz="4" w:space="0"/>
            </w:tcBorders>
            <w:vAlign w:val="center"/>
          </w:tcPr>
          <w:p w14:paraId="284BAF6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95040.00</w:t>
            </w:r>
          </w:p>
        </w:tc>
      </w:tr>
      <w:tr w14:paraId="3EFACC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4860CC99"/>
        </w:tc>
        <w:tc>
          <w:tcPr>
            <w:tcW w:w="545" w:type="dxa"/>
            <w:tcBorders>
              <w:top w:val="single" w:color="auto" w:sz="4" w:space="0"/>
              <w:left w:val="single" w:color="auto" w:sz="4" w:space="0"/>
              <w:bottom w:val="single" w:color="auto" w:sz="4" w:space="0"/>
              <w:right w:val="single" w:color="auto" w:sz="4" w:space="0"/>
            </w:tcBorders>
            <w:vAlign w:val="center"/>
          </w:tcPr>
          <w:p w14:paraId="01906210">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c>
          <w:tcPr>
            <w:tcW w:w="1092" w:type="dxa"/>
            <w:tcBorders>
              <w:top w:val="single" w:color="auto" w:sz="4" w:space="0"/>
              <w:left w:val="single" w:color="auto" w:sz="4" w:space="0"/>
              <w:bottom w:val="single" w:color="auto" w:sz="4" w:space="0"/>
              <w:right w:val="single" w:color="auto" w:sz="4" w:space="0"/>
            </w:tcBorders>
            <w:vAlign w:val="center"/>
          </w:tcPr>
          <w:p w14:paraId="70A2758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血滤机</w:t>
            </w:r>
          </w:p>
        </w:tc>
        <w:tc>
          <w:tcPr>
            <w:tcW w:w="670" w:type="dxa"/>
            <w:tcBorders>
              <w:top w:val="single" w:color="auto" w:sz="4" w:space="0"/>
              <w:left w:val="single" w:color="auto" w:sz="4" w:space="0"/>
              <w:bottom w:val="single" w:color="auto" w:sz="4" w:space="0"/>
              <w:right w:val="single" w:color="auto" w:sz="4" w:space="0"/>
            </w:tcBorders>
            <w:vAlign w:val="center"/>
          </w:tcPr>
          <w:p w14:paraId="2CB99B1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4台</w:t>
            </w:r>
          </w:p>
        </w:tc>
        <w:tc>
          <w:tcPr>
            <w:tcW w:w="6241" w:type="dxa"/>
            <w:tcBorders>
              <w:top w:val="single" w:color="auto" w:sz="4" w:space="0"/>
              <w:left w:val="single" w:color="auto" w:sz="4" w:space="0"/>
              <w:bottom w:val="single" w:color="auto" w:sz="4" w:space="0"/>
              <w:right w:val="single" w:color="auto" w:sz="4" w:space="0"/>
            </w:tcBorders>
            <w:vAlign w:val="center"/>
          </w:tcPr>
          <w:p w14:paraId="1B9A65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1.显示器≥10英寸彩色液晶触摸屏，全中文显示，可实时显示中文操作指南及治疗过程参数和曲线图形。</w:t>
            </w:r>
          </w:p>
          <w:p w14:paraId="714912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2.具备4个动力泵（不包括肝素泵），包含血液泵、置换液泵、透析液泵、滤过液泵，可独立关闭/运转。</w:t>
            </w:r>
          </w:p>
          <w:p w14:paraId="79D428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3.设备自带至少一个独立精密注射泵，适用于20ml、50ml注射器，用于肝素/钙剂注射，注射泵流量0.5～20ml/H。</w:t>
            </w:r>
          </w:p>
          <w:p w14:paraId="430C11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4.设备净脱水速率范围≥0～3000mL/H。</w:t>
            </w:r>
          </w:p>
          <w:p w14:paraId="2DD8D6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5.设备耗材管路和血液滤器可分离，滤器耗材可兼容3个或以上品牌的透析器、吸附柱、血浆分离器和灌流器等血液净化耗材。</w:t>
            </w:r>
          </w:p>
          <w:p w14:paraId="663D56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6.设备具备≥2个滤器夹持器，用于固定滤器。</w:t>
            </w:r>
          </w:p>
          <w:p w14:paraId="0A8363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7.设备具备≥2个截止阀（或夹管阀），自动开闭，可完成管路自动预冲，出现异常自动夹闭管路。</w:t>
            </w:r>
          </w:p>
          <w:p w14:paraId="363243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8.设备压力监测至少包括5个压力监测。</w:t>
            </w:r>
          </w:p>
          <w:p w14:paraId="251891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9.动脉压监测范围－400～+300mmHg。</w:t>
            </w:r>
          </w:p>
          <w:p w14:paraId="1F7D84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10.静脉压监测范围－400～+300mmHg。</w:t>
            </w:r>
          </w:p>
          <w:p w14:paraId="1D1073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11.血浆入口压监测范围－400～+300mmHg。</w:t>
            </w:r>
          </w:p>
          <w:p w14:paraId="05898C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12.一级膜外压监测范围－400～+300mmHg。</w:t>
            </w:r>
          </w:p>
          <w:p w14:paraId="528EAB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13.二级膜外压监测范围－300～+300mmHg。</w:t>
            </w:r>
          </w:p>
          <w:p w14:paraId="2B85A1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14.滤前压/滤器入口压监测范围－400～+300mmHg。</w:t>
            </w:r>
          </w:p>
          <w:p w14:paraId="72A266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15.系统自动计算跨膜压，跨膜压范围－400～+300mmHg。</w:t>
            </w:r>
          </w:p>
          <w:p w14:paraId="109912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16.设备具备一体化的独立加热系统，双面加热，置换液透析液双加温，确保温度均衡稳定，控制温度范围≥35～38℃。</w:t>
            </w:r>
          </w:p>
          <w:p w14:paraId="7FF412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17.设备具备电子秤≥3个，每秤称重范围≥0～10KG。</w:t>
            </w:r>
          </w:p>
          <w:p w14:paraId="2D3160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18.设备至少具备漏血监测、补液断流监测、滤液断流监测、液面监测、管道气泡检测五种监测功能。</w:t>
            </w:r>
          </w:p>
          <w:p w14:paraId="119EB9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19.设备可监测到管道内≥100ul的气泡。</w:t>
            </w:r>
          </w:p>
          <w:p w14:paraId="35C490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20.设备正常工作状态下，网电源供电中断后触发声光报警，设备具备内置电池，断电后设备至少可继续使用15min。</w:t>
            </w:r>
          </w:p>
          <w:p w14:paraId="1EA765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21.设备具备持续性血液滤过（CHF），在连续性静脉-静脉血液滤过时能同时进行前稀释和后稀释，满足临床进行肾替代治疗。</w:t>
            </w:r>
          </w:p>
          <w:p w14:paraId="03DD32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22.设备具备单重（单模）血浆置换模式、血浆吸附模式满足临床开展连续血液净化、人工肝治疗。</w:t>
            </w:r>
          </w:p>
          <w:p w14:paraId="42ECAC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23.设备</w:t>
            </w:r>
            <w:r>
              <w:rPr>
                <w:rFonts w:hint="eastAsia" w:ascii="宋体" w:hAnsi="宋体" w:eastAsia="宋体" w:cs="宋体"/>
                <w:color w:val="auto"/>
                <w:szCs w:val="21"/>
                <w:highlight w:val="none"/>
                <w:lang w:val="en-US" w:eastAsia="zh-CN"/>
              </w:rPr>
              <w:t>具有</w:t>
            </w:r>
            <w:r>
              <w:rPr>
                <w:rFonts w:hint="eastAsia" w:ascii="宋体" w:hAnsi="宋体" w:eastAsia="宋体" w:cs="宋体"/>
                <w:color w:val="auto"/>
                <w:szCs w:val="21"/>
                <w:highlight w:val="none"/>
                <w:lang w:eastAsia="zh-CN"/>
              </w:rPr>
              <w:t>双重（双膜）血浆置换模式。</w:t>
            </w:r>
          </w:p>
        </w:tc>
        <w:tc>
          <w:tcPr>
            <w:tcW w:w="1028" w:type="dxa"/>
            <w:tcBorders>
              <w:top w:val="single" w:color="auto" w:sz="4" w:space="0"/>
              <w:left w:val="single" w:color="auto" w:sz="4" w:space="0"/>
              <w:bottom w:val="single" w:color="auto" w:sz="4" w:space="0"/>
              <w:right w:val="single" w:color="auto" w:sz="4" w:space="0"/>
            </w:tcBorders>
            <w:vAlign w:val="center"/>
          </w:tcPr>
          <w:p w14:paraId="07ED95E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146520.00</w:t>
            </w:r>
          </w:p>
        </w:tc>
      </w:tr>
      <w:tr w14:paraId="6812ED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43E11FE4"/>
        </w:tc>
        <w:tc>
          <w:tcPr>
            <w:tcW w:w="545" w:type="dxa"/>
            <w:tcBorders>
              <w:top w:val="single" w:color="auto" w:sz="4" w:space="0"/>
              <w:left w:val="single" w:color="auto" w:sz="4" w:space="0"/>
              <w:bottom w:val="single" w:color="auto" w:sz="4" w:space="0"/>
              <w:right w:val="single" w:color="auto" w:sz="4" w:space="0"/>
            </w:tcBorders>
            <w:vAlign w:val="center"/>
          </w:tcPr>
          <w:p w14:paraId="7EE63623">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p>
        </w:tc>
        <w:tc>
          <w:tcPr>
            <w:tcW w:w="1092" w:type="dxa"/>
            <w:tcBorders>
              <w:top w:val="single" w:color="auto" w:sz="4" w:space="0"/>
              <w:left w:val="single" w:color="auto" w:sz="4" w:space="0"/>
              <w:bottom w:val="single" w:color="auto" w:sz="4" w:space="0"/>
              <w:right w:val="single" w:color="auto" w:sz="4" w:space="0"/>
            </w:tcBorders>
            <w:vAlign w:val="center"/>
          </w:tcPr>
          <w:p w14:paraId="56FF6AC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中频治疗机</w:t>
            </w:r>
          </w:p>
        </w:tc>
        <w:tc>
          <w:tcPr>
            <w:tcW w:w="670" w:type="dxa"/>
            <w:tcBorders>
              <w:top w:val="single" w:color="auto" w:sz="4" w:space="0"/>
              <w:left w:val="single" w:color="auto" w:sz="4" w:space="0"/>
              <w:bottom w:val="single" w:color="auto" w:sz="4" w:space="0"/>
              <w:right w:val="single" w:color="auto" w:sz="4" w:space="0"/>
            </w:tcBorders>
            <w:vAlign w:val="center"/>
          </w:tcPr>
          <w:p w14:paraId="53C2EA7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10台</w:t>
            </w:r>
          </w:p>
        </w:tc>
        <w:tc>
          <w:tcPr>
            <w:tcW w:w="6241" w:type="dxa"/>
            <w:tcBorders>
              <w:top w:val="single" w:color="auto" w:sz="4" w:space="0"/>
              <w:left w:val="single" w:color="auto" w:sz="4" w:space="0"/>
              <w:bottom w:val="single" w:color="auto" w:sz="4" w:space="0"/>
              <w:right w:val="single" w:color="auto" w:sz="4" w:space="0"/>
            </w:tcBorders>
            <w:vAlign w:val="center"/>
          </w:tcPr>
          <w:p w14:paraId="5BBDDF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1.彩色液晶屏幕显示，中文菜单操作，可同时显示四路通道输出的治疗剂量、治疗波形、治疗处方、治疗时间。并且具有菜单浏览及电子说明书的功能；</w:t>
            </w:r>
          </w:p>
          <w:p w14:paraId="428188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2.输出通道：含四路中频电疗法，含四路离子导入，含二组干扰电疗法；</w:t>
            </w:r>
          </w:p>
          <w:p w14:paraId="6A6CD5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3.具有透热功能，导电橡胶透热温度≤60℃，六档可调；</w:t>
            </w:r>
          </w:p>
          <w:p w14:paraId="63FBB1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4.内存处方</w:t>
            </w:r>
            <w:r>
              <w:rPr>
                <w:rFonts w:hint="eastAsia" w:ascii="宋体" w:hAnsi="宋体" w:eastAsia="宋体" w:cs="宋体"/>
                <w:color w:val="auto"/>
                <w:szCs w:val="21"/>
                <w:highlight w:val="none"/>
                <w:lang w:val="en-US" w:eastAsia="zh-CN"/>
              </w:rPr>
              <w:t>≥99个</w:t>
            </w:r>
            <w:r>
              <w:rPr>
                <w:rFonts w:hint="eastAsia" w:ascii="宋体" w:hAnsi="宋体" w:eastAsia="宋体" w:cs="宋体"/>
                <w:color w:val="auto"/>
                <w:szCs w:val="21"/>
                <w:highlight w:val="none"/>
                <w:lang w:eastAsia="zh-CN"/>
              </w:rPr>
              <w:t>；</w:t>
            </w:r>
          </w:p>
          <w:p w14:paraId="13DFF1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5.中频频率：2～10KHz；</w:t>
            </w:r>
          </w:p>
          <w:p w14:paraId="09BB53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6.调制频率：0～150Hz；</w:t>
            </w:r>
          </w:p>
          <w:p w14:paraId="19C5C1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7.调制波形：方波、尖波、三角波、锯齿波、指数波、正弦波、梯形波、扇形波和脉冲波及他们之间的组合，由程序设定；</w:t>
            </w:r>
          </w:p>
          <w:p w14:paraId="47B188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8.调制方式：调制方式为调幅，可连续调制、变频调制、间歇调制、断续调制；</w:t>
            </w:r>
          </w:p>
          <w:p w14:paraId="30C035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9.输出电流稳定度：电疗仪在不同负载下的输出电流变化率应不大于10%。</w:t>
            </w:r>
          </w:p>
          <w:p w14:paraId="75B52E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10.调幅度：电疗仪的调幅度为0%、25%、50%、75%</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lang w:eastAsia="zh-CN"/>
              </w:rPr>
              <w:t>100%，允差±5%。</w:t>
            </w:r>
          </w:p>
          <w:p w14:paraId="7E440A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11.差频频率范围：四通道电疗仪，干扰电差频频率在0～200Hz范围内。</w:t>
            </w:r>
          </w:p>
          <w:p w14:paraId="1DC3A2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12.动态节律：四通道电疗仪，干扰电动态节律为4s～10s范围内。</w:t>
            </w:r>
          </w:p>
          <w:p w14:paraId="4C8FBB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13.差频变化周期：四通道电疗仪，干扰电差频变化周期为15s～30s。</w:t>
            </w:r>
          </w:p>
          <w:p w14:paraId="260E87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14.定时装置：电疗仪具有定时装置，允差±5%。</w:t>
            </w:r>
          </w:p>
          <w:p w14:paraId="419AD4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15.连续工作时间：治疗仪连续工作时间应能≥4h。</w:t>
            </w:r>
          </w:p>
          <w:p w14:paraId="400BA6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16.噪声：电疗仪工作时，其噪声应不大于60dB。</w:t>
            </w:r>
          </w:p>
          <w:p w14:paraId="49D284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17.输入功率：160VA；</w:t>
            </w:r>
          </w:p>
          <w:p w14:paraId="380E11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18.输出电流：电疗仪纯交流波形，最大输出不大于100mA；含直流分量时，输出电流不大于80mA；（负载电阻为500欧姆）输出电流为连续递增/递减调节，每档递增/减量为1mA；</w:t>
            </w:r>
          </w:p>
          <w:p w14:paraId="05D22C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19.输出方式：双向波（AC-中频电疗模式）及单向波（DC-离子导入模式）；</w:t>
            </w:r>
          </w:p>
          <w:p w14:paraId="4468C5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20.工作电压：交流220V±10%；50Hz±1Hz。</w:t>
            </w:r>
          </w:p>
        </w:tc>
        <w:tc>
          <w:tcPr>
            <w:tcW w:w="1028" w:type="dxa"/>
            <w:tcBorders>
              <w:top w:val="single" w:color="auto" w:sz="4" w:space="0"/>
              <w:left w:val="single" w:color="auto" w:sz="4" w:space="0"/>
              <w:bottom w:val="single" w:color="auto" w:sz="4" w:space="0"/>
              <w:right w:val="single" w:color="auto" w:sz="4" w:space="0"/>
            </w:tcBorders>
            <w:vAlign w:val="center"/>
          </w:tcPr>
          <w:p w14:paraId="390455E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11642.40</w:t>
            </w:r>
          </w:p>
        </w:tc>
      </w:tr>
      <w:tr w14:paraId="6AC716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0A1B7101"/>
        </w:tc>
        <w:tc>
          <w:tcPr>
            <w:tcW w:w="545" w:type="dxa"/>
            <w:tcBorders>
              <w:top w:val="single" w:color="auto" w:sz="4" w:space="0"/>
              <w:left w:val="single" w:color="auto" w:sz="4" w:space="0"/>
              <w:bottom w:val="single" w:color="auto" w:sz="4" w:space="0"/>
              <w:right w:val="single" w:color="auto" w:sz="4" w:space="0"/>
            </w:tcBorders>
            <w:vAlign w:val="center"/>
          </w:tcPr>
          <w:p w14:paraId="62801BC9">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w:t>
            </w:r>
          </w:p>
        </w:tc>
        <w:tc>
          <w:tcPr>
            <w:tcW w:w="1092" w:type="dxa"/>
            <w:tcBorders>
              <w:top w:val="single" w:color="auto" w:sz="4" w:space="0"/>
              <w:left w:val="single" w:color="auto" w:sz="4" w:space="0"/>
              <w:bottom w:val="single" w:color="auto" w:sz="4" w:space="0"/>
              <w:right w:val="single" w:color="auto" w:sz="4" w:space="0"/>
            </w:tcBorders>
            <w:vAlign w:val="center"/>
          </w:tcPr>
          <w:p w14:paraId="4478CB1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多通道输注工作站</w:t>
            </w:r>
          </w:p>
        </w:tc>
        <w:tc>
          <w:tcPr>
            <w:tcW w:w="670" w:type="dxa"/>
            <w:tcBorders>
              <w:top w:val="single" w:color="auto" w:sz="4" w:space="0"/>
              <w:left w:val="single" w:color="auto" w:sz="4" w:space="0"/>
              <w:bottom w:val="single" w:color="auto" w:sz="4" w:space="0"/>
              <w:right w:val="single" w:color="auto" w:sz="4" w:space="0"/>
            </w:tcBorders>
            <w:vAlign w:val="center"/>
          </w:tcPr>
          <w:p w14:paraId="03AAA9C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2台</w:t>
            </w:r>
          </w:p>
        </w:tc>
        <w:tc>
          <w:tcPr>
            <w:tcW w:w="6241" w:type="dxa"/>
            <w:tcBorders>
              <w:top w:val="single" w:color="auto" w:sz="4" w:space="0"/>
              <w:left w:val="single" w:color="auto" w:sz="4" w:space="0"/>
              <w:bottom w:val="single" w:color="auto" w:sz="4" w:space="0"/>
              <w:right w:val="single" w:color="auto" w:sz="4" w:space="0"/>
            </w:tcBorders>
            <w:vAlign w:val="center"/>
          </w:tcPr>
          <w:p w14:paraId="63E0DE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1.基本配置:</w:t>
            </w:r>
          </w:p>
          <w:p w14:paraId="7464FC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1.1单套标准配置：一拖六，多通道输注工作站1套、注射泵4台、输液泵2台。</w:t>
            </w:r>
          </w:p>
          <w:p w14:paraId="5EB1C5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主要技术参数及配置：</w:t>
            </w:r>
          </w:p>
          <w:p w14:paraId="4ADD82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2.多通道输注工作站参数：</w:t>
            </w:r>
          </w:p>
          <w:p w14:paraId="02BFDF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2.1每套多通道输液工作站可插入1～15个输液泵或推注泵，组合箱、输液泵、注射泵之间，不需要任何工具，直接组合成多道泵，最多可扩展至15个泵位；</w:t>
            </w:r>
          </w:p>
          <w:p w14:paraId="14102F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2.2每套多通道输液工作站可任意组合输液泵与注射泵（注射泵和输液泵的个数、位置根据临床需要可任意组合，使用中移除其中任何一台泵不影响其它泵的工作连续性），模块化设计，即插即用，可热插拔；</w:t>
            </w:r>
          </w:p>
          <w:p w14:paraId="0A4E47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2.3多通道输液工作站可实现≥2个任意输注泵模块之间具备中继功能，可进行无缝连续输液；</w:t>
            </w:r>
          </w:p>
          <w:p w14:paraId="528038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2.4任意输注泵模块之间无需任何附件即可自由组合固定，配合可拆卸提手便于携带和安全转运；</w:t>
            </w:r>
          </w:p>
          <w:p w14:paraId="350F9E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2.5多通道输液工作站仅需一根电源线，具有输液管路整理功能；</w:t>
            </w:r>
          </w:p>
          <w:p w14:paraId="60CF38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3.配套注射泵模块参数：</w:t>
            </w:r>
          </w:p>
          <w:p w14:paraId="102679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3.1自动识别注射器：规格为5ml、10ml、20ml、30ml、50/60ml所有符合标准的注射器；</w:t>
            </w:r>
          </w:p>
          <w:p w14:paraId="2B13B9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3.2多种输液模式可选：速度模式、时间模式、体重模式、序列模式、首剂量模式、微量模式、梯度模式、级联模式；</w:t>
            </w:r>
          </w:p>
          <w:p w14:paraId="76470DA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3.3速率范围：0.1-2000ml/h，以0.1ml/h递增；</w:t>
            </w:r>
          </w:p>
          <w:p w14:paraId="0DD65F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3.4注射精度：≤±2%；</w:t>
            </w:r>
          </w:p>
          <w:p w14:paraId="0D551A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3.5KVO速度:0.1-5.0mL/h可调；</w:t>
            </w:r>
          </w:p>
          <w:p w14:paraId="2E31C9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3.6可以显示管路的压力状态；</w:t>
            </w:r>
          </w:p>
          <w:p w14:paraId="375134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3.7分低、中、高三级报警，并分别以声光提示，同时显示具体报警信息；</w:t>
            </w:r>
          </w:p>
          <w:p w14:paraId="343A8F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3.8触摸屏操作，全中文显示，方便快捷的人机操作界面；</w:t>
            </w:r>
          </w:p>
          <w:p w14:paraId="1C7D30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3.9更改速度时完全不需要中断输液；</w:t>
            </w:r>
          </w:p>
          <w:p w14:paraId="51A6CE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3.10具备字体放大或大字体显示功能。</w:t>
            </w:r>
          </w:p>
          <w:p w14:paraId="374755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3.11具备注射精度校正功能：用户可自定义其他符合标准的注射器；</w:t>
            </w:r>
          </w:p>
          <w:p w14:paraId="3238C8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3.12</w:t>
            </w:r>
            <w:r>
              <w:rPr>
                <w:rFonts w:hint="eastAsia" w:ascii="宋体" w:hAnsi="宋体" w:eastAsia="宋体" w:cs="宋体"/>
                <w:color w:val="auto"/>
                <w:szCs w:val="21"/>
                <w:highlight w:val="none"/>
                <w:lang w:val="en-US" w:eastAsia="zh-CN"/>
              </w:rPr>
              <w:t>具备</w:t>
            </w:r>
            <w:r>
              <w:rPr>
                <w:rFonts w:hint="eastAsia" w:ascii="宋体" w:hAnsi="宋体" w:eastAsia="宋体" w:cs="宋体"/>
                <w:color w:val="auto"/>
                <w:szCs w:val="21"/>
                <w:highlight w:val="none"/>
                <w:lang w:eastAsia="zh-CN"/>
              </w:rPr>
              <w:t>报警</w:t>
            </w:r>
            <w:r>
              <w:rPr>
                <w:rFonts w:hint="eastAsia" w:ascii="宋体" w:hAnsi="宋体" w:eastAsia="宋体" w:cs="宋体"/>
                <w:color w:val="auto"/>
                <w:szCs w:val="21"/>
                <w:highlight w:val="none"/>
                <w:lang w:val="en-US" w:eastAsia="zh-CN"/>
              </w:rPr>
              <w:t>功能</w:t>
            </w:r>
            <w:r>
              <w:rPr>
                <w:rFonts w:hint="eastAsia" w:ascii="宋体" w:hAnsi="宋体" w:eastAsia="宋体" w:cs="宋体"/>
                <w:color w:val="auto"/>
                <w:szCs w:val="21"/>
                <w:highlight w:val="none"/>
                <w:lang w:eastAsia="zh-CN"/>
              </w:rPr>
              <w:t>：注射将完成（残留量）、注射器推空、注射完成、注射阻塞、电池电量低、电池电量严重短缺、无电池、无外部电源、注射器无法识别、推头安装不正确、注射泵自检和运行过程故障自动诊断报警、遗忘操作；</w:t>
            </w:r>
          </w:p>
          <w:p w14:paraId="71C4DB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3.13能够存储、回放≥2000组历史信息记录；</w:t>
            </w:r>
          </w:p>
          <w:p w14:paraId="5BAA17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3.14界面背景颜色：可选择至少5种颜色的界面风格，用于区分不同的药物危重等级；</w:t>
            </w:r>
          </w:p>
          <w:p w14:paraId="1B2C53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3.15具备自动快进、手动快进、快速定量三种方式；</w:t>
            </w:r>
          </w:p>
          <w:p w14:paraId="323A49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3.16夜间模式：可自动降低亮度和报警音量，时间段可调；</w:t>
            </w:r>
          </w:p>
          <w:p w14:paraId="701193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3.17内置锂电池在中速（5ml/h）状态下，工作时间不小于6个小时；</w:t>
            </w:r>
          </w:p>
          <w:p w14:paraId="71ACE4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3.18无需任何配件，支持两个泵之间叠加；注射泵模块单独标配提手，方便转运外出检查；</w:t>
            </w:r>
          </w:p>
          <w:p w14:paraId="522B79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4.配套输液泵模块参数：</w:t>
            </w:r>
          </w:p>
          <w:p w14:paraId="3194DD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4.1多种输液模式可选：速度模式、时间模式、体重模式、梯度模式、点滴模式、序列模式、微量模式、首剂量模式、级联模式；支持输血功能；</w:t>
            </w:r>
          </w:p>
          <w:p w14:paraId="2E2973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4.2速度范围：0.1-1200.0mL/h,最小增量为0.1mL/h；</w:t>
            </w:r>
          </w:p>
          <w:p w14:paraId="29D18A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4.3输液精度：≤±5%；</w:t>
            </w:r>
          </w:p>
          <w:p w14:paraId="6D95C0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4.4KVO速度:0.1-5.0mL/h可调；</w:t>
            </w:r>
          </w:p>
          <w:p w14:paraId="6EF9D5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4.5可以显示管路的压力状态。</w:t>
            </w:r>
          </w:p>
          <w:p w14:paraId="08C053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4.6触摸屏操作，全中文显示，方便快捷的人机操作界面；</w:t>
            </w:r>
          </w:p>
          <w:p w14:paraId="38BFFA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4.7分低、中、高三级报警，并分别以声光提示，同时显示具体报警信息；</w:t>
            </w:r>
          </w:p>
          <w:p w14:paraId="3A53DF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4.8气泡检测：最大可选1000ul/15min；</w:t>
            </w:r>
          </w:p>
          <w:p w14:paraId="1C842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4.9防药液自流：智能阻断技术，泵门打开时，保证液体不会任意流出；</w:t>
            </w:r>
          </w:p>
          <w:p w14:paraId="387899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4.10泵门和止液夹：输液泵有电动止液夹和电动泵门控制；</w:t>
            </w:r>
          </w:p>
          <w:p w14:paraId="50DD3F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4.11更改速度时完全不需要中断输液；</w:t>
            </w:r>
          </w:p>
          <w:p w14:paraId="7ECAAC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4.12具备输液精度校正功能：用户可自定义其他符合标准的输液器；</w:t>
            </w:r>
          </w:p>
          <w:p w14:paraId="7CB6A8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4.13具备字体放大或大字体显示功能。</w:t>
            </w:r>
          </w:p>
          <w:p w14:paraId="6B5298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4.14界面背景颜色：可选择至少5种颜色的界面风格，用于区分不同的药物危重等级。</w:t>
            </w:r>
          </w:p>
          <w:p w14:paraId="7EEF32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4.15</w:t>
            </w:r>
            <w:r>
              <w:rPr>
                <w:rFonts w:hint="eastAsia" w:ascii="宋体" w:hAnsi="宋体" w:eastAsia="宋体" w:cs="宋体"/>
                <w:color w:val="auto"/>
                <w:szCs w:val="21"/>
                <w:highlight w:val="none"/>
                <w:lang w:val="en-US" w:eastAsia="zh-CN"/>
              </w:rPr>
              <w:t>具备</w:t>
            </w:r>
            <w:r>
              <w:rPr>
                <w:rFonts w:hint="eastAsia" w:ascii="宋体" w:hAnsi="宋体" w:eastAsia="宋体" w:cs="宋体"/>
                <w:color w:val="auto"/>
                <w:szCs w:val="21"/>
                <w:highlight w:val="none"/>
                <w:lang w:eastAsia="zh-CN"/>
              </w:rPr>
              <w:t>报警</w:t>
            </w:r>
            <w:r>
              <w:rPr>
                <w:rFonts w:hint="eastAsia" w:ascii="宋体" w:hAnsi="宋体" w:eastAsia="宋体" w:cs="宋体"/>
                <w:color w:val="auto"/>
                <w:szCs w:val="21"/>
                <w:highlight w:val="none"/>
                <w:lang w:val="en-US" w:eastAsia="zh-CN"/>
              </w:rPr>
              <w:t>功能</w:t>
            </w:r>
            <w:r>
              <w:rPr>
                <w:rFonts w:hint="eastAsia" w:ascii="宋体" w:hAnsi="宋体" w:eastAsia="宋体" w:cs="宋体"/>
                <w:color w:val="auto"/>
                <w:szCs w:val="21"/>
                <w:highlight w:val="none"/>
                <w:lang w:eastAsia="zh-CN"/>
              </w:rPr>
              <w:t>：输液将完成、输液完成、输液阻塞、电池电量低、电池电量严重短缺、无电池、无外部电源、输液泵门开、气泡、无滴数传感器、无滴液、滴数异常、输液泵自检和运行过程故障自动诊断报警、遗忘操作；</w:t>
            </w:r>
          </w:p>
          <w:p w14:paraId="0C1855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4.16能够存储、回放≥2000组历史信息记录；</w:t>
            </w:r>
          </w:p>
          <w:p w14:paraId="7177CA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4.17具备自动快进、手动快进、快速定量三种方式；</w:t>
            </w:r>
          </w:p>
          <w:p w14:paraId="5B7394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4.18夜间模式：可自动降低亮度和报警音量，时间段可调；</w:t>
            </w:r>
          </w:p>
          <w:p w14:paraId="24E023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4.19无需任何配件，支持两个泵之间叠加；输液泵模块单独标配提手，方便转运外出检查；</w:t>
            </w:r>
          </w:p>
          <w:p w14:paraId="6D7C8E9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4.20内置锂电池在中速（25ml/h）状态下，工作时间不小于5个小时；</w:t>
            </w:r>
          </w:p>
        </w:tc>
        <w:tc>
          <w:tcPr>
            <w:tcW w:w="1028" w:type="dxa"/>
            <w:tcBorders>
              <w:top w:val="single" w:color="auto" w:sz="4" w:space="0"/>
              <w:left w:val="single" w:color="auto" w:sz="4" w:space="0"/>
              <w:bottom w:val="single" w:color="auto" w:sz="4" w:space="0"/>
              <w:right w:val="single" w:color="auto" w:sz="4" w:space="0"/>
            </w:tcBorders>
            <w:vAlign w:val="center"/>
          </w:tcPr>
          <w:p w14:paraId="546884B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000000"/>
                <w:kern w:val="0"/>
                <w:sz w:val="20"/>
                <w:szCs w:val="20"/>
                <w:highlight w:val="none"/>
                <w:u w:val="none"/>
                <w:lang w:val="en-US" w:eastAsia="zh-CN"/>
              </w:rPr>
              <w:t>44748.00</w:t>
            </w:r>
          </w:p>
        </w:tc>
      </w:tr>
      <w:tr w14:paraId="254AAD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0EB100E0"/>
        </w:tc>
        <w:tc>
          <w:tcPr>
            <w:tcW w:w="545" w:type="dxa"/>
            <w:tcBorders>
              <w:top w:val="single" w:color="auto" w:sz="4" w:space="0"/>
              <w:left w:val="single" w:color="auto" w:sz="4" w:space="0"/>
              <w:bottom w:val="single" w:color="auto" w:sz="4" w:space="0"/>
              <w:right w:val="single" w:color="auto" w:sz="4" w:space="0"/>
            </w:tcBorders>
            <w:vAlign w:val="center"/>
          </w:tcPr>
          <w:p w14:paraId="74C56B23">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p>
        </w:tc>
        <w:tc>
          <w:tcPr>
            <w:tcW w:w="1092" w:type="dxa"/>
            <w:tcBorders>
              <w:top w:val="single" w:color="auto" w:sz="4" w:space="0"/>
              <w:left w:val="single" w:color="auto" w:sz="4" w:space="0"/>
              <w:bottom w:val="single" w:color="auto" w:sz="4" w:space="0"/>
              <w:right w:val="single" w:color="auto" w:sz="4" w:space="0"/>
            </w:tcBorders>
            <w:vAlign w:val="center"/>
          </w:tcPr>
          <w:p w14:paraId="0E795A3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除颤监护仪</w:t>
            </w:r>
          </w:p>
        </w:tc>
        <w:tc>
          <w:tcPr>
            <w:tcW w:w="670" w:type="dxa"/>
            <w:tcBorders>
              <w:top w:val="single" w:color="auto" w:sz="4" w:space="0"/>
              <w:left w:val="single" w:color="auto" w:sz="4" w:space="0"/>
              <w:bottom w:val="single" w:color="auto" w:sz="4" w:space="0"/>
              <w:right w:val="single" w:color="auto" w:sz="4" w:space="0"/>
            </w:tcBorders>
            <w:vAlign w:val="center"/>
          </w:tcPr>
          <w:p w14:paraId="0012E9C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1台</w:t>
            </w:r>
          </w:p>
        </w:tc>
        <w:tc>
          <w:tcPr>
            <w:tcW w:w="6241" w:type="dxa"/>
            <w:tcBorders>
              <w:top w:val="single" w:color="auto" w:sz="4" w:space="0"/>
              <w:left w:val="single" w:color="auto" w:sz="4" w:space="0"/>
              <w:bottom w:val="single" w:color="auto" w:sz="4" w:space="0"/>
              <w:right w:val="single" w:color="auto" w:sz="4" w:space="0"/>
            </w:tcBorders>
            <w:vAlign w:val="center"/>
          </w:tcPr>
          <w:p w14:paraId="0BE0D7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1.具备同步和异步手动除颤功能、心电监护功能；</w:t>
            </w:r>
          </w:p>
          <w:p w14:paraId="5FB02B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2.心电监护标配四极心电导线，具有6导心电图监护功能（Ⅰ、Ⅱ、Ⅲ、aVL、aVR、aVF），双通道心电导联显示；</w:t>
            </w:r>
          </w:p>
          <w:p w14:paraId="2ED10D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3.除颤能量≥360J；</w:t>
            </w:r>
          </w:p>
          <w:p w14:paraId="501FA6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4.除颤采用双相直线方波技术；手动除颤分为同步和非同步两种方式，能量选择≥14档采用按键式可快速选择能量；</w:t>
            </w:r>
          </w:p>
          <w:p w14:paraId="0647F1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5.具有除颤功能优先模式设计，在监护模式下，启用手柄除颤时仪器自动从监护模式转到手动模式。</w:t>
            </w:r>
          </w:p>
          <w:p w14:paraId="18AA2E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6.除颤充电迅速，充电至360J约9s，阻抗范围：23-200欧姆±10%；</w:t>
            </w:r>
          </w:p>
          <w:p w14:paraId="71EEE1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7.标配可充电锂电池≥4年效期，电池具备电量显示，360J除颤≥50次；</w:t>
            </w:r>
          </w:p>
          <w:p w14:paraId="7CE18F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8.心率监测范围：30–270次/分钟，心率测量精度&lt;±1%，漂移容差&lt;±1%，增益稳定性&lt;±1%；共模抑制比&gt;85dB；</w:t>
            </w:r>
          </w:p>
          <w:p w14:paraId="35F562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9.为抢救快速机器开机后直接默认手动除颤模式，直接可进行除颤操作；</w:t>
            </w:r>
          </w:p>
          <w:p w14:paraId="26E602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w:t>
            </w:r>
            <w:r>
              <w:rPr>
                <w:rFonts w:hint="eastAsia" w:ascii="宋体" w:hAnsi="宋体" w:eastAsia="宋体" w:cs="宋体"/>
                <w:color w:val="auto"/>
                <w:szCs w:val="21"/>
                <w:highlight w:val="none"/>
                <w:lang w:val="en-US" w:eastAsia="zh-CN"/>
              </w:rPr>
              <w:t>配备</w:t>
            </w:r>
            <w:r>
              <w:rPr>
                <w:rFonts w:hint="eastAsia" w:ascii="宋体" w:hAnsi="宋体" w:eastAsia="宋体" w:cs="宋体"/>
                <w:color w:val="auto"/>
                <w:szCs w:val="21"/>
                <w:highlight w:val="none"/>
                <w:lang w:eastAsia="zh-CN"/>
              </w:rPr>
              <w:t>成人、小儿一体化电极板，</w:t>
            </w:r>
            <w:r>
              <w:rPr>
                <w:rFonts w:hint="eastAsia" w:ascii="宋体" w:hAnsi="宋体" w:eastAsia="宋体" w:cs="宋体"/>
                <w:color w:val="auto"/>
                <w:szCs w:val="21"/>
                <w:highlight w:val="none"/>
                <w:lang w:val="en-US" w:eastAsia="zh-CN"/>
              </w:rPr>
              <w:t>配备</w:t>
            </w:r>
            <w:r>
              <w:rPr>
                <w:rFonts w:hint="eastAsia" w:ascii="宋体" w:hAnsi="宋体" w:eastAsia="宋体" w:cs="宋体"/>
                <w:color w:val="auto"/>
                <w:szCs w:val="21"/>
                <w:highlight w:val="none"/>
                <w:lang w:eastAsia="zh-CN"/>
              </w:rPr>
              <w:t>除颤起搏监护多功能电极片；</w:t>
            </w:r>
          </w:p>
          <w:p w14:paraId="62DC36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11.支持中文操作界面、中文语音提示；</w:t>
            </w:r>
          </w:p>
          <w:p w14:paraId="29DA11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12.LCD液晶显示屏≥5.5英寸，可双通道显示心电图波形；</w:t>
            </w:r>
          </w:p>
          <w:p w14:paraId="290FE3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13.内置热敏打印机，三通道打印心电图；具有在线、自动、记忆打印功能；</w:t>
            </w:r>
          </w:p>
          <w:p w14:paraId="116368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14.具有状态显示栏可显示仪器自检结果，关机状态下每日、每月，每年自动运行自检（包括电池检测）；自检结果可设置手动打印或自动打印；</w:t>
            </w:r>
          </w:p>
          <w:p w14:paraId="13ABF7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w:t>
            </w:r>
            <w:r>
              <w:rPr>
                <w:rFonts w:hint="eastAsia" w:ascii="宋体" w:hAnsi="宋体" w:eastAsia="宋体" w:cs="宋体"/>
                <w:color w:val="auto"/>
                <w:szCs w:val="21"/>
                <w:highlight w:val="none"/>
                <w:lang w:val="en-US" w:eastAsia="zh-CN"/>
              </w:rPr>
              <w:t>配备</w:t>
            </w:r>
            <w:r>
              <w:rPr>
                <w:rFonts w:hint="eastAsia" w:ascii="宋体" w:hAnsi="宋体" w:eastAsia="宋体" w:cs="宋体"/>
                <w:color w:val="auto"/>
                <w:szCs w:val="21"/>
                <w:highlight w:val="none"/>
                <w:lang w:eastAsia="zh-CN"/>
              </w:rPr>
              <w:t>心电图浏览分析软件，可以在电脑上回顾分析全部数据（包括心电图、操作记录、自检记录、录音记录、培训记录等）；</w:t>
            </w:r>
          </w:p>
        </w:tc>
        <w:tc>
          <w:tcPr>
            <w:tcW w:w="1028" w:type="dxa"/>
            <w:tcBorders>
              <w:top w:val="single" w:color="auto" w:sz="4" w:space="0"/>
              <w:left w:val="single" w:color="auto" w:sz="4" w:space="0"/>
              <w:bottom w:val="single" w:color="auto" w:sz="4" w:space="0"/>
              <w:right w:val="single" w:color="auto" w:sz="4" w:space="0"/>
            </w:tcBorders>
            <w:vAlign w:val="center"/>
          </w:tcPr>
          <w:p w14:paraId="2556C9A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34155.00</w:t>
            </w:r>
          </w:p>
        </w:tc>
      </w:tr>
      <w:tr w14:paraId="3AFC15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1CA9CAFC"/>
        </w:tc>
        <w:tc>
          <w:tcPr>
            <w:tcW w:w="545" w:type="dxa"/>
            <w:tcBorders>
              <w:top w:val="single" w:color="auto" w:sz="4" w:space="0"/>
              <w:left w:val="single" w:color="auto" w:sz="4" w:space="0"/>
              <w:bottom w:val="single" w:color="auto" w:sz="4" w:space="0"/>
              <w:right w:val="single" w:color="auto" w:sz="4" w:space="0"/>
            </w:tcBorders>
            <w:vAlign w:val="center"/>
          </w:tcPr>
          <w:p w14:paraId="76943BD9">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p>
        </w:tc>
        <w:tc>
          <w:tcPr>
            <w:tcW w:w="1092" w:type="dxa"/>
            <w:tcBorders>
              <w:top w:val="single" w:color="auto" w:sz="4" w:space="0"/>
              <w:left w:val="single" w:color="auto" w:sz="4" w:space="0"/>
              <w:bottom w:val="single" w:color="auto" w:sz="4" w:space="0"/>
              <w:right w:val="single" w:color="auto" w:sz="4" w:space="0"/>
            </w:tcBorders>
            <w:vAlign w:val="center"/>
          </w:tcPr>
          <w:p w14:paraId="0DB45F0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肠内营养泵</w:t>
            </w:r>
          </w:p>
        </w:tc>
        <w:tc>
          <w:tcPr>
            <w:tcW w:w="670" w:type="dxa"/>
            <w:tcBorders>
              <w:top w:val="single" w:color="auto" w:sz="4" w:space="0"/>
              <w:left w:val="single" w:color="auto" w:sz="4" w:space="0"/>
              <w:bottom w:val="single" w:color="auto" w:sz="4" w:space="0"/>
              <w:right w:val="single" w:color="auto" w:sz="4" w:space="0"/>
            </w:tcBorders>
            <w:vAlign w:val="center"/>
          </w:tcPr>
          <w:p w14:paraId="0078127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3台</w:t>
            </w:r>
          </w:p>
        </w:tc>
        <w:tc>
          <w:tcPr>
            <w:tcW w:w="6241" w:type="dxa"/>
            <w:tcBorders>
              <w:top w:val="single" w:color="auto" w:sz="4" w:space="0"/>
              <w:left w:val="single" w:color="auto" w:sz="4" w:space="0"/>
              <w:bottom w:val="single" w:color="auto" w:sz="4" w:space="0"/>
              <w:right w:val="single" w:color="auto" w:sz="4" w:space="0"/>
            </w:tcBorders>
            <w:vAlign w:val="center"/>
          </w:tcPr>
          <w:p w14:paraId="7E3B61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1、喂养模式：连续模式、间歇模式；</w:t>
            </w:r>
          </w:p>
          <w:p w14:paraId="0EF355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2、泵送方式：盘式蠕动挤压；</w:t>
            </w:r>
          </w:p>
          <w:p w14:paraId="457514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3、喂养速度：1～1800ml/h；</w:t>
            </w:r>
          </w:p>
          <w:p w14:paraId="28A842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4、喂养误差：≤±5%；</w:t>
            </w:r>
          </w:p>
          <w:p w14:paraId="21C503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5、连续模式设置：预置量范围1～99999ml、时间范围00：00：02～99:59:59；</w:t>
            </w:r>
          </w:p>
          <w:p w14:paraId="477965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6、间歇模式设置：时间范围1min～24h、次数范围1～100次；</w:t>
            </w:r>
          </w:p>
          <w:p w14:paraId="75460C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7、排气设置：有手动、自动排气方式，速度为2000ml/h不可调；</w:t>
            </w:r>
          </w:p>
          <w:p w14:paraId="2E6CAC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8、KTO设置：时间1min～24h，速度1～30ml/h；</w:t>
            </w:r>
          </w:p>
          <w:p w14:paraId="6CEF36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9、反抽设置：有手动、自动反抽方式，速度为1～1200ml/h可调；</w:t>
            </w:r>
          </w:p>
          <w:p w14:paraId="387813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10、冲洗设置：有手动、自动冲洗方式，速度为1～1200ml/h可调；</w:t>
            </w:r>
          </w:p>
          <w:p w14:paraId="2E34B6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11、快进设置：有手动、自动快进功能，速度为1～1200ml/h可调</w:t>
            </w:r>
            <w:r>
              <w:rPr>
                <w:rFonts w:hint="eastAsia" w:ascii="宋体" w:hAnsi="宋体" w:cs="宋体"/>
                <w:color w:val="auto"/>
                <w:szCs w:val="21"/>
                <w:highlight w:val="none"/>
                <w:lang w:eastAsia="zh-CN"/>
              </w:rPr>
              <w:t>；</w:t>
            </w:r>
          </w:p>
          <w:p w14:paraId="163ED9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12、加温设置：32～50℃或90～122℉；</w:t>
            </w:r>
          </w:p>
          <w:p w14:paraId="4FE2C0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13、温度控制精度：≤±2℃；</w:t>
            </w:r>
          </w:p>
          <w:p w14:paraId="4A6211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14、营养液设置：普通和粘稠两种选择，粘稠时可设置喂养速度至少达到500ml/h；</w:t>
            </w:r>
          </w:p>
          <w:p w14:paraId="62F7D5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15、日期时间设置：可设置年月日和小时分钟秒钟，实时计时；</w:t>
            </w:r>
          </w:p>
          <w:p w14:paraId="3D67C3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16、遗忘操作设置：1～5min可调；</w:t>
            </w:r>
          </w:p>
          <w:p w14:paraId="0E13BB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17、待机时间设置：10min～24h可调；</w:t>
            </w:r>
          </w:p>
          <w:p w14:paraId="36A655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18、夜间模式设置：有夜间模式，可设置夜间模式开始时间和结束时间；</w:t>
            </w:r>
          </w:p>
          <w:p w14:paraId="52A795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19、历史记录查询：具有历史记录查询功能；</w:t>
            </w:r>
          </w:p>
          <w:p w14:paraId="560B27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20、病人设置：可设置病人姓名、住院号、床号、年龄、性别、体重、身高和科室；</w:t>
            </w:r>
          </w:p>
          <w:p w14:paraId="5CF859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21、营养管品牌管理：可选择、添加、编辑、删除、导入、导出、校准和恢复内置品牌，可储存不少于100种品牌。</w:t>
            </w:r>
          </w:p>
          <w:p w14:paraId="4B35DF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22、运行灯光设置：闪烁、常亮或熄灭三种状态可选；</w:t>
            </w:r>
          </w:p>
          <w:p w14:paraId="257EA7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23、锁屏设置：有锁屏开关，时间为1～5min可调；</w:t>
            </w:r>
          </w:p>
          <w:p w14:paraId="770B19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24、音量设置：10档可调；</w:t>
            </w:r>
          </w:p>
          <w:p w14:paraId="7D8818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25、网络设置：有网络设置功能，通过WIFI可连接到输注监护管理软件；</w:t>
            </w:r>
          </w:p>
          <w:p w14:paraId="16B21F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26、外部接口：1个USB接口、1个外部电源接口和1个加温仪航空插座接口；</w:t>
            </w:r>
          </w:p>
          <w:p w14:paraId="0AFFE4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27、重启按键：具有一个重启按键；</w:t>
            </w:r>
          </w:p>
          <w:p w14:paraId="02972D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28、报警功能：喂养异常、电池丢失、电池电量耗尽、营养管未校准、电机故障、高温、低温、加温仪脱落、喂养完成、KTO完成、营养液泄漏、冲洗完成、反抽完成、排气完成</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lang w:eastAsia="zh-CN"/>
              </w:rPr>
              <w:t>遗忘操作、网电源脱落、电池电量低、联机失败、参数错误、未连接加温仪、泵门打开、待机完成；</w:t>
            </w:r>
          </w:p>
          <w:p w14:paraId="13C97E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29、显示屏：</w:t>
            </w:r>
            <w:r>
              <w:rPr>
                <w:rFonts w:hint="eastAsia" w:ascii="宋体" w:hAnsi="宋体" w:eastAsia="宋体" w:cs="宋体"/>
                <w:szCs w:val="21"/>
                <w:highlight w:val="none"/>
                <w:lang w:val="en-US" w:eastAsia="zh-CN"/>
              </w:rPr>
              <w:t>≥</w:t>
            </w:r>
            <w:r>
              <w:rPr>
                <w:rFonts w:hint="eastAsia" w:ascii="宋体" w:hAnsi="宋体" w:eastAsia="宋体" w:cs="宋体"/>
                <w:szCs w:val="21"/>
                <w:highlight w:val="none"/>
                <w:lang w:eastAsia="zh-CN"/>
              </w:rPr>
              <w:t>4.0</w:t>
            </w:r>
            <w:r>
              <w:rPr>
                <w:rFonts w:hint="eastAsia" w:ascii="宋体" w:hAnsi="宋体" w:eastAsia="宋体" w:cs="宋体"/>
                <w:color w:val="auto"/>
                <w:szCs w:val="21"/>
                <w:highlight w:val="none"/>
                <w:lang w:eastAsia="zh-CN"/>
              </w:rPr>
              <w:t>英寸触摸屏，按键与触摸屏组合操作,有实体停止按键（非触摸停止）；</w:t>
            </w:r>
          </w:p>
          <w:p w14:paraId="5E7239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30、屏幕亮度设置：10档可调；</w:t>
            </w:r>
          </w:p>
          <w:p w14:paraId="592000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31、装管方式：正面安排营养管，方便使用与巡回观察；</w:t>
            </w:r>
          </w:p>
          <w:p w14:paraId="6351AA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32、滴速检测：采用红外线传感器监测速度；</w:t>
            </w:r>
          </w:p>
          <w:p w14:paraId="2225ED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33、交流电源：100～240V，50/60HZ，最大功耗：60VA；</w:t>
            </w:r>
          </w:p>
          <w:p w14:paraId="0B346E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34、内置电池：可充电锂电池，DC10.8V，2600mAh，速度≤25ml/h时,工作时间≥10h；</w:t>
            </w:r>
          </w:p>
          <w:p w14:paraId="74F438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35、工作环境：温度：+5℃～+40℃、湿度：15%～95%，大气压：57KPa～106Kpa；</w:t>
            </w:r>
          </w:p>
          <w:p w14:paraId="0FAE25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36、贮运环境：温度：-20℃～+55℃、湿度：10%～95%，大气压：50KPa～106Kpa；</w:t>
            </w:r>
          </w:p>
          <w:p w14:paraId="1ADC51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37、安全类别：I类带内部电源类设备，CF型、IPX4设备；</w:t>
            </w:r>
          </w:p>
          <w:p w14:paraId="7D7A5F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000000"/>
                <w:szCs w:val="21"/>
                <w:highlight w:val="none"/>
                <w:lang w:val="en-US" w:eastAsia="zh-CN"/>
              </w:rPr>
              <w:t>38、</w:t>
            </w:r>
            <w:r>
              <w:rPr>
                <w:rFonts w:hint="eastAsia" w:ascii="宋体" w:hAnsi="宋体" w:eastAsia="宋体" w:cs="宋体"/>
                <w:color w:val="000000"/>
                <w:szCs w:val="21"/>
                <w:highlight w:val="none"/>
                <w:lang w:eastAsia="zh-CN"/>
              </w:rPr>
              <w:t>其他功能：工程模式有密码保护功能、有运行过程修改参数的功能、</w:t>
            </w:r>
            <w:r>
              <w:rPr>
                <w:rFonts w:hint="eastAsia" w:ascii="宋体" w:hAnsi="宋体" w:eastAsia="宋体" w:cs="宋体"/>
                <w:color w:val="000000"/>
                <w:szCs w:val="21"/>
                <w:highlight w:val="none"/>
                <w:lang w:val="en-US" w:eastAsia="zh-CN"/>
              </w:rPr>
              <w:t>支持</w:t>
            </w:r>
            <w:r>
              <w:rPr>
                <w:rFonts w:hint="eastAsia" w:ascii="宋体" w:hAnsi="宋体" w:eastAsia="宋体" w:cs="宋体"/>
                <w:color w:val="000000"/>
                <w:szCs w:val="21"/>
                <w:highlight w:val="none"/>
                <w:lang w:eastAsia="zh-CN"/>
              </w:rPr>
              <w:t>中英文切换；</w:t>
            </w:r>
          </w:p>
        </w:tc>
        <w:tc>
          <w:tcPr>
            <w:tcW w:w="1028" w:type="dxa"/>
            <w:tcBorders>
              <w:top w:val="single" w:color="auto" w:sz="4" w:space="0"/>
              <w:left w:val="single" w:color="auto" w:sz="4" w:space="0"/>
              <w:bottom w:val="single" w:color="auto" w:sz="4" w:space="0"/>
              <w:right w:val="single" w:color="auto" w:sz="4" w:space="0"/>
            </w:tcBorders>
            <w:vAlign w:val="center"/>
          </w:tcPr>
          <w:p w14:paraId="49CA669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3960.00</w:t>
            </w:r>
          </w:p>
        </w:tc>
      </w:tr>
      <w:tr w14:paraId="3D8156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795F63F2"/>
        </w:tc>
        <w:tc>
          <w:tcPr>
            <w:tcW w:w="545" w:type="dxa"/>
            <w:tcBorders>
              <w:top w:val="single" w:color="auto" w:sz="4" w:space="0"/>
              <w:left w:val="single" w:color="auto" w:sz="4" w:space="0"/>
              <w:bottom w:val="single" w:color="auto" w:sz="4" w:space="0"/>
              <w:right w:val="single" w:color="auto" w:sz="4" w:space="0"/>
            </w:tcBorders>
            <w:vAlign w:val="center"/>
          </w:tcPr>
          <w:p w14:paraId="763DD924">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p>
        </w:tc>
        <w:tc>
          <w:tcPr>
            <w:tcW w:w="1092" w:type="dxa"/>
            <w:tcBorders>
              <w:top w:val="single" w:color="auto" w:sz="4" w:space="0"/>
              <w:left w:val="single" w:color="auto" w:sz="4" w:space="0"/>
              <w:bottom w:val="single" w:color="auto" w:sz="4" w:space="0"/>
              <w:right w:val="single" w:color="auto" w:sz="4" w:space="0"/>
            </w:tcBorders>
            <w:vAlign w:val="center"/>
          </w:tcPr>
          <w:p w14:paraId="2E6ED4C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多通道输注工作站</w:t>
            </w:r>
          </w:p>
        </w:tc>
        <w:tc>
          <w:tcPr>
            <w:tcW w:w="670" w:type="dxa"/>
            <w:tcBorders>
              <w:top w:val="single" w:color="auto" w:sz="4" w:space="0"/>
              <w:left w:val="single" w:color="auto" w:sz="4" w:space="0"/>
              <w:bottom w:val="single" w:color="auto" w:sz="4" w:space="0"/>
              <w:right w:val="single" w:color="auto" w:sz="4" w:space="0"/>
            </w:tcBorders>
            <w:vAlign w:val="center"/>
          </w:tcPr>
          <w:p w14:paraId="7ECD5C2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2台</w:t>
            </w:r>
          </w:p>
        </w:tc>
        <w:tc>
          <w:tcPr>
            <w:tcW w:w="6241" w:type="dxa"/>
            <w:tcBorders>
              <w:top w:val="single" w:color="auto" w:sz="4" w:space="0"/>
              <w:left w:val="single" w:color="auto" w:sz="4" w:space="0"/>
              <w:bottom w:val="single" w:color="auto" w:sz="4" w:space="0"/>
              <w:right w:val="single" w:color="auto" w:sz="4" w:space="0"/>
            </w:tcBorders>
            <w:vAlign w:val="center"/>
          </w:tcPr>
          <w:p w14:paraId="4D564E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1.基本配置:</w:t>
            </w:r>
          </w:p>
          <w:p w14:paraId="4583D1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1.1单套标准配置：一拖六，多通道输注工作站1套、注射泵2台、输液泵4台。</w:t>
            </w:r>
          </w:p>
          <w:p w14:paraId="5361ED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主要技术参数及配置：</w:t>
            </w:r>
          </w:p>
          <w:p w14:paraId="472880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2.多通道输注工作站参数：</w:t>
            </w:r>
          </w:p>
          <w:p w14:paraId="3EDA85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2.1每套多通道输液工作站可插入1～15个输液泵或推注泵，组合箱、输液泵、注射泵之间，不需要任何工具，直接组合成多道泵，最多可扩展至15个泵位；</w:t>
            </w:r>
          </w:p>
          <w:p w14:paraId="3704C5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2.2每套多通道输液工作站可任意组合输液泵与注射泵（注射泵和输液泵的个数、位置根据临床需要可任意组合，使用中移除其中任何一台泵不影响其它泵的工作连续性），模块化设计，即插即用，可热插拔；</w:t>
            </w:r>
          </w:p>
          <w:p w14:paraId="0A9052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2.3多通道输液工作站可实现</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eastAsia="zh-CN"/>
              </w:rPr>
              <w:t>2个任意输注泵模块之间具备中继功能，可进行无缝连续输液；</w:t>
            </w:r>
          </w:p>
          <w:p w14:paraId="698479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2.4任意输注泵模块之间无需任何附件即可自由组合固定，配合可拆卸提手便于携带和安全转运；</w:t>
            </w:r>
          </w:p>
          <w:p w14:paraId="393ED5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2.5多通道输液工作站仅需一根电源线，具有输液管路整理功能；</w:t>
            </w:r>
          </w:p>
          <w:p w14:paraId="672715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3.配套注射泵模块参数：</w:t>
            </w:r>
          </w:p>
          <w:p w14:paraId="7461DC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3.1自动识别注射器：规格为5ml、10ml、20ml、30ml、50/60ml所有符合标准的注射器；</w:t>
            </w:r>
          </w:p>
          <w:p w14:paraId="743F66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3.2多种输液模式可选：速度模式、时间模式、体重模式、序列模式、首剂量模式、微量模式、梯度模式、级联模式；</w:t>
            </w:r>
          </w:p>
          <w:p w14:paraId="36C53A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3.3速率范围：0.1-2000ml/h，以0.1ml/h递增；</w:t>
            </w:r>
          </w:p>
          <w:p w14:paraId="58ECA6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3.4注射精度：≤±2%；</w:t>
            </w:r>
          </w:p>
          <w:p w14:paraId="433744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3.5KVO速度:0.1-5.0mL/h可调；</w:t>
            </w:r>
          </w:p>
          <w:p w14:paraId="7088FA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3.6可以显示管路的压力状态；</w:t>
            </w:r>
          </w:p>
          <w:p w14:paraId="7A92F8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3.7分低、中、高三级报警，并分别以声光提示，同时显示具体报警信息；</w:t>
            </w:r>
          </w:p>
          <w:p w14:paraId="39D03F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3.8触摸屏操作，全中文显示，方便快捷的人机操作界面；</w:t>
            </w:r>
          </w:p>
          <w:p w14:paraId="67D1B5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3.9更改速度时完全不需要中断输液；</w:t>
            </w:r>
          </w:p>
          <w:p w14:paraId="319090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3.10具备字体放大或大字体显示功能。</w:t>
            </w:r>
          </w:p>
          <w:p w14:paraId="3D50CC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3.11具备注射精度校正功能：用户可自定义其他符合标准的注射器；</w:t>
            </w:r>
          </w:p>
          <w:p w14:paraId="6D68A7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3.12</w:t>
            </w:r>
            <w:r>
              <w:rPr>
                <w:rFonts w:hint="eastAsia" w:ascii="宋体" w:hAnsi="宋体" w:eastAsia="宋体" w:cs="宋体"/>
                <w:color w:val="auto"/>
                <w:szCs w:val="21"/>
                <w:highlight w:val="none"/>
                <w:lang w:val="en-US" w:eastAsia="zh-CN"/>
              </w:rPr>
              <w:t>具有</w:t>
            </w:r>
            <w:r>
              <w:rPr>
                <w:rFonts w:hint="eastAsia" w:ascii="宋体" w:hAnsi="宋体" w:eastAsia="宋体" w:cs="宋体"/>
                <w:color w:val="auto"/>
                <w:szCs w:val="21"/>
                <w:highlight w:val="none"/>
                <w:lang w:eastAsia="zh-CN"/>
              </w:rPr>
              <w:t>报警</w:t>
            </w:r>
            <w:r>
              <w:rPr>
                <w:rFonts w:hint="eastAsia" w:ascii="宋体" w:hAnsi="宋体" w:eastAsia="宋体" w:cs="宋体"/>
                <w:color w:val="auto"/>
                <w:szCs w:val="21"/>
                <w:highlight w:val="none"/>
                <w:lang w:val="en-US" w:eastAsia="zh-CN"/>
              </w:rPr>
              <w:t>功能</w:t>
            </w:r>
            <w:r>
              <w:rPr>
                <w:rFonts w:hint="eastAsia" w:ascii="宋体" w:hAnsi="宋体" w:eastAsia="宋体" w:cs="宋体"/>
                <w:color w:val="auto"/>
                <w:szCs w:val="21"/>
                <w:highlight w:val="none"/>
                <w:lang w:eastAsia="zh-CN"/>
              </w:rPr>
              <w:t>：注射将完成（残留量）、注射器推空、注射完成、注射阻塞、电池电量低、电池电量严重短缺、无电池、无外部电源、注射器无法识别、推头安装不正确、注射泵自检和运行过程故障自动诊断报警、遗忘操作；</w:t>
            </w:r>
          </w:p>
          <w:p w14:paraId="76A2B1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3.13能够存储、回放≥2000组历史信息记录；</w:t>
            </w:r>
          </w:p>
          <w:p w14:paraId="151C35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3.14界面背景颜色：可选择至少5种颜色的界面风格，用于区分不同的药物危重等级；</w:t>
            </w:r>
          </w:p>
          <w:p w14:paraId="5EF3D7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3.15具备自动快进、手动快进、快速定量三种方式；</w:t>
            </w:r>
          </w:p>
          <w:p w14:paraId="4E5D37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3.16夜间模式：可自动降低亮度和报警音量，时间段可调；</w:t>
            </w:r>
          </w:p>
          <w:p w14:paraId="349D32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3.17内置锂电池在中速（5ml/h）状态下，工作时间不小于6个小时；</w:t>
            </w:r>
          </w:p>
          <w:p w14:paraId="61C8E3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3.18无需任何配件，支持两个泵之间叠加；注射泵模块单独标配提手，方便转运外出检查；</w:t>
            </w:r>
          </w:p>
          <w:p w14:paraId="6D8621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4.配套输液泵模块参数：</w:t>
            </w:r>
          </w:p>
          <w:p w14:paraId="60D109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4.1多种输液模式可选：速度模式、时间模式、体重模式、梯度模式、点滴模式、序列模式、微量模式、首剂量模式、级联模式；支持输血功能；</w:t>
            </w:r>
          </w:p>
          <w:p w14:paraId="5E87A1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4.2速度范围：0.1-1200.0mL/h,最小增量为0.1mL/h；</w:t>
            </w:r>
          </w:p>
          <w:p w14:paraId="678ECD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4.3输液精度：≤±5%；</w:t>
            </w:r>
          </w:p>
          <w:p w14:paraId="70DD14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4.4KVO速度:0.1-5.0mL/h可调；</w:t>
            </w:r>
          </w:p>
          <w:p w14:paraId="6B17A1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4.5可以显示管路的压力状态。</w:t>
            </w:r>
          </w:p>
          <w:p w14:paraId="4AF1E5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4.6触摸屏操作，全中文显示，方便快捷的人机操作界面；</w:t>
            </w:r>
          </w:p>
          <w:p w14:paraId="5D9C34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4.7分低、中、高三级报警，并分别以声光提示，同时显示具体报警信息；</w:t>
            </w:r>
          </w:p>
          <w:p w14:paraId="382009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4.8气泡检测：最大可选1000ul/15min；</w:t>
            </w:r>
          </w:p>
          <w:p w14:paraId="15E602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4.9防药液自流：智能阻断技术，泵门打开时，保证液体不会任意流出；</w:t>
            </w:r>
          </w:p>
          <w:p w14:paraId="524507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4.10泵门和止液夹：输液泵有电动止液夹和电动泵门控制；</w:t>
            </w:r>
          </w:p>
          <w:p w14:paraId="04DB3A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4.11更改速度时完全不需要中断输液；</w:t>
            </w:r>
          </w:p>
          <w:p w14:paraId="424D23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4.12具备输液精度校正功能：用户可自定义其他符合标准的输液器；</w:t>
            </w:r>
          </w:p>
          <w:p w14:paraId="5CA84D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4.13具备字体放大或大字体显示功能。</w:t>
            </w:r>
          </w:p>
          <w:p w14:paraId="6DC0E8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4.14界面背景颜色：可选择至少5种颜色的界面风格，用于区分不同的药物危重等级。</w:t>
            </w:r>
          </w:p>
          <w:p w14:paraId="0C13FF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4.15</w:t>
            </w:r>
            <w:r>
              <w:rPr>
                <w:rFonts w:hint="eastAsia" w:ascii="宋体" w:hAnsi="宋体" w:eastAsia="宋体" w:cs="宋体"/>
                <w:color w:val="auto"/>
                <w:szCs w:val="21"/>
                <w:highlight w:val="none"/>
                <w:lang w:val="en-US" w:eastAsia="zh-CN"/>
              </w:rPr>
              <w:t>具有</w:t>
            </w:r>
            <w:r>
              <w:rPr>
                <w:rFonts w:hint="eastAsia" w:ascii="宋体" w:hAnsi="宋体" w:eastAsia="宋体" w:cs="宋体"/>
                <w:color w:val="auto"/>
                <w:szCs w:val="21"/>
                <w:highlight w:val="none"/>
                <w:lang w:eastAsia="zh-CN"/>
              </w:rPr>
              <w:t>报警</w:t>
            </w:r>
            <w:r>
              <w:rPr>
                <w:rFonts w:hint="eastAsia" w:ascii="宋体" w:hAnsi="宋体" w:eastAsia="宋体" w:cs="宋体"/>
                <w:color w:val="auto"/>
                <w:szCs w:val="21"/>
                <w:highlight w:val="none"/>
                <w:lang w:val="en-US" w:eastAsia="zh-CN"/>
              </w:rPr>
              <w:t>功能</w:t>
            </w:r>
            <w:r>
              <w:rPr>
                <w:rFonts w:hint="eastAsia" w:ascii="宋体" w:hAnsi="宋体" w:eastAsia="宋体" w:cs="宋体"/>
                <w:color w:val="auto"/>
                <w:szCs w:val="21"/>
                <w:highlight w:val="none"/>
                <w:lang w:eastAsia="zh-CN"/>
              </w:rPr>
              <w:t>：输液将完成、输液完成、输液阻塞、电池电量低、电池电量严重短缺、无电池、无外部电源、输液泵门开、气泡、无滴数传感器、无滴液、滴数异常、输液泵自检和运行过程故障自动诊断报警、遗忘操作；</w:t>
            </w:r>
          </w:p>
          <w:p w14:paraId="644393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4.16能够存储、回放≥2000组历史信息记录；</w:t>
            </w:r>
          </w:p>
          <w:p w14:paraId="754FD2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4.17具备自动快进、手动快进、快速定量三种方式；</w:t>
            </w:r>
          </w:p>
          <w:p w14:paraId="395F41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4.18夜间模式：可自动降低亮度和报警音量，时间段可调；</w:t>
            </w:r>
          </w:p>
          <w:p w14:paraId="5E0ECB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4.19无需任何配件，支持两个泵之间叠加；输液泵模块单独标配提手，方便转运外出检查；</w:t>
            </w:r>
          </w:p>
          <w:p w14:paraId="564FEA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4.20内置锂电池在中速（25ml/h）状态下，工作时间不小于5个小时；</w:t>
            </w:r>
          </w:p>
        </w:tc>
        <w:tc>
          <w:tcPr>
            <w:tcW w:w="1028" w:type="dxa"/>
            <w:tcBorders>
              <w:top w:val="single" w:color="auto" w:sz="4" w:space="0"/>
              <w:left w:val="single" w:color="auto" w:sz="4" w:space="0"/>
              <w:bottom w:val="single" w:color="auto" w:sz="4" w:space="0"/>
              <w:right w:val="single" w:color="auto" w:sz="4" w:space="0"/>
            </w:tcBorders>
            <w:vAlign w:val="center"/>
          </w:tcPr>
          <w:p w14:paraId="2CD7BE2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000000"/>
                <w:kern w:val="0"/>
                <w:sz w:val="20"/>
                <w:szCs w:val="20"/>
                <w:highlight w:val="none"/>
                <w:u w:val="none"/>
                <w:lang w:val="en-US" w:eastAsia="zh-CN"/>
              </w:rPr>
              <w:t>44748.00</w:t>
            </w:r>
          </w:p>
        </w:tc>
      </w:tr>
      <w:tr w14:paraId="477436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06E38890"/>
        </w:tc>
        <w:tc>
          <w:tcPr>
            <w:tcW w:w="545" w:type="dxa"/>
            <w:tcBorders>
              <w:top w:val="single" w:color="auto" w:sz="4" w:space="0"/>
              <w:left w:val="single" w:color="auto" w:sz="4" w:space="0"/>
              <w:bottom w:val="single" w:color="auto" w:sz="4" w:space="0"/>
              <w:right w:val="single" w:color="auto" w:sz="4" w:space="0"/>
            </w:tcBorders>
            <w:vAlign w:val="center"/>
          </w:tcPr>
          <w:p w14:paraId="12432A81">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w:t>
            </w:r>
          </w:p>
        </w:tc>
        <w:tc>
          <w:tcPr>
            <w:tcW w:w="1092" w:type="dxa"/>
            <w:tcBorders>
              <w:top w:val="single" w:color="auto" w:sz="4" w:space="0"/>
              <w:left w:val="single" w:color="auto" w:sz="4" w:space="0"/>
              <w:bottom w:val="single" w:color="auto" w:sz="4" w:space="0"/>
              <w:right w:val="single" w:color="auto" w:sz="4" w:space="0"/>
            </w:tcBorders>
            <w:vAlign w:val="center"/>
          </w:tcPr>
          <w:p w14:paraId="3873C5C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医用升温毯</w:t>
            </w:r>
          </w:p>
        </w:tc>
        <w:tc>
          <w:tcPr>
            <w:tcW w:w="670" w:type="dxa"/>
            <w:tcBorders>
              <w:top w:val="single" w:color="auto" w:sz="4" w:space="0"/>
              <w:left w:val="single" w:color="auto" w:sz="4" w:space="0"/>
              <w:bottom w:val="single" w:color="auto" w:sz="4" w:space="0"/>
              <w:right w:val="single" w:color="auto" w:sz="4" w:space="0"/>
            </w:tcBorders>
            <w:vAlign w:val="center"/>
          </w:tcPr>
          <w:p w14:paraId="6F2C6AA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1台</w:t>
            </w:r>
          </w:p>
        </w:tc>
        <w:tc>
          <w:tcPr>
            <w:tcW w:w="6241" w:type="dxa"/>
            <w:tcBorders>
              <w:top w:val="single" w:color="auto" w:sz="4" w:space="0"/>
              <w:left w:val="single" w:color="auto" w:sz="4" w:space="0"/>
              <w:bottom w:val="single" w:color="auto" w:sz="4" w:space="0"/>
              <w:right w:val="single" w:color="auto" w:sz="4" w:space="0"/>
            </w:tcBorders>
            <w:vAlign w:val="center"/>
          </w:tcPr>
          <w:p w14:paraId="699274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1.适用范围：在医疗机构临床使用环境下，通过控制毯子温度，具有对人体进行体外物理升温功能，辅助调节人体温度；</w:t>
            </w:r>
          </w:p>
          <w:p w14:paraId="0AA5C0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2.系统结构：双路输出，双温双控，可单/双升温毯(垫)组合使用；</w:t>
            </w:r>
          </w:p>
          <w:p w14:paraId="36B6CC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3.显示方式：</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eastAsia="zh-CN"/>
              </w:rPr>
              <w:t>7寸全电脑彩色液晶触摸屏控制系统，智能化控温，同屏显示两个患者体温、毯温、运行状态及运行时间；</w:t>
            </w:r>
          </w:p>
          <w:p w14:paraId="18C714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4.升温毯温度设定范围：30℃～40℃；步进：0.1℃；显示精度：0.1℃；</w:t>
            </w:r>
          </w:p>
          <w:p w14:paraId="0DDE96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5.体温传感器监测范围：25℃～45℃，允差：±0.2℃；</w:t>
            </w:r>
          </w:p>
          <w:p w14:paraId="5BA99C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6.外形结构：外型尺寸（长*宽*高）约21×31×21厘米，可悬挂床头；整机重量：≥2.5kg；</w:t>
            </w:r>
          </w:p>
          <w:p w14:paraId="200F97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7.性能特点：升温毯（铺/盖）；</w:t>
            </w:r>
          </w:p>
          <w:p w14:paraId="6973BC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7.1升温毯采用低电压（12V）运行，核心发热材质为碳纤维发热材料，升温均匀速度快；</w:t>
            </w:r>
          </w:p>
          <w:p w14:paraId="171593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7.2升温毯可反复使用，无耗材消耗，不产生废水和废气；</w:t>
            </w:r>
          </w:p>
          <w:p w14:paraId="79BEBB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7.3升温毯内置多个感温探头，实时测温，确保安全；</w:t>
            </w:r>
          </w:p>
          <w:p w14:paraId="35F65A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7.4升温毯的接触层绵软舒适，能有效预防褥疮；</w:t>
            </w:r>
            <w:r>
              <w:rPr>
                <w:rFonts w:hint="eastAsia" w:ascii="宋体" w:hAnsi="宋体" w:eastAsia="宋体" w:cs="宋体"/>
                <w:color w:val="auto"/>
                <w:szCs w:val="21"/>
                <w:highlight w:val="none"/>
                <w:lang w:eastAsia="zh-CN"/>
              </w:rPr>
              <w:tab/>
            </w:r>
          </w:p>
          <w:p w14:paraId="51E28D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7.5多种规格选择，满足不同患者使用需求；</w:t>
            </w:r>
          </w:p>
          <w:p w14:paraId="33C76B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7.6升温毯可透X射线；</w:t>
            </w:r>
          </w:p>
          <w:p w14:paraId="03E6AC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8.按防护程度分类：升温毯（铺/盖）防水等级≥7级，需在投标文件中提供说明书复印件；</w:t>
            </w:r>
          </w:p>
          <w:p w14:paraId="26D4F9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9.报警功能：</w:t>
            </w:r>
          </w:p>
          <w:p w14:paraId="3C16EF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9.1医用升温毯具有体温传感器脱落报警提示功能；</w:t>
            </w:r>
          </w:p>
          <w:p w14:paraId="06FB34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9.2当升温毯温度超过41℃时，停止工作并具有相应的报警功能；</w:t>
            </w:r>
          </w:p>
          <w:p w14:paraId="5ACF37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9.3当网电源故障时，具有相应的报警功能；</w:t>
            </w:r>
          </w:p>
          <w:p w14:paraId="69A6AC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9.4可分别独立设置双路通道传感器上/下限报警温度的提示功能（报警温度设置范围37-44℃）、双路体温传感通道可分别独立设置体温传感器上/下限报警温度的提示功能（报警温度上/下限范围30-44℃）；</w:t>
            </w:r>
          </w:p>
          <w:p w14:paraId="64AE88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10.安全特性：具有独立的非自动复位热断路器，以降低接触面温度过高的风险；</w:t>
            </w:r>
          </w:p>
          <w:p w14:paraId="3DBA3E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11.医用升温毯正常工作时，毯子承重不小于150kg；</w:t>
            </w:r>
          </w:p>
          <w:p w14:paraId="0AE1E7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12.输入功率：约300VA。</w:t>
            </w:r>
          </w:p>
        </w:tc>
        <w:tc>
          <w:tcPr>
            <w:tcW w:w="1028" w:type="dxa"/>
            <w:tcBorders>
              <w:top w:val="single" w:color="auto" w:sz="4" w:space="0"/>
              <w:left w:val="single" w:color="auto" w:sz="4" w:space="0"/>
              <w:bottom w:val="single" w:color="auto" w:sz="4" w:space="0"/>
              <w:right w:val="single" w:color="auto" w:sz="4" w:space="0"/>
            </w:tcBorders>
            <w:vAlign w:val="center"/>
          </w:tcPr>
          <w:p w14:paraId="0E51AA1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32670.00</w:t>
            </w:r>
          </w:p>
        </w:tc>
      </w:tr>
      <w:tr w14:paraId="4AF746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6AA3487E"/>
        </w:tc>
        <w:tc>
          <w:tcPr>
            <w:tcW w:w="545" w:type="dxa"/>
            <w:tcBorders>
              <w:top w:val="single" w:color="auto" w:sz="4" w:space="0"/>
              <w:left w:val="single" w:color="auto" w:sz="4" w:space="0"/>
              <w:bottom w:val="single" w:color="auto" w:sz="4" w:space="0"/>
              <w:right w:val="single" w:color="auto" w:sz="4" w:space="0"/>
            </w:tcBorders>
            <w:vAlign w:val="center"/>
          </w:tcPr>
          <w:p w14:paraId="758BDCED">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w:t>
            </w:r>
          </w:p>
        </w:tc>
        <w:tc>
          <w:tcPr>
            <w:tcW w:w="1092" w:type="dxa"/>
            <w:tcBorders>
              <w:top w:val="single" w:color="auto" w:sz="4" w:space="0"/>
              <w:left w:val="single" w:color="auto" w:sz="4" w:space="0"/>
              <w:bottom w:val="single" w:color="auto" w:sz="4" w:space="0"/>
              <w:right w:val="single" w:color="auto" w:sz="4" w:space="0"/>
            </w:tcBorders>
            <w:vAlign w:val="center"/>
          </w:tcPr>
          <w:p w14:paraId="59862DC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肠内营养泵</w:t>
            </w:r>
          </w:p>
        </w:tc>
        <w:tc>
          <w:tcPr>
            <w:tcW w:w="670" w:type="dxa"/>
            <w:tcBorders>
              <w:top w:val="single" w:color="auto" w:sz="4" w:space="0"/>
              <w:left w:val="single" w:color="auto" w:sz="4" w:space="0"/>
              <w:bottom w:val="single" w:color="auto" w:sz="4" w:space="0"/>
              <w:right w:val="single" w:color="auto" w:sz="4" w:space="0"/>
            </w:tcBorders>
            <w:vAlign w:val="center"/>
          </w:tcPr>
          <w:p w14:paraId="147FEAF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6台</w:t>
            </w:r>
          </w:p>
        </w:tc>
        <w:tc>
          <w:tcPr>
            <w:tcW w:w="6241" w:type="dxa"/>
            <w:tcBorders>
              <w:top w:val="single" w:color="auto" w:sz="4" w:space="0"/>
              <w:left w:val="single" w:color="auto" w:sz="4" w:space="0"/>
              <w:bottom w:val="single" w:color="auto" w:sz="4" w:space="0"/>
              <w:right w:val="single" w:color="auto" w:sz="4" w:space="0"/>
            </w:tcBorders>
            <w:vAlign w:val="center"/>
          </w:tcPr>
          <w:p w14:paraId="67E242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1、喂养模式：连续模式、间歇模式；</w:t>
            </w:r>
          </w:p>
          <w:p w14:paraId="581438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2、泵送方式：盘式蠕动挤压；</w:t>
            </w:r>
          </w:p>
          <w:p w14:paraId="6DE477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3、喂养速度：1～1800ml/h；</w:t>
            </w:r>
          </w:p>
          <w:p w14:paraId="7215AC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4、喂养误差：≤±5%；</w:t>
            </w:r>
          </w:p>
          <w:p w14:paraId="331218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5、连续模式设置：预置量范围1～99999ml、时间范围00：00：02～99:59:59；</w:t>
            </w:r>
          </w:p>
          <w:p w14:paraId="2B6620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6、间歇模式设置：时间范围1min～24h、次数范围1～100次；</w:t>
            </w:r>
          </w:p>
          <w:p w14:paraId="351A27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7、排气设置：有手动、自动排气方式，速度为2000ml/h不可调；</w:t>
            </w:r>
          </w:p>
          <w:p w14:paraId="259A83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8、KTO设置：时间1min～24h，速度1～30ml/h；</w:t>
            </w:r>
          </w:p>
          <w:p w14:paraId="43EAF6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9、反抽设置：有手动、自动反抽方式，速度为1～1200ml/h可调；</w:t>
            </w:r>
          </w:p>
          <w:p w14:paraId="169B9C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10、冲洗设置：有手动、自动冲洗方式，速度为1～1200ml/h可调；</w:t>
            </w:r>
          </w:p>
          <w:p w14:paraId="46A5BA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11、快进设置：有手动、自动快进功能，速度为1～1200ml/h可调：</w:t>
            </w:r>
          </w:p>
          <w:p w14:paraId="7CF6AA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12、加温设置：32～50℃或90～122℉；</w:t>
            </w:r>
          </w:p>
          <w:p w14:paraId="22A610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13、温度控制精度：≤±2℃；</w:t>
            </w:r>
          </w:p>
          <w:p w14:paraId="795716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14、营养液设置：普通和粘稠两种选择，粘稠时可设置喂养速度至少达到500ml/h；</w:t>
            </w:r>
          </w:p>
          <w:p w14:paraId="6B81D8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15、日期时间设置：可设置年月日和小时分钟秒钟，实时计时；</w:t>
            </w:r>
          </w:p>
          <w:p w14:paraId="1FC56A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16、遗忘操作设置：1～5min可调；</w:t>
            </w:r>
          </w:p>
          <w:p w14:paraId="5E15E4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17、待机时间设置：10min～24h可调；</w:t>
            </w:r>
          </w:p>
          <w:p w14:paraId="3E69FA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18、夜间模式设置：有夜间模式，可设置夜间模式开始时间和结束时间；</w:t>
            </w:r>
          </w:p>
          <w:p w14:paraId="5CF1C0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19、历史记录查询：具有历史记录查询功能；</w:t>
            </w:r>
          </w:p>
          <w:p w14:paraId="47A1DC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20、病人设置：可设置病人姓名、住院号、床号、年龄、性别、体重、身高和科室；</w:t>
            </w:r>
          </w:p>
          <w:p w14:paraId="750D5C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21、营养管品牌管理：可选择、添加、编辑、删除、导入、导出、校准和恢复内置品牌，可储存不少于100种品牌。</w:t>
            </w:r>
          </w:p>
          <w:p w14:paraId="49CD22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22、运行灯光设置：闪烁、常亮或熄灭三种状态可选；</w:t>
            </w:r>
          </w:p>
          <w:p w14:paraId="0E489A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23、锁屏设置：有锁屏开关，时间为1～5min可调；</w:t>
            </w:r>
          </w:p>
          <w:p w14:paraId="315C77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24、音量设置：10档可调；</w:t>
            </w:r>
          </w:p>
          <w:p w14:paraId="4DB001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25、网络设置：有网络设置功能，通过</w:t>
            </w:r>
            <w:r>
              <w:rPr>
                <w:rFonts w:hint="eastAsia" w:ascii="宋体" w:hAnsi="宋体" w:cs="宋体"/>
                <w:color w:val="auto"/>
                <w:szCs w:val="21"/>
                <w:highlight w:val="none"/>
                <w:lang w:eastAsia="zh-CN"/>
              </w:rPr>
              <w:t>Wi-Fi</w:t>
            </w:r>
            <w:r>
              <w:rPr>
                <w:rFonts w:hint="eastAsia" w:ascii="宋体" w:hAnsi="宋体" w:eastAsia="宋体" w:cs="宋体"/>
                <w:color w:val="auto"/>
                <w:szCs w:val="21"/>
                <w:highlight w:val="none"/>
                <w:lang w:eastAsia="zh-CN"/>
              </w:rPr>
              <w:t>可连接到输注监护管理软件；</w:t>
            </w:r>
          </w:p>
          <w:p w14:paraId="50C930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26、外部接口：1个USB接口、1个外部电源接口和1个加温仪航空插座接口；</w:t>
            </w:r>
          </w:p>
          <w:p w14:paraId="7CAA33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27、重启按键：具有一个重启按键；</w:t>
            </w:r>
          </w:p>
          <w:p w14:paraId="059A81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28、报警功能：喂养异常、电池丢失、电池电量耗尽、营养管未校准、电机故障、高温、低温、加温仪脱落、喂养完成、KTO完成、营养液泄漏、冲洗完成、反抽完成、排气完成。遗忘操作、网电源脱落、电池电量低、联机失败、参数错误、未连接加温仪、泵门打开、待机完成；</w:t>
            </w:r>
          </w:p>
          <w:p w14:paraId="28B0A4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29、显示屏：</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eastAsia="zh-CN"/>
              </w:rPr>
              <w:t>4.0英寸触摸屏，按键与触摸屏组合操作,有实体停止按键（非触摸停止）；</w:t>
            </w:r>
          </w:p>
          <w:p w14:paraId="634DF7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30、屏幕亮度设置：10档可调；</w:t>
            </w:r>
          </w:p>
          <w:p w14:paraId="0DBB50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31、装管方式：正面安排营养管，方便使用与巡回观察；</w:t>
            </w:r>
          </w:p>
          <w:p w14:paraId="424AE0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32、滴速检测：采用红外线传感器监测速度；</w:t>
            </w:r>
          </w:p>
          <w:p w14:paraId="407290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33、交流电源：100～240V，50/60HZ，最大功耗：60VA；</w:t>
            </w:r>
          </w:p>
          <w:p w14:paraId="5E311B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34、内置电池：可充电锂电池，DC10.8V，2600mAh，速度≤25ml/h时,工作时间≥10h；</w:t>
            </w:r>
          </w:p>
          <w:p w14:paraId="1E7BCC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35、工作环境：温度：+5℃～+40℃、湿度：15%～95%，大气压：57KPa～106Kpa；</w:t>
            </w:r>
          </w:p>
          <w:p w14:paraId="07DEF9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36、贮运环境：温度：-20℃～+55℃、湿度：10%～95%，大气压：50KPa～106Kpa；</w:t>
            </w:r>
          </w:p>
          <w:p w14:paraId="7E7889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37、安全类别：I类带内部电源类设备，CF型、IPX4设备；</w:t>
            </w:r>
          </w:p>
          <w:p w14:paraId="477EAA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38、</w:t>
            </w:r>
            <w:r>
              <w:rPr>
                <w:rFonts w:hint="eastAsia" w:ascii="宋体" w:hAnsi="宋体" w:eastAsia="宋体" w:cs="宋体"/>
                <w:color w:val="auto"/>
                <w:szCs w:val="21"/>
                <w:highlight w:val="none"/>
                <w:lang w:eastAsia="zh-CN"/>
              </w:rPr>
              <w:t>其他功能：工程模式有密码保护功能、有运行过程修改参数的功能、</w:t>
            </w:r>
            <w:r>
              <w:rPr>
                <w:rFonts w:hint="eastAsia" w:ascii="宋体" w:hAnsi="宋体" w:eastAsia="宋体" w:cs="宋体"/>
                <w:color w:val="auto"/>
                <w:szCs w:val="21"/>
                <w:highlight w:val="none"/>
                <w:lang w:val="en-US" w:eastAsia="zh-CN"/>
              </w:rPr>
              <w:t>支持</w:t>
            </w:r>
            <w:r>
              <w:rPr>
                <w:rFonts w:hint="eastAsia" w:ascii="宋体" w:hAnsi="宋体" w:eastAsia="宋体" w:cs="宋体"/>
                <w:color w:val="auto"/>
                <w:szCs w:val="21"/>
                <w:highlight w:val="none"/>
                <w:lang w:eastAsia="zh-CN"/>
              </w:rPr>
              <w:t>中英文切换；</w:t>
            </w:r>
          </w:p>
        </w:tc>
        <w:tc>
          <w:tcPr>
            <w:tcW w:w="1028" w:type="dxa"/>
            <w:tcBorders>
              <w:top w:val="single" w:color="auto" w:sz="4" w:space="0"/>
              <w:left w:val="single" w:color="auto" w:sz="4" w:space="0"/>
              <w:bottom w:val="single" w:color="auto" w:sz="4" w:space="0"/>
              <w:right w:val="single" w:color="auto" w:sz="4" w:space="0"/>
            </w:tcBorders>
            <w:vAlign w:val="center"/>
          </w:tcPr>
          <w:p w14:paraId="5430B79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3960.00</w:t>
            </w:r>
          </w:p>
        </w:tc>
      </w:tr>
      <w:tr w14:paraId="13556A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5F9633FE"/>
        </w:tc>
        <w:tc>
          <w:tcPr>
            <w:tcW w:w="545" w:type="dxa"/>
            <w:tcBorders>
              <w:top w:val="single" w:color="auto" w:sz="4" w:space="0"/>
              <w:left w:val="single" w:color="auto" w:sz="4" w:space="0"/>
              <w:bottom w:val="single" w:color="auto" w:sz="4" w:space="0"/>
              <w:right w:val="single" w:color="auto" w:sz="4" w:space="0"/>
            </w:tcBorders>
            <w:vAlign w:val="center"/>
          </w:tcPr>
          <w:p w14:paraId="1A34336A">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w:t>
            </w:r>
          </w:p>
        </w:tc>
        <w:tc>
          <w:tcPr>
            <w:tcW w:w="1092" w:type="dxa"/>
            <w:tcBorders>
              <w:top w:val="single" w:color="auto" w:sz="4" w:space="0"/>
              <w:left w:val="single" w:color="auto" w:sz="4" w:space="0"/>
              <w:bottom w:val="single" w:color="auto" w:sz="4" w:space="0"/>
              <w:right w:val="single" w:color="auto" w:sz="4" w:space="0"/>
            </w:tcBorders>
            <w:vAlign w:val="center"/>
          </w:tcPr>
          <w:p w14:paraId="6E41D83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便携式彩色多普勒超声诊断系统</w:t>
            </w:r>
          </w:p>
        </w:tc>
        <w:tc>
          <w:tcPr>
            <w:tcW w:w="670" w:type="dxa"/>
            <w:tcBorders>
              <w:top w:val="single" w:color="auto" w:sz="4" w:space="0"/>
              <w:left w:val="single" w:color="auto" w:sz="4" w:space="0"/>
              <w:bottom w:val="single" w:color="auto" w:sz="4" w:space="0"/>
              <w:right w:val="single" w:color="auto" w:sz="4" w:space="0"/>
            </w:tcBorders>
            <w:vAlign w:val="center"/>
          </w:tcPr>
          <w:p w14:paraId="37510E8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2台</w:t>
            </w:r>
          </w:p>
        </w:tc>
        <w:tc>
          <w:tcPr>
            <w:tcW w:w="6241" w:type="dxa"/>
            <w:tcBorders>
              <w:top w:val="single" w:color="auto" w:sz="4" w:space="0"/>
              <w:left w:val="single" w:color="auto" w:sz="4" w:space="0"/>
              <w:bottom w:val="single" w:color="auto" w:sz="4" w:space="0"/>
              <w:right w:val="single" w:color="auto" w:sz="4" w:space="0"/>
            </w:tcBorders>
            <w:vAlign w:val="center"/>
          </w:tcPr>
          <w:p w14:paraId="5685C7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1主机系统性能</w:t>
            </w:r>
          </w:p>
          <w:p w14:paraId="70D700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1.1便携彩超主机；</w:t>
            </w:r>
          </w:p>
          <w:p w14:paraId="01628E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1.2≥15.3</w:t>
            </w:r>
            <w:r>
              <w:rPr>
                <w:rFonts w:hint="eastAsia" w:ascii="宋体" w:hAnsi="宋体" w:eastAsia="宋体" w:cs="宋体"/>
                <w:color w:val="auto"/>
                <w:szCs w:val="21"/>
                <w:highlight w:val="none"/>
                <w:lang w:val="en-US" w:eastAsia="zh-CN"/>
              </w:rPr>
              <w:t>寸</w:t>
            </w:r>
            <w:r>
              <w:rPr>
                <w:rFonts w:hint="eastAsia" w:ascii="宋体" w:hAnsi="宋体" w:eastAsia="宋体" w:cs="宋体"/>
                <w:color w:val="auto"/>
                <w:szCs w:val="21"/>
                <w:highlight w:val="none"/>
                <w:lang w:eastAsia="zh-CN"/>
              </w:rPr>
              <w:t>超薄宽屏高分辨率彩色液晶显示器；</w:t>
            </w:r>
          </w:p>
          <w:p w14:paraId="0F440D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1.3主机重量≤6.2kg（不含电池）；</w:t>
            </w:r>
          </w:p>
          <w:p w14:paraId="491CD6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1.4主机可配置内置探头接口≥2个，大小一致，全激活，互通互用；</w:t>
            </w:r>
          </w:p>
          <w:p w14:paraId="4EAA82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1.5物理键盘操作面板，轨迹球操作，而非触控板和触摸屏；</w:t>
            </w:r>
          </w:p>
          <w:p w14:paraId="06FFA5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1.6数字波束形成器；</w:t>
            </w:r>
          </w:p>
          <w:p w14:paraId="6662CB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1.7多倍信号并行处理技术；</w:t>
            </w:r>
          </w:p>
          <w:p w14:paraId="2C5E2E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1.8数字化全程动态聚焦；</w:t>
            </w:r>
          </w:p>
          <w:p w14:paraId="3FC9DC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1.9数字化可变孔径及动态变迹技术，A/D≥12bit；</w:t>
            </w:r>
          </w:p>
          <w:p w14:paraId="510ACA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1.10接收方式：发射、接收通道≥1024；</w:t>
            </w:r>
          </w:p>
          <w:p w14:paraId="4D01A3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1.11二维灰阶成像单元；</w:t>
            </w:r>
          </w:p>
          <w:p w14:paraId="147CBE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1.12谐波成像单元；</w:t>
            </w:r>
          </w:p>
          <w:p w14:paraId="5B06E3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1.13M型成像单元；</w:t>
            </w:r>
          </w:p>
          <w:p w14:paraId="2DABFF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1.14彩色多普勒成像单元；</w:t>
            </w:r>
          </w:p>
          <w:p w14:paraId="129138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1.15频谱多普勒成像单元；</w:t>
            </w:r>
          </w:p>
          <w:p w14:paraId="34A9D7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1.16组织多普勒成像；</w:t>
            </w:r>
          </w:p>
          <w:p w14:paraId="593F6D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1.17高分辨率血流成像，支持线阵和凸阵；</w:t>
            </w:r>
          </w:p>
          <w:p w14:paraId="6C20D4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1.18解剖M型成像，≥3线，360°可调；</w:t>
            </w:r>
          </w:p>
          <w:p w14:paraId="42DE41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1.19彩色M型成像；</w:t>
            </w:r>
          </w:p>
          <w:p w14:paraId="00F17B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1.20空间复合成像，≥4级可调，最高可支持9线空间复合；</w:t>
            </w:r>
          </w:p>
          <w:p w14:paraId="760CBA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1.21具有组织特异性成像，能够独立选择实质、普通、脂肪、液性成像模式；</w:t>
            </w:r>
          </w:p>
          <w:p w14:paraId="0931B4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1.22支持腔内探头温控技术，温度值实时显示在屏幕上；</w:t>
            </w:r>
          </w:p>
          <w:p w14:paraId="3E91AD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1.23二维角度独立偏转成像，≥5级可调；</w:t>
            </w:r>
          </w:p>
          <w:p w14:paraId="036039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1.24斑点噪音抑制，多级可调；</w:t>
            </w:r>
          </w:p>
          <w:p w14:paraId="7BA129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1.25一键自动优化，支持二维、M模式、彩色多普勒、能量多普勒、方向能量多普勒及频谱多普勒成像模式；</w:t>
            </w:r>
          </w:p>
          <w:p w14:paraId="4AA805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1.26扩展成像，支持线阵、凸阵，支持二维、彩色多普勒模式；</w:t>
            </w:r>
          </w:p>
          <w:p w14:paraId="1D31C6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1.27图像放大功能，支持前端放大、后端放大；</w:t>
            </w:r>
          </w:p>
          <w:p w14:paraId="61AED1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1.28支持一键全屏放大；</w:t>
            </w:r>
          </w:p>
          <w:p w14:paraId="0A4AEC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1.29多语言操作界面：支持中文键盘输入；</w:t>
            </w:r>
          </w:p>
          <w:p w14:paraId="2506DD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1.30支持穿刺引导功能，具备单线引导和双线引导以及中位线引导，具备点状引导线，标识进针深度；</w:t>
            </w:r>
          </w:p>
          <w:p w14:paraId="0FA4797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1.31穿刺增强；</w:t>
            </w:r>
          </w:p>
          <w:p w14:paraId="2D9EBB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1.32图形化预设置：针对不同的检查脏器，预置最佳图像检查条件，并以脏器图标直观显示。</w:t>
            </w:r>
          </w:p>
          <w:p w14:paraId="340DBB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2探头规格</w:t>
            </w:r>
          </w:p>
          <w:p w14:paraId="0521DF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2.1超宽频变频探头：基波≥5种，谐波≥5种，彩色多普勒≥3种，PW≥3种，可视可调；</w:t>
            </w:r>
          </w:p>
          <w:p w14:paraId="5BAF68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2.2探头配置：支持凸阵、线阵、相控阵、微凸阵、腔内等探头；</w:t>
            </w:r>
          </w:p>
          <w:p w14:paraId="1811EE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2.3腹部凸阵探头，探头频率：1.5-6.5MHz；</w:t>
            </w:r>
          </w:p>
          <w:p w14:paraId="45BA60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2.4浅表线阵探头，探头频率：5.0-16.0MHz。</w:t>
            </w:r>
          </w:p>
          <w:p w14:paraId="1D3D9F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3二维灰阶参数</w:t>
            </w:r>
          </w:p>
          <w:p w14:paraId="15B10F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3.1最大显示深度≥38cm；</w:t>
            </w:r>
          </w:p>
          <w:p w14:paraId="7A05FF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3.2发射声束聚焦：聚焦区域多级可调；</w:t>
            </w:r>
          </w:p>
          <w:p w14:paraId="7E10F3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3.3二维增益调节范围≥250dB，动态范围≥300dB，可视可调；</w:t>
            </w:r>
          </w:p>
          <w:p w14:paraId="0FD703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3.4物理滑动TGC分段调节≥8段，具有TGC曲线显示；</w:t>
            </w:r>
          </w:p>
          <w:p w14:paraId="11E87B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3.5侧向增益补偿LCG≥8段，具有LGC曲线显示；</w:t>
            </w:r>
          </w:p>
          <w:p w14:paraId="27DD73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3.6伪彩≥12种；</w:t>
            </w:r>
          </w:p>
          <w:p w14:paraId="6E10B2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3.7声功率1–100%，可视可调。</w:t>
            </w:r>
          </w:p>
          <w:p w14:paraId="0A428B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4彩色多普勒参数</w:t>
            </w:r>
          </w:p>
          <w:p w14:paraId="1412BB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4.1包括速度、速度方差、能量、方向能量显示等；</w:t>
            </w:r>
          </w:p>
          <w:p w14:paraId="1B7FCB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4.2多普勒增益≥250dB；</w:t>
            </w:r>
          </w:p>
          <w:p w14:paraId="5A689D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4.3彩色多普勒定量分析软件：彩色血流剖面图、定点测速功能。</w:t>
            </w:r>
          </w:p>
          <w:p w14:paraId="38D3E6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5频谱多普勒参数</w:t>
            </w:r>
          </w:p>
          <w:p w14:paraId="61B89C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5.1方式：脉冲波多普勒（PW）、连续波多普勒（CW）、高脉冲重复频率多普勒（HPRF）；</w:t>
            </w:r>
          </w:p>
          <w:p w14:paraId="5FCCE5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5.2B/D兼用：线阵：B/PW，凸阵：B/PW，扇扫：B/PW、B/CW；</w:t>
            </w:r>
          </w:p>
          <w:p w14:paraId="3DF821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5.3取样宽度及位置范围：宽度0.5–24mm；</w:t>
            </w:r>
          </w:p>
          <w:p w14:paraId="09FA16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5.4显示控制：反转显示（左/右；上/下）；</w:t>
            </w:r>
          </w:p>
          <w:p w14:paraId="78582F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5.5频谱实时包络功能，在实时诊断下，频谱实时包络并显示血流参数。</w:t>
            </w:r>
          </w:p>
          <w:p w14:paraId="7ECDB8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6系统通用技术规格</w:t>
            </w:r>
          </w:p>
          <w:p w14:paraId="0315BA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6.1内置锂电池独立供电，电池独立供电工作时间&gt;1.3小时；</w:t>
            </w:r>
          </w:p>
          <w:p w14:paraId="0AA4D0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6.2主机内置USB接口≥2个；</w:t>
            </w:r>
          </w:p>
          <w:p w14:paraId="64E435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6.3主机内置HDMI、S-VIDEO等接口。</w:t>
            </w:r>
          </w:p>
          <w:p w14:paraId="5CEB2D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7测量和分析</w:t>
            </w:r>
          </w:p>
          <w:p w14:paraId="5EFD43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7.1常规测量软件包：距离、面积、体积、角度、时间、斜率、心率等；</w:t>
            </w:r>
          </w:p>
          <w:p w14:paraId="7C307A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7.2腹部测量软件包：肝脏、胆囊、脾脏、肾脏等；</w:t>
            </w:r>
          </w:p>
          <w:p w14:paraId="02CD0E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7.3妇科测量软件包：子宫、子宫动脉、卵巢、卵泡、子宫肌瘤等；</w:t>
            </w:r>
          </w:p>
          <w:p w14:paraId="50ACA9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7.4产科测量软件包：具有≥4胞胎对比测量分析，支持胎儿生长曲线显示等；</w:t>
            </w:r>
          </w:p>
          <w:p w14:paraId="1A4E4A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7.5心脏测量软件包：心功能、心房容积、左室心肌重量等；</w:t>
            </w:r>
          </w:p>
          <w:p w14:paraId="40227D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7.6泌尿测量软件包：肾脏、肾上腺、膀胱、前列腺、睾丸等；</w:t>
            </w:r>
          </w:p>
          <w:p w14:paraId="22B7C5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7.7小器官测量软件包：乳腺、甲状腺；</w:t>
            </w:r>
          </w:p>
          <w:p w14:paraId="32460A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7.8儿科测量软件包：髋关节测量；</w:t>
            </w:r>
          </w:p>
          <w:p w14:paraId="6CCB6F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7.9血管测量软件包：血管直径、血管面积、IMT内中膜自动测量。</w:t>
            </w:r>
          </w:p>
          <w:p w14:paraId="3DA465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8图像存储，回放和浏览</w:t>
            </w:r>
          </w:p>
          <w:p w14:paraId="11960F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8.1同屏一体化智能剪切板；</w:t>
            </w:r>
          </w:p>
          <w:p w14:paraId="380B79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8.2支持快速存储和浏览屏幕图像、电影；</w:t>
            </w:r>
          </w:p>
          <w:p w14:paraId="3E7DF4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8.3存储动、静态图像，屏幕可显示硬盘容量数据信息；</w:t>
            </w:r>
          </w:p>
          <w:p w14:paraId="380797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8.4主机内置报告系统。</w:t>
            </w:r>
          </w:p>
          <w:p w14:paraId="7EF723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9图文工作站</w:t>
            </w:r>
          </w:p>
          <w:p w14:paraId="7E34D9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9.1系统可存储病人信息，可查询、检索、调阅历史信息；</w:t>
            </w:r>
          </w:p>
          <w:p w14:paraId="28A352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9.2支持动、静态图像文件及病人报告的存储，以及病人图像的快速浏览；</w:t>
            </w:r>
          </w:p>
          <w:p w14:paraId="40746D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9.3支持的存储介质：内部硬盘、USB移动存储设备；</w:t>
            </w:r>
          </w:p>
          <w:p w14:paraId="037663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9.4支持AVI、WMV、JPG、BMP、TIF等格式输出。</w:t>
            </w:r>
          </w:p>
        </w:tc>
        <w:tc>
          <w:tcPr>
            <w:tcW w:w="1028" w:type="dxa"/>
            <w:tcBorders>
              <w:top w:val="single" w:color="auto" w:sz="4" w:space="0"/>
              <w:left w:val="single" w:color="auto" w:sz="4" w:space="0"/>
              <w:bottom w:val="single" w:color="auto" w:sz="4" w:space="0"/>
              <w:right w:val="single" w:color="auto" w:sz="4" w:space="0"/>
            </w:tcBorders>
            <w:vAlign w:val="center"/>
          </w:tcPr>
          <w:p w14:paraId="6E8A102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242550.00</w:t>
            </w:r>
          </w:p>
        </w:tc>
      </w:tr>
      <w:tr w14:paraId="6E776B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52A6D7D2"/>
        </w:tc>
        <w:tc>
          <w:tcPr>
            <w:tcW w:w="545" w:type="dxa"/>
            <w:tcBorders>
              <w:top w:val="single" w:color="auto" w:sz="4" w:space="0"/>
              <w:left w:val="single" w:color="auto" w:sz="4" w:space="0"/>
              <w:bottom w:val="single" w:color="auto" w:sz="4" w:space="0"/>
              <w:right w:val="single" w:color="auto" w:sz="4" w:space="0"/>
            </w:tcBorders>
            <w:vAlign w:val="center"/>
          </w:tcPr>
          <w:p w14:paraId="52462CEE">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w:t>
            </w:r>
          </w:p>
        </w:tc>
        <w:tc>
          <w:tcPr>
            <w:tcW w:w="1092" w:type="dxa"/>
            <w:tcBorders>
              <w:top w:val="single" w:color="auto" w:sz="4" w:space="0"/>
              <w:left w:val="single" w:color="auto" w:sz="4" w:space="0"/>
              <w:bottom w:val="single" w:color="auto" w:sz="4" w:space="0"/>
              <w:right w:val="single" w:color="auto" w:sz="4" w:space="0"/>
            </w:tcBorders>
            <w:vAlign w:val="center"/>
          </w:tcPr>
          <w:p w14:paraId="0BE38EB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电动洗胃机</w:t>
            </w:r>
          </w:p>
        </w:tc>
        <w:tc>
          <w:tcPr>
            <w:tcW w:w="670" w:type="dxa"/>
            <w:tcBorders>
              <w:top w:val="single" w:color="auto" w:sz="4" w:space="0"/>
              <w:left w:val="single" w:color="auto" w:sz="4" w:space="0"/>
              <w:bottom w:val="single" w:color="auto" w:sz="4" w:space="0"/>
              <w:right w:val="single" w:color="auto" w:sz="4" w:space="0"/>
            </w:tcBorders>
            <w:vAlign w:val="center"/>
          </w:tcPr>
          <w:p w14:paraId="628C445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1台</w:t>
            </w:r>
          </w:p>
        </w:tc>
        <w:tc>
          <w:tcPr>
            <w:tcW w:w="6241" w:type="dxa"/>
            <w:tcBorders>
              <w:top w:val="single" w:color="auto" w:sz="4" w:space="0"/>
              <w:left w:val="single" w:color="auto" w:sz="4" w:space="0"/>
              <w:bottom w:val="single" w:color="auto" w:sz="4" w:space="0"/>
              <w:right w:val="single" w:color="auto" w:sz="4" w:space="0"/>
            </w:tcBorders>
            <w:vAlign w:val="center"/>
          </w:tcPr>
          <w:p w14:paraId="3A4425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1.结构：采用无堵塞结构，无需过滤网，有效防止洗胃过程带来危险；</w:t>
            </w:r>
          </w:p>
          <w:p w14:paraId="5C9527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2.压力反馈控制系统，强力换向防堵结构，机器无堵塞、卡死现象；</w:t>
            </w:r>
          </w:p>
          <w:p w14:paraId="7407B5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3.压力、液量双重安全保护，确保患者安全，有效提高救治效率；</w:t>
            </w:r>
          </w:p>
          <w:p w14:paraId="420BBF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4.实时显示洗胃状态、次数；</w:t>
            </w:r>
          </w:p>
          <w:p w14:paraId="07D836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5.采用微电脑控制，全中文液晶显示。</w:t>
            </w:r>
          </w:p>
          <w:p w14:paraId="2C9665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6.洗胃：进液和出液异步进行，先出液后进液；</w:t>
            </w:r>
          </w:p>
          <w:p w14:paraId="594551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7.平衡：在“停止”或“洗胃”状态下，按此键机器完成一个出液过程后，自动转换成“洗胃”状态的进液；</w:t>
            </w:r>
          </w:p>
          <w:p w14:paraId="4793B6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8.液量：根据需要可选择进液量，分别为：150ml；250ml；350ml；</w:t>
            </w:r>
          </w:p>
          <w:p w14:paraId="6023E6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9.清零：可对洗胃次数进行清零；</w:t>
            </w:r>
          </w:p>
          <w:p w14:paraId="4F03BA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10.复位：可恢复至初始状态；</w:t>
            </w:r>
          </w:p>
          <w:p w14:paraId="1F5840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11.停止：按此键停机；</w:t>
            </w:r>
          </w:p>
          <w:p w14:paraId="64BCF0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12.进、出液量：进液量为150ml档，其对应的出液量在180ml～230ml之间；进液量为250ml档，其对应的出液量在280ml～330ml之间。进液量为350mL档，其对应的出液量在375mL～450mL之间。</w:t>
            </w:r>
          </w:p>
          <w:p w14:paraId="75D42B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13.清洗液的流量：机器洗胃接口处清洗液流量应≥2000mL/min；</w:t>
            </w:r>
          </w:p>
          <w:p w14:paraId="0D1551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14.限定压力：机器的限定压力是机器设定的额定最大工作压力，其压力绝对值应在47kPa~67kPa范围中；</w:t>
            </w:r>
          </w:p>
          <w:p w14:paraId="307FB5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15.工作噪声：机器正常工作时工作噪声不大于A声级65dB；</w:t>
            </w:r>
          </w:p>
          <w:p w14:paraId="1E42DE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16.输入功率：≤100VA。</w:t>
            </w:r>
          </w:p>
        </w:tc>
        <w:tc>
          <w:tcPr>
            <w:tcW w:w="1028" w:type="dxa"/>
            <w:tcBorders>
              <w:top w:val="single" w:color="auto" w:sz="4" w:space="0"/>
              <w:left w:val="single" w:color="auto" w:sz="4" w:space="0"/>
              <w:bottom w:val="single" w:color="auto" w:sz="4" w:space="0"/>
              <w:right w:val="single" w:color="auto" w:sz="4" w:space="0"/>
            </w:tcBorders>
            <w:vAlign w:val="center"/>
          </w:tcPr>
          <w:p w14:paraId="6505204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7920.00</w:t>
            </w:r>
          </w:p>
        </w:tc>
      </w:tr>
      <w:tr w14:paraId="2B034D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26C5A849"/>
        </w:tc>
        <w:tc>
          <w:tcPr>
            <w:tcW w:w="545" w:type="dxa"/>
            <w:tcBorders>
              <w:top w:val="single" w:color="auto" w:sz="4" w:space="0"/>
              <w:left w:val="single" w:color="auto" w:sz="4" w:space="0"/>
              <w:bottom w:val="single" w:color="auto" w:sz="4" w:space="0"/>
              <w:right w:val="single" w:color="auto" w:sz="4" w:space="0"/>
            </w:tcBorders>
            <w:vAlign w:val="center"/>
          </w:tcPr>
          <w:p w14:paraId="7B98DBD5">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w:t>
            </w:r>
          </w:p>
        </w:tc>
        <w:tc>
          <w:tcPr>
            <w:tcW w:w="1092" w:type="dxa"/>
            <w:tcBorders>
              <w:top w:val="single" w:color="auto" w:sz="4" w:space="0"/>
              <w:left w:val="single" w:color="auto" w:sz="4" w:space="0"/>
              <w:bottom w:val="single" w:color="auto" w:sz="4" w:space="0"/>
              <w:right w:val="single" w:color="auto" w:sz="4" w:space="0"/>
            </w:tcBorders>
            <w:vAlign w:val="center"/>
          </w:tcPr>
          <w:p w14:paraId="0F793A3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医用升温毯</w:t>
            </w:r>
          </w:p>
        </w:tc>
        <w:tc>
          <w:tcPr>
            <w:tcW w:w="670" w:type="dxa"/>
            <w:tcBorders>
              <w:top w:val="single" w:color="auto" w:sz="4" w:space="0"/>
              <w:left w:val="single" w:color="auto" w:sz="4" w:space="0"/>
              <w:bottom w:val="single" w:color="auto" w:sz="4" w:space="0"/>
              <w:right w:val="single" w:color="auto" w:sz="4" w:space="0"/>
            </w:tcBorders>
            <w:vAlign w:val="center"/>
          </w:tcPr>
          <w:p w14:paraId="4336564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1台</w:t>
            </w:r>
          </w:p>
        </w:tc>
        <w:tc>
          <w:tcPr>
            <w:tcW w:w="6241" w:type="dxa"/>
            <w:tcBorders>
              <w:top w:val="single" w:color="auto" w:sz="4" w:space="0"/>
              <w:left w:val="single" w:color="auto" w:sz="4" w:space="0"/>
              <w:bottom w:val="single" w:color="auto" w:sz="4" w:space="0"/>
              <w:right w:val="single" w:color="auto" w:sz="4" w:space="0"/>
            </w:tcBorders>
            <w:vAlign w:val="center"/>
          </w:tcPr>
          <w:p w14:paraId="6C031D2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1.适用范围：在医疗机构临床使用环境下，通过控制毯子温度，具有对人体进行体外物理升温功能，辅助调节人体温度；</w:t>
            </w:r>
          </w:p>
          <w:p w14:paraId="05AB1F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2.系统结构：双路输出，双温双控，可单/双升温毯(垫)组合使用；</w:t>
            </w:r>
          </w:p>
          <w:p w14:paraId="1D1282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3.显示方式：</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7寸</w:t>
            </w:r>
            <w:r>
              <w:rPr>
                <w:rFonts w:hint="eastAsia" w:ascii="宋体" w:hAnsi="宋体" w:eastAsia="宋体" w:cs="宋体"/>
                <w:color w:val="auto"/>
                <w:szCs w:val="21"/>
                <w:highlight w:val="none"/>
                <w:lang w:eastAsia="zh-CN"/>
              </w:rPr>
              <w:t>全电脑彩色液晶触摸屏控制系统，智能化控温，同屏显示两个患者体温、毯温、运行状态及运行时间；</w:t>
            </w:r>
          </w:p>
          <w:p w14:paraId="0EC383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4.升温毯温度设定范围：30℃～40℃；步进：0.1℃；显示精度：0.1℃；</w:t>
            </w:r>
          </w:p>
          <w:p w14:paraId="24FB5C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5.体温传感器监测范围：25℃～45℃，允差：±0.2℃；</w:t>
            </w:r>
          </w:p>
          <w:p w14:paraId="5B387F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6.外形结构：外型尺寸（长*宽*高）约21×31×21厘米，可悬挂床头；整机重量：≥2.5kg；</w:t>
            </w:r>
          </w:p>
          <w:p w14:paraId="709D11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7.性能特点：升温毯（铺/盖）；</w:t>
            </w:r>
          </w:p>
          <w:p w14:paraId="0D4B77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7.1升温毯采用低电压（12V）运行，核心发热材质为碳纤维发热材料，升温均匀速度快；</w:t>
            </w:r>
          </w:p>
          <w:p w14:paraId="24249A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7.2升温毯可反复使用，无耗材消耗，不产生废水和废气；</w:t>
            </w:r>
          </w:p>
          <w:p w14:paraId="05AF08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7.3升温毯内置多个感温探头，实时测温，确保安全；</w:t>
            </w:r>
          </w:p>
          <w:p w14:paraId="34B9FA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7.4升温毯的接触层绵软舒适，能有效预防褥疮；</w:t>
            </w:r>
            <w:r>
              <w:rPr>
                <w:rFonts w:hint="eastAsia" w:ascii="宋体" w:hAnsi="宋体" w:eastAsia="宋体" w:cs="宋体"/>
                <w:color w:val="auto"/>
                <w:szCs w:val="21"/>
                <w:highlight w:val="none"/>
                <w:lang w:eastAsia="zh-CN"/>
              </w:rPr>
              <w:tab/>
            </w:r>
          </w:p>
          <w:p w14:paraId="2C06A0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7.5多种规格选择，满足不同患者使用需求；</w:t>
            </w:r>
          </w:p>
          <w:p w14:paraId="4CF90F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7.6升温毯可透X射线；</w:t>
            </w:r>
          </w:p>
          <w:p w14:paraId="20AE74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8.按防护程度分类：升温毯（铺/盖）防水等级≥7级，需在投标文件中提供说明书复印件；</w:t>
            </w:r>
          </w:p>
          <w:p w14:paraId="69BFF3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9.报警功能：</w:t>
            </w:r>
          </w:p>
          <w:p w14:paraId="15764C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9.1医用升温毯具有体温传感器脱落报警提示功能；</w:t>
            </w:r>
          </w:p>
          <w:p w14:paraId="279856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9.2当升温毯温度超过41℃时，停止工作并具有相应的报警功能；</w:t>
            </w:r>
          </w:p>
          <w:p w14:paraId="094E78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9.3当网电源故障时，具有相应的报警功能；</w:t>
            </w:r>
          </w:p>
          <w:p w14:paraId="4A8B03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9.4可分别独立设置双路通道传感器上/下限报警温度的提示功能（报警温度设置范围37-44℃）、双路体温传感通道可分别独立设置体温传感器上/下限报警温度的提示功能（报警温度上/下限范围30-44℃）；</w:t>
            </w:r>
          </w:p>
          <w:p w14:paraId="47ACFB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10.安全特性：具有独立的非自动复位热断路器，以降低接触面温度过高的风险；</w:t>
            </w:r>
          </w:p>
          <w:p w14:paraId="31361B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11.医用升温毯正常工作时，毯子承重不小于150kg；</w:t>
            </w:r>
          </w:p>
          <w:p w14:paraId="186204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12.输入功率：约300VA。</w:t>
            </w:r>
          </w:p>
        </w:tc>
        <w:tc>
          <w:tcPr>
            <w:tcW w:w="1028" w:type="dxa"/>
            <w:tcBorders>
              <w:top w:val="single" w:color="auto" w:sz="4" w:space="0"/>
              <w:left w:val="single" w:color="auto" w:sz="4" w:space="0"/>
              <w:bottom w:val="single" w:color="auto" w:sz="4" w:space="0"/>
              <w:right w:val="single" w:color="auto" w:sz="4" w:space="0"/>
            </w:tcBorders>
            <w:vAlign w:val="center"/>
          </w:tcPr>
          <w:p w14:paraId="09E69EB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32670.00</w:t>
            </w:r>
          </w:p>
        </w:tc>
      </w:tr>
      <w:tr w14:paraId="2F900C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7FC7675F"/>
        </w:tc>
        <w:tc>
          <w:tcPr>
            <w:tcW w:w="545" w:type="dxa"/>
            <w:tcBorders>
              <w:top w:val="single" w:color="auto" w:sz="4" w:space="0"/>
              <w:left w:val="single" w:color="auto" w:sz="4" w:space="0"/>
              <w:bottom w:val="single" w:color="auto" w:sz="4" w:space="0"/>
              <w:right w:val="single" w:color="auto" w:sz="4" w:space="0"/>
            </w:tcBorders>
            <w:vAlign w:val="center"/>
          </w:tcPr>
          <w:p w14:paraId="51938C8F">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w:t>
            </w:r>
          </w:p>
        </w:tc>
        <w:tc>
          <w:tcPr>
            <w:tcW w:w="1092" w:type="dxa"/>
            <w:tcBorders>
              <w:top w:val="single" w:color="auto" w:sz="4" w:space="0"/>
              <w:left w:val="single" w:color="auto" w:sz="4" w:space="0"/>
              <w:bottom w:val="single" w:color="auto" w:sz="4" w:space="0"/>
              <w:right w:val="single" w:color="auto" w:sz="4" w:space="0"/>
            </w:tcBorders>
            <w:vAlign w:val="center"/>
          </w:tcPr>
          <w:p w14:paraId="421A3EE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心电监护仪</w:t>
            </w:r>
          </w:p>
        </w:tc>
        <w:tc>
          <w:tcPr>
            <w:tcW w:w="670" w:type="dxa"/>
            <w:tcBorders>
              <w:top w:val="single" w:color="auto" w:sz="4" w:space="0"/>
              <w:left w:val="single" w:color="auto" w:sz="4" w:space="0"/>
              <w:bottom w:val="single" w:color="auto" w:sz="4" w:space="0"/>
              <w:right w:val="single" w:color="auto" w:sz="4" w:space="0"/>
            </w:tcBorders>
            <w:vAlign w:val="center"/>
          </w:tcPr>
          <w:p w14:paraId="6D79DA1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11台</w:t>
            </w:r>
          </w:p>
        </w:tc>
        <w:tc>
          <w:tcPr>
            <w:tcW w:w="6241" w:type="dxa"/>
            <w:tcBorders>
              <w:top w:val="single" w:color="auto" w:sz="4" w:space="0"/>
              <w:left w:val="single" w:color="auto" w:sz="4" w:space="0"/>
              <w:bottom w:val="single" w:color="auto" w:sz="4" w:space="0"/>
              <w:right w:val="single" w:color="auto" w:sz="4" w:space="0"/>
            </w:tcBorders>
            <w:vAlign w:val="center"/>
          </w:tcPr>
          <w:p w14:paraId="233483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1.≥10英寸彩色液晶电容触摸屏，分辨率为1280×800像素，≥8通道波形显示。</w:t>
            </w:r>
          </w:p>
          <w:p w14:paraId="13C771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2.具有光传感器，根据环境光自动调节屏幕亮度功能。</w:t>
            </w:r>
          </w:p>
          <w:p w14:paraId="178B20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3.支持中文手写、拼音、英文3种输入法。</w:t>
            </w:r>
          </w:p>
          <w:p w14:paraId="44786A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4.具有单独的电池仓，免螺丝刀拆卸更换电池。</w:t>
            </w:r>
          </w:p>
          <w:p w14:paraId="4BCF72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5.可监测心电、血氧、脉搏、无创血压、呼吸、体温等基础参数，可升级Masimo/Nellcor SPO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、IBP、ETCO2、C.O.等参数模块。</w:t>
            </w:r>
          </w:p>
          <w:p w14:paraId="02F778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6.标配3/5导心电，支持升级6/12导心电，具有智能导联脱落，多导同步分析功能；</w:t>
            </w:r>
          </w:p>
          <w:p w14:paraId="7912D3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7.具有强大的心电抗干扰能力，耐极化电压：±800mV，系统噪声≤25μv；</w:t>
            </w:r>
          </w:p>
          <w:p w14:paraId="19D06D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8.心电模式具有诊断、手术、监护、ST模式，其中手术、监护、ST模式共模抑制能力&gt;106dB；具备心拍类型识别功能，可区分正常心拍、异常心拍、起搏心拍；</w:t>
            </w:r>
          </w:p>
          <w:p w14:paraId="5D0300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9.≥27种心律失常分析，包括房颤、室颤、停搏等；</w:t>
            </w:r>
          </w:p>
          <w:p w14:paraId="152F47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10.具有心率变异性分析功能；</w:t>
            </w:r>
          </w:p>
          <w:p w14:paraId="21DA31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11.支持升级Glasgow12导静息心电分析，适用于成人、小儿和新生儿；</w:t>
            </w:r>
          </w:p>
          <w:p w14:paraId="2ABB1E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12.具有ST段分析和ST View功能，可实时监测ST段，评估心肌缺血，测量范围-2.5mV-+2.5mV；</w:t>
            </w:r>
          </w:p>
          <w:p w14:paraId="58318D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13.具有QT/QTc测量功能，提供QT、QTc参数值，测量范围：200ms-800ms；</w:t>
            </w:r>
          </w:p>
          <w:p w14:paraId="02BFA9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14.无创血压具有五种测量模式：手动、自动、序列、整点和连续测量；具有动态血压监测界面</w:t>
            </w:r>
          </w:p>
          <w:p w14:paraId="41453E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15.具有多种界面显示：标准、大字体、动态趋势、呼吸氧合、它床观察、ECG全屏、ECG半屏、ECG12导（选配）、PAWP（选配）、EWS、单血氧、CCHD界面（选配）等；</w:t>
            </w:r>
          </w:p>
          <w:p w14:paraId="45C017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16.用户可自定义调节界面布局波形和参数功能；</w:t>
            </w:r>
          </w:p>
          <w:p w14:paraId="2E8510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17.支持计时器功能，可以同时显示至少4个计时器。</w:t>
            </w:r>
          </w:p>
          <w:p w14:paraId="71EEC9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18.计算功能：具有药物计算、肾功能计算、氧合计算、通气计算、血流动力学计算和滴定表功能；</w:t>
            </w:r>
          </w:p>
          <w:p w14:paraId="57DE11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19.可支持≥240小时趋势图/表、≥3000组NIBP列表、≥2500组报警事件、≥48小时全息波形、≥48小时心律失常数据的存储和回顾；</w:t>
            </w:r>
          </w:p>
          <w:p w14:paraId="73362D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20.具备24小时心电概览报告，可查看心率统计、心律失常统计、QT/QTc统计、ST段统计、起搏统计等信息；</w:t>
            </w:r>
          </w:p>
        </w:tc>
        <w:tc>
          <w:tcPr>
            <w:tcW w:w="1028" w:type="dxa"/>
            <w:tcBorders>
              <w:top w:val="single" w:color="auto" w:sz="4" w:space="0"/>
              <w:left w:val="single" w:color="auto" w:sz="4" w:space="0"/>
              <w:bottom w:val="single" w:color="auto" w:sz="4" w:space="0"/>
              <w:right w:val="single" w:color="auto" w:sz="4" w:space="0"/>
            </w:tcBorders>
            <w:vAlign w:val="center"/>
          </w:tcPr>
          <w:p w14:paraId="07170BD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14157.00</w:t>
            </w:r>
          </w:p>
        </w:tc>
      </w:tr>
      <w:tr w14:paraId="47A3B2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51ED7F16"/>
        </w:tc>
        <w:tc>
          <w:tcPr>
            <w:tcW w:w="545" w:type="dxa"/>
            <w:tcBorders>
              <w:top w:val="single" w:color="auto" w:sz="4" w:space="0"/>
              <w:left w:val="single" w:color="auto" w:sz="4" w:space="0"/>
              <w:bottom w:val="single" w:color="auto" w:sz="4" w:space="0"/>
              <w:right w:val="single" w:color="auto" w:sz="4" w:space="0"/>
            </w:tcBorders>
            <w:vAlign w:val="center"/>
          </w:tcPr>
          <w:p w14:paraId="660E5921">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p>
        </w:tc>
        <w:tc>
          <w:tcPr>
            <w:tcW w:w="1092" w:type="dxa"/>
            <w:tcBorders>
              <w:top w:val="single" w:color="auto" w:sz="4" w:space="0"/>
              <w:left w:val="single" w:color="auto" w:sz="4" w:space="0"/>
              <w:bottom w:val="single" w:color="auto" w:sz="4" w:space="0"/>
              <w:right w:val="single" w:color="auto" w:sz="4" w:space="0"/>
            </w:tcBorders>
            <w:vAlign w:val="center"/>
          </w:tcPr>
          <w:p w14:paraId="35CD43E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脉搏血氧仪</w:t>
            </w:r>
          </w:p>
        </w:tc>
        <w:tc>
          <w:tcPr>
            <w:tcW w:w="670" w:type="dxa"/>
            <w:tcBorders>
              <w:top w:val="single" w:color="auto" w:sz="4" w:space="0"/>
              <w:left w:val="single" w:color="auto" w:sz="4" w:space="0"/>
              <w:bottom w:val="single" w:color="auto" w:sz="4" w:space="0"/>
              <w:right w:val="single" w:color="auto" w:sz="4" w:space="0"/>
            </w:tcBorders>
            <w:vAlign w:val="center"/>
          </w:tcPr>
          <w:p w14:paraId="04CE216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1台</w:t>
            </w:r>
          </w:p>
        </w:tc>
        <w:tc>
          <w:tcPr>
            <w:tcW w:w="6241" w:type="dxa"/>
            <w:tcBorders>
              <w:top w:val="single" w:color="auto" w:sz="4" w:space="0"/>
              <w:left w:val="single" w:color="auto" w:sz="4" w:space="0"/>
              <w:bottom w:val="single" w:color="auto" w:sz="4" w:space="0"/>
              <w:right w:val="single" w:color="auto" w:sz="4" w:space="0"/>
            </w:tcBorders>
            <w:vAlign w:val="center"/>
          </w:tcPr>
          <w:p w14:paraId="6C6712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1、预期用途：用于成人、儿童和新生儿等患者的生理性参数监测和报警；</w:t>
            </w:r>
          </w:p>
          <w:p w14:paraId="207834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2、测量范围：</w:t>
            </w:r>
          </w:p>
          <w:p w14:paraId="53C2FD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2.1血氧饱和度（SpO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）0～100%，测量精度：70%-100%，允差±2%；69%以下精度不作要求；</w:t>
            </w:r>
          </w:p>
          <w:p w14:paraId="72D61E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2.2脉率25～250（bpm），误差为±1bpm或±2%，取大值。</w:t>
            </w:r>
          </w:p>
          <w:p w14:paraId="59D02F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3、报警：</w:t>
            </w:r>
          </w:p>
          <w:p w14:paraId="47B4CE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eastAsia="zh-CN"/>
              </w:rPr>
              <w:t>SpO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低限范围：0%～99%；SpO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高限范围：1%～100%,报警误差±1%。</w:t>
            </w:r>
          </w:p>
          <w:p w14:paraId="25D368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3.2 PR低限范围：15bpm～299bpm；PR高限范围：16bpm～300bpm,报警误差±1bpm。</w:t>
            </w:r>
          </w:p>
          <w:p w14:paraId="185FB6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3.3报警等级支持高、中、低。</w:t>
            </w:r>
          </w:p>
          <w:p w14:paraId="5D2B63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3.4声音和可视报警。</w:t>
            </w:r>
          </w:p>
          <w:p w14:paraId="618F51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3.5支持报警音量调节：范围1～6。</w:t>
            </w:r>
          </w:p>
          <w:p w14:paraId="55634A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4、监护模式：成人、儿童、新生儿模式；</w:t>
            </w:r>
          </w:p>
          <w:p w14:paraId="6A99A1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5、采用</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eastAsia="zh-CN"/>
              </w:rPr>
              <w:t>5英寸彩色高分辨率TFT-LCD液晶显示大屏，能清晰地显示病人的各种生理参数和波形等信息。</w:t>
            </w:r>
          </w:p>
          <w:p w14:paraId="4A04E2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6、显示内容：血氧饱和度(SpO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)和脉率(PR)、字符、脉搏强度柱状图、SpO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容积描记波形。</w:t>
            </w:r>
          </w:p>
          <w:p w14:paraId="651FCC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7、趋势回顾：支持24小时的趋势回顾，在相同的分辨率下，趋势曲线支持300个趋势显示。</w:t>
            </w:r>
          </w:p>
          <w:p w14:paraId="1CDFA3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8、趋势分辨率：分辨率支持1min、5min、10min、30min、60min。</w:t>
            </w:r>
          </w:p>
        </w:tc>
        <w:tc>
          <w:tcPr>
            <w:tcW w:w="1028" w:type="dxa"/>
            <w:tcBorders>
              <w:top w:val="single" w:color="auto" w:sz="4" w:space="0"/>
              <w:left w:val="single" w:color="auto" w:sz="4" w:space="0"/>
              <w:bottom w:val="single" w:color="auto" w:sz="4" w:space="0"/>
              <w:right w:val="single" w:color="auto" w:sz="4" w:space="0"/>
            </w:tcBorders>
            <w:vAlign w:val="center"/>
          </w:tcPr>
          <w:p w14:paraId="4EEF70F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 xml:space="preserve">12375.00 </w:t>
            </w:r>
          </w:p>
        </w:tc>
      </w:tr>
      <w:tr w14:paraId="59F278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0CEDCC70"/>
        </w:tc>
        <w:tc>
          <w:tcPr>
            <w:tcW w:w="545" w:type="dxa"/>
            <w:tcBorders>
              <w:top w:val="single" w:color="auto" w:sz="4" w:space="0"/>
              <w:left w:val="single" w:color="auto" w:sz="4" w:space="0"/>
              <w:bottom w:val="single" w:color="auto" w:sz="4" w:space="0"/>
              <w:right w:val="single" w:color="auto" w:sz="4" w:space="0"/>
            </w:tcBorders>
            <w:vAlign w:val="center"/>
          </w:tcPr>
          <w:p w14:paraId="68DF77EC">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w:t>
            </w:r>
          </w:p>
        </w:tc>
        <w:tc>
          <w:tcPr>
            <w:tcW w:w="1092" w:type="dxa"/>
            <w:tcBorders>
              <w:top w:val="single" w:color="auto" w:sz="4" w:space="0"/>
              <w:left w:val="single" w:color="auto" w:sz="4" w:space="0"/>
              <w:bottom w:val="single" w:color="auto" w:sz="4" w:space="0"/>
              <w:right w:val="single" w:color="auto" w:sz="4" w:space="0"/>
            </w:tcBorders>
            <w:vAlign w:val="center"/>
          </w:tcPr>
          <w:p w14:paraId="509C8D0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振动式物理治疗仪</w:t>
            </w:r>
          </w:p>
        </w:tc>
        <w:tc>
          <w:tcPr>
            <w:tcW w:w="670" w:type="dxa"/>
            <w:tcBorders>
              <w:top w:val="single" w:color="auto" w:sz="4" w:space="0"/>
              <w:left w:val="single" w:color="auto" w:sz="4" w:space="0"/>
              <w:bottom w:val="single" w:color="auto" w:sz="4" w:space="0"/>
              <w:right w:val="single" w:color="auto" w:sz="4" w:space="0"/>
            </w:tcBorders>
            <w:vAlign w:val="center"/>
          </w:tcPr>
          <w:p w14:paraId="1FFF2BC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1台</w:t>
            </w:r>
          </w:p>
        </w:tc>
        <w:tc>
          <w:tcPr>
            <w:tcW w:w="6241" w:type="dxa"/>
            <w:tcBorders>
              <w:top w:val="single" w:color="auto" w:sz="4" w:space="0"/>
              <w:left w:val="single" w:color="auto" w:sz="4" w:space="0"/>
              <w:bottom w:val="single" w:color="auto" w:sz="4" w:space="0"/>
              <w:right w:val="single" w:color="auto" w:sz="4" w:space="0"/>
            </w:tcBorders>
            <w:vAlign w:val="center"/>
          </w:tcPr>
          <w:p w14:paraId="3C1D13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1、电源电压：AC220V±22V，50Hz±1Hz，功率：150VA；</w:t>
            </w:r>
          </w:p>
          <w:p w14:paraId="41CE67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2、输出方式：单路输出，适用于儿童；</w:t>
            </w:r>
          </w:p>
          <w:p w14:paraId="6A39A4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3、显示方式：大屏幕液晶显示，中文菜单，按键式操作；</w:t>
            </w:r>
          </w:p>
          <w:p w14:paraId="331068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4、软轴轴心：</w:t>
            </w:r>
          </w:p>
          <w:p w14:paraId="33FBFC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a)、长度：1800mm±5mm;</w:t>
            </w:r>
          </w:p>
          <w:p w14:paraId="3CA24BC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b）、儿童传动轴直径：3.8mm±0.1mm;</w:t>
            </w:r>
          </w:p>
          <w:p w14:paraId="5889C6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c)、钢质可插拔软轴，便于清洁、消毒与更换；</w:t>
            </w:r>
          </w:p>
          <w:p w14:paraId="25E842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d)、儿童动力头外径尺寸：50mm±1mm；</w:t>
            </w:r>
          </w:p>
          <w:p w14:paraId="40AA98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5、即放即停：具有记忆时间和记忆频率功能，可随时（暂停/继续）工作，不需要关闭电源及操作；</w:t>
            </w:r>
          </w:p>
          <w:p w14:paraId="6C40E7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6、反馈控制电路：保持振动频率的实际输出值等同于设定值；</w:t>
            </w:r>
          </w:p>
          <w:p w14:paraId="6AA5D7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7、振幅：叩击头振幅不大于7mm；</w:t>
            </w:r>
          </w:p>
          <w:p w14:paraId="281AD1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8、噪音：设备正常工作状态下，噪声≤65dB(A)，整机采用防电磁屏蔽装置，对相邻的设备无干扰；</w:t>
            </w:r>
          </w:p>
          <w:p w14:paraId="2A07CB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9、传动系统结构：采用带双层橡胶绝缘保护层的钢制软连接轴组成；</w:t>
            </w:r>
          </w:p>
          <w:p w14:paraId="1771D4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10、动力系统输出机构：操作过程中手柄相对传动软轴可以360°自由旋转，90度固定角度叩击转向器；</w:t>
            </w:r>
          </w:p>
          <w:p w14:paraId="105ADC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11、工作模式：自动模式：设备按照设定工作模式（四挡自动模式）的振动频率工作；手动模式：设置振动频率和工作时间，设备保持恒定设置频率工作；</w:t>
            </w:r>
          </w:p>
          <w:p w14:paraId="202007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12、定时功能：手动模式设置范围1min～60min可调，步进值1min；</w:t>
            </w:r>
          </w:p>
          <w:p w14:paraId="0CFE9D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自动模式分四档：5min、10min、15min和20min；</w:t>
            </w:r>
          </w:p>
          <w:p w14:paraId="2AE8B4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13、频率范围：手动模式儿童10Hz～30Hz（600转/分～1800转/分）可调，步进值1Hz；</w:t>
            </w:r>
          </w:p>
          <w:p w14:paraId="2C772D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自动模式P1、P2、P3、P4;</w:t>
            </w:r>
          </w:p>
          <w:p w14:paraId="7A38C2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14、自动模式（四种）：</w:t>
            </w:r>
          </w:p>
          <w:p w14:paraId="7A7FCD2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P1模式10Hz(10s)-15Hz(60s)-20Hz(120s)-15Hz(60s)-10Hz(10s)，适合体质较弱或需重点护理病人；</w:t>
            </w:r>
          </w:p>
          <w:p w14:paraId="57DE807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P2模式10Hz(20s)-20Hz(60s)-25Hz(120s)-20Hz(60s)-10Hz(20s)，适合体质较好或需进行治疗的病人；</w:t>
            </w:r>
          </w:p>
          <w:p w14:paraId="2F5DE2E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P3模式10Hz(20s)-20Hz(30s)-25Hz(180s)-20Hz(30s)-10Hz(20s)，适合体质较好或需进行治疗的病人；</w:t>
            </w:r>
          </w:p>
          <w:p w14:paraId="5182D6F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P4模式10Hz(20s)-20Hz(30s)--25Hz(40s)--30Hz(60s)--25Hz(40s)-20Hz(30s)-10Hz(20s)，适合体质强壮病人；</w:t>
            </w:r>
          </w:p>
          <w:p w14:paraId="62A284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15、儿童型叩击头（共5个）：由ABS工程塑料固定座、橡胶治疗头、海绵治疗头组成：</w:t>
            </w:r>
          </w:p>
          <w:p w14:paraId="757C3A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①圆形聚氨酯海绵面叩击头一个：直径ф90mm±1mm；</w:t>
            </w:r>
          </w:p>
          <w:p w14:paraId="4B526B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②圆形聚氨酯海绵面叩击头一个：直径ф78mm±1mm；</w:t>
            </w:r>
          </w:p>
          <w:p w14:paraId="534565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③圆形聚氨酯海绵面叩击头一个：直径ф68mm±1mm；</w:t>
            </w:r>
          </w:p>
          <w:p w14:paraId="3E8B61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④圆形聚氨酯海绵面叩击头一个：直径ф58mm±1mm；</w:t>
            </w:r>
          </w:p>
          <w:p w14:paraId="3A6947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⑤圆形聚氨酯海绵面叩击头一个：直径ф48mm±1mm；</w:t>
            </w:r>
          </w:p>
          <w:p w14:paraId="74C726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16、工作完成提示功能：设定工作时间结束，有声音提示；</w:t>
            </w:r>
          </w:p>
          <w:p w14:paraId="0BFF99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17、记忆功能：设备断电后自动存储上次设定参数，以供下次使用参考，一键启动；</w:t>
            </w:r>
          </w:p>
          <w:p w14:paraId="146D1C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18、通过医疗</w:t>
            </w:r>
            <w:r>
              <w:rPr>
                <w:rFonts w:hint="eastAsia" w:ascii="宋体" w:hAnsi="宋体" w:eastAsia="宋体" w:cs="宋体"/>
                <w:color w:val="auto"/>
                <w:szCs w:val="21"/>
                <w:highlight w:val="none"/>
                <w:lang w:val="en-US" w:eastAsia="zh-CN"/>
              </w:rPr>
              <w:t>设备</w:t>
            </w:r>
            <w:r>
              <w:rPr>
                <w:rFonts w:hint="eastAsia" w:ascii="宋体" w:hAnsi="宋体" w:eastAsia="宋体" w:cs="宋体"/>
                <w:color w:val="auto"/>
                <w:szCs w:val="21"/>
                <w:highlight w:val="none"/>
                <w:lang w:eastAsia="zh-CN"/>
              </w:rPr>
              <w:t>EMC检测；</w:t>
            </w:r>
          </w:p>
          <w:p w14:paraId="7C7261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19、外形尺寸：便携式可拆分（长*宽*高）长492mm±1mm×宽406mm±1mm×高150mm±1mm，主机重量：≤9.8Kg；</w:t>
            </w:r>
          </w:p>
        </w:tc>
        <w:tc>
          <w:tcPr>
            <w:tcW w:w="1028" w:type="dxa"/>
            <w:tcBorders>
              <w:top w:val="single" w:color="auto" w:sz="4" w:space="0"/>
              <w:left w:val="single" w:color="auto" w:sz="4" w:space="0"/>
              <w:bottom w:val="single" w:color="auto" w:sz="4" w:space="0"/>
              <w:right w:val="single" w:color="auto" w:sz="4" w:space="0"/>
            </w:tcBorders>
            <w:vAlign w:val="center"/>
          </w:tcPr>
          <w:p w14:paraId="4D44330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18315.00</w:t>
            </w:r>
          </w:p>
        </w:tc>
      </w:tr>
      <w:tr w14:paraId="61E804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4DC62CF5"/>
        </w:tc>
        <w:tc>
          <w:tcPr>
            <w:tcW w:w="545" w:type="dxa"/>
            <w:tcBorders>
              <w:top w:val="single" w:color="auto" w:sz="4" w:space="0"/>
              <w:left w:val="single" w:color="auto" w:sz="4" w:space="0"/>
              <w:bottom w:val="single" w:color="auto" w:sz="4" w:space="0"/>
              <w:right w:val="single" w:color="auto" w:sz="4" w:space="0"/>
            </w:tcBorders>
            <w:vAlign w:val="center"/>
          </w:tcPr>
          <w:p w14:paraId="1339D362">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w:t>
            </w:r>
          </w:p>
        </w:tc>
        <w:tc>
          <w:tcPr>
            <w:tcW w:w="1092" w:type="dxa"/>
            <w:tcBorders>
              <w:top w:val="single" w:color="auto" w:sz="4" w:space="0"/>
              <w:left w:val="single" w:color="auto" w:sz="4" w:space="0"/>
              <w:bottom w:val="single" w:color="auto" w:sz="4" w:space="0"/>
              <w:right w:val="single" w:color="auto" w:sz="4" w:space="0"/>
            </w:tcBorders>
            <w:vAlign w:val="center"/>
          </w:tcPr>
          <w:p w14:paraId="238FE55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输液泵</w:t>
            </w:r>
          </w:p>
        </w:tc>
        <w:tc>
          <w:tcPr>
            <w:tcW w:w="670" w:type="dxa"/>
            <w:tcBorders>
              <w:top w:val="single" w:color="auto" w:sz="4" w:space="0"/>
              <w:left w:val="single" w:color="auto" w:sz="4" w:space="0"/>
              <w:bottom w:val="single" w:color="auto" w:sz="4" w:space="0"/>
              <w:right w:val="single" w:color="auto" w:sz="4" w:space="0"/>
            </w:tcBorders>
            <w:vAlign w:val="center"/>
          </w:tcPr>
          <w:p w14:paraId="4424C83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23台</w:t>
            </w:r>
          </w:p>
        </w:tc>
        <w:tc>
          <w:tcPr>
            <w:tcW w:w="6241" w:type="dxa"/>
            <w:tcBorders>
              <w:top w:val="single" w:color="auto" w:sz="4" w:space="0"/>
              <w:left w:val="single" w:color="auto" w:sz="4" w:space="0"/>
              <w:bottom w:val="single" w:color="auto" w:sz="4" w:space="0"/>
              <w:right w:val="single" w:color="auto" w:sz="4" w:space="0"/>
            </w:tcBorders>
            <w:vAlign w:val="center"/>
          </w:tcPr>
          <w:p w14:paraId="37187E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1.具有输液补偿功能提高输液精度稳定性。</w:t>
            </w:r>
          </w:p>
          <w:p w14:paraId="6C72D3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2.手提式手柄设计，手柄上带有运行状态指示灯，指示灯可开启或关闭。</w:t>
            </w:r>
          </w:p>
          <w:p w14:paraId="0DD96A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3.数字键盘快捷输入。</w:t>
            </w:r>
          </w:p>
          <w:p w14:paraId="67362A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4.双屏幕设计，数码管显示速度，液晶屏显示信息≥8种：具有输液速度、预置量、累积量、输液器品牌、输液器规格、输液模式、压力档、压力动态显示。</w:t>
            </w:r>
          </w:p>
          <w:p w14:paraId="22F9CB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5.设备的电源接口≥3种，具有交流电源AC:100-240V,50/60Hz，车载电源DC12V，DC15V输出接口用于供电给输液加温器。</w:t>
            </w:r>
          </w:p>
          <w:p w14:paraId="75C051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6.输液器规格≥5种：10滴/ml、15滴/ml、18滴/ml、20滴/ml、60滴/ml输液器。</w:t>
            </w:r>
          </w:p>
          <w:p w14:paraId="5E485F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7.输液精度≤±5%。</w:t>
            </w:r>
          </w:p>
          <w:p w14:paraId="0551D6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8.冲洗速率200-1000ml/h可调，KVO速率0.1-5ml/h可调。</w:t>
            </w:r>
          </w:p>
          <w:p w14:paraId="41334B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9.阻塞报警阈值≥10档可调：数值范围900±200mmHg－100±50mmHg。</w:t>
            </w:r>
          </w:p>
          <w:p w14:paraId="0D61FB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10.符合国家标准电源，电源电压AC:100-230V,50/60Hz，内置电池DC12V、2300mAh；具有13种以上报警。</w:t>
            </w:r>
          </w:p>
          <w:p w14:paraId="56CB76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11.报警音量≥7档可调；按键音量≥3档可调，也可以关闭静音；LCD背光亮度≥10档可调。</w:t>
            </w:r>
          </w:p>
          <w:p w14:paraId="05469F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12.输液中调整输液速度功能：在不暂停输液的情况下，调整或改变输液速度。</w:t>
            </w:r>
          </w:p>
          <w:p w14:paraId="374AA1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13.流速模式范围0.1-1500ml/h可调，最小≤0.1ml/h最大≥1500ml/h。</w:t>
            </w:r>
          </w:p>
          <w:p w14:paraId="55949C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14.点滴模式范围10滴/15滴/18滴/20滴输液器1-350滴／min可调,最小≤1滴，最大≥350滴；60滴输液器1-200滴／min可调，最小≤1滴，最大≥200滴。</w:t>
            </w:r>
          </w:p>
        </w:tc>
        <w:tc>
          <w:tcPr>
            <w:tcW w:w="1028" w:type="dxa"/>
            <w:tcBorders>
              <w:top w:val="single" w:color="auto" w:sz="4" w:space="0"/>
              <w:left w:val="single" w:color="auto" w:sz="4" w:space="0"/>
              <w:bottom w:val="single" w:color="auto" w:sz="4" w:space="0"/>
              <w:right w:val="single" w:color="auto" w:sz="4" w:space="0"/>
            </w:tcBorders>
            <w:vAlign w:val="center"/>
          </w:tcPr>
          <w:p w14:paraId="53C4B45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3960.00</w:t>
            </w:r>
          </w:p>
        </w:tc>
      </w:tr>
      <w:tr w14:paraId="4B7CF2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7649E36D"/>
        </w:tc>
        <w:tc>
          <w:tcPr>
            <w:tcW w:w="545" w:type="dxa"/>
            <w:tcBorders>
              <w:top w:val="single" w:color="auto" w:sz="4" w:space="0"/>
              <w:left w:val="single" w:color="auto" w:sz="4" w:space="0"/>
              <w:bottom w:val="single" w:color="auto" w:sz="4" w:space="0"/>
              <w:right w:val="single" w:color="auto" w:sz="4" w:space="0"/>
            </w:tcBorders>
            <w:vAlign w:val="center"/>
          </w:tcPr>
          <w:p w14:paraId="58F0BB52">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17</w:t>
            </w:r>
          </w:p>
        </w:tc>
        <w:tc>
          <w:tcPr>
            <w:tcW w:w="1092" w:type="dxa"/>
            <w:tcBorders>
              <w:top w:val="single" w:color="auto" w:sz="4" w:space="0"/>
              <w:left w:val="single" w:color="auto" w:sz="4" w:space="0"/>
              <w:bottom w:val="single" w:color="auto" w:sz="4" w:space="0"/>
              <w:right w:val="single" w:color="auto" w:sz="4" w:space="0"/>
            </w:tcBorders>
            <w:vAlign w:val="center"/>
          </w:tcPr>
          <w:p w14:paraId="5734AC8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数字眼底照相机</w:t>
            </w:r>
          </w:p>
        </w:tc>
        <w:tc>
          <w:tcPr>
            <w:tcW w:w="670" w:type="dxa"/>
            <w:tcBorders>
              <w:top w:val="single" w:color="auto" w:sz="4" w:space="0"/>
              <w:left w:val="single" w:color="auto" w:sz="4" w:space="0"/>
              <w:bottom w:val="single" w:color="auto" w:sz="4" w:space="0"/>
              <w:right w:val="single" w:color="auto" w:sz="4" w:space="0"/>
            </w:tcBorders>
            <w:vAlign w:val="center"/>
          </w:tcPr>
          <w:p w14:paraId="578A660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1台</w:t>
            </w:r>
          </w:p>
        </w:tc>
        <w:tc>
          <w:tcPr>
            <w:tcW w:w="6241" w:type="dxa"/>
            <w:tcBorders>
              <w:top w:val="single" w:color="auto" w:sz="4" w:space="0"/>
              <w:left w:val="single" w:color="auto" w:sz="4" w:space="0"/>
              <w:bottom w:val="single" w:color="auto" w:sz="4" w:space="0"/>
              <w:right w:val="single" w:color="auto" w:sz="4" w:space="0"/>
            </w:tcBorders>
            <w:vAlign w:val="center"/>
          </w:tcPr>
          <w:p w14:paraId="073F5F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1.成像方式：共焦激光眼底扫描；光源：双激光光源成像，激光波长≥785nm；</w:t>
            </w:r>
          </w:p>
          <w:p w14:paraId="6DDC70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2.成像图片：包含红外成像（IR）、共焦激光彩照（MCOLOR），超广角视网膜成像，超广角脉络膜成像；</w:t>
            </w:r>
          </w:p>
          <w:p w14:paraId="57CA81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3.具备拍摄一次即可获取红、绿通道影像，分别显示视网膜不同层次影像；</w:t>
            </w:r>
          </w:p>
          <w:p w14:paraId="263B36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4.成像速度：≥10帧/秒；</w:t>
            </w:r>
          </w:p>
          <w:p w14:paraId="0729CC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5.数字分辨率：4-10μm，2048×2048；</w:t>
            </w:r>
          </w:p>
          <w:p w14:paraId="2510C9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6.光学分辨率：视场中心处：≥60lp/mm，视场中部处(r/2)：≥40lp/mm，视场边缘处(r)：≥25lp/mm；</w:t>
            </w:r>
          </w:p>
          <w:p w14:paraId="003868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7.眼底成像范围：单张≥135°；</w:t>
            </w:r>
          </w:p>
          <w:p w14:paraId="33BF44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8.屈光补偿范围：-40D∽+40D（无极变倍）；</w:t>
            </w:r>
          </w:p>
          <w:p w14:paraId="00BD25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9.视标：内固视（上、下、左、右、中，五个视标），外固视；</w:t>
            </w:r>
          </w:p>
          <w:p w14:paraId="008DE2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10.最小瞳孔直径要求：≤2mm（免散瞳）；</w:t>
            </w:r>
          </w:p>
          <w:p w14:paraId="6BB05B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11.双颌托结构：切换左右颌托可快速实现左右眼与仪器的对准，且自动识别左右眼；</w:t>
            </w:r>
          </w:p>
          <w:p w14:paraId="3FE220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12.动态视频：具备动态观察视网膜影像，且可记录10S眼底视频图；</w:t>
            </w:r>
          </w:p>
          <w:p w14:paraId="22D0FC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13.具备局部放大功能，了解病变部位细节；</w:t>
            </w:r>
          </w:p>
          <w:p w14:paraId="09FF42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14.拍摄方式：具备手柄操作、图标点击自动操作等控制方式；</w:t>
            </w:r>
          </w:p>
          <w:p w14:paraId="1014CD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15.硬件功能：可实现数据</w:t>
            </w:r>
            <w:r>
              <w:rPr>
                <w:rFonts w:hint="eastAsia" w:ascii="宋体" w:hAnsi="宋体" w:eastAsia="宋体" w:cs="宋体"/>
                <w:color w:val="auto"/>
                <w:szCs w:val="21"/>
                <w:highlight w:val="none"/>
                <w:lang w:val="en-US" w:eastAsia="zh-CN"/>
              </w:rPr>
              <w:t>输出</w:t>
            </w:r>
            <w:r>
              <w:rPr>
                <w:rFonts w:hint="eastAsia" w:ascii="宋体" w:hAnsi="宋体" w:eastAsia="宋体" w:cs="宋体"/>
                <w:color w:val="auto"/>
                <w:szCs w:val="21"/>
                <w:highlight w:val="none"/>
                <w:lang w:eastAsia="zh-CN"/>
              </w:rPr>
              <w:t>、保存和导出：支持单张多模式图像导出或直接从储存位置拷贝原始图像，图像可立即传输和存储；</w:t>
            </w:r>
          </w:p>
          <w:p w14:paraId="099785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16.工作站</w:t>
            </w:r>
            <w:r>
              <w:rPr>
                <w:rFonts w:hint="eastAsia" w:ascii="宋体" w:hAnsi="宋体" w:eastAsia="宋体" w:cs="宋体"/>
                <w:color w:val="auto"/>
                <w:szCs w:val="21"/>
                <w:highlight w:val="none"/>
                <w:lang w:val="en-US" w:eastAsia="zh-CN"/>
              </w:rPr>
              <w:t>及输出设备1套</w:t>
            </w:r>
            <w:r>
              <w:rPr>
                <w:rFonts w:hint="eastAsia" w:ascii="宋体" w:hAnsi="宋体" w:eastAsia="宋体" w:cs="宋体"/>
                <w:color w:val="auto"/>
                <w:szCs w:val="21"/>
                <w:highlight w:val="none"/>
                <w:lang w:eastAsia="zh-CN"/>
              </w:rPr>
              <w:t>；可移动式综合台一张（含升降桌台，配套滚轮可移动）；控制方式为总电源控制。</w:t>
            </w:r>
          </w:p>
        </w:tc>
        <w:tc>
          <w:tcPr>
            <w:tcW w:w="1028" w:type="dxa"/>
            <w:tcBorders>
              <w:top w:val="single" w:color="auto" w:sz="4" w:space="0"/>
              <w:left w:val="single" w:color="auto" w:sz="4" w:space="0"/>
              <w:bottom w:val="single" w:color="auto" w:sz="4" w:space="0"/>
              <w:right w:val="single" w:color="auto" w:sz="4" w:space="0"/>
            </w:tcBorders>
            <w:vAlign w:val="center"/>
          </w:tcPr>
          <w:p w14:paraId="6A7B164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000000"/>
                <w:kern w:val="0"/>
                <w:sz w:val="20"/>
                <w:szCs w:val="20"/>
                <w:highlight w:val="none"/>
                <w:u w:val="none"/>
                <w:lang w:val="en-US" w:eastAsia="zh-CN"/>
              </w:rPr>
              <w:t>415800.00</w:t>
            </w:r>
          </w:p>
        </w:tc>
      </w:tr>
      <w:tr w14:paraId="6CE99B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39B5AFC7"/>
        </w:tc>
        <w:tc>
          <w:tcPr>
            <w:tcW w:w="545" w:type="dxa"/>
            <w:tcBorders>
              <w:top w:val="single" w:color="auto" w:sz="4" w:space="0"/>
              <w:left w:val="single" w:color="auto" w:sz="4" w:space="0"/>
              <w:bottom w:val="single" w:color="auto" w:sz="4" w:space="0"/>
              <w:right w:val="single" w:color="auto" w:sz="4" w:space="0"/>
            </w:tcBorders>
            <w:vAlign w:val="center"/>
          </w:tcPr>
          <w:p w14:paraId="619AD696">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18</w:t>
            </w:r>
          </w:p>
        </w:tc>
        <w:tc>
          <w:tcPr>
            <w:tcW w:w="1092" w:type="dxa"/>
            <w:tcBorders>
              <w:top w:val="single" w:color="auto" w:sz="4" w:space="0"/>
              <w:left w:val="single" w:color="auto" w:sz="4" w:space="0"/>
              <w:bottom w:val="single" w:color="auto" w:sz="4" w:space="0"/>
              <w:right w:val="single" w:color="auto" w:sz="4" w:space="0"/>
            </w:tcBorders>
            <w:vAlign w:val="center"/>
          </w:tcPr>
          <w:p w14:paraId="01A54A4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加热式超声雾化器</w:t>
            </w:r>
          </w:p>
        </w:tc>
        <w:tc>
          <w:tcPr>
            <w:tcW w:w="670" w:type="dxa"/>
            <w:tcBorders>
              <w:top w:val="single" w:color="auto" w:sz="4" w:space="0"/>
              <w:left w:val="single" w:color="auto" w:sz="4" w:space="0"/>
              <w:bottom w:val="single" w:color="auto" w:sz="4" w:space="0"/>
              <w:right w:val="single" w:color="auto" w:sz="4" w:space="0"/>
            </w:tcBorders>
            <w:vAlign w:val="center"/>
          </w:tcPr>
          <w:p w14:paraId="13C73A0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2台</w:t>
            </w:r>
          </w:p>
        </w:tc>
        <w:tc>
          <w:tcPr>
            <w:tcW w:w="6241" w:type="dxa"/>
            <w:tcBorders>
              <w:top w:val="single" w:color="auto" w:sz="4" w:space="0"/>
              <w:left w:val="single" w:color="auto" w:sz="4" w:space="0"/>
              <w:bottom w:val="single" w:color="auto" w:sz="4" w:space="0"/>
              <w:right w:val="single" w:color="auto" w:sz="4" w:space="0"/>
            </w:tcBorders>
            <w:vAlign w:val="center"/>
          </w:tcPr>
          <w:p w14:paraId="54323F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1、语音播报功能：全程语音播报；</w:t>
            </w:r>
          </w:p>
          <w:p w14:paraId="03EDF6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2、参数记忆功能：设置参数后自动记忆，下次无需调试；</w:t>
            </w:r>
          </w:p>
          <w:p w14:paraId="0385EA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3、模式切换：常温雾化、加热雾化及薰蒸模式自由切换；</w:t>
            </w:r>
          </w:p>
          <w:p w14:paraId="23699E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4、雾化杯容量：0-140ML；</w:t>
            </w:r>
          </w:p>
          <w:p w14:paraId="7D9E75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5、温度设置及控制范围：30~45℃（可调节）；</w:t>
            </w:r>
          </w:p>
          <w:p w14:paraId="40C92A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w:t>
            </w:r>
            <w:r>
              <w:rPr>
                <w:rFonts w:hint="eastAsia" w:ascii="宋体" w:hAnsi="宋体" w:eastAsia="宋体" w:cs="宋体"/>
                <w:color w:val="auto"/>
                <w:szCs w:val="21"/>
                <w:highlight w:val="none"/>
                <w:lang w:val="en-US" w:eastAsia="zh-CN"/>
              </w:rPr>
              <w:t>具有</w:t>
            </w:r>
            <w:r>
              <w:rPr>
                <w:rFonts w:hint="eastAsia" w:ascii="宋体" w:hAnsi="宋体" w:eastAsia="宋体" w:cs="宋体"/>
                <w:color w:val="auto"/>
                <w:szCs w:val="21"/>
                <w:highlight w:val="none"/>
                <w:lang w:eastAsia="zh-CN"/>
              </w:rPr>
              <w:t>温度异常语音报警功能；</w:t>
            </w:r>
          </w:p>
          <w:p w14:paraId="606B25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7、温度检测方式：管路出雾口检测温度，保证出雾温度与实际显示温度相同；</w:t>
            </w:r>
          </w:p>
          <w:p w14:paraId="670DF6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8、超高温报警功能：具有超高温语音报警及保护功能，双温度探头监测温度；</w:t>
            </w:r>
          </w:p>
          <w:p w14:paraId="44623B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9、整机噪声：≤50dB（A）（距离主机1m）；</w:t>
            </w:r>
          </w:p>
          <w:p w14:paraId="7E927B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10、主机超声工作频率：2.4MHz±10%。</w:t>
            </w:r>
          </w:p>
          <w:p w14:paraId="09B578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11、雾粒中位直径小于5μm的雾粒百分比不小于65%。</w:t>
            </w:r>
          </w:p>
          <w:p w14:paraId="445080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12、最大雾化率：≥1ml/min；</w:t>
            </w:r>
          </w:p>
          <w:p w14:paraId="51022C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13、可以加中药，也可以加西药，机器内部自主升温降温，无需外置加热管路（加热丝等），管路为一次性管路，无管路消毒问题；</w:t>
            </w:r>
          </w:p>
          <w:p w14:paraId="14DB06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14、保护功能</w:t>
            </w:r>
          </w:p>
          <w:p w14:paraId="294B3A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a）设备温度超过设置温度5℃，停止工作并发出警报，且不能自动恢复；</w:t>
            </w:r>
          </w:p>
          <w:p w14:paraId="0DB76A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b）若设备输出显示温度达到45℃时应发出警报；</w:t>
            </w:r>
          </w:p>
          <w:p w14:paraId="4F9792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c）加热锅或水槽内水位正常时面板缺水灯熄灭，加热锅或水槽内水位过低时，面板缺水灯变亮并发出缺水语音报警，并停止雾化，重新加水至水槽水位线后可正常雾化；</w:t>
            </w:r>
          </w:p>
          <w:p w14:paraId="356F9B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15、具有风量、雾量、治疗时间调试功能；</w:t>
            </w:r>
          </w:p>
        </w:tc>
        <w:tc>
          <w:tcPr>
            <w:tcW w:w="1028" w:type="dxa"/>
            <w:tcBorders>
              <w:top w:val="single" w:color="auto" w:sz="4" w:space="0"/>
              <w:left w:val="single" w:color="auto" w:sz="4" w:space="0"/>
              <w:bottom w:val="single" w:color="auto" w:sz="4" w:space="0"/>
              <w:right w:val="single" w:color="auto" w:sz="4" w:space="0"/>
            </w:tcBorders>
            <w:vAlign w:val="center"/>
          </w:tcPr>
          <w:p w14:paraId="5CDEE23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24433.20</w:t>
            </w:r>
          </w:p>
        </w:tc>
      </w:tr>
      <w:tr w14:paraId="1270A5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7D581212"/>
        </w:tc>
        <w:tc>
          <w:tcPr>
            <w:tcW w:w="545" w:type="dxa"/>
            <w:tcBorders>
              <w:top w:val="single" w:color="auto" w:sz="4" w:space="0"/>
              <w:left w:val="single" w:color="auto" w:sz="4" w:space="0"/>
              <w:bottom w:val="single" w:color="auto" w:sz="4" w:space="0"/>
              <w:right w:val="single" w:color="auto" w:sz="4" w:space="0"/>
            </w:tcBorders>
            <w:vAlign w:val="center"/>
          </w:tcPr>
          <w:p w14:paraId="429BDD61">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19</w:t>
            </w:r>
          </w:p>
        </w:tc>
        <w:tc>
          <w:tcPr>
            <w:tcW w:w="1092" w:type="dxa"/>
            <w:tcBorders>
              <w:top w:val="single" w:color="auto" w:sz="4" w:space="0"/>
              <w:left w:val="single" w:color="auto" w:sz="4" w:space="0"/>
              <w:bottom w:val="single" w:color="auto" w:sz="4" w:space="0"/>
              <w:right w:val="single" w:color="auto" w:sz="4" w:space="0"/>
            </w:tcBorders>
            <w:vAlign w:val="center"/>
          </w:tcPr>
          <w:p w14:paraId="6A48361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视力筛选仪</w:t>
            </w:r>
          </w:p>
        </w:tc>
        <w:tc>
          <w:tcPr>
            <w:tcW w:w="670" w:type="dxa"/>
            <w:tcBorders>
              <w:top w:val="single" w:color="auto" w:sz="4" w:space="0"/>
              <w:left w:val="single" w:color="auto" w:sz="4" w:space="0"/>
              <w:bottom w:val="single" w:color="auto" w:sz="4" w:space="0"/>
              <w:right w:val="single" w:color="auto" w:sz="4" w:space="0"/>
            </w:tcBorders>
            <w:vAlign w:val="center"/>
          </w:tcPr>
          <w:p w14:paraId="09CC561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1台</w:t>
            </w:r>
          </w:p>
        </w:tc>
        <w:tc>
          <w:tcPr>
            <w:tcW w:w="6241" w:type="dxa"/>
            <w:tcBorders>
              <w:top w:val="single" w:color="auto" w:sz="4" w:space="0"/>
              <w:left w:val="single" w:color="auto" w:sz="4" w:space="0"/>
              <w:bottom w:val="single" w:color="auto" w:sz="4" w:space="0"/>
              <w:right w:val="single" w:color="auto" w:sz="4" w:space="0"/>
            </w:tcBorders>
            <w:vAlign w:val="center"/>
          </w:tcPr>
          <w:p w14:paraId="5EFECB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1.适用对象：6个月以上人群。</w:t>
            </w:r>
          </w:p>
          <w:p w14:paraId="73468A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lang w:val="en-US" w:eastAsia="zh-CN"/>
              </w:rPr>
              <w:t>可</w:t>
            </w:r>
            <w:r>
              <w:rPr>
                <w:rFonts w:hint="eastAsia" w:ascii="宋体" w:hAnsi="宋体" w:eastAsia="宋体" w:cs="宋体"/>
                <w:color w:val="auto"/>
                <w:szCs w:val="21"/>
                <w:highlight w:val="none"/>
                <w:lang w:eastAsia="zh-CN"/>
              </w:rPr>
              <w:t>双眼同时进行测量，也可选择对单眼进行测量。</w:t>
            </w:r>
          </w:p>
          <w:p w14:paraId="3670BA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3.测试时间：</w:t>
            </w:r>
            <w:r>
              <w:rPr>
                <w:rFonts w:hint="eastAsia" w:ascii="宋体" w:hAnsi="宋体" w:eastAsia="宋体" w:cs="宋体"/>
                <w:color w:val="auto"/>
                <w:szCs w:val="21"/>
                <w:highlight w:val="none"/>
                <w:lang w:val="en-US" w:eastAsia="zh-CN"/>
              </w:rPr>
              <w:t>约</w:t>
            </w:r>
            <w:r>
              <w:rPr>
                <w:rFonts w:hint="eastAsia" w:ascii="宋体" w:hAnsi="宋体" w:eastAsia="宋体" w:cs="宋体"/>
                <w:color w:val="auto"/>
                <w:szCs w:val="21"/>
                <w:highlight w:val="none"/>
                <w:lang w:eastAsia="zh-CN"/>
              </w:rPr>
              <w:t>1s。</w:t>
            </w:r>
          </w:p>
          <w:p w14:paraId="001737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4.测试距离：1m±5cm。</w:t>
            </w:r>
          </w:p>
          <w:p w14:paraId="00BC35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5.筛查内容：屈光筛查（近视、远视、散光、屈光参差，凝视对称）、固视及眼位变化、瞳孔大小及间距、矫正视力。</w:t>
            </w:r>
          </w:p>
          <w:p w14:paraId="76154A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6.球镜度数测量范围：-9D至+7D，分辨率：0.25D或0.01D两档可选，精度±0.5D；</w:t>
            </w:r>
          </w:p>
          <w:p w14:paraId="1D386C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7.柱镜度数测量范围：0至3D，分辨率0.25D或0.01D两档可选，精确度±0.5D；</w:t>
            </w:r>
          </w:p>
          <w:p w14:paraId="514692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8.眼位偏离：0°-20°；</w:t>
            </w:r>
          </w:p>
          <w:p w14:paraId="79FAB9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9.测量瞳孔直径要求：4-9mm。可测量散瞳病人。</w:t>
            </w:r>
          </w:p>
          <w:p w14:paraId="7A9A2D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10.轴位：0至180度；</w:t>
            </w:r>
          </w:p>
          <w:p w14:paraId="5763D0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w:t>
            </w:r>
            <w:r>
              <w:rPr>
                <w:rFonts w:hint="eastAsia" w:ascii="宋体" w:hAnsi="宋体" w:eastAsia="宋体" w:cs="宋体"/>
                <w:color w:val="auto"/>
                <w:szCs w:val="21"/>
                <w:highlight w:val="none"/>
                <w:lang w:val="en-US" w:eastAsia="zh-CN"/>
              </w:rPr>
              <w:t>具有</w:t>
            </w:r>
            <w:r>
              <w:rPr>
                <w:rFonts w:hint="eastAsia" w:ascii="宋体" w:hAnsi="宋体" w:eastAsia="宋体" w:cs="宋体"/>
                <w:color w:val="auto"/>
                <w:szCs w:val="21"/>
                <w:highlight w:val="none"/>
                <w:lang w:eastAsia="zh-CN"/>
              </w:rPr>
              <w:t>距被测者距离提示</w:t>
            </w:r>
            <w:r>
              <w:rPr>
                <w:rFonts w:hint="eastAsia" w:ascii="宋体" w:hAnsi="宋体" w:eastAsia="宋体" w:cs="宋体"/>
                <w:color w:val="auto"/>
                <w:szCs w:val="21"/>
                <w:highlight w:val="none"/>
                <w:lang w:val="en-US" w:eastAsia="zh-CN"/>
              </w:rPr>
              <w:t>功能</w:t>
            </w:r>
            <w:r>
              <w:rPr>
                <w:rFonts w:hint="eastAsia" w:ascii="宋体" w:hAnsi="宋体" w:eastAsia="宋体" w:cs="宋体"/>
                <w:color w:val="auto"/>
                <w:szCs w:val="21"/>
                <w:highlight w:val="none"/>
                <w:lang w:eastAsia="zh-CN"/>
              </w:rPr>
              <w:t>：系统主动测距提示过远或过近，有具体数值显示提醒。</w:t>
            </w:r>
          </w:p>
          <w:p w14:paraId="58E5EA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12.与打印机连接方式：USB、Wifi和蓝牙。</w:t>
            </w:r>
          </w:p>
          <w:p w14:paraId="07C3EC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13.数据接口：USB、Wifi和蓝牙。</w:t>
            </w:r>
          </w:p>
          <w:p w14:paraId="4E9E6E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14.可从电脑批量输入、输出患者信息队列，提高筛查效率。</w:t>
            </w:r>
          </w:p>
          <w:p w14:paraId="0AB168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15.供电方式：</w:t>
            </w:r>
            <w:r>
              <w:rPr>
                <w:rFonts w:hint="eastAsia" w:ascii="宋体" w:hAnsi="宋体" w:eastAsia="宋体" w:cs="宋体"/>
                <w:color w:val="auto"/>
                <w:szCs w:val="21"/>
                <w:highlight w:val="none"/>
                <w:lang w:val="en-US" w:eastAsia="zh-CN"/>
              </w:rPr>
              <w:t>支持</w:t>
            </w:r>
            <w:r>
              <w:rPr>
                <w:rFonts w:hint="eastAsia" w:ascii="宋体" w:hAnsi="宋体" w:eastAsia="宋体" w:cs="宋体"/>
                <w:color w:val="auto"/>
                <w:szCs w:val="21"/>
                <w:highlight w:val="none"/>
                <w:lang w:eastAsia="zh-CN"/>
              </w:rPr>
              <w:t>2节可充电可拆卸锂离子电池或交流电直接供电，如遇紧急状况，可支持移动电源充电。</w:t>
            </w:r>
          </w:p>
          <w:p w14:paraId="7A2A45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w:t>
            </w:r>
            <w:r>
              <w:rPr>
                <w:rFonts w:hint="eastAsia" w:ascii="宋体" w:hAnsi="宋体" w:eastAsia="宋体" w:cs="宋体"/>
                <w:color w:val="auto"/>
                <w:szCs w:val="21"/>
                <w:highlight w:val="none"/>
                <w:lang w:val="en-US" w:eastAsia="zh-CN"/>
              </w:rPr>
              <w:t>具有</w:t>
            </w:r>
            <w:r>
              <w:rPr>
                <w:rFonts w:hint="eastAsia" w:ascii="宋体" w:hAnsi="宋体" w:eastAsia="宋体" w:cs="宋体"/>
                <w:color w:val="auto"/>
                <w:szCs w:val="21"/>
                <w:highlight w:val="none"/>
                <w:lang w:eastAsia="zh-CN"/>
              </w:rPr>
              <w:t>AI人工智能算法自动搜寻瞳孔</w:t>
            </w:r>
            <w:r>
              <w:rPr>
                <w:rFonts w:hint="eastAsia" w:ascii="宋体" w:hAnsi="宋体" w:eastAsia="宋体" w:cs="宋体"/>
                <w:color w:val="auto"/>
                <w:szCs w:val="21"/>
                <w:highlight w:val="none"/>
                <w:lang w:val="en-US" w:eastAsia="zh-CN"/>
              </w:rPr>
              <w:t>功能</w:t>
            </w:r>
            <w:r>
              <w:rPr>
                <w:rFonts w:hint="eastAsia" w:ascii="宋体" w:hAnsi="宋体" w:eastAsia="宋体" w:cs="宋体"/>
                <w:color w:val="auto"/>
                <w:szCs w:val="21"/>
                <w:highlight w:val="none"/>
                <w:lang w:eastAsia="zh-CN"/>
              </w:rPr>
              <w:t>，以保证测试快速、精准。</w:t>
            </w:r>
          </w:p>
          <w:p w14:paraId="0E3DA5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17.显示屏：</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eastAsia="zh-CN"/>
              </w:rPr>
              <w:t>4.3英寸可无级翻转0-90°的彩色触摸液晶屏，可便于操作者避光。</w:t>
            </w:r>
          </w:p>
          <w:p w14:paraId="249566F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18.自定义横幅功能：提供可打印报告的底部添加自定义横幅的功能。</w:t>
            </w:r>
          </w:p>
        </w:tc>
        <w:tc>
          <w:tcPr>
            <w:tcW w:w="1028" w:type="dxa"/>
            <w:tcBorders>
              <w:top w:val="single" w:color="auto" w:sz="4" w:space="0"/>
              <w:left w:val="single" w:color="auto" w:sz="4" w:space="0"/>
              <w:bottom w:val="single" w:color="auto" w:sz="4" w:space="0"/>
              <w:right w:val="single" w:color="auto" w:sz="4" w:space="0"/>
            </w:tcBorders>
            <w:vAlign w:val="center"/>
          </w:tcPr>
          <w:p w14:paraId="2005B9F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67320.00</w:t>
            </w:r>
          </w:p>
        </w:tc>
      </w:tr>
      <w:tr w14:paraId="73072D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47011C33"/>
        </w:tc>
        <w:tc>
          <w:tcPr>
            <w:tcW w:w="545" w:type="dxa"/>
            <w:tcBorders>
              <w:top w:val="single" w:color="auto" w:sz="4" w:space="0"/>
              <w:left w:val="single" w:color="auto" w:sz="4" w:space="0"/>
              <w:bottom w:val="single" w:color="auto" w:sz="4" w:space="0"/>
              <w:right w:val="single" w:color="auto" w:sz="4" w:space="0"/>
            </w:tcBorders>
            <w:vAlign w:val="center"/>
          </w:tcPr>
          <w:p w14:paraId="35501E4B">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w:t>
            </w:r>
          </w:p>
        </w:tc>
        <w:tc>
          <w:tcPr>
            <w:tcW w:w="1092" w:type="dxa"/>
            <w:tcBorders>
              <w:top w:val="single" w:color="auto" w:sz="4" w:space="0"/>
              <w:left w:val="single" w:color="auto" w:sz="4" w:space="0"/>
              <w:bottom w:val="single" w:color="auto" w:sz="4" w:space="0"/>
              <w:right w:val="single" w:color="auto" w:sz="4" w:space="0"/>
            </w:tcBorders>
            <w:vAlign w:val="center"/>
          </w:tcPr>
          <w:p w14:paraId="29B497D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微量注射泵</w:t>
            </w:r>
          </w:p>
        </w:tc>
        <w:tc>
          <w:tcPr>
            <w:tcW w:w="670" w:type="dxa"/>
            <w:tcBorders>
              <w:top w:val="single" w:color="auto" w:sz="4" w:space="0"/>
              <w:left w:val="single" w:color="auto" w:sz="4" w:space="0"/>
              <w:bottom w:val="single" w:color="auto" w:sz="4" w:space="0"/>
              <w:right w:val="single" w:color="auto" w:sz="4" w:space="0"/>
            </w:tcBorders>
            <w:vAlign w:val="center"/>
          </w:tcPr>
          <w:p w14:paraId="5505902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20台</w:t>
            </w:r>
          </w:p>
        </w:tc>
        <w:tc>
          <w:tcPr>
            <w:tcW w:w="6241" w:type="dxa"/>
            <w:tcBorders>
              <w:top w:val="single" w:color="auto" w:sz="4" w:space="0"/>
              <w:left w:val="single" w:color="auto" w:sz="4" w:space="0"/>
              <w:bottom w:val="single" w:color="auto" w:sz="4" w:space="0"/>
              <w:right w:val="single" w:color="auto" w:sz="4" w:space="0"/>
            </w:tcBorders>
            <w:vAlign w:val="center"/>
          </w:tcPr>
          <w:p w14:paraId="2EBC44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1.使用“爪式可开启”机构安装注射器，泵和固定夹一体化装置。</w:t>
            </w:r>
          </w:p>
          <w:p w14:paraId="077926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2.注射精度：≤±2%（泵本身机械精度≤±1%）。</w:t>
            </w:r>
          </w:p>
          <w:p w14:paraId="19199C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报警功能≥12种：具有管路阻塞、残留提示、注射完毕、注射器压杆安装错误、注射器推杆安装错误、电池欠压、电池电量耗尽、电源线脱落、速率超范围、输液量等于限制量、系统出错、遗忘操作等报警功能。</w:t>
            </w:r>
          </w:p>
          <w:p w14:paraId="42E9C6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4.电气电源符合国家标准要求，AC100-230V，50／60Hz，内置充电电池，充电12小时以上可连续工作超过≥5小时。</w:t>
            </w:r>
          </w:p>
          <w:p w14:paraId="60E1B1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5.设备内部已经存储≥30种注射器品牌可任意选择，自定义存储≥3种注射器品牌。</w:t>
            </w:r>
          </w:p>
          <w:p w14:paraId="6C201F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6.残留报警≥3种模式：距离模式1-18mm可调，最小≤1mm，最大≥18mm；时间模式1-10min可调，最小≤1min，最大≥10min；容量模式1-5ml可调,最小≤1ml，最大≥5ml。</w:t>
            </w:r>
          </w:p>
          <w:p w14:paraId="52D776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7.报警音量和按键音量≥9档可调。</w:t>
            </w:r>
          </w:p>
          <w:p w14:paraId="6ECBC6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8.具有注射中调速功能：在不暂停注射情况下，可以调整改变注射速度。</w:t>
            </w:r>
          </w:p>
          <w:p w14:paraId="774A1D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9.具有通道休眠功能，节约电量和防止误操作。</w:t>
            </w:r>
          </w:p>
          <w:p w14:paraId="088B0A9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注射速率：10ml注射器0.1-400ml/h可调，最小≤0.1ml/h，最大≥400ml/h；20ml注射器0.1-600ml/h可调，最小≤0.1ml/h，最大≥600ml/h；30ml注射器0.1-900ml/h可调，最小≤0.1ml/h，最大≥900ml/h；50ml注射器0.1-1500ml/h可调，最小≤0.1ml/h，最大≥1500ml/h。</w:t>
            </w:r>
          </w:p>
          <w:p w14:paraId="0BE3F5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11.双通道一体机，不同通道对应不同颜色，显示屏幕≥2个分别显示各通道的情况。</w:t>
            </w:r>
          </w:p>
        </w:tc>
        <w:tc>
          <w:tcPr>
            <w:tcW w:w="1028" w:type="dxa"/>
            <w:tcBorders>
              <w:top w:val="single" w:color="auto" w:sz="4" w:space="0"/>
              <w:left w:val="single" w:color="auto" w:sz="4" w:space="0"/>
              <w:bottom w:val="single" w:color="auto" w:sz="4" w:space="0"/>
              <w:right w:val="single" w:color="auto" w:sz="4" w:space="0"/>
            </w:tcBorders>
            <w:vAlign w:val="center"/>
          </w:tcPr>
          <w:p w14:paraId="2D71B7B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000000"/>
                <w:kern w:val="0"/>
                <w:sz w:val="20"/>
                <w:szCs w:val="20"/>
                <w:highlight w:val="none"/>
                <w:u w:val="none"/>
                <w:lang w:val="en-US" w:eastAsia="zh-CN"/>
              </w:rPr>
              <w:t>4752.00</w:t>
            </w:r>
          </w:p>
        </w:tc>
      </w:tr>
      <w:tr w14:paraId="4495FC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432A6880"/>
        </w:tc>
        <w:tc>
          <w:tcPr>
            <w:tcW w:w="545" w:type="dxa"/>
            <w:tcBorders>
              <w:top w:val="single" w:color="auto" w:sz="4" w:space="0"/>
              <w:left w:val="single" w:color="auto" w:sz="4" w:space="0"/>
              <w:bottom w:val="single" w:color="auto" w:sz="4" w:space="0"/>
              <w:right w:val="single" w:color="auto" w:sz="4" w:space="0"/>
            </w:tcBorders>
            <w:vAlign w:val="center"/>
          </w:tcPr>
          <w:p w14:paraId="7D78E11C">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21</w:t>
            </w:r>
          </w:p>
        </w:tc>
        <w:tc>
          <w:tcPr>
            <w:tcW w:w="1092" w:type="dxa"/>
            <w:tcBorders>
              <w:top w:val="single" w:color="auto" w:sz="4" w:space="0"/>
              <w:left w:val="single" w:color="auto" w:sz="4" w:space="0"/>
              <w:bottom w:val="single" w:color="auto" w:sz="4" w:space="0"/>
              <w:right w:val="single" w:color="auto" w:sz="4" w:space="0"/>
            </w:tcBorders>
            <w:vAlign w:val="center"/>
          </w:tcPr>
          <w:p w14:paraId="466BA57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脉搏血氧仪</w:t>
            </w:r>
          </w:p>
        </w:tc>
        <w:tc>
          <w:tcPr>
            <w:tcW w:w="670" w:type="dxa"/>
            <w:tcBorders>
              <w:top w:val="single" w:color="auto" w:sz="4" w:space="0"/>
              <w:left w:val="single" w:color="auto" w:sz="4" w:space="0"/>
              <w:bottom w:val="single" w:color="auto" w:sz="4" w:space="0"/>
              <w:right w:val="single" w:color="auto" w:sz="4" w:space="0"/>
            </w:tcBorders>
            <w:vAlign w:val="center"/>
          </w:tcPr>
          <w:p w14:paraId="7FA566A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5台</w:t>
            </w:r>
          </w:p>
        </w:tc>
        <w:tc>
          <w:tcPr>
            <w:tcW w:w="6241" w:type="dxa"/>
            <w:tcBorders>
              <w:top w:val="single" w:color="auto" w:sz="4" w:space="0"/>
              <w:left w:val="single" w:color="auto" w:sz="4" w:space="0"/>
              <w:bottom w:val="single" w:color="auto" w:sz="4" w:space="0"/>
              <w:right w:val="single" w:color="auto" w:sz="4" w:space="0"/>
            </w:tcBorders>
            <w:vAlign w:val="center"/>
          </w:tcPr>
          <w:p w14:paraId="5264A0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1、预期用途：用于成人、儿童和新生儿等患者的生理性参数监测和报警；</w:t>
            </w:r>
          </w:p>
          <w:p w14:paraId="618907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2、测量范围：</w:t>
            </w:r>
          </w:p>
          <w:p w14:paraId="59EAA9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2.1血氧饱和度（SpO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）0～100%，测量精度：70%-100%，允差±2%；69%以下精度不作要求；</w:t>
            </w:r>
          </w:p>
          <w:p w14:paraId="362138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2.2脉率25～250（bpm），误差为±1bpm或±2%，取大值。</w:t>
            </w:r>
          </w:p>
          <w:p w14:paraId="309E2E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3、报警：</w:t>
            </w:r>
          </w:p>
          <w:p w14:paraId="77BBF4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3.1SpO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低限范围：0%～99%；SpO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高限范围：1%～100%,报警误差±1%。</w:t>
            </w:r>
          </w:p>
          <w:p w14:paraId="4A812D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3.2PR低限范围：15bpm～299bpm；PR高限范围：16bpm～300bpm,报警误差±1bpm。</w:t>
            </w:r>
          </w:p>
          <w:p w14:paraId="3DFFED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3.3报警等级支持高、中、低。</w:t>
            </w:r>
          </w:p>
          <w:p w14:paraId="3E8979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3.4声音和可视报警。</w:t>
            </w:r>
          </w:p>
          <w:p w14:paraId="7CD385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3.5支持报警音量调节：范围1～6。</w:t>
            </w:r>
          </w:p>
          <w:p w14:paraId="42E875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4、监护模式：成人、儿童、新生儿模式；</w:t>
            </w:r>
          </w:p>
          <w:p w14:paraId="0E8BC3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5、采用</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eastAsia="zh-CN"/>
              </w:rPr>
              <w:t>5英寸彩色高分辨率TFT-LCD液晶显示大屏，能清晰地显示病人的各种生理参数和波形等信息。</w:t>
            </w:r>
          </w:p>
          <w:p w14:paraId="6ED5EC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6、显示内容：血氧饱和度(SpO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)和脉率(PR)、字符、脉搏强度柱状图、SpO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容积描记波形。</w:t>
            </w:r>
          </w:p>
          <w:p w14:paraId="319B66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7、趋势回顾：支持24小时的趋势回顾，在相同的分辨率下，趋势曲线支持300个趋势显示。</w:t>
            </w:r>
          </w:p>
          <w:p w14:paraId="5CEDF6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8、趋势分辨率：分辨率支持1min、5min、10min、30min、60min。</w:t>
            </w:r>
          </w:p>
        </w:tc>
        <w:tc>
          <w:tcPr>
            <w:tcW w:w="1028" w:type="dxa"/>
            <w:tcBorders>
              <w:top w:val="single" w:color="auto" w:sz="4" w:space="0"/>
              <w:left w:val="single" w:color="auto" w:sz="4" w:space="0"/>
              <w:bottom w:val="single" w:color="auto" w:sz="4" w:space="0"/>
              <w:right w:val="single" w:color="auto" w:sz="4" w:space="0"/>
            </w:tcBorders>
            <w:vAlign w:val="center"/>
          </w:tcPr>
          <w:p w14:paraId="5BDC62D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000000"/>
                <w:kern w:val="0"/>
                <w:sz w:val="20"/>
                <w:szCs w:val="20"/>
                <w:highlight w:val="none"/>
                <w:u w:val="none"/>
                <w:lang w:val="en-US" w:eastAsia="zh-CN"/>
              </w:rPr>
              <w:t>12375.00</w:t>
            </w:r>
          </w:p>
        </w:tc>
      </w:tr>
      <w:tr w14:paraId="7ACB20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55DE22BF"/>
        </w:tc>
        <w:tc>
          <w:tcPr>
            <w:tcW w:w="545" w:type="dxa"/>
            <w:tcBorders>
              <w:top w:val="single" w:color="auto" w:sz="4" w:space="0"/>
              <w:left w:val="single" w:color="auto" w:sz="4" w:space="0"/>
              <w:bottom w:val="single" w:color="auto" w:sz="4" w:space="0"/>
              <w:right w:val="single" w:color="auto" w:sz="4" w:space="0"/>
            </w:tcBorders>
            <w:vAlign w:val="center"/>
          </w:tcPr>
          <w:p w14:paraId="02A46F88">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22</w:t>
            </w:r>
          </w:p>
        </w:tc>
        <w:tc>
          <w:tcPr>
            <w:tcW w:w="1092" w:type="dxa"/>
            <w:tcBorders>
              <w:top w:val="single" w:color="auto" w:sz="4" w:space="0"/>
              <w:left w:val="single" w:color="auto" w:sz="4" w:space="0"/>
              <w:bottom w:val="single" w:color="auto" w:sz="4" w:space="0"/>
              <w:right w:val="single" w:color="auto" w:sz="4" w:space="0"/>
            </w:tcBorders>
            <w:vAlign w:val="center"/>
          </w:tcPr>
          <w:p w14:paraId="1B9094A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新生儿呼吸机</w:t>
            </w:r>
          </w:p>
        </w:tc>
        <w:tc>
          <w:tcPr>
            <w:tcW w:w="670" w:type="dxa"/>
            <w:tcBorders>
              <w:top w:val="single" w:color="auto" w:sz="4" w:space="0"/>
              <w:left w:val="single" w:color="auto" w:sz="4" w:space="0"/>
              <w:bottom w:val="single" w:color="auto" w:sz="4" w:space="0"/>
              <w:right w:val="single" w:color="auto" w:sz="4" w:space="0"/>
            </w:tcBorders>
            <w:vAlign w:val="center"/>
          </w:tcPr>
          <w:p w14:paraId="335EF5E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1台</w:t>
            </w:r>
          </w:p>
        </w:tc>
        <w:tc>
          <w:tcPr>
            <w:tcW w:w="6241" w:type="dxa"/>
            <w:tcBorders>
              <w:top w:val="single" w:color="auto" w:sz="4" w:space="0"/>
              <w:left w:val="single" w:color="auto" w:sz="4" w:space="0"/>
              <w:bottom w:val="single" w:color="auto" w:sz="4" w:space="0"/>
              <w:right w:val="single" w:color="auto" w:sz="4" w:space="0"/>
            </w:tcBorders>
            <w:vAlign w:val="center"/>
          </w:tcPr>
          <w:p w14:paraId="6D915D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1.适用范围：新生儿（含早产儿）和30kg以下的儿童。</w:t>
            </w:r>
          </w:p>
          <w:p w14:paraId="41F3E0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2.显示屏：</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eastAsia="zh-CN"/>
              </w:rPr>
              <w:t>8.0英寸触摸屏。</w:t>
            </w:r>
          </w:p>
          <w:p w14:paraId="5281FA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3.监测参数：压力（气道峰压、平均压、呼末正压/气道压力）、氧浓度、流量、自主呼吸频率、呼气时间、吸呼比、血氧饱和度/吸入氧浓度、氧饱和度指数、氧浓度与平均压乘积。</w:t>
            </w:r>
          </w:p>
          <w:p w14:paraId="205C83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4.图形显示：压力－时间波形、流量柱状图显示流量。</w:t>
            </w:r>
          </w:p>
          <w:p w14:paraId="321110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5.内置电子空氧混合器，氧浓度调节范围：21%-100%，精度±3%。</w:t>
            </w:r>
          </w:p>
          <w:p w14:paraId="696440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6.内置氧传感器，监测范围0-100%，精度±2%。</w:t>
            </w:r>
          </w:p>
          <w:p w14:paraId="485E84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7.具有氧浓度自动校准功能。</w:t>
            </w:r>
          </w:p>
          <w:p w14:paraId="3AB65B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w:t>
            </w:r>
            <w:r>
              <w:rPr>
                <w:rFonts w:hint="eastAsia" w:ascii="宋体" w:hAnsi="宋体" w:eastAsia="宋体" w:cs="宋体"/>
                <w:color w:val="auto"/>
                <w:szCs w:val="21"/>
                <w:highlight w:val="none"/>
                <w:lang w:val="en-US" w:eastAsia="zh-CN"/>
              </w:rPr>
              <w:t>支持的</w:t>
            </w:r>
            <w:r>
              <w:rPr>
                <w:rFonts w:hint="eastAsia" w:ascii="宋体" w:hAnsi="宋体" w:eastAsia="宋体" w:cs="宋体"/>
                <w:color w:val="auto"/>
                <w:szCs w:val="21"/>
                <w:highlight w:val="none"/>
                <w:lang w:eastAsia="zh-CN"/>
              </w:rPr>
              <w:t>通气模式：</w:t>
            </w:r>
          </w:p>
          <w:p w14:paraId="17CE15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（1）经鼻持续气道正压通气：NCPAP；</w:t>
            </w:r>
          </w:p>
          <w:p w14:paraId="7D00DE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（2）经鼻间歇正压通气：NIPPV；</w:t>
            </w:r>
          </w:p>
          <w:p w14:paraId="13EE41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（3）同步经鼻间歇正压通气：SNIPPV；</w:t>
            </w:r>
          </w:p>
          <w:p w14:paraId="633BF6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（4）经鼻高流量氧疗：HFNC；</w:t>
            </w:r>
          </w:p>
          <w:p w14:paraId="35BA13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9.参数设定：</w:t>
            </w:r>
          </w:p>
          <w:p w14:paraId="2F6810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（1）吸气压力：2.0cmH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O-25cmH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r>
              <w:rPr>
                <w:rFonts w:hint="eastAsia" w:ascii="宋体" w:hAnsi="宋体" w:eastAsia="宋体" w:cs="宋体"/>
                <w:color w:val="auto"/>
                <w:szCs w:val="21"/>
                <w:highlight w:val="none"/>
                <w:lang w:eastAsia="zh-CN"/>
              </w:rPr>
              <w:tab/>
            </w:r>
          </w:p>
          <w:p w14:paraId="67F8A5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（2）呼气末正压：1.0cmH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O-15cmH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205846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（3）呼吸频率：1/min-120/min；</w:t>
            </w:r>
          </w:p>
          <w:p w14:paraId="47C2E9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（4）吸气时间：0.1s-15s；</w:t>
            </w:r>
          </w:p>
          <w:p w14:paraId="34E4EB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（5）流量调节：2L/min-25L/min；</w:t>
            </w:r>
          </w:p>
          <w:p w14:paraId="245A49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（6）高压水平：2cmH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O～25cmH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7FB0AF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（7）低压水平：1cmH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O～15cmH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4CFAD5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（8）高压时间：0.1s～30s；</w:t>
            </w:r>
          </w:p>
          <w:p w14:paraId="3B8920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（9）低压时间：0.2s～30s；</w:t>
            </w:r>
          </w:p>
          <w:p w14:paraId="10DB63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10.参数监测：</w:t>
            </w:r>
          </w:p>
          <w:p w14:paraId="7BC327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（1）压力范围：-30cmH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O～120cmH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7E9605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（2）自主呼吸频率：0/min～300/min；</w:t>
            </w:r>
          </w:p>
          <w:p w14:paraId="1A0009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11.具备HFNC高流量氧疗模式：流量可调范围上限≥25L/min。</w:t>
            </w:r>
          </w:p>
          <w:p w14:paraId="059D54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12.支持快氧通气：通气持续时间可调，最长时间120s，氧浓度22%～100%可调。</w:t>
            </w:r>
          </w:p>
          <w:p w14:paraId="29AAF7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13.支持手动通气，通气时间1s-30s可调。</w:t>
            </w:r>
          </w:p>
          <w:p w14:paraId="11FDDA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14.具备血氧监测功能，用于血氧饱和度监测、脉率监测和灌注指数监测。</w:t>
            </w:r>
          </w:p>
          <w:p w14:paraId="3ACA66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15.具备ROX指数监测功能，有助于早期识别HFNC失败风险，帮助指导医生何时给予气管插管。</w:t>
            </w:r>
          </w:p>
          <w:p w14:paraId="4F07A3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16.具备自动泄漏补偿功能。</w:t>
            </w:r>
          </w:p>
          <w:p w14:paraId="29080A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17.报警：具有手动/自动设置报警上下限功能。</w:t>
            </w:r>
          </w:p>
          <w:p w14:paraId="728E8E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18.具有日志功能、趋势图和趋势表功能，并支持存储和导出功能。</w:t>
            </w:r>
          </w:p>
          <w:p w14:paraId="7E0CA0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19.具备截屏功能，并支持存储和导出功能。</w:t>
            </w:r>
          </w:p>
          <w:p w14:paraId="4F7D77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20.应具有湿化器外挂导轨、吊臂/水袋支架安装座、空压机安装底盘。</w:t>
            </w:r>
          </w:p>
          <w:p w14:paraId="38CE7A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21.具备充电锂电池，满电续航时间≥4小时。</w:t>
            </w:r>
          </w:p>
          <w:p w14:paraId="36555E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22.具有系统自检功能、图形化提示操作功能。</w:t>
            </w:r>
          </w:p>
        </w:tc>
        <w:tc>
          <w:tcPr>
            <w:tcW w:w="1028" w:type="dxa"/>
            <w:tcBorders>
              <w:top w:val="single" w:color="auto" w:sz="4" w:space="0"/>
              <w:left w:val="single" w:color="auto" w:sz="4" w:space="0"/>
              <w:bottom w:val="single" w:color="auto" w:sz="4" w:space="0"/>
              <w:right w:val="single" w:color="auto" w:sz="4" w:space="0"/>
            </w:tcBorders>
            <w:vAlign w:val="center"/>
          </w:tcPr>
          <w:p w14:paraId="2A6BF8F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000000"/>
                <w:kern w:val="0"/>
                <w:sz w:val="20"/>
                <w:szCs w:val="20"/>
                <w:highlight w:val="none"/>
                <w:u w:val="none"/>
                <w:lang w:val="en-US" w:eastAsia="zh-CN"/>
              </w:rPr>
              <w:t>142560.00</w:t>
            </w:r>
          </w:p>
        </w:tc>
      </w:tr>
      <w:tr w14:paraId="2F6B80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7D6AC858"/>
        </w:tc>
        <w:tc>
          <w:tcPr>
            <w:tcW w:w="545" w:type="dxa"/>
            <w:tcBorders>
              <w:top w:val="single" w:color="auto" w:sz="4" w:space="0"/>
              <w:left w:val="single" w:color="auto" w:sz="4" w:space="0"/>
              <w:bottom w:val="single" w:color="auto" w:sz="4" w:space="0"/>
              <w:right w:val="single" w:color="auto" w:sz="4" w:space="0"/>
            </w:tcBorders>
            <w:vAlign w:val="center"/>
          </w:tcPr>
          <w:p w14:paraId="6A6A6E5D">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23</w:t>
            </w:r>
          </w:p>
        </w:tc>
        <w:tc>
          <w:tcPr>
            <w:tcW w:w="1092" w:type="dxa"/>
            <w:tcBorders>
              <w:top w:val="single" w:color="auto" w:sz="4" w:space="0"/>
              <w:left w:val="single" w:color="auto" w:sz="4" w:space="0"/>
              <w:bottom w:val="single" w:color="auto" w:sz="4" w:space="0"/>
              <w:right w:val="single" w:color="auto" w:sz="4" w:space="0"/>
            </w:tcBorders>
            <w:vAlign w:val="center"/>
          </w:tcPr>
          <w:p w14:paraId="51CB977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婴儿辐射保暖台</w:t>
            </w:r>
          </w:p>
        </w:tc>
        <w:tc>
          <w:tcPr>
            <w:tcW w:w="670" w:type="dxa"/>
            <w:tcBorders>
              <w:top w:val="single" w:color="auto" w:sz="4" w:space="0"/>
              <w:left w:val="single" w:color="auto" w:sz="4" w:space="0"/>
              <w:bottom w:val="single" w:color="auto" w:sz="4" w:space="0"/>
              <w:right w:val="single" w:color="auto" w:sz="4" w:space="0"/>
            </w:tcBorders>
            <w:vAlign w:val="center"/>
          </w:tcPr>
          <w:p w14:paraId="411FD15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1台</w:t>
            </w:r>
          </w:p>
        </w:tc>
        <w:tc>
          <w:tcPr>
            <w:tcW w:w="6241" w:type="dxa"/>
            <w:tcBorders>
              <w:top w:val="single" w:color="auto" w:sz="4" w:space="0"/>
              <w:left w:val="single" w:color="auto" w:sz="4" w:space="0"/>
              <w:bottom w:val="single" w:color="auto" w:sz="4" w:space="0"/>
              <w:right w:val="single" w:color="auto" w:sz="4" w:space="0"/>
            </w:tcBorders>
            <w:vAlign w:val="center"/>
          </w:tcPr>
          <w:p w14:paraId="318D86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1.加热器材质：不锈钢加热管。</w:t>
            </w:r>
          </w:p>
          <w:p w14:paraId="244873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2.辐射灯头：斜照灯头，床面正上方无加热器遮挡，方便医护人员临床操作。</w:t>
            </w:r>
          </w:p>
          <w:p w14:paraId="0E62F9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3.控温模式：预热模式、手动模式、婴儿模式。</w:t>
            </w:r>
          </w:p>
          <w:p w14:paraId="16542B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4.肤温控制范围：32℃～38℃。</w:t>
            </w:r>
          </w:p>
          <w:p w14:paraId="2CF296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5.肤温控制精度≤±0.5℃。</w:t>
            </w:r>
          </w:p>
          <w:p w14:paraId="41B7CB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6.肤温测量范围不窄于25℃～45℃。</w:t>
            </w:r>
          </w:p>
          <w:p w14:paraId="35D68D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7.肤温测量精度：±0.2℃。</w:t>
            </w:r>
          </w:p>
          <w:p w14:paraId="4BB6FA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8.床面温度均匀性：≤2℃。</w:t>
            </w:r>
          </w:p>
          <w:p w14:paraId="68B6A9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9.手动模式：加热功率显示范围：0～100%，分辨率为5%，20档可调。</w:t>
            </w:r>
          </w:p>
          <w:p w14:paraId="106113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10.手动模式加热15分钟后无任何操作会报警，加热功率自行下降到15%。</w:t>
            </w:r>
          </w:p>
          <w:p w14:paraId="2331C8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11.显示方式：设置温度、皮肤温度、加热功率LED分屏显示。</w:t>
            </w:r>
          </w:p>
          <w:p w14:paraId="65F5A7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12.具有床面倾斜角度无级调节功能。</w:t>
            </w:r>
          </w:p>
          <w:p w14:paraId="2001CC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13.床面倾斜角度不小于12°。</w:t>
            </w:r>
          </w:p>
          <w:p w14:paraId="2FC83B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14.内置气泡水平仪，用于确定床体是否水平。</w:t>
            </w:r>
          </w:p>
          <w:p w14:paraId="0A6EBE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15.内置穿刺照明灯，方便随时检查婴儿状况。</w:t>
            </w:r>
          </w:p>
          <w:p w14:paraId="1A24F8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16.具有APGAR计时器功能，并提供声音提示。</w:t>
            </w:r>
          </w:p>
          <w:p w14:paraId="0D67D2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17.婴儿床下内置X线托盘，可直接进行X线拍片，无需旋转或移动辐射加热器，中断对婴儿的辐射热。</w:t>
            </w:r>
          </w:p>
          <w:p w14:paraId="4E686F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18.具备声光双级报警功能，包括：断电、传感器故障、超温、肤温偏差、检查婴儿等报警。</w:t>
            </w:r>
          </w:p>
          <w:p w14:paraId="1FD813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19.配备输液杆、托盘。</w:t>
            </w:r>
          </w:p>
          <w:p w14:paraId="6DAB5F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20.超大床面：床面尺寸≥700mm×570mm（长×宽），方便护理。</w:t>
            </w:r>
          </w:p>
          <w:p w14:paraId="73867F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21.具有USB接口、RS232接口。</w:t>
            </w:r>
          </w:p>
        </w:tc>
        <w:tc>
          <w:tcPr>
            <w:tcW w:w="1028" w:type="dxa"/>
            <w:tcBorders>
              <w:top w:val="single" w:color="auto" w:sz="4" w:space="0"/>
              <w:left w:val="single" w:color="auto" w:sz="4" w:space="0"/>
              <w:bottom w:val="single" w:color="auto" w:sz="4" w:space="0"/>
              <w:right w:val="single" w:color="auto" w:sz="4" w:space="0"/>
            </w:tcBorders>
            <w:vAlign w:val="center"/>
          </w:tcPr>
          <w:p w14:paraId="574DDFF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000000"/>
                <w:kern w:val="0"/>
                <w:sz w:val="20"/>
                <w:szCs w:val="20"/>
                <w:highlight w:val="none"/>
                <w:u w:val="none"/>
                <w:lang w:val="en-US" w:eastAsia="zh-CN"/>
              </w:rPr>
              <w:t>26730.00</w:t>
            </w:r>
          </w:p>
        </w:tc>
      </w:tr>
      <w:tr w14:paraId="1BB85B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2FDB9C6B"/>
        </w:tc>
        <w:tc>
          <w:tcPr>
            <w:tcW w:w="545" w:type="dxa"/>
            <w:tcBorders>
              <w:top w:val="single" w:color="auto" w:sz="4" w:space="0"/>
              <w:left w:val="single" w:color="auto" w:sz="4" w:space="0"/>
              <w:bottom w:val="single" w:color="auto" w:sz="4" w:space="0"/>
              <w:right w:val="single" w:color="auto" w:sz="4" w:space="0"/>
            </w:tcBorders>
            <w:vAlign w:val="center"/>
          </w:tcPr>
          <w:p w14:paraId="38C4E7ED">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24</w:t>
            </w:r>
          </w:p>
        </w:tc>
        <w:tc>
          <w:tcPr>
            <w:tcW w:w="1092" w:type="dxa"/>
            <w:tcBorders>
              <w:top w:val="single" w:color="auto" w:sz="4" w:space="0"/>
              <w:left w:val="single" w:color="auto" w:sz="4" w:space="0"/>
              <w:bottom w:val="single" w:color="auto" w:sz="4" w:space="0"/>
              <w:right w:val="single" w:color="auto" w:sz="4" w:space="0"/>
            </w:tcBorders>
            <w:vAlign w:val="center"/>
          </w:tcPr>
          <w:p w14:paraId="4C98095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新生儿蓝光治疗仪</w:t>
            </w:r>
          </w:p>
        </w:tc>
        <w:tc>
          <w:tcPr>
            <w:tcW w:w="670" w:type="dxa"/>
            <w:tcBorders>
              <w:top w:val="single" w:color="auto" w:sz="4" w:space="0"/>
              <w:left w:val="single" w:color="auto" w:sz="4" w:space="0"/>
              <w:bottom w:val="single" w:color="auto" w:sz="4" w:space="0"/>
              <w:right w:val="single" w:color="auto" w:sz="4" w:space="0"/>
            </w:tcBorders>
            <w:vAlign w:val="center"/>
          </w:tcPr>
          <w:p w14:paraId="523B8E4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2台</w:t>
            </w:r>
          </w:p>
        </w:tc>
        <w:tc>
          <w:tcPr>
            <w:tcW w:w="6241" w:type="dxa"/>
            <w:tcBorders>
              <w:top w:val="single" w:color="auto" w:sz="4" w:space="0"/>
              <w:left w:val="single" w:color="auto" w:sz="4" w:space="0"/>
              <w:bottom w:val="single" w:color="auto" w:sz="4" w:space="0"/>
              <w:right w:val="single" w:color="auto" w:sz="4" w:space="0"/>
            </w:tcBorders>
            <w:vAlign w:val="center"/>
          </w:tcPr>
          <w:p w14:paraId="5C4BDF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1.蓝光波长范围：400-550nm。</w:t>
            </w:r>
          </w:p>
          <w:p w14:paraId="64F6DF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2.有效表面内的胆红素总辐照度最大值4.5mW/cm²。</w:t>
            </w:r>
          </w:p>
          <w:p w14:paraId="508F21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3.有效表面内的胆红素总辐照度均匀性＞0.4。</w:t>
            </w:r>
          </w:p>
          <w:p w14:paraId="74F9CF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4.蓝光输出强度调节范围：20%～100%，步进20%，5级可调。</w:t>
            </w:r>
          </w:p>
          <w:p w14:paraId="29685A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5.有效辐照面积≥50cm×25cm（长×宽）（辐照距离≤40cm），最大有效辐照面积≥60cm×30cm（长×宽）。</w:t>
            </w:r>
          </w:p>
          <w:p w14:paraId="454204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6.光源为LED，使用寿命≥50000小时。</w:t>
            </w:r>
          </w:p>
          <w:p w14:paraId="51953E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7.LCD液晶显示屏。</w:t>
            </w:r>
          </w:p>
          <w:p w14:paraId="544A95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8.计时功能：具有正计时、倒计时和总计时，并具有计时清零功能。</w:t>
            </w:r>
          </w:p>
          <w:p w14:paraId="6EFE56F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9.工作噪声应≤45dB（A）。</w:t>
            </w:r>
          </w:p>
          <w:p w14:paraId="479D1F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10.光疗灯底部配有吸盘，可直接放于保温箱罩上使用。</w:t>
            </w:r>
          </w:p>
          <w:p w14:paraId="77639B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11.环境温度：工作范围10-30℃。</w:t>
            </w:r>
          </w:p>
        </w:tc>
        <w:tc>
          <w:tcPr>
            <w:tcW w:w="1028" w:type="dxa"/>
            <w:tcBorders>
              <w:top w:val="single" w:color="auto" w:sz="4" w:space="0"/>
              <w:left w:val="single" w:color="auto" w:sz="4" w:space="0"/>
              <w:bottom w:val="single" w:color="auto" w:sz="4" w:space="0"/>
              <w:right w:val="single" w:color="auto" w:sz="4" w:space="0"/>
            </w:tcBorders>
            <w:vAlign w:val="center"/>
          </w:tcPr>
          <w:p w14:paraId="2C68B87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000000"/>
                <w:kern w:val="0"/>
                <w:sz w:val="20"/>
                <w:szCs w:val="20"/>
                <w:highlight w:val="none"/>
                <w:u w:val="none"/>
                <w:lang w:val="en-US" w:eastAsia="zh-CN"/>
              </w:rPr>
              <w:t>19503.00</w:t>
            </w:r>
          </w:p>
        </w:tc>
      </w:tr>
      <w:tr w14:paraId="5B2789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6A569213"/>
        </w:tc>
        <w:tc>
          <w:tcPr>
            <w:tcW w:w="545" w:type="dxa"/>
            <w:tcBorders>
              <w:top w:val="single" w:color="auto" w:sz="4" w:space="0"/>
              <w:left w:val="single" w:color="auto" w:sz="4" w:space="0"/>
              <w:bottom w:val="single" w:color="auto" w:sz="4" w:space="0"/>
              <w:right w:val="single" w:color="auto" w:sz="4" w:space="0"/>
            </w:tcBorders>
            <w:vAlign w:val="center"/>
          </w:tcPr>
          <w:p w14:paraId="6FEE87A7">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25</w:t>
            </w:r>
          </w:p>
        </w:tc>
        <w:tc>
          <w:tcPr>
            <w:tcW w:w="1092" w:type="dxa"/>
            <w:tcBorders>
              <w:top w:val="single" w:color="auto" w:sz="4" w:space="0"/>
              <w:left w:val="single" w:color="auto" w:sz="4" w:space="0"/>
              <w:bottom w:val="single" w:color="auto" w:sz="4" w:space="0"/>
              <w:right w:val="single" w:color="auto" w:sz="4" w:space="0"/>
            </w:tcBorders>
            <w:vAlign w:val="center"/>
          </w:tcPr>
          <w:p w14:paraId="15DDC2E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T组合复苏器</w:t>
            </w:r>
          </w:p>
        </w:tc>
        <w:tc>
          <w:tcPr>
            <w:tcW w:w="670" w:type="dxa"/>
            <w:tcBorders>
              <w:top w:val="single" w:color="auto" w:sz="4" w:space="0"/>
              <w:left w:val="single" w:color="auto" w:sz="4" w:space="0"/>
              <w:bottom w:val="single" w:color="auto" w:sz="4" w:space="0"/>
              <w:right w:val="single" w:color="auto" w:sz="4" w:space="0"/>
            </w:tcBorders>
            <w:vAlign w:val="center"/>
          </w:tcPr>
          <w:p w14:paraId="61B5F8C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1台</w:t>
            </w:r>
          </w:p>
        </w:tc>
        <w:tc>
          <w:tcPr>
            <w:tcW w:w="6241" w:type="dxa"/>
            <w:tcBorders>
              <w:top w:val="single" w:color="auto" w:sz="4" w:space="0"/>
              <w:left w:val="single" w:color="auto" w:sz="4" w:space="0"/>
              <w:bottom w:val="single" w:color="auto" w:sz="4" w:space="0"/>
              <w:right w:val="single" w:color="auto" w:sz="4" w:space="0"/>
            </w:tcBorders>
            <w:vAlign w:val="center"/>
          </w:tcPr>
          <w:p w14:paraId="218141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1.用于有自主呼吸新生儿，提供持续正压通气支持，人工操作、气体驱动的呼吸支持系统；</w:t>
            </w:r>
          </w:p>
          <w:p w14:paraId="5EE9F6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2.具备限压功能；防止压力过高最大压力（MAX-P）（防止压力过高保护）；</w:t>
            </w:r>
          </w:p>
          <w:p w14:paraId="6BD95A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3.具备吸气峰压PIP功能，安全地扩张新生儿/小儿的肺部并提供最佳的氧合；</w:t>
            </w:r>
          </w:p>
          <w:p w14:paraId="168E7A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4.具备CPAP/PEEP末压调节功能，使肺部在呼气时保持张开的状态，避免粘连受损并维持功能残气量；</w:t>
            </w:r>
          </w:p>
          <w:p w14:paraId="15A29A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5.最大限制压力（MAX-P）40cmH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O限制压力功能（防止压力过高）、吸气峰压（PIP）调节扩张压力功能、CPAP/PEEP压力；调节呼气末压功能；</w:t>
            </w:r>
          </w:p>
          <w:p w14:paraId="7FD030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6.压力限制（MAX-P）：0-15LPM小于6kPa(60cmH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5790B9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7.吸气峰压（PIP）：5-15LPM0.2-5.7kPa(2-57cmH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63C215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8.CPAP/PEEP：5-15LPM0.03-2.3kPa(0.3-23cmH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02359B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9.压力表-2-10kPa（-20~100cmH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0318E1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10.工作噪音：不大于55dB（A）；</w:t>
            </w:r>
          </w:p>
          <w:p w14:paraId="1A3A75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11.气源要求：0.3MPa-0.4MPa容量大于100L；</w:t>
            </w:r>
          </w:p>
          <w:p w14:paraId="60B02C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12.适用体重范围：小于10kg；</w:t>
            </w:r>
          </w:p>
          <w:p w14:paraId="519E95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13.工作和存放环境</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eastAsia="zh-CN"/>
              </w:rPr>
              <w:t>20℃~50℃，相对湿度最高90%。</w:t>
            </w:r>
          </w:p>
        </w:tc>
        <w:tc>
          <w:tcPr>
            <w:tcW w:w="1028" w:type="dxa"/>
            <w:tcBorders>
              <w:top w:val="single" w:color="auto" w:sz="4" w:space="0"/>
              <w:left w:val="single" w:color="auto" w:sz="4" w:space="0"/>
              <w:bottom w:val="single" w:color="auto" w:sz="4" w:space="0"/>
              <w:right w:val="single" w:color="auto" w:sz="4" w:space="0"/>
            </w:tcBorders>
            <w:vAlign w:val="center"/>
          </w:tcPr>
          <w:p w14:paraId="202C056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17770.50</w:t>
            </w:r>
          </w:p>
        </w:tc>
      </w:tr>
      <w:tr w14:paraId="63678C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21E099FA"/>
        </w:tc>
        <w:tc>
          <w:tcPr>
            <w:tcW w:w="545" w:type="dxa"/>
            <w:tcBorders>
              <w:top w:val="single" w:color="auto" w:sz="4" w:space="0"/>
              <w:left w:val="single" w:color="auto" w:sz="4" w:space="0"/>
              <w:bottom w:val="single" w:color="auto" w:sz="4" w:space="0"/>
              <w:right w:val="single" w:color="auto" w:sz="4" w:space="0"/>
            </w:tcBorders>
            <w:vAlign w:val="center"/>
          </w:tcPr>
          <w:p w14:paraId="1412CB86">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26</w:t>
            </w:r>
          </w:p>
        </w:tc>
        <w:tc>
          <w:tcPr>
            <w:tcW w:w="1092" w:type="dxa"/>
            <w:tcBorders>
              <w:top w:val="single" w:color="auto" w:sz="4" w:space="0"/>
              <w:left w:val="single" w:color="auto" w:sz="4" w:space="0"/>
              <w:bottom w:val="single" w:color="auto" w:sz="4" w:space="0"/>
              <w:right w:val="single" w:color="auto" w:sz="4" w:space="0"/>
            </w:tcBorders>
            <w:vAlign w:val="center"/>
          </w:tcPr>
          <w:p w14:paraId="1F27896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中央监护管理系统</w:t>
            </w:r>
          </w:p>
        </w:tc>
        <w:tc>
          <w:tcPr>
            <w:tcW w:w="670" w:type="dxa"/>
            <w:tcBorders>
              <w:top w:val="single" w:color="auto" w:sz="4" w:space="0"/>
              <w:left w:val="single" w:color="auto" w:sz="4" w:space="0"/>
              <w:bottom w:val="single" w:color="auto" w:sz="4" w:space="0"/>
              <w:right w:val="single" w:color="auto" w:sz="4" w:space="0"/>
            </w:tcBorders>
            <w:vAlign w:val="center"/>
          </w:tcPr>
          <w:p w14:paraId="1E24E80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1</w:t>
            </w:r>
            <w:r>
              <w:rPr>
                <w:rFonts w:hint="eastAsia" w:ascii="宋体" w:hAnsi="宋体" w:cs="宋体"/>
                <w:i w:val="0"/>
                <w:iCs w:val="0"/>
                <w:color w:val="000000"/>
                <w:kern w:val="0"/>
                <w:sz w:val="22"/>
                <w:szCs w:val="22"/>
                <w:highlight w:val="none"/>
                <w:u w:val="none"/>
                <w:lang w:val="en-US" w:eastAsia="zh-CN"/>
              </w:rPr>
              <w:t>套</w:t>
            </w:r>
          </w:p>
        </w:tc>
        <w:tc>
          <w:tcPr>
            <w:tcW w:w="6241" w:type="dxa"/>
            <w:tcBorders>
              <w:top w:val="single" w:color="auto" w:sz="4" w:space="0"/>
              <w:left w:val="single" w:color="auto" w:sz="4" w:space="0"/>
              <w:bottom w:val="single" w:color="auto" w:sz="4" w:space="0"/>
              <w:right w:val="single" w:color="auto" w:sz="4" w:space="0"/>
            </w:tcBorders>
            <w:vAlign w:val="center"/>
          </w:tcPr>
          <w:p w14:paraId="6E0FDD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一、中央监护系统配置：</w:t>
            </w:r>
          </w:p>
          <w:p w14:paraId="05CD34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1.中央监护管理系统 一套 </w:t>
            </w:r>
          </w:p>
          <w:p w14:paraId="3510B3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2.床边机母婴监护仪 三台</w:t>
            </w:r>
          </w:p>
          <w:p w14:paraId="567426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3.床边机胎儿监护仪 三台</w:t>
            </w:r>
          </w:p>
          <w:p w14:paraId="20C460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二、中央监护工作站具体参数及要求：</w:t>
            </w:r>
          </w:p>
          <w:p w14:paraId="4DDB20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1.工作站主机：</w:t>
            </w:r>
            <w:r>
              <w:rPr>
                <w:rFonts w:hint="eastAsia" w:ascii="宋体" w:hAnsi="宋体" w:eastAsia="宋体" w:cs="宋体"/>
                <w:color w:val="auto"/>
                <w:szCs w:val="21"/>
                <w:highlight w:val="none"/>
                <w:lang w:val="en-US" w:eastAsia="zh-CN"/>
              </w:rPr>
              <w:t>配置操作主机及显示设备</w:t>
            </w:r>
            <w:r>
              <w:rPr>
                <w:rFonts w:hint="eastAsia" w:ascii="宋体" w:hAnsi="宋体" w:eastAsia="宋体" w:cs="宋体"/>
                <w:color w:val="auto"/>
                <w:szCs w:val="21"/>
                <w:highlight w:val="none"/>
                <w:lang w:eastAsia="zh-CN"/>
              </w:rPr>
              <w:t>。</w:t>
            </w:r>
          </w:p>
          <w:p w14:paraId="533FBD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2.中央监护工作站和各床边机之间采用</w:t>
            </w:r>
            <w:r>
              <w:rPr>
                <w:rFonts w:hint="eastAsia" w:ascii="宋体" w:hAnsi="宋体" w:cs="宋体"/>
                <w:color w:val="auto"/>
                <w:szCs w:val="21"/>
                <w:highlight w:val="none"/>
                <w:lang w:eastAsia="zh-CN"/>
              </w:rPr>
              <w:t>Wi-Fi</w:t>
            </w:r>
            <w:r>
              <w:rPr>
                <w:rFonts w:hint="eastAsia" w:ascii="宋体" w:hAnsi="宋体" w:eastAsia="宋体" w:cs="宋体"/>
                <w:color w:val="auto"/>
                <w:szCs w:val="21"/>
                <w:highlight w:val="none"/>
                <w:lang w:eastAsia="zh-CN"/>
              </w:rPr>
              <w:t>无线联网技术，可接入分机数量应≥100台。</w:t>
            </w:r>
          </w:p>
          <w:p w14:paraId="7316CA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具有胎儿监护AI智能分析功能：在监护过程中无需暂停就能对每一时刻胎儿胎心率基线高低、各种加速、减速的变化、细变异大小、宫缩的变化及胎动情况实时分析，并将自动分析结果实时显示在屏幕上，最后能对整个监护的全部信息按无刺激试验（NST）或宫缩试验（OCT、CST）进行综合分析，给出智能分析报告包括监护结论及胎儿评分。</w:t>
            </w:r>
          </w:p>
          <w:p w14:paraId="0BCCE9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4.可随时在监护曲线的旁边进行文字标注说明，形成电子病历，方便医护人员查阅、分析，必要时可作为医疗事故法律取证。</w:t>
            </w:r>
          </w:p>
          <w:p w14:paraId="5BD6FF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5.监护曲线滚动显示：监护过程中监护曲线实时从右至左滚动显示，保持时空特性连续。</w:t>
            </w:r>
          </w:p>
          <w:p w14:paraId="367CC5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6.具有海量存储功能，系统可存储上千万个监护信息记录。可按日期/住院号/姓名进行搜索显示孕妇信息，3种方式可选。</w:t>
            </w:r>
          </w:p>
          <w:p w14:paraId="6D3313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7.多种显示方式：可单床显示、多床显示、自动交换显示，并可任意切换。</w:t>
            </w:r>
          </w:p>
          <w:p w14:paraId="4875C4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8.屏幕自动分割显示：系统会根据正在监护的床位数多少对屏幕进行自动分割显示，以便利用屏幕最大化显示有关监护信息。</w:t>
            </w:r>
          </w:p>
          <w:p w14:paraId="0624DF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9.具有报警功能：可对孕妇和胎儿参数进行声光、语音及文字报警，报警上下限可调。</w:t>
            </w:r>
          </w:p>
          <w:p w14:paraId="0D1BBC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10.全图浏览全图打印：一屏幕可以显示20min（或60min）的监护画面，支持A4/B5复印纸打印，且一张复印纸最多可打印60min的监护数据曲线及监护报告。</w:t>
            </w:r>
          </w:p>
          <w:p w14:paraId="21F7BA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11.具有多种智能监护报告打印功能，一张A4/B5复印纸可打印20min到60min的监护曲线及智能分析报告，包括过程分析结果和综合分析结果及胎儿评分。</w:t>
            </w:r>
          </w:p>
          <w:p w14:paraId="1BBB8C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12.具有监护自动接入功能，床边机一进入监护状态，所有监护信息及监护数据会自动传入中央监护主机上，自动启动中央工作站开始监护，且监护结束自动储存，实现自动监护无人值班，方便临床应用。</w:t>
            </w:r>
          </w:p>
          <w:p w14:paraId="65A7A0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13.具有监护数据分析结果自动同步保存功能，床边机与工作站监护信息数据及自动分析结果自动同步自动保存，防止监护信息数据丢失造成监护结果不一致。</w:t>
            </w:r>
          </w:p>
          <w:p w14:paraId="4165ED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14.床边机数量可随时任意增加。</w:t>
            </w:r>
          </w:p>
          <w:p w14:paraId="113C59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15.可以升级成远程监护系统。</w:t>
            </w:r>
          </w:p>
          <w:p w14:paraId="67AEF0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三、床边机母婴监护仪主要技术指标及要求：</w:t>
            </w:r>
          </w:p>
          <w:p w14:paraId="3755DD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1.全中文操作界面。软键盘及飞梭鼠标操作，方便输入孕妇姓名、住院号、孕周、年龄等信息。</w:t>
            </w:r>
          </w:p>
          <w:p w14:paraId="218C08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2.采用工业ARM，Linux操作系统，</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2.1英寸</w:t>
            </w:r>
            <w:r>
              <w:rPr>
                <w:rFonts w:hint="eastAsia" w:ascii="宋体" w:hAnsi="宋体" w:eastAsia="宋体" w:cs="宋体"/>
                <w:color w:val="auto"/>
                <w:szCs w:val="21"/>
                <w:highlight w:val="none"/>
                <w:lang w:val="en-US" w:eastAsia="zh-CN"/>
              </w:rPr>
              <w:t>彩色</w:t>
            </w:r>
            <w:r>
              <w:rPr>
                <w:rFonts w:hint="eastAsia" w:ascii="宋体" w:hAnsi="宋体" w:eastAsia="宋体" w:cs="宋体"/>
                <w:color w:val="auto"/>
                <w:szCs w:val="21"/>
                <w:highlight w:val="none"/>
                <w:lang w:eastAsia="zh-CN"/>
              </w:rPr>
              <w:t>TFT液晶显示器。</w:t>
            </w:r>
          </w:p>
          <w:p w14:paraId="2CB17B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3.具有胎儿监护电脑自动分析功能，监护过程中，实时在线自动分析所有参数的变化情况及综合分析结果同屏显示。</w:t>
            </w:r>
          </w:p>
          <w:p w14:paraId="7EB0C6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4.具有监护信息曲线存储及回放功能。可按照孕妇姓名、监护时间、住院号进行存储、查询、回访。</w:t>
            </w:r>
          </w:p>
          <w:p w14:paraId="35B403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5.具有实时打印和整体打印。整体打印时监护信息曲线、过程分析情况、综合分析结果同时打印出来。</w:t>
            </w:r>
          </w:p>
          <w:p w14:paraId="2B41D9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6.全数字化自动同步、自动跟踪和数字信号自相关处理技术，胎心率曲线和数字同步实时显示，准确、可靠、符合临床。</w:t>
            </w:r>
          </w:p>
          <w:p w14:paraId="4C885E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7.监护曲线滚动显示：监护过程中监护曲线实时从右至左滚动显示，保持时空特性连续。</w:t>
            </w:r>
          </w:p>
          <w:p w14:paraId="51F255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8.内置无线通讯模块，具有百兆以太网及CDMA双联网技术，可独立使用。</w:t>
            </w:r>
          </w:p>
          <w:p w14:paraId="40AFAD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9.胎儿监护指标：</w:t>
            </w:r>
          </w:p>
          <w:p w14:paraId="5E2073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（1）监护参数：能同时监测孕妇及病人的心电、血压、血氧饱和度、脉搏心率、呼吸、体温、胎儿的瞬时胎心率、宫缩压力、胎动等参数。</w:t>
            </w:r>
          </w:p>
          <w:p w14:paraId="0A9728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（2）超声发射频率及方式：1.0MHz，12晶片数字脉冲超声宽带方式。</w:t>
            </w:r>
          </w:p>
          <w:p w14:paraId="6547B3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（3）超声输出强度：&lt;5Mw/cm</w:t>
            </w:r>
            <w:r>
              <w:rPr>
                <w:rFonts w:hint="eastAsia" w:ascii="宋体" w:hAnsi="宋体" w:eastAsia="宋体" w:cs="宋体"/>
                <w:color w:val="auto"/>
                <w:szCs w:val="21"/>
                <w:highlight w:val="none"/>
                <w:vertAlign w:val="superscript"/>
                <w:lang w:eastAsia="zh-CN"/>
              </w:rPr>
              <w:t>2</w:t>
            </w:r>
            <w:r>
              <w:rPr>
                <w:rFonts w:hint="eastAsia" w:ascii="宋体" w:hAnsi="宋体" w:eastAsia="宋体" w:cs="宋体"/>
                <w:color w:val="auto"/>
                <w:szCs w:val="21"/>
                <w:highlight w:val="none"/>
                <w:lang w:eastAsia="zh-CN"/>
              </w:rPr>
              <w:t>。</w:t>
            </w:r>
          </w:p>
          <w:p w14:paraId="1DD1BF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（4）胎心率测量范围：40-220BPM。</w:t>
            </w:r>
          </w:p>
          <w:p w14:paraId="278018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宫缩压力：范围0－100单位。</w:t>
            </w:r>
          </w:p>
          <w:p w14:paraId="431BDB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血压测量范围：30—250mmHg。</w:t>
            </w:r>
          </w:p>
          <w:p w14:paraId="54FD3C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血氧饱和度测量范围：0—100%。</w:t>
            </w:r>
          </w:p>
          <w:p w14:paraId="5A4493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脉搏心率测量范围：30—240次/min。</w:t>
            </w:r>
          </w:p>
          <w:p w14:paraId="43456D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（5）胎心率测量精度：误差±2BPM。</w:t>
            </w:r>
          </w:p>
          <w:p w14:paraId="3EDDE0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（6）自动检测胎动。</w:t>
            </w:r>
          </w:p>
          <w:p w14:paraId="36CAAA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四、床边机胎儿监护仪主要技术指标及要求：</w:t>
            </w:r>
          </w:p>
          <w:p w14:paraId="4EEFAD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1.采用</w:t>
            </w:r>
            <w:r>
              <w:rPr>
                <w:rFonts w:hint="eastAsia" w:ascii="宋体" w:hAnsi="宋体" w:eastAsia="宋体" w:cs="宋体"/>
                <w:color w:val="auto"/>
                <w:szCs w:val="21"/>
                <w:highlight w:val="none"/>
                <w:lang w:val="en-US" w:eastAsia="zh-CN"/>
              </w:rPr>
              <w:t>L</w:t>
            </w:r>
            <w:r>
              <w:rPr>
                <w:rFonts w:hint="eastAsia" w:ascii="宋体" w:hAnsi="宋体" w:eastAsia="宋体" w:cs="宋体"/>
                <w:color w:val="auto"/>
                <w:szCs w:val="21"/>
                <w:highlight w:val="none"/>
                <w:lang w:eastAsia="zh-CN"/>
              </w:rPr>
              <w:t>inux操作系统，</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eastAsia="zh-CN"/>
              </w:rPr>
              <w:t>8英寸彩色高亮度TFT液晶显示器。</w:t>
            </w:r>
          </w:p>
          <w:p w14:paraId="19C5AD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2.具有胎儿监护AI智能分析功能：在监护过程中无需暂停就能对每一时刻胎儿胎心率基线高低、各种加速、减速的变化、细变异大小、宫缩的变化及胎动情况实时分析，并将自动分析结果实时显示在屏幕上。</w:t>
            </w:r>
          </w:p>
          <w:p w14:paraId="256260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3.采用1.0MHz数字脉冲超声宽带技术，胎心捕捉范围宽，灵敏度高，抗干扰能力强，零噪声。</w:t>
            </w:r>
          </w:p>
          <w:p w14:paraId="3E5DAB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4.具有监护信息曲线存储及回放功能。可按照孕妇姓名、监护时间、住院号进行存储、查询、回访。</w:t>
            </w:r>
          </w:p>
          <w:p w14:paraId="77FF1B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5.监护曲线滚动显示：监护过程中监护曲线实时从右至左滚动显示，保持时空特性连续。</w:t>
            </w:r>
          </w:p>
          <w:p w14:paraId="01B773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6.胎儿监护指标</w:t>
            </w:r>
          </w:p>
          <w:p w14:paraId="7C00C7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（1）监护参数：胎心率、宫缩压力、胎动。</w:t>
            </w:r>
          </w:p>
          <w:p w14:paraId="0951A9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（2）超声发射频率及方式：1.0MHz，12晶片数字脉冲超声宽带方式。</w:t>
            </w:r>
          </w:p>
          <w:p w14:paraId="7049D2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（3）超声输出强度：&lt;5Mw/cm2。</w:t>
            </w:r>
          </w:p>
          <w:p w14:paraId="73357F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（4）胎心率测量范围：40-220BPM，宫缩压力：范围0－100单位。</w:t>
            </w:r>
          </w:p>
          <w:p w14:paraId="479475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（5）胎心率测量精度：误差±1BPM</w:t>
            </w:r>
          </w:p>
          <w:p w14:paraId="4C0178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（6）自动胎动检测。</w:t>
            </w:r>
          </w:p>
        </w:tc>
        <w:tc>
          <w:tcPr>
            <w:tcW w:w="1028" w:type="dxa"/>
            <w:tcBorders>
              <w:top w:val="single" w:color="auto" w:sz="4" w:space="0"/>
              <w:left w:val="single" w:color="auto" w:sz="4" w:space="0"/>
              <w:bottom w:val="single" w:color="auto" w:sz="4" w:space="0"/>
              <w:right w:val="single" w:color="auto" w:sz="4" w:space="0"/>
            </w:tcBorders>
            <w:vAlign w:val="center"/>
          </w:tcPr>
          <w:p w14:paraId="35C1608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000000"/>
                <w:kern w:val="0"/>
                <w:sz w:val="20"/>
                <w:szCs w:val="20"/>
                <w:highlight w:val="none"/>
                <w:u w:val="none"/>
                <w:lang w:val="en-US" w:eastAsia="zh-CN"/>
              </w:rPr>
              <w:t>237600.00</w:t>
            </w:r>
          </w:p>
        </w:tc>
      </w:tr>
      <w:tr w14:paraId="0C31CA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7FCF7218"/>
        </w:tc>
        <w:tc>
          <w:tcPr>
            <w:tcW w:w="545" w:type="dxa"/>
            <w:tcBorders>
              <w:top w:val="single" w:color="auto" w:sz="4" w:space="0"/>
              <w:left w:val="single" w:color="auto" w:sz="4" w:space="0"/>
              <w:bottom w:val="single" w:color="auto" w:sz="4" w:space="0"/>
              <w:right w:val="single" w:color="auto" w:sz="4" w:space="0"/>
            </w:tcBorders>
            <w:vAlign w:val="center"/>
          </w:tcPr>
          <w:p w14:paraId="2920DEF6">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w:t>
            </w:r>
          </w:p>
        </w:tc>
        <w:tc>
          <w:tcPr>
            <w:tcW w:w="1092" w:type="dxa"/>
            <w:tcBorders>
              <w:top w:val="single" w:color="auto" w:sz="4" w:space="0"/>
              <w:left w:val="single" w:color="auto" w:sz="4" w:space="0"/>
              <w:bottom w:val="single" w:color="auto" w:sz="4" w:space="0"/>
              <w:right w:val="single" w:color="auto" w:sz="4" w:space="0"/>
            </w:tcBorders>
            <w:vAlign w:val="center"/>
          </w:tcPr>
          <w:p w14:paraId="7D6F650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麻醉机</w:t>
            </w:r>
          </w:p>
        </w:tc>
        <w:tc>
          <w:tcPr>
            <w:tcW w:w="670" w:type="dxa"/>
            <w:tcBorders>
              <w:top w:val="single" w:color="auto" w:sz="4" w:space="0"/>
              <w:left w:val="single" w:color="auto" w:sz="4" w:space="0"/>
              <w:bottom w:val="single" w:color="auto" w:sz="4" w:space="0"/>
              <w:right w:val="single" w:color="auto" w:sz="4" w:space="0"/>
            </w:tcBorders>
            <w:vAlign w:val="center"/>
          </w:tcPr>
          <w:p w14:paraId="120CB1F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2台</w:t>
            </w:r>
          </w:p>
        </w:tc>
        <w:tc>
          <w:tcPr>
            <w:tcW w:w="6241" w:type="dxa"/>
            <w:tcBorders>
              <w:top w:val="single" w:color="auto" w:sz="4" w:space="0"/>
              <w:left w:val="single" w:color="auto" w:sz="4" w:space="0"/>
              <w:bottom w:val="single" w:color="auto" w:sz="4" w:space="0"/>
              <w:right w:val="single" w:color="auto" w:sz="4" w:space="0"/>
            </w:tcBorders>
            <w:vAlign w:val="center"/>
          </w:tcPr>
          <w:p w14:paraId="128E45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1主机部分：</w:t>
            </w:r>
          </w:p>
          <w:p w14:paraId="66B8ED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1.≥10.4英寸彩色电阻屏，分辨率800×600，内置一体化屏幕；</w:t>
            </w:r>
          </w:p>
          <w:p w14:paraId="1AAB70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2.全中文操作系统，瀑布式菜单；</w:t>
            </w:r>
          </w:p>
          <w:p w14:paraId="31B697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3.电气一体化开关，具有开机自检、快速启动功能、待机功能，关机延迟；</w:t>
            </w:r>
          </w:p>
          <w:p w14:paraId="7F5A1D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w:t>
            </w:r>
            <w:r>
              <w:rPr>
                <w:rFonts w:hint="eastAsia" w:ascii="宋体" w:hAnsi="宋体" w:eastAsia="宋体" w:cs="宋体"/>
                <w:color w:val="auto"/>
                <w:szCs w:val="21"/>
                <w:highlight w:val="none"/>
                <w:lang w:val="en-US" w:eastAsia="zh-CN"/>
              </w:rPr>
              <w:t>具有</w:t>
            </w:r>
            <w:r>
              <w:rPr>
                <w:rFonts w:hint="eastAsia" w:ascii="宋体" w:hAnsi="宋体" w:eastAsia="宋体" w:cs="宋体"/>
                <w:color w:val="auto"/>
                <w:szCs w:val="21"/>
                <w:highlight w:val="none"/>
                <w:lang w:eastAsia="zh-CN"/>
              </w:rPr>
              <w:t>后备锂电池，使用时间≥120分钟；</w:t>
            </w:r>
          </w:p>
          <w:p w14:paraId="1966A9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5.具有3个以上辅助网电源插座，为围术期设备提供电源支持；</w:t>
            </w:r>
          </w:p>
          <w:p w14:paraId="599422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6.主机机身正面具备1个模块插槽，可与同品牌的插件式监护仪实现模块共享。监测CO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、AG、BIS、O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等监测；</w:t>
            </w:r>
          </w:p>
          <w:p w14:paraId="50DD09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2气源部分</w:t>
            </w:r>
          </w:p>
          <w:p w14:paraId="6D2A2D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1.标配纯氧通气，可选配氧气、笑气或氧气、空气两气源、氧笑空三气源，工作压力为0.28~0.6Mpa；</w:t>
            </w:r>
          </w:p>
          <w:p w14:paraId="579A3C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2.具备四管机械流量计，调节范围：0-10L/min，调节精度0.05L/min，调节分辨率10%，适合低微流量麻醉手术，辅助供氧流量计：0-15L/min；</w:t>
            </w:r>
          </w:p>
          <w:p w14:paraId="627C66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3.具备机械的笑</w:t>
            </w:r>
            <w:r>
              <w:rPr>
                <w:rFonts w:hint="eastAsia" w:ascii="宋体" w:hAnsi="宋体" w:eastAsia="宋体" w:cs="宋体"/>
                <w:color w:val="auto"/>
                <w:szCs w:val="21"/>
                <w:highlight w:val="none"/>
                <w:lang w:val="en-US" w:eastAsia="zh-CN"/>
              </w:rPr>
              <w:t>气</w:t>
            </w:r>
            <w:r>
              <w:rPr>
                <w:rFonts w:hint="eastAsia" w:ascii="宋体" w:hAnsi="宋体" w:eastAsia="宋体" w:cs="宋体"/>
                <w:color w:val="auto"/>
                <w:szCs w:val="21"/>
                <w:highlight w:val="none"/>
                <w:lang w:eastAsia="zh-CN"/>
              </w:rPr>
              <w:t>、氧</w:t>
            </w:r>
            <w:r>
              <w:rPr>
                <w:rFonts w:hint="eastAsia" w:ascii="宋体" w:hAnsi="宋体" w:eastAsia="宋体" w:cs="宋体"/>
                <w:color w:val="auto"/>
                <w:szCs w:val="21"/>
                <w:highlight w:val="none"/>
                <w:lang w:val="en-US" w:eastAsia="zh-CN"/>
              </w:rPr>
              <w:t>气</w:t>
            </w:r>
            <w:r>
              <w:rPr>
                <w:rFonts w:hint="eastAsia" w:ascii="宋体" w:hAnsi="宋体" w:eastAsia="宋体" w:cs="宋体"/>
                <w:color w:val="auto"/>
                <w:szCs w:val="21"/>
                <w:highlight w:val="none"/>
                <w:lang w:eastAsia="zh-CN"/>
              </w:rPr>
              <w:t>保护装置，不受停电影响，保证任何流量下氧浓度≥25%；</w:t>
            </w:r>
          </w:p>
          <w:p w14:paraId="32EE98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4.快速充氧范围25-75l/min；</w:t>
            </w:r>
          </w:p>
          <w:p w14:paraId="0EEE64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3麻醉呼吸机：</w:t>
            </w:r>
          </w:p>
          <w:p w14:paraId="77DC51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1.气动电控呼吸机；</w:t>
            </w:r>
          </w:p>
          <w:p w14:paraId="265361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2.适用范围：成人、小儿和婴幼儿；</w:t>
            </w:r>
          </w:p>
          <w:p w14:paraId="535E52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3.具有回路泄漏、顺应性、新鲜气体自动补偿功能，保证潮气量所设即所得；</w:t>
            </w:r>
          </w:p>
          <w:p w14:paraId="19D01B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4.通气模式：VCV、PCV、手动；</w:t>
            </w:r>
          </w:p>
          <w:p w14:paraId="591529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5.控制通气模式下：</w:t>
            </w:r>
          </w:p>
          <w:p w14:paraId="5B7B15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5.1VCV模式下潮气量设定范围：15～1500ml；</w:t>
            </w:r>
          </w:p>
          <w:p w14:paraId="5BF3D9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5.2PCV模式下潮气量控制范围：5～1500ml；</w:t>
            </w:r>
          </w:p>
          <w:p w14:paraId="4F1EB8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5.3呼吸频率设定范围：4～100次/min；</w:t>
            </w:r>
          </w:p>
          <w:p w14:paraId="0C0703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5.4吸呼比设定范围：4:1～1:10；</w:t>
            </w:r>
          </w:p>
          <w:p w14:paraId="4FE0EB9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5.5吸气压力设定范围：5～70cmH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O，步长1cmH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5D0938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5.6PEEP设定范围：OFF，3～30cmH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O，步长1cmH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190E7A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5.7压力限制设定范围：10～100cmH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386DE6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5.8吸气暂停设定范围：OFF，5%~60%；</w:t>
            </w:r>
          </w:p>
          <w:p w14:paraId="5F5F1C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6.同步和支持通气模式下：</w:t>
            </w:r>
          </w:p>
          <w:p w14:paraId="70CF86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6.1触发窗设定范围：5%～90%；</w:t>
            </w:r>
          </w:p>
          <w:p w14:paraId="67FB99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6.2吸气触发设定范围：触发流速0.2～15L/min，步长0.1L/min;触发压力-20cmH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O～-1cmH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O，步长-0.5cmH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1AA5D5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6.3压力斜坡：0s～2.0s；</w:t>
            </w:r>
          </w:p>
          <w:p w14:paraId="566BC6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6.4吸气时间：0.2～5s,步长0.1s;</w:t>
            </w:r>
          </w:p>
          <w:p w14:paraId="722D31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6.5支持压力设定范围：OFF,3～60cmH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1860B7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6.6吸气流速：0～120L/min；</w:t>
            </w:r>
          </w:p>
          <w:p w14:paraId="4FF391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7.重点参数监测范围：</w:t>
            </w:r>
          </w:p>
          <w:p w14:paraId="5C60F9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7.1分钟通气量：0～100L/min；</w:t>
            </w:r>
          </w:p>
          <w:p w14:paraId="3EAC2B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7.2吸气和呼气潮气量：0～3000ml；</w:t>
            </w:r>
          </w:p>
          <w:p w14:paraId="2274792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7.3顺应性：0～300mL/cmH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06DAA3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7.4气阻：0～600cmH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O/(L/S)；</w:t>
            </w:r>
          </w:p>
          <w:p w14:paraId="126207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7.5气道压力：-20～120cmH</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w:t>
            </w:r>
          </w:p>
          <w:p w14:paraId="24DD52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7.6氧传感器浓度：18%-100%；</w:t>
            </w:r>
          </w:p>
          <w:p w14:paraId="4901E0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7.7氧浓度：18%-100%；</w:t>
            </w:r>
          </w:p>
          <w:p w14:paraId="215CD0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8.其他监测参数：呼吸频率、峰压、平均压、平台压、呼末正压、吸入和呼出氧浓度、吸呼比、可选配：吸入和呼末CO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浓度、吸入和呼末麻醉气体浓度、麻醉深度监测等；</w:t>
            </w:r>
          </w:p>
          <w:p w14:paraId="275A0E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9.呼吸力学监测：标配压力波形、流速波形、容量波形，可选CO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波形、EEG脑电波形，最多能够5道波形同屏显示；</w:t>
            </w:r>
          </w:p>
          <w:p w14:paraId="361AAC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10.具有体外循环模式。</w:t>
            </w:r>
          </w:p>
          <w:p w14:paraId="48EFA0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p>
          <w:p w14:paraId="0C37AB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4呼吸回路：</w:t>
            </w:r>
          </w:p>
          <w:p w14:paraId="01E2A9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1.回路整体加温，避免冷凝水；</w:t>
            </w:r>
          </w:p>
          <w:p w14:paraId="099CA5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2.标配双向流量传感器监测，流量传感器采样管内置在回路中，具有防水处理装置；</w:t>
            </w:r>
          </w:p>
          <w:p w14:paraId="4BC0337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3.呼吸回路的进气端和出气端均位于麻醉机正前方，便于麻醉医生操作；</w:t>
            </w:r>
          </w:p>
          <w:p w14:paraId="5C3AB3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4.安全上升式风箱，便于观察泄漏，适用于成人、小儿和婴幼儿，用于各类病人时无需更换风箱；</w:t>
            </w:r>
          </w:p>
          <w:p w14:paraId="111853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5.集成式、一体化回路，无需工具可徒手拆卸，回路与主机无管路连接，回路容积≤2.5L；</w:t>
            </w:r>
          </w:p>
          <w:p w14:paraId="3FAAE0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6.一体化回路采用PPSU材料制作，回路整体可</w:t>
            </w:r>
            <w:r>
              <w:rPr>
                <w:rFonts w:hint="eastAsia" w:ascii="宋体" w:hAnsi="宋体" w:eastAsia="宋体" w:cs="宋体"/>
                <w:color w:val="auto"/>
                <w:szCs w:val="21"/>
                <w:highlight w:val="none"/>
                <w:lang w:val="en-US" w:eastAsia="zh-CN"/>
              </w:rPr>
              <w:t>实现≥</w:t>
            </w:r>
            <w:r>
              <w:rPr>
                <w:rFonts w:hint="eastAsia" w:ascii="宋体" w:hAnsi="宋体" w:eastAsia="宋体" w:cs="宋体"/>
                <w:color w:val="auto"/>
                <w:szCs w:val="21"/>
                <w:highlight w:val="none"/>
                <w:lang w:eastAsia="zh-CN"/>
              </w:rPr>
              <w:t>134℃高温高压消毒；</w:t>
            </w:r>
          </w:p>
          <w:p w14:paraId="1D46A1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7.标配1个钠石灰罐，安装时能使用单手操作、扣式安装，容量≥2L；</w:t>
            </w:r>
          </w:p>
          <w:p w14:paraId="29696D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8.具备用于排除呼气端积水的上提式排水阀，确保测量精确，排水阀采用无积水杯式设计，无需拆卸、支持术中排水，防止麻醉气体泄漏；</w:t>
            </w:r>
          </w:p>
          <w:p w14:paraId="1DE29A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9.可选择氧气或空气作为机械通气驱动源；</w:t>
            </w:r>
          </w:p>
          <w:p w14:paraId="6A0FCA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10.回路泄漏量不应超过65ml/min。</w:t>
            </w:r>
          </w:p>
          <w:p w14:paraId="501D15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5蒸发罐:</w:t>
            </w:r>
          </w:p>
          <w:p w14:paraId="275288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1.单罐位，七氟醚蒸发罐，具有温度、压力、流量补偿功能，安全互锁功能；</w:t>
            </w:r>
          </w:p>
          <w:p w14:paraId="36F305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2.挥发罐容量大于360ml；</w:t>
            </w:r>
          </w:p>
          <w:p w14:paraId="666D9E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6报警性能：</w:t>
            </w:r>
          </w:p>
          <w:p w14:paraId="2614DB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具备窒息≥2min报警、持续气道压力高</w:t>
            </w:r>
            <w:r>
              <w:rPr>
                <w:rFonts w:hint="eastAsia" w:ascii="宋体" w:hAnsi="宋体" w:cs="宋体"/>
                <w:color w:val="auto"/>
                <w:szCs w:val="21"/>
                <w:highlight w:val="none"/>
                <w:lang w:val="en-US" w:eastAsia="zh-CN"/>
              </w:rPr>
              <w:t>报警</w:t>
            </w:r>
            <w:r>
              <w:rPr>
                <w:rFonts w:hint="eastAsia" w:ascii="宋体" w:hAnsi="宋体" w:eastAsia="宋体" w:cs="宋体"/>
                <w:color w:val="auto"/>
                <w:szCs w:val="21"/>
                <w:highlight w:val="none"/>
                <w:lang w:eastAsia="zh-CN"/>
              </w:rPr>
              <w:t>、压力受限报警、负压报警、气道压力上下限报警、吸入和呼出潮气量上下限报警、分钟通气量上下限报警、吸入和呼出氧浓度上下限报警、吸入和呼末CO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浓度上下限报警、吸入和呼末N</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O浓度上下限报警、吸入和呼末麻醉气体浓度上下限报警、BIS信号质量弱等生理报警功能。</w:t>
            </w:r>
          </w:p>
          <w:p w14:paraId="420C4A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7辅助功能</w:t>
            </w:r>
          </w:p>
          <w:p w14:paraId="09252F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1.机械刹车;</w:t>
            </w:r>
          </w:p>
          <w:p w14:paraId="5CA70D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2.一个抽屉；</w:t>
            </w:r>
          </w:p>
        </w:tc>
        <w:tc>
          <w:tcPr>
            <w:tcW w:w="1028" w:type="dxa"/>
            <w:tcBorders>
              <w:top w:val="single" w:color="auto" w:sz="4" w:space="0"/>
              <w:left w:val="single" w:color="auto" w:sz="4" w:space="0"/>
              <w:bottom w:val="single" w:color="auto" w:sz="4" w:space="0"/>
              <w:right w:val="single" w:color="auto" w:sz="4" w:space="0"/>
            </w:tcBorders>
            <w:vAlign w:val="center"/>
          </w:tcPr>
          <w:p w14:paraId="6857004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仿宋" w:hAnsi="仿宋" w:eastAsia="仿宋" w:cs="仿宋"/>
                <w:i w:val="0"/>
                <w:iCs w:val="0"/>
                <w:color w:val="000000"/>
                <w:kern w:val="0"/>
                <w:sz w:val="20"/>
                <w:szCs w:val="20"/>
                <w:highlight w:val="none"/>
                <w:u w:val="none"/>
                <w:lang w:val="en-US" w:eastAsia="zh-CN"/>
              </w:rPr>
              <w:t>142065.00</w:t>
            </w:r>
          </w:p>
        </w:tc>
      </w:tr>
      <w:tr w14:paraId="163F4F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bottom w:val="single" w:color="auto" w:sz="4" w:space="0"/>
              <w:right w:val="single" w:color="auto" w:sz="4" w:space="0"/>
            </w:tcBorders>
            <w:vAlign w:val="center"/>
          </w:tcPr>
          <w:p w14:paraId="1E25512F"/>
        </w:tc>
        <w:tc>
          <w:tcPr>
            <w:tcW w:w="545" w:type="dxa"/>
            <w:tcBorders>
              <w:top w:val="single" w:color="auto" w:sz="4" w:space="0"/>
              <w:left w:val="single" w:color="auto" w:sz="4" w:space="0"/>
              <w:bottom w:val="single" w:color="auto" w:sz="4" w:space="0"/>
              <w:right w:val="single" w:color="auto" w:sz="4" w:space="0"/>
            </w:tcBorders>
            <w:vAlign w:val="center"/>
          </w:tcPr>
          <w:p w14:paraId="33443DB0">
            <w:pPr>
              <w:numPr>
                <w:ilvl w:val="0"/>
                <w:numId w:val="0"/>
              </w:numPr>
              <w:spacing w:line="240" w:lineRule="exact"/>
              <w:jc w:val="center"/>
              <w:rPr>
                <w:rFonts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28</w:t>
            </w:r>
          </w:p>
        </w:tc>
        <w:tc>
          <w:tcPr>
            <w:tcW w:w="1092" w:type="dxa"/>
            <w:tcBorders>
              <w:top w:val="single" w:color="auto" w:sz="4" w:space="0"/>
              <w:left w:val="single" w:color="auto" w:sz="4" w:space="0"/>
              <w:bottom w:val="single" w:color="auto" w:sz="4" w:space="0"/>
              <w:right w:val="single" w:color="auto" w:sz="4" w:space="0"/>
            </w:tcBorders>
            <w:vAlign w:val="center"/>
          </w:tcPr>
          <w:p w14:paraId="031383A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2"/>
                <w:szCs w:val="22"/>
                <w:highlight w:val="none"/>
                <w:u w:val="none"/>
                <w:lang w:val="en-US" w:eastAsia="zh-CN"/>
              </w:rPr>
              <w:t>病人监护仪</w:t>
            </w:r>
          </w:p>
        </w:tc>
        <w:tc>
          <w:tcPr>
            <w:tcW w:w="670" w:type="dxa"/>
            <w:tcBorders>
              <w:top w:val="single" w:color="auto" w:sz="4" w:space="0"/>
              <w:left w:val="single" w:color="auto" w:sz="4" w:space="0"/>
              <w:bottom w:val="single" w:color="auto" w:sz="4" w:space="0"/>
              <w:right w:val="single" w:color="auto" w:sz="4" w:space="0"/>
            </w:tcBorders>
            <w:vAlign w:val="center"/>
          </w:tcPr>
          <w:p w14:paraId="38A9D54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2"/>
                <w:szCs w:val="22"/>
                <w:highlight w:val="none"/>
                <w:u w:val="none"/>
                <w:lang w:val="en-US" w:eastAsia="zh-CN"/>
              </w:rPr>
              <w:t>3台</w:t>
            </w:r>
          </w:p>
        </w:tc>
        <w:tc>
          <w:tcPr>
            <w:tcW w:w="6241" w:type="dxa"/>
            <w:tcBorders>
              <w:top w:val="single" w:color="auto" w:sz="4" w:space="0"/>
              <w:left w:val="single" w:color="auto" w:sz="4" w:space="0"/>
              <w:bottom w:val="single" w:color="auto" w:sz="4" w:space="0"/>
              <w:right w:val="single" w:color="auto" w:sz="4" w:space="0"/>
            </w:tcBorders>
            <w:vAlign w:val="center"/>
          </w:tcPr>
          <w:p w14:paraId="7C60A1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1.≥10英寸彩色液晶电容触摸屏，分辨率为1280×800像素，≥8通道波形显示。</w:t>
            </w:r>
          </w:p>
          <w:p w14:paraId="5F5DE5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2.具有光传感器，根据环境光自动调节屏幕亮度功能。</w:t>
            </w:r>
          </w:p>
          <w:p w14:paraId="53F3D4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3.支持中文手写、拼音、英文3种输入法。</w:t>
            </w:r>
          </w:p>
          <w:p w14:paraId="1A36D3F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4.具有单独的电池仓，免螺丝刀拆卸更换电池。</w:t>
            </w:r>
          </w:p>
          <w:p w14:paraId="25A071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5.可监测心电、血氧、脉搏、无创血压、呼吸、体温等基础参数，可升级Masimo/Nellcor SPO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、IBP、ETCO</w:t>
            </w:r>
            <w:r>
              <w:rPr>
                <w:rFonts w:hint="eastAsia" w:ascii="宋体" w:hAnsi="宋体" w:eastAsia="宋体" w:cs="宋体"/>
                <w:color w:val="auto"/>
                <w:szCs w:val="21"/>
                <w:highlight w:val="none"/>
                <w:vertAlign w:val="subscript"/>
                <w:lang w:eastAsia="zh-CN"/>
              </w:rPr>
              <w:t>2</w:t>
            </w:r>
            <w:r>
              <w:rPr>
                <w:rFonts w:hint="eastAsia" w:ascii="宋体" w:hAnsi="宋体" w:eastAsia="宋体" w:cs="宋体"/>
                <w:color w:val="auto"/>
                <w:szCs w:val="21"/>
                <w:highlight w:val="none"/>
                <w:lang w:eastAsia="zh-CN"/>
              </w:rPr>
              <w:t>、C.O.等参数模块。</w:t>
            </w:r>
          </w:p>
          <w:p w14:paraId="4F8CDF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6.标配3/5导心电，支持升级6/12导心电，具有智能导联脱落，多导同步分析功能；</w:t>
            </w:r>
          </w:p>
          <w:p w14:paraId="48E3F7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7.具有强大的心电抗干扰能力，耐极化电压：±800mV，系统噪声≤25μv；</w:t>
            </w:r>
          </w:p>
          <w:p w14:paraId="2009A3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8.心电模式具有诊断、手术、监护、ST模式，其中手术、监护、ST模式共模抑制能力&gt;106dB；具备心拍类型识别功能，可区分正常心拍、异常心拍、起搏心拍；</w:t>
            </w:r>
          </w:p>
          <w:p w14:paraId="520B38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9.≥27种心律失常分析，包括房颤、室颤、停搏等；</w:t>
            </w:r>
          </w:p>
          <w:p w14:paraId="012504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10.具有心率变异性分析功能；</w:t>
            </w:r>
          </w:p>
          <w:p w14:paraId="762601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11.支持升级Glasgow12导静息心电分析，适用于成人、小儿和新生儿；</w:t>
            </w:r>
          </w:p>
          <w:p w14:paraId="05F35F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12.具有ST段分析和ST View功能，可实时监测ST段，评估心肌缺血，测量范围-2.5mV-+2.5mV；</w:t>
            </w:r>
          </w:p>
          <w:p w14:paraId="3D6152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13.具有QT/QTc测量功能，提供QT、QTc参数值，测量范围：200ms-800ms；</w:t>
            </w:r>
          </w:p>
          <w:p w14:paraId="1434E0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14.无创血压具有五种测量模式：手动、自动、序列、整点和连续测量；具有动态血压监测界面</w:t>
            </w:r>
          </w:p>
          <w:p w14:paraId="2CFEA2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15.具有多种界面显示：标准、大字体、动态趋势、呼吸氧合、它床观察、ECG全屏、ECG半屏、ECG12导（选配）、PAWP（选配）、EWS、单血氧、CCHD界面（选配）等；</w:t>
            </w:r>
          </w:p>
          <w:p w14:paraId="09B1E5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16.用户可自定义调节界面布局波形和参数功能；</w:t>
            </w:r>
          </w:p>
          <w:p w14:paraId="4ADB74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17.支持计时器功能，可以同时显示至少4个计时器。</w:t>
            </w:r>
          </w:p>
          <w:p w14:paraId="29F84E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18.计算功能：具有药物计算、肾功能计算、氧合计算、通气计算、血流动力学计算和滴定表功能；</w:t>
            </w:r>
          </w:p>
          <w:p w14:paraId="728204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19.可支持≥240小时趋势图/表、≥3000组NIBP列表、≥2500组报警事件、≥48小时全息波形、≥48小时心律失常数据的存储和回顾；</w:t>
            </w:r>
          </w:p>
          <w:p w14:paraId="694F1C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20.具备24小时心电概览报告，可查看心率统计、心律失常统计、QT/QTc统计、ST段统计、起搏统计等信息；</w:t>
            </w:r>
          </w:p>
        </w:tc>
        <w:tc>
          <w:tcPr>
            <w:tcW w:w="1028" w:type="dxa"/>
            <w:tcBorders>
              <w:top w:val="single" w:color="auto" w:sz="4" w:space="0"/>
              <w:left w:val="single" w:color="auto" w:sz="4" w:space="0"/>
              <w:bottom w:val="single" w:color="auto" w:sz="4" w:space="0"/>
              <w:right w:val="single" w:color="auto" w:sz="4" w:space="0"/>
            </w:tcBorders>
            <w:vAlign w:val="center"/>
          </w:tcPr>
          <w:p w14:paraId="2613758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000000"/>
                <w:kern w:val="0"/>
                <w:sz w:val="20"/>
                <w:szCs w:val="20"/>
                <w:highlight w:val="none"/>
                <w:u w:val="none"/>
                <w:lang w:val="en-US" w:eastAsia="zh-CN"/>
              </w:rPr>
              <w:t>14157.00</w:t>
            </w:r>
          </w:p>
        </w:tc>
      </w:tr>
      <w:tr w14:paraId="2EA939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47" w:hRule="atLeast"/>
          <w:jc w:val="center"/>
        </w:trPr>
        <w:tc>
          <w:tcPr>
            <w:tcW w:w="545" w:type="dxa"/>
            <w:tcBorders>
              <w:top w:val="single" w:color="auto" w:sz="4" w:space="0"/>
              <w:left w:val="single" w:color="auto" w:sz="4" w:space="0"/>
              <w:bottom w:val="single" w:color="auto" w:sz="4" w:space="0"/>
              <w:right w:val="single" w:color="auto" w:sz="4" w:space="0"/>
            </w:tcBorders>
            <w:vAlign w:val="center"/>
          </w:tcPr>
          <w:p w14:paraId="5358122E">
            <w:pPr>
              <w:jc w:val="center"/>
              <w:rPr>
                <w:rFonts w:hint="eastAsia" w:ascii="宋体" w:hAnsi="宋体" w:eastAsia="宋体" w:cs="宋体"/>
                <w:color w:val="auto"/>
                <w:highlight w:val="none"/>
              </w:rPr>
            </w:pPr>
            <w:r>
              <w:rPr>
                <w:rFonts w:hint="eastAsia" w:ascii="宋体" w:hAnsi="宋体" w:eastAsia="宋体" w:cs="宋体"/>
                <w:color w:val="auto"/>
                <w:highlight w:val="none"/>
              </w:rPr>
              <w:t>商务条款</w:t>
            </w:r>
          </w:p>
        </w:tc>
        <w:tc>
          <w:tcPr>
            <w:tcW w:w="9576" w:type="dxa"/>
            <w:gridSpan w:val="5"/>
            <w:tcBorders>
              <w:top w:val="single" w:color="auto" w:sz="4" w:space="0"/>
              <w:left w:val="single" w:color="auto" w:sz="4" w:space="0"/>
              <w:bottom w:val="single" w:color="auto" w:sz="4" w:space="0"/>
              <w:right w:val="single" w:color="auto" w:sz="4" w:space="0"/>
            </w:tcBorders>
          </w:tcPr>
          <w:p w14:paraId="38B878E3">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一、合同签订期：自中标通知书发出之日起25日内。</w:t>
            </w:r>
          </w:p>
          <w:p w14:paraId="79E6DF0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二、交付时间：自合同签订之日起30日内安装调试完毕并验收合格交付使用。</w:t>
            </w:r>
          </w:p>
          <w:p w14:paraId="65827FA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三、交付地点：天等县内采购人指定地点。</w:t>
            </w:r>
          </w:p>
          <w:p w14:paraId="7B2FD110">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highlight w:val="none"/>
              </w:rPr>
              <w:t>四、验收标准、规范：</w:t>
            </w:r>
            <w:r>
              <w:rPr>
                <w:rFonts w:hint="eastAsia" w:ascii="宋体" w:hAnsi="宋体" w:eastAsia="宋体" w:cs="宋体"/>
                <w:color w:val="auto"/>
                <w:kern w:val="0"/>
                <w:sz w:val="21"/>
                <w:szCs w:val="21"/>
                <w:highlight w:val="none"/>
                <w:lang w:val="en-US" w:eastAsia="zh-CN"/>
              </w:rPr>
              <w:t>依据</w:t>
            </w:r>
            <w:r>
              <w:rPr>
                <w:rFonts w:hint="eastAsia" w:ascii="宋体" w:hAnsi="宋体" w:eastAsia="宋体" w:cs="宋体"/>
                <w:color w:val="auto"/>
                <w:kern w:val="0"/>
                <w:sz w:val="21"/>
                <w:szCs w:val="21"/>
                <w:highlight w:val="none"/>
              </w:rPr>
              <w:t>国家有关规定</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采购文件的要求</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投标人</w:t>
            </w:r>
            <w:r>
              <w:rPr>
                <w:rFonts w:hint="eastAsia" w:ascii="宋体" w:hAnsi="宋体" w:eastAsia="宋体" w:cs="宋体"/>
                <w:color w:val="auto"/>
                <w:kern w:val="0"/>
                <w:sz w:val="21"/>
                <w:szCs w:val="21"/>
                <w:highlight w:val="none"/>
              </w:rPr>
              <w:t>的</w:t>
            </w:r>
            <w:r>
              <w:rPr>
                <w:rFonts w:hint="eastAsia" w:ascii="宋体" w:hAnsi="宋体" w:eastAsia="宋体" w:cs="宋体"/>
                <w:color w:val="auto"/>
                <w:kern w:val="0"/>
                <w:sz w:val="21"/>
                <w:szCs w:val="21"/>
                <w:highlight w:val="none"/>
                <w:lang w:eastAsia="zh-CN"/>
              </w:rPr>
              <w:t>投标文件</w:t>
            </w:r>
            <w:r>
              <w:rPr>
                <w:rFonts w:hint="eastAsia" w:ascii="宋体" w:hAnsi="宋体" w:eastAsia="宋体" w:cs="宋体"/>
                <w:color w:val="auto"/>
                <w:kern w:val="0"/>
                <w:sz w:val="21"/>
                <w:szCs w:val="21"/>
                <w:highlight w:val="none"/>
              </w:rPr>
              <w:t>及承诺与本合同约定标准进行验收</w:t>
            </w:r>
            <w:r>
              <w:rPr>
                <w:rFonts w:hint="eastAsia" w:ascii="宋体" w:hAnsi="宋体" w:eastAsia="宋体" w:cs="宋体"/>
                <w:color w:val="auto"/>
                <w:kern w:val="0"/>
                <w:sz w:val="21"/>
                <w:szCs w:val="21"/>
                <w:highlight w:val="none"/>
                <w:lang w:eastAsia="zh-CN"/>
              </w:rPr>
              <w:t>。</w:t>
            </w:r>
          </w:p>
          <w:p w14:paraId="12890915">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五、售后服务要求：</w:t>
            </w:r>
          </w:p>
          <w:p w14:paraId="44AD832B">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1、质量保证期：按国家有关产品“三包”规定执行“三包”，免费协助采购单位进行安装场地设计，免费安装、调试，安装应符合国家行业相关标准、规范及规定。质保期除特别注明外，最短不得少于</w:t>
            </w:r>
            <w:r>
              <w:rPr>
                <w:rFonts w:hint="eastAsia" w:ascii="宋体" w:hAnsi="宋体" w:eastAsia="宋体" w:cs="宋体"/>
                <w:color w:val="auto"/>
                <w:kern w:val="2"/>
                <w:sz w:val="21"/>
                <w:szCs w:val="20"/>
                <w:highlight w:val="none"/>
                <w:u w:val="single"/>
                <w:lang w:val="en-US" w:eastAsia="zh-CN" w:bidi="ar-SA"/>
              </w:rPr>
              <w:t xml:space="preserve"> 1   </w:t>
            </w:r>
            <w:r>
              <w:rPr>
                <w:rFonts w:hint="eastAsia" w:ascii="宋体" w:hAnsi="宋体" w:eastAsia="宋体" w:cs="宋体"/>
                <w:color w:val="auto"/>
                <w:kern w:val="2"/>
                <w:sz w:val="21"/>
                <w:szCs w:val="20"/>
                <w:highlight w:val="none"/>
                <w:lang w:val="en-US" w:eastAsia="zh-CN" w:bidi="ar-SA"/>
              </w:rPr>
              <w:t>年（自双方验收合格之日起计）；质保期内负责上门服务、维修、更换配件，不得收取任何费用。</w:t>
            </w:r>
          </w:p>
          <w:p w14:paraId="5CFFB4E8">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2、响应时间：设备在使用过程中发生质量问题，供应商技术人员在接到采购人通知后12小时响应，24小时内到达采购人指定现场解决处理。</w:t>
            </w:r>
          </w:p>
          <w:p w14:paraId="7DE84A78">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3、质保期内免费为采购单位提供完善的设备操作培训和维修技术人员的培训，确保采购单位有关人员能独立操作使用设备；培训人数由采购单位确定。</w:t>
            </w:r>
          </w:p>
          <w:p w14:paraId="09ECE8A2">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4、采购人及</w:t>
            </w:r>
            <w:r>
              <w:rPr>
                <w:rFonts w:hint="eastAsia" w:ascii="宋体" w:hAnsi="宋体" w:cs="宋体"/>
                <w:color w:val="auto"/>
                <w:kern w:val="2"/>
                <w:sz w:val="21"/>
                <w:szCs w:val="20"/>
                <w:highlight w:val="none"/>
                <w:lang w:val="en-US" w:eastAsia="zh-CN" w:bidi="ar-SA"/>
              </w:rPr>
              <w:t>中标人</w:t>
            </w:r>
            <w:r>
              <w:rPr>
                <w:rFonts w:hint="eastAsia" w:ascii="宋体" w:hAnsi="宋体" w:eastAsia="宋体" w:cs="宋体"/>
                <w:color w:val="auto"/>
                <w:kern w:val="2"/>
                <w:sz w:val="21"/>
                <w:szCs w:val="20"/>
                <w:highlight w:val="none"/>
                <w:lang w:val="en-US" w:eastAsia="zh-CN" w:bidi="ar-SA"/>
              </w:rPr>
              <w:t>双方必须安排人员到场，采购人只负责协调及监督工作，</w:t>
            </w:r>
            <w:r>
              <w:rPr>
                <w:rFonts w:hint="eastAsia" w:ascii="宋体" w:hAnsi="宋体" w:cs="宋体"/>
                <w:color w:val="auto"/>
                <w:kern w:val="2"/>
                <w:sz w:val="21"/>
                <w:szCs w:val="20"/>
                <w:highlight w:val="none"/>
                <w:lang w:val="en-US" w:eastAsia="zh-CN" w:bidi="ar-SA"/>
              </w:rPr>
              <w:t>中标人</w:t>
            </w:r>
            <w:r>
              <w:rPr>
                <w:rFonts w:hint="eastAsia" w:ascii="宋体" w:hAnsi="宋体" w:eastAsia="宋体" w:cs="宋体"/>
                <w:color w:val="auto"/>
                <w:kern w:val="2"/>
                <w:sz w:val="21"/>
                <w:szCs w:val="20"/>
                <w:highlight w:val="none"/>
                <w:lang w:val="en-US" w:eastAsia="zh-CN" w:bidi="ar-SA"/>
              </w:rPr>
              <w:t>应当安排足够人员到场负责进行装卸、调试</w:t>
            </w:r>
            <w:r>
              <w:rPr>
                <w:rFonts w:hint="eastAsia" w:ascii="宋体" w:hAnsi="宋体" w:cs="宋体"/>
                <w:color w:val="auto"/>
                <w:kern w:val="2"/>
                <w:sz w:val="21"/>
                <w:szCs w:val="20"/>
                <w:highlight w:val="none"/>
                <w:lang w:val="en-US" w:eastAsia="zh-CN" w:bidi="ar-SA"/>
              </w:rPr>
              <w:t>，</w:t>
            </w:r>
            <w:r>
              <w:rPr>
                <w:rFonts w:hint="eastAsia" w:ascii="宋体" w:hAnsi="宋体" w:eastAsia="宋体" w:cs="宋体"/>
                <w:color w:val="auto"/>
                <w:kern w:val="2"/>
                <w:sz w:val="21"/>
                <w:szCs w:val="20"/>
                <w:highlight w:val="none"/>
                <w:lang w:val="en-US" w:eastAsia="zh-CN" w:bidi="ar-SA"/>
              </w:rPr>
              <w:t>清理装机产生的木箱等工作。</w:t>
            </w:r>
          </w:p>
          <w:p w14:paraId="42F81D8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5、每半年至少进行一次定期回访以及对设备保养。</w:t>
            </w:r>
          </w:p>
          <w:p w14:paraId="09384FC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6、供应商应保证提供的是最新软件版本、全新未经使用的合格产品。</w:t>
            </w:r>
            <w:r>
              <w:rPr>
                <w:rFonts w:hint="eastAsia" w:ascii="宋体" w:hAnsi="宋体" w:eastAsia="宋体" w:cs="宋体"/>
                <w:color w:val="auto"/>
                <w:kern w:val="2"/>
                <w:sz w:val="21"/>
                <w:szCs w:val="20"/>
                <w:highlight w:val="none"/>
                <w:lang w:val="en-US" w:eastAsia="zh-CN" w:bidi="ar-SA"/>
              </w:rPr>
              <w:br w:type="textWrapping"/>
            </w:r>
            <w:r>
              <w:rPr>
                <w:rFonts w:hint="eastAsia" w:ascii="宋体" w:hAnsi="宋体" w:eastAsia="宋体" w:cs="宋体"/>
                <w:color w:val="auto"/>
                <w:kern w:val="2"/>
                <w:sz w:val="21"/>
                <w:szCs w:val="20"/>
                <w:highlight w:val="none"/>
                <w:lang w:val="en-US" w:eastAsia="zh-CN" w:bidi="ar-SA"/>
              </w:rPr>
              <w:t>六、其他要求：</w:t>
            </w:r>
            <w:r>
              <w:rPr>
                <w:rFonts w:hint="eastAsia" w:ascii="宋体" w:hAnsi="宋体" w:eastAsia="宋体" w:cs="宋体"/>
                <w:color w:val="auto"/>
                <w:kern w:val="2"/>
                <w:sz w:val="21"/>
                <w:szCs w:val="20"/>
                <w:highlight w:val="none"/>
                <w:lang w:val="en-US" w:eastAsia="zh-CN" w:bidi="ar-SA"/>
              </w:rPr>
              <w:br w:type="textWrapping"/>
            </w:r>
            <w:r>
              <w:rPr>
                <w:rFonts w:hint="eastAsia" w:ascii="宋体" w:hAnsi="宋体" w:eastAsia="宋体" w:cs="宋体"/>
                <w:color w:val="auto"/>
                <w:kern w:val="2"/>
                <w:sz w:val="21"/>
                <w:szCs w:val="20"/>
                <w:highlight w:val="none"/>
                <w:lang w:val="en-US" w:eastAsia="zh-CN" w:bidi="ar-SA"/>
              </w:rPr>
              <w:t>1、报价必须含以下部分，包括：</w:t>
            </w:r>
          </w:p>
          <w:p w14:paraId="122D83C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（1）货物的价格；</w:t>
            </w:r>
          </w:p>
          <w:p w14:paraId="5FFD5E2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（2）必要的保险费用和各项税金；</w:t>
            </w:r>
          </w:p>
          <w:p w14:paraId="0B81817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 xml:space="preserve">（3）运输、安装、调试、培训、技术支持、售后服务等费用。 </w:t>
            </w:r>
          </w:p>
          <w:p w14:paraId="4DD28F9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2、付款方式：</w:t>
            </w:r>
          </w:p>
          <w:p w14:paraId="1F0B7938">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本项目无预付款，货物甲方（采购方）书面验收合格后，乙方将发票交甲方，甲方向财政局提交用款申请，待财政局批复后支付合同款。鉴于本</w:t>
            </w:r>
            <w:r>
              <w:rPr>
                <w:rFonts w:hint="eastAsia" w:ascii="宋体" w:hAnsi="宋体" w:cs="宋体"/>
                <w:color w:val="auto"/>
                <w:kern w:val="2"/>
                <w:sz w:val="21"/>
                <w:szCs w:val="20"/>
                <w:highlight w:val="none"/>
                <w:lang w:val="en-US" w:eastAsia="zh-CN" w:bidi="ar-SA"/>
              </w:rPr>
              <w:t>项目</w:t>
            </w:r>
            <w:r>
              <w:rPr>
                <w:rFonts w:hint="eastAsia" w:ascii="宋体" w:hAnsi="宋体" w:eastAsia="宋体" w:cs="宋体"/>
                <w:color w:val="auto"/>
                <w:kern w:val="2"/>
                <w:sz w:val="21"/>
                <w:szCs w:val="20"/>
                <w:highlight w:val="none"/>
                <w:lang w:val="en-US" w:eastAsia="zh-CN" w:bidi="ar-SA"/>
              </w:rPr>
              <w:t>合同款项系使用财政资金支付，甲方付款须以财政预算资金下达为前提，如因财政预算调整或未下达导致甲方无法按约付款，付款期限自动顺延至预算批复后，甲方在验收合格后向财政部门申请付款，</w:t>
            </w:r>
            <w:r>
              <w:rPr>
                <w:rFonts w:hint="eastAsia" w:ascii="宋体" w:hAnsi="宋体" w:cs="宋体"/>
                <w:color w:val="auto"/>
                <w:kern w:val="2"/>
                <w:sz w:val="21"/>
                <w:szCs w:val="20"/>
                <w:highlight w:val="none"/>
                <w:lang w:val="en-US" w:eastAsia="zh-CN" w:bidi="ar-SA"/>
              </w:rPr>
              <w:t>即视为</w:t>
            </w:r>
            <w:r>
              <w:rPr>
                <w:rFonts w:hint="eastAsia" w:ascii="宋体" w:hAnsi="宋体" w:eastAsia="宋体" w:cs="宋体"/>
                <w:color w:val="auto"/>
                <w:kern w:val="2"/>
                <w:sz w:val="21"/>
                <w:szCs w:val="20"/>
                <w:highlight w:val="none"/>
                <w:lang w:val="en-US" w:eastAsia="zh-CN" w:bidi="ar-SA"/>
              </w:rPr>
              <w:t>甲方已履行支付义务，具体付款时间以财政部门批复并支付为准。</w:t>
            </w:r>
          </w:p>
        </w:tc>
      </w:tr>
      <w:tr w14:paraId="424D40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16" w:hRule="atLeast"/>
          <w:jc w:val="center"/>
        </w:trPr>
        <w:tc>
          <w:tcPr>
            <w:tcW w:w="545" w:type="dxa"/>
            <w:tcBorders>
              <w:top w:val="single" w:color="auto" w:sz="4" w:space="0"/>
              <w:left w:val="single" w:color="auto" w:sz="4" w:space="0"/>
              <w:bottom w:val="single" w:color="auto" w:sz="4" w:space="0"/>
              <w:right w:val="single" w:color="auto" w:sz="4" w:space="0"/>
            </w:tcBorders>
            <w:vAlign w:val="center"/>
          </w:tcPr>
          <w:p w14:paraId="20A3B2B1">
            <w:pPr>
              <w:jc w:val="center"/>
              <w:rPr>
                <w:rFonts w:hint="eastAsia" w:ascii="宋体" w:hAnsi="宋体" w:eastAsia="宋体" w:cs="宋体"/>
                <w:color w:val="auto"/>
                <w:highlight w:val="none"/>
              </w:rPr>
            </w:pPr>
            <w:r>
              <w:rPr>
                <w:rFonts w:hint="eastAsia" w:ascii="宋体" w:hAnsi="宋体" w:eastAsia="宋体" w:cs="宋体"/>
                <w:color w:val="auto"/>
                <w:highlight w:val="none"/>
              </w:rPr>
              <w:t>其他说明</w:t>
            </w:r>
          </w:p>
        </w:tc>
        <w:tc>
          <w:tcPr>
            <w:tcW w:w="9576" w:type="dxa"/>
            <w:gridSpan w:val="5"/>
            <w:tcBorders>
              <w:top w:val="single" w:color="auto" w:sz="4" w:space="0"/>
              <w:left w:val="single" w:color="auto" w:sz="4" w:space="0"/>
              <w:bottom w:val="single" w:color="auto" w:sz="4" w:space="0"/>
              <w:right w:val="single" w:color="auto" w:sz="4" w:space="0"/>
            </w:tcBorders>
          </w:tcPr>
          <w:p w14:paraId="0D60DCC2">
            <w:pPr>
              <w:widowControl/>
              <w:tabs>
                <w:tab w:val="left" w:pos="180"/>
                <w:tab w:val="left" w:pos="1620"/>
              </w:tabs>
              <w:spacing w:line="3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一、进口产品说明：</w:t>
            </w:r>
          </w:p>
          <w:p w14:paraId="6EBC58B1">
            <w:pPr>
              <w:widowControl/>
              <w:tabs>
                <w:tab w:val="left" w:pos="180"/>
                <w:tab w:val="left" w:pos="1620"/>
              </w:tabs>
              <w:spacing w:line="3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本表的第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货物已按规定办妥进口产品采购审核手续，投标产品可选用进口产品；但如选用进口产品时必须为全套全新原装进口产品（即通过中国海关报关验放进入中国境内且产自关境外的产品），要求：①中标人负责办理进口设备的相关手续及承担相关的所有费用（含办理免税证的费用）；②采购人将协助具有进出口业务代理资质的</w:t>
            </w:r>
            <w:r>
              <w:rPr>
                <w:rFonts w:hint="eastAsia" w:ascii="宋体" w:hAnsi="宋体" w:cs="宋体"/>
                <w:color w:val="auto"/>
                <w:szCs w:val="21"/>
                <w:highlight w:val="none"/>
                <w:lang w:eastAsia="zh-CN"/>
              </w:rPr>
              <w:t>中标人</w:t>
            </w:r>
            <w:r>
              <w:rPr>
                <w:rFonts w:hint="eastAsia" w:ascii="宋体" w:hAnsi="宋体" w:eastAsia="宋体" w:cs="宋体"/>
                <w:color w:val="auto"/>
                <w:szCs w:val="21"/>
                <w:highlight w:val="none"/>
              </w:rPr>
              <w:t>办理上述进口货物的免关税手续，如投标人不具备进出口业务代理资质，则其报价中必须包含关税在内的所有税费。</w:t>
            </w:r>
          </w:p>
          <w:p w14:paraId="7CE40364">
            <w:pPr>
              <w:widowControl/>
              <w:tabs>
                <w:tab w:val="left" w:pos="180"/>
                <w:tab w:val="left" w:pos="1620"/>
              </w:tabs>
              <w:spacing w:line="3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优先采购向我国企业转让技术、与我国企业签订消化吸收再创新方案的投标人的进口产品。</w:t>
            </w:r>
          </w:p>
          <w:p w14:paraId="1603BDA9">
            <w:pPr>
              <w:widowControl/>
              <w:tabs>
                <w:tab w:val="left" w:pos="180"/>
                <w:tab w:val="left" w:pos="1620"/>
              </w:tabs>
              <w:spacing w:line="3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本项目货物不接受进口产品（即通过中国海关报关验放进入中国境内且产自关境外的产品）参与投标，如有进口产品参与投标的作无效标处理。</w:t>
            </w:r>
          </w:p>
          <w:p w14:paraId="7FF77238">
            <w:pPr>
              <w:widowControl/>
              <w:tabs>
                <w:tab w:val="left" w:pos="180"/>
                <w:tab w:val="left" w:pos="1620"/>
              </w:tabs>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根据《国务院办公厅关于在政府采购中实施本国产品标准及相关政策的通知》（国办发〔2025〕34号）的规定，政府采购活动中既有本国产品又有非本国产品参与竞争的，依法对符合政策要求的本国产品给予价格评审优惠，具体详见“第四章 评标方法和评标标准”。产品在中国境内生产的组件成本，按照《中国境内生产的组件成本核算基本规则》（见附件3）计算。</w:t>
            </w:r>
          </w:p>
          <w:p w14:paraId="51F390C9">
            <w:pPr>
              <w:widowControl/>
              <w:tabs>
                <w:tab w:val="left" w:pos="180"/>
                <w:tab w:val="left" w:pos="1620"/>
              </w:tabs>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三、与本项目有关的设计图纸、技术规范、文件等附件资料及其获取方式：</w:t>
            </w:r>
          </w:p>
          <w:p w14:paraId="2BC7D8BB">
            <w:pPr>
              <w:widowControl/>
              <w:tabs>
                <w:tab w:val="left" w:pos="180"/>
                <w:tab w:val="left" w:pos="1620"/>
              </w:tabs>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文件或者资料名称：无</w:t>
            </w:r>
          </w:p>
          <w:p w14:paraId="2091092C">
            <w:pPr>
              <w:widowControl/>
              <w:tabs>
                <w:tab w:val="left" w:pos="180"/>
                <w:tab w:val="left" w:pos="1620"/>
              </w:tabs>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公布渠道或者获取方式：无        </w:t>
            </w:r>
          </w:p>
          <w:p w14:paraId="25682B1C">
            <w:pPr>
              <w:widowControl/>
              <w:tabs>
                <w:tab w:val="left" w:pos="180"/>
                <w:tab w:val="left" w:pos="1620"/>
              </w:tabs>
              <w:spacing w:line="360" w:lineRule="exact"/>
              <w:rPr>
                <w:rFonts w:ascii="宋体" w:hAnsi="宋体" w:eastAsia="宋体" w:cs="宋体"/>
                <w:color w:val="auto"/>
                <w:szCs w:val="21"/>
                <w:highlight w:val="none"/>
              </w:rPr>
            </w:pPr>
            <w:r>
              <w:rPr>
                <w:rFonts w:hint="eastAsia" w:ascii="宋体" w:hAnsi="宋体" w:cs="宋体"/>
                <w:color w:val="auto"/>
                <w:szCs w:val="21"/>
                <w:highlight w:val="none"/>
                <w:lang w:val="en-US" w:eastAsia="zh-CN"/>
              </w:rPr>
              <w:t>四</w:t>
            </w:r>
            <w:r>
              <w:rPr>
                <w:rFonts w:hint="eastAsia" w:ascii="宋体" w:hAnsi="宋体" w:eastAsia="宋体" w:cs="宋体"/>
                <w:color w:val="auto"/>
                <w:szCs w:val="21"/>
                <w:highlight w:val="none"/>
              </w:rPr>
              <w:t>、核心产品：</w:t>
            </w:r>
          </w:p>
          <w:p w14:paraId="4EDF9082">
            <w:pPr>
              <w:keepNext w:val="0"/>
              <w:keepLines w:val="0"/>
              <w:pageBreakBefore w:val="0"/>
              <w:tabs>
                <w:tab w:val="left" w:pos="180"/>
                <w:tab w:val="left" w:pos="1620"/>
              </w:tabs>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lang w:eastAsia="zh-CN"/>
              </w:rPr>
            </w:pPr>
            <w:r>
              <w:rPr>
                <w:rFonts w:hint="eastAsia" w:ascii="宋体" w:hAnsi="宋体" w:eastAsia="宋体" w:cs="宋体"/>
                <w:color w:val="auto"/>
                <w:szCs w:val="21"/>
                <w:highlight w:val="none"/>
              </w:rPr>
              <w:t>本项目的核心产品为“需求一览表”中第1、2、10、17、22、26项产品：“血透机、血滤机、便携式彩色多普勒超声诊断系统、数字眼底照相机、新生儿呼吸机、中央监护管理系统”。</w:t>
            </w:r>
          </w:p>
        </w:tc>
      </w:tr>
      <w:tr w14:paraId="6E9CFC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6" w:hRule="atLeast"/>
          <w:jc w:val="center"/>
        </w:trPr>
        <w:tc>
          <w:tcPr>
            <w:tcW w:w="545" w:type="dxa"/>
            <w:tcBorders>
              <w:top w:val="single" w:color="auto" w:sz="4" w:space="0"/>
              <w:left w:val="single" w:color="auto" w:sz="4" w:space="0"/>
              <w:bottom w:val="single" w:color="auto" w:sz="4" w:space="0"/>
              <w:right w:val="single" w:color="auto" w:sz="4" w:space="0"/>
            </w:tcBorders>
            <w:vAlign w:val="center"/>
          </w:tcPr>
          <w:p w14:paraId="6DC4E6B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其他要求</w:t>
            </w:r>
          </w:p>
        </w:tc>
        <w:tc>
          <w:tcPr>
            <w:tcW w:w="9576" w:type="dxa"/>
            <w:gridSpan w:val="5"/>
            <w:tcBorders>
              <w:top w:val="single" w:color="auto" w:sz="4" w:space="0"/>
              <w:left w:val="single" w:color="auto" w:sz="4" w:space="0"/>
              <w:bottom w:val="single" w:color="auto" w:sz="4" w:space="0"/>
              <w:right w:val="single" w:color="auto" w:sz="4" w:space="0"/>
            </w:tcBorders>
            <w:vAlign w:val="center"/>
          </w:tcPr>
          <w:p w14:paraId="3705B2B0">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资料及证明文件</w:t>
            </w:r>
          </w:p>
          <w:p w14:paraId="26165909">
            <w:pPr>
              <w:keepNext w:val="0"/>
              <w:keepLines w:val="0"/>
              <w:pageBreakBefore w:val="0"/>
              <w:tabs>
                <w:tab w:val="left" w:pos="180"/>
                <w:tab w:val="left" w:pos="1620"/>
              </w:tabs>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Cs w:val="24"/>
                <w:highlight w:val="none"/>
                <w:u w:val="none"/>
                <w:lang w:val="en-US" w:eastAsia="zh-CN"/>
              </w:rPr>
            </w:pPr>
            <w:r>
              <w:rPr>
                <w:rFonts w:hint="eastAsia" w:ascii="宋体" w:hAnsi="宋体" w:eastAsia="宋体" w:cs="宋体"/>
                <w:color w:val="auto"/>
                <w:sz w:val="21"/>
                <w:szCs w:val="21"/>
                <w:highlight w:val="none"/>
                <w:u w:val="none"/>
              </w:rPr>
              <w:t>▲</w:t>
            </w:r>
            <w:r>
              <w:rPr>
                <w:rFonts w:hint="eastAsia" w:ascii="宋体" w:hAnsi="宋体" w:eastAsia="宋体" w:cs="宋体"/>
                <w:bCs/>
                <w:color w:val="auto"/>
                <w:kern w:val="0"/>
                <w:szCs w:val="21"/>
                <w:highlight w:val="none"/>
                <w:lang w:val="en-US" w:eastAsia="zh-CN"/>
              </w:rPr>
              <w:t>1、</w:t>
            </w:r>
            <w:r>
              <w:rPr>
                <w:rFonts w:hint="eastAsia" w:ascii="宋体" w:hAnsi="宋体" w:eastAsia="宋体" w:cs="宋体"/>
                <w:bCs/>
                <w:color w:val="auto"/>
                <w:kern w:val="0"/>
                <w:szCs w:val="21"/>
                <w:highlight w:val="none"/>
                <w:u w:val="none"/>
                <w:lang w:val="en-US" w:eastAsia="zh-CN"/>
              </w:rPr>
              <w:t>本标项需求一览表中“血透机”“血滤机”“除颤监护仪”“新生儿呼吸机”“婴儿辐射保暖台”“麻醉机”</w:t>
            </w:r>
            <w:r>
              <w:rPr>
                <w:rFonts w:hint="eastAsia" w:ascii="宋体" w:hAnsi="宋体" w:eastAsia="宋体" w:cs="宋体"/>
                <w:color w:val="auto"/>
                <w:szCs w:val="24"/>
                <w:highlight w:val="none"/>
                <w:u w:val="none"/>
                <w:lang w:val="en-US" w:eastAsia="zh-CN"/>
              </w:rPr>
              <w:t>属于第三类医疗器械；其余标的均属于第二类医疗器械；</w:t>
            </w:r>
            <w:r>
              <w:rPr>
                <w:rFonts w:hint="eastAsia" w:ascii="宋体" w:hAnsi="宋体" w:eastAsia="宋体" w:cs="宋体"/>
                <w:b w:val="0"/>
                <w:bCs w:val="0"/>
                <w:color w:val="auto"/>
                <w:szCs w:val="21"/>
                <w:highlight w:val="none"/>
                <w:lang w:val="en-US" w:eastAsia="zh-CN"/>
              </w:rPr>
              <w:t>投标人为经销商的，根据所投医疗器械产品的类别提供对应且有效的第二类医疗器械经营备案凭证或第三类医疗器械经营许可证；投标人为生产厂家的，根据所投医疗器械产品的类别提供相应的《医疗器械生产许可证》</w:t>
            </w:r>
            <w:r>
              <w:rPr>
                <w:rFonts w:hint="eastAsia" w:ascii="宋体" w:hAnsi="宋体" w:eastAsia="宋体" w:cs="宋体"/>
                <w:color w:val="auto"/>
                <w:szCs w:val="24"/>
                <w:highlight w:val="none"/>
                <w:u w:val="none"/>
                <w:lang w:val="en-US" w:eastAsia="zh-CN"/>
              </w:rPr>
              <w:t>，提供相应有效证书复印件。</w:t>
            </w:r>
          </w:p>
          <w:p w14:paraId="624F7825">
            <w:pPr>
              <w:keepNext w:val="0"/>
              <w:keepLines w:val="0"/>
              <w:pageBreakBefore w:val="0"/>
              <w:tabs>
                <w:tab w:val="left" w:pos="180"/>
                <w:tab w:val="left" w:pos="1620"/>
              </w:tabs>
              <w:kinsoku/>
              <w:wordWrap/>
              <w:overflowPunct/>
              <w:topLinePunct w:val="0"/>
              <w:autoSpaceDE/>
              <w:autoSpaceDN/>
              <w:bidi w:val="0"/>
              <w:adjustRightInd/>
              <w:snapToGrid/>
              <w:spacing w:line="360" w:lineRule="exact"/>
              <w:jc w:val="both"/>
              <w:textAlignment w:val="auto"/>
              <w:rPr>
                <w:rFonts w:hint="eastAsia" w:ascii="宋体" w:hAnsi="宋体" w:eastAsia="宋体" w:cs="宋体"/>
                <w:b/>
                <w:color w:val="auto"/>
                <w:szCs w:val="21"/>
                <w:highlight w:val="none"/>
                <w:lang w:val="en-US" w:eastAsia="zh-CN"/>
              </w:rPr>
            </w:pPr>
            <w:r>
              <w:rPr>
                <w:rFonts w:hint="eastAsia" w:ascii="宋体" w:hAnsi="宋体" w:eastAsia="宋体" w:cs="宋体"/>
                <w:color w:val="auto"/>
                <w:sz w:val="21"/>
                <w:szCs w:val="21"/>
                <w:highlight w:val="none"/>
                <w:u w:val="none"/>
              </w:rPr>
              <w:t>▲</w:t>
            </w:r>
            <w:r>
              <w:rPr>
                <w:rFonts w:hint="eastAsia" w:ascii="宋体" w:hAnsi="宋体" w:eastAsia="宋体" w:cs="宋体"/>
                <w:color w:val="auto"/>
                <w:szCs w:val="24"/>
                <w:highlight w:val="none"/>
                <w:u w:val="none"/>
                <w:lang w:val="en-US" w:eastAsia="zh-CN"/>
              </w:rPr>
              <w:t>2、投标人须在投标文件中提供所投产品的</w:t>
            </w:r>
            <w:r>
              <w:rPr>
                <w:rFonts w:hint="eastAsia" w:ascii="宋体" w:hAnsi="宋体" w:eastAsia="宋体" w:cs="宋体"/>
                <w:bCs/>
                <w:color w:val="auto"/>
                <w:kern w:val="0"/>
                <w:szCs w:val="21"/>
                <w:highlight w:val="none"/>
                <w:u w:val="none"/>
                <w:lang w:val="en-US" w:eastAsia="zh-CN"/>
              </w:rPr>
              <w:t>医疗器械产品注册证复印件。</w:t>
            </w:r>
          </w:p>
        </w:tc>
      </w:tr>
    </w:tbl>
    <w:p w14:paraId="10BA2045">
      <w:pPr>
        <w:rPr>
          <w:rFonts w:hint="eastAsia" w:ascii="宋体" w:cs="宋体"/>
          <w:color w:val="auto"/>
          <w:sz w:val="32"/>
          <w:szCs w:val="32"/>
          <w:highlight w:val="none"/>
        </w:rPr>
      </w:pPr>
      <w:r>
        <w:rPr>
          <w:rFonts w:hint="eastAsia" w:ascii="宋体" w:cs="宋体"/>
          <w:color w:val="auto"/>
          <w:sz w:val="32"/>
          <w:szCs w:val="32"/>
          <w:highlight w:val="none"/>
        </w:rPr>
        <w:br w:type="page"/>
      </w:r>
    </w:p>
    <w:tbl>
      <w:tblPr>
        <w:tblStyle w:val="29"/>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092"/>
        <w:gridCol w:w="670"/>
        <w:gridCol w:w="6046"/>
        <w:gridCol w:w="1223"/>
      </w:tblGrid>
      <w:tr w14:paraId="1D749E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6"/>
            <w:tcBorders>
              <w:top w:val="single" w:color="auto" w:sz="4" w:space="0"/>
              <w:left w:val="single" w:color="auto" w:sz="4" w:space="0"/>
              <w:bottom w:val="nil"/>
              <w:right w:val="single" w:color="auto" w:sz="4" w:space="0"/>
            </w:tcBorders>
            <w:vAlign w:val="center"/>
          </w:tcPr>
          <w:p w14:paraId="6365217E">
            <w:pPr>
              <w:spacing w:line="320" w:lineRule="exact"/>
              <w:jc w:val="left"/>
              <w:rPr>
                <w:rFonts w:hint="eastAsia" w:ascii="宋体" w:hAnsi="宋体" w:eastAsia="宋体" w:cs="宋体"/>
                <w:b/>
                <w:bCs/>
                <w:color w:val="auto"/>
                <w:sz w:val="28"/>
                <w:highlight w:val="none"/>
              </w:rPr>
            </w:pPr>
            <w:r>
              <w:rPr>
                <w:rFonts w:hint="eastAsia" w:ascii="宋体" w:hAnsi="宋体" w:eastAsia="宋体" w:cs="宋体"/>
                <w:b/>
                <w:bCs/>
                <w:color w:val="auto"/>
                <w:sz w:val="21"/>
                <w:szCs w:val="21"/>
                <w:highlight w:val="none"/>
                <w:lang w:val="en-US" w:eastAsia="zh-CN"/>
              </w:rPr>
              <w:t>标项2</w:t>
            </w:r>
            <w:r>
              <w:rPr>
                <w:rFonts w:hint="eastAsia" w:ascii="宋体" w:hAnsi="宋体" w:eastAsia="宋体" w:cs="宋体"/>
                <w:b/>
                <w:bCs/>
                <w:color w:val="auto"/>
                <w:sz w:val="21"/>
                <w:szCs w:val="21"/>
                <w:highlight w:val="none"/>
                <w:lang w:eastAsia="zh-CN"/>
              </w:rPr>
              <w:t>：2025年医疗服务与保障能力提升（县域医疗卫生机构能力建设）项目——基层乡镇卫生院医疗设备采购</w:t>
            </w:r>
          </w:p>
        </w:tc>
      </w:tr>
      <w:tr w14:paraId="5DD094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vAlign w:val="center"/>
          </w:tcPr>
          <w:p w14:paraId="53AF948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需求一览表</w:t>
            </w:r>
          </w:p>
          <w:p w14:paraId="634F04CF">
            <w:pPr>
              <w:widowControl/>
              <w:jc w:val="left"/>
              <w:rPr>
                <w:rFonts w:ascii="宋体" w:hAnsi="宋体" w:eastAsia="宋体" w:cs="宋体"/>
                <w:color w:val="auto"/>
                <w:sz w:val="24"/>
                <w:highlight w:val="none"/>
              </w:rPr>
            </w:pPr>
          </w:p>
          <w:p w14:paraId="1BE3CBCB">
            <w:pPr>
              <w:widowControl/>
              <w:jc w:val="left"/>
              <w:rPr>
                <w:rFonts w:ascii="宋体" w:hAnsi="宋体" w:eastAsia="宋体" w:cs="宋体"/>
                <w:color w:val="auto"/>
                <w:sz w:val="24"/>
                <w:highlight w:val="none"/>
              </w:rPr>
            </w:pPr>
          </w:p>
        </w:tc>
        <w:tc>
          <w:tcPr>
            <w:tcW w:w="545"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14:paraId="1D803C7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092" w:type="dxa"/>
            <w:tcBorders>
              <w:top w:val="single" w:color="auto" w:sz="4" w:space="0"/>
              <w:left w:val="single" w:color="auto" w:sz="4" w:space="0"/>
              <w:bottom w:val="single" w:color="auto" w:sz="4" w:space="0"/>
              <w:right w:val="single" w:color="auto" w:sz="4" w:space="0"/>
            </w:tcBorders>
            <w:vAlign w:val="center"/>
          </w:tcPr>
          <w:p w14:paraId="4511340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标的名称</w:t>
            </w:r>
          </w:p>
        </w:tc>
        <w:tc>
          <w:tcPr>
            <w:tcW w:w="670" w:type="dxa"/>
            <w:tcBorders>
              <w:top w:val="single" w:color="auto" w:sz="4" w:space="0"/>
              <w:left w:val="single" w:color="auto" w:sz="4" w:space="0"/>
              <w:bottom w:val="single" w:color="auto" w:sz="4" w:space="0"/>
              <w:right w:val="single" w:color="auto" w:sz="4" w:space="0"/>
            </w:tcBorders>
            <w:vAlign w:val="center"/>
          </w:tcPr>
          <w:p w14:paraId="7800C26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数量及</w:t>
            </w:r>
            <w:r>
              <w:rPr>
                <w:rFonts w:hint="eastAsia" w:ascii="宋体" w:hAnsi="宋体" w:eastAsia="宋体" w:cs="宋体"/>
                <w:color w:val="auto"/>
                <w:sz w:val="21"/>
                <w:szCs w:val="21"/>
                <w:highlight w:val="none"/>
              </w:rPr>
              <w:t>单位</w:t>
            </w:r>
          </w:p>
        </w:tc>
        <w:tc>
          <w:tcPr>
            <w:tcW w:w="6046" w:type="dxa"/>
            <w:tcBorders>
              <w:top w:val="single" w:color="auto" w:sz="4" w:space="0"/>
              <w:left w:val="single" w:color="auto" w:sz="4" w:space="0"/>
              <w:bottom w:val="single" w:color="auto" w:sz="4" w:space="0"/>
              <w:right w:val="single" w:color="auto" w:sz="4" w:space="0"/>
            </w:tcBorders>
            <w:vAlign w:val="center"/>
          </w:tcPr>
          <w:p w14:paraId="41399D2C">
            <w:pPr>
              <w:jc w:val="center"/>
              <w:rPr>
                <w:rFonts w:hint="eastAsia" w:ascii="宋体" w:hAnsi="宋体" w:eastAsia="宋体" w:cs="宋体"/>
                <w:color w:val="auto"/>
                <w:sz w:val="24"/>
                <w:highlight w:val="none"/>
              </w:rPr>
            </w:pPr>
            <w:r>
              <w:rPr>
                <w:rFonts w:hint="eastAsia" w:ascii="宋体" w:hAnsi="宋体" w:eastAsia="宋体" w:cs="宋体"/>
                <w:color w:val="auto"/>
                <w:sz w:val="21"/>
                <w:szCs w:val="21"/>
                <w:highlight w:val="none"/>
                <w:lang w:eastAsia="zh-CN"/>
              </w:rPr>
              <w:t>技术参数及配置</w:t>
            </w:r>
          </w:p>
        </w:tc>
        <w:tc>
          <w:tcPr>
            <w:tcW w:w="1223" w:type="dxa"/>
            <w:tcBorders>
              <w:top w:val="single" w:color="auto" w:sz="4" w:space="0"/>
              <w:left w:val="single" w:color="auto" w:sz="4" w:space="0"/>
              <w:bottom w:val="single" w:color="auto" w:sz="4" w:space="0"/>
              <w:right w:val="single" w:color="auto" w:sz="4" w:space="0"/>
            </w:tcBorders>
            <w:vAlign w:val="center"/>
          </w:tcPr>
          <w:p w14:paraId="164633D8">
            <w:pPr>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单价上控价（元）</w:t>
            </w:r>
          </w:p>
        </w:tc>
      </w:tr>
      <w:tr w14:paraId="34E794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5AD89F24"/>
        </w:tc>
        <w:tc>
          <w:tcPr>
            <w:tcW w:w="545" w:type="dxa"/>
            <w:tcBorders>
              <w:top w:val="single" w:color="auto" w:sz="4" w:space="0"/>
              <w:left w:val="single" w:color="auto" w:sz="4" w:space="0"/>
              <w:bottom w:val="single" w:color="auto" w:sz="4" w:space="0"/>
              <w:right w:val="single" w:color="auto" w:sz="4" w:space="0"/>
            </w:tcBorders>
            <w:vAlign w:val="center"/>
          </w:tcPr>
          <w:p w14:paraId="1B227F99">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092" w:type="dxa"/>
            <w:tcBorders>
              <w:top w:val="single" w:color="auto" w:sz="4" w:space="0"/>
              <w:left w:val="single" w:color="auto" w:sz="4" w:space="0"/>
              <w:bottom w:val="single" w:color="auto" w:sz="4" w:space="0"/>
              <w:right w:val="single" w:color="auto" w:sz="4" w:space="0"/>
            </w:tcBorders>
            <w:vAlign w:val="center"/>
          </w:tcPr>
          <w:p w14:paraId="08D275C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rPr>
              <w:t>全自动生化分析仪</w:t>
            </w:r>
          </w:p>
        </w:tc>
        <w:tc>
          <w:tcPr>
            <w:tcW w:w="670" w:type="dxa"/>
            <w:tcBorders>
              <w:top w:val="single" w:color="auto" w:sz="4" w:space="0"/>
              <w:left w:val="single" w:color="auto" w:sz="4" w:space="0"/>
              <w:bottom w:val="single" w:color="auto" w:sz="4" w:space="0"/>
              <w:right w:val="single" w:color="auto" w:sz="4" w:space="0"/>
            </w:tcBorders>
            <w:vAlign w:val="center"/>
          </w:tcPr>
          <w:p w14:paraId="781A0068">
            <w:pPr>
              <w:keepNext w:val="0"/>
              <w:keepLines w:val="0"/>
              <w:widowControl/>
              <w:suppressLineNumbers w:val="0"/>
              <w:jc w:val="center"/>
              <w:textAlignment w:val="center"/>
              <w:rPr>
                <w:rFonts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auto"/>
                <w:kern w:val="0"/>
                <w:sz w:val="22"/>
                <w:szCs w:val="22"/>
                <w:highlight w:val="none"/>
                <w:u w:val="none"/>
                <w:lang w:val="en-US" w:eastAsia="zh-CN"/>
              </w:rPr>
              <w:t>8台</w:t>
            </w:r>
          </w:p>
        </w:tc>
        <w:tc>
          <w:tcPr>
            <w:tcW w:w="6046" w:type="dxa"/>
            <w:tcBorders>
              <w:top w:val="single" w:color="auto" w:sz="4" w:space="0"/>
              <w:left w:val="single" w:color="auto" w:sz="4" w:space="0"/>
              <w:bottom w:val="single" w:color="auto" w:sz="4" w:space="0"/>
              <w:right w:val="single" w:color="auto" w:sz="4" w:space="0"/>
            </w:tcBorders>
            <w:vAlign w:val="center"/>
          </w:tcPr>
          <w:p w14:paraId="151108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1.工作速度：分立式</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eastAsia="zh-CN"/>
              </w:rPr>
              <w:t>生化恒速≥650测试/小时；</w:t>
            </w:r>
          </w:p>
          <w:p w14:paraId="5625C0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2.测试范围：临床生化、电解质等；</w:t>
            </w:r>
          </w:p>
          <w:p w14:paraId="24D8D67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3.样本类型：血清、血浆等；</w:t>
            </w:r>
          </w:p>
          <w:p w14:paraId="5977D6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4.测试方法：一点终点法、两点终点法、动力学法、离子选择电极法等；</w:t>
            </w:r>
          </w:p>
          <w:p w14:paraId="46A9D1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5.校准方式：两点线性校准、多点线性校准和非线性校准，至少列举≥9种具体方法；</w:t>
            </w:r>
          </w:p>
          <w:p w14:paraId="0EA6D3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6.样本盘：≥120个样本位；</w:t>
            </w:r>
          </w:p>
          <w:p w14:paraId="7E899D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7.最小样本量：≤1.0µl，0.1ul递进；</w:t>
            </w:r>
          </w:p>
          <w:p w14:paraId="62326B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8.试剂盘：≥197个试剂位（不含任何形式的扩展位）；</w:t>
            </w:r>
          </w:p>
          <w:p w14:paraId="751729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9.试剂量：10～350µl，0.5µl递增；</w:t>
            </w:r>
          </w:p>
          <w:p w14:paraId="09A33A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10.试剂冷藏：24小时不间断冷藏,2~8℃；</w:t>
            </w:r>
          </w:p>
          <w:p w14:paraId="6152E1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11.反应盘：圆盘式，≥150个比色杯；</w:t>
            </w:r>
          </w:p>
          <w:p w14:paraId="4E8DBB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12.最小反应液体积：≤95µl；</w:t>
            </w:r>
          </w:p>
          <w:p w14:paraId="588A11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13.恒温系统：水浴系统，受热均匀（不接受其他恒温方式）；</w:t>
            </w:r>
          </w:p>
          <w:p w14:paraId="02D9F8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14.样本针、试剂针：具备液面感应、随量跟踪、立体防撞保护功能等；</w:t>
            </w:r>
          </w:p>
          <w:p w14:paraId="1F689F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15.交叉污染率：&lt;0.09%；</w:t>
            </w:r>
          </w:p>
          <w:p w14:paraId="5E0E86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16.光源：卤素灯，灯泡自动休眠与唤醒；</w:t>
            </w:r>
          </w:p>
          <w:p w14:paraId="2233D3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17.分光方式：光栅后分光；</w:t>
            </w:r>
          </w:p>
          <w:p w14:paraId="46B8C7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18.波长：≥15个波长，需要具体列出波长数值，波长准确度：±1nm；</w:t>
            </w:r>
          </w:p>
          <w:p w14:paraId="0A2E35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19.吸光度线性范围：-0.1～3.5Abs，最低检测下限≤-0.1Abs；</w:t>
            </w:r>
          </w:p>
          <w:p w14:paraId="192373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20.耗水量: 去离子水≤30升/小时。</w:t>
            </w:r>
          </w:p>
        </w:tc>
        <w:tc>
          <w:tcPr>
            <w:tcW w:w="1223" w:type="dxa"/>
            <w:tcBorders>
              <w:top w:val="single" w:color="auto" w:sz="4" w:space="0"/>
              <w:left w:val="single" w:color="auto" w:sz="4" w:space="0"/>
              <w:bottom w:val="single" w:color="auto" w:sz="4" w:space="0"/>
              <w:right w:val="single" w:color="auto" w:sz="4" w:space="0"/>
            </w:tcBorders>
            <w:vAlign w:val="center"/>
          </w:tcPr>
          <w:p w14:paraId="48A1163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auto"/>
                <w:kern w:val="0"/>
                <w:sz w:val="22"/>
                <w:szCs w:val="22"/>
                <w:highlight w:val="none"/>
                <w:u w:val="none"/>
                <w:lang w:val="en-US" w:eastAsia="zh-CN"/>
              </w:rPr>
              <w:t>163350.00</w:t>
            </w:r>
          </w:p>
        </w:tc>
      </w:tr>
      <w:tr w14:paraId="1F34B2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1886CF3B"/>
        </w:tc>
        <w:tc>
          <w:tcPr>
            <w:tcW w:w="545" w:type="dxa"/>
            <w:tcBorders>
              <w:top w:val="single" w:color="auto" w:sz="4" w:space="0"/>
              <w:left w:val="single" w:color="auto" w:sz="4" w:space="0"/>
              <w:bottom w:val="single" w:color="auto" w:sz="4" w:space="0"/>
              <w:right w:val="single" w:color="auto" w:sz="4" w:space="0"/>
            </w:tcBorders>
            <w:vAlign w:val="center"/>
          </w:tcPr>
          <w:p w14:paraId="7A8B2609">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c>
          <w:tcPr>
            <w:tcW w:w="1092" w:type="dxa"/>
            <w:tcBorders>
              <w:top w:val="single" w:color="auto" w:sz="4" w:space="0"/>
              <w:left w:val="single" w:color="auto" w:sz="4" w:space="0"/>
              <w:bottom w:val="single" w:color="auto" w:sz="4" w:space="0"/>
              <w:right w:val="single" w:color="auto" w:sz="4" w:space="0"/>
            </w:tcBorders>
            <w:vAlign w:val="center"/>
          </w:tcPr>
          <w:p w14:paraId="4ED1BA2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rPr>
              <w:t>全自动血液细胞分析仪</w:t>
            </w:r>
          </w:p>
        </w:tc>
        <w:tc>
          <w:tcPr>
            <w:tcW w:w="670" w:type="dxa"/>
            <w:tcBorders>
              <w:top w:val="single" w:color="auto" w:sz="4" w:space="0"/>
              <w:left w:val="single" w:color="auto" w:sz="4" w:space="0"/>
              <w:bottom w:val="single" w:color="auto" w:sz="4" w:space="0"/>
              <w:right w:val="single" w:color="auto" w:sz="4" w:space="0"/>
            </w:tcBorders>
            <w:vAlign w:val="center"/>
          </w:tcPr>
          <w:p w14:paraId="29182FE6">
            <w:pPr>
              <w:keepNext w:val="0"/>
              <w:keepLines w:val="0"/>
              <w:widowControl/>
              <w:suppressLineNumbers w:val="0"/>
              <w:jc w:val="center"/>
              <w:textAlignment w:val="center"/>
              <w:rPr>
                <w:rFonts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auto"/>
                <w:kern w:val="0"/>
                <w:sz w:val="22"/>
                <w:szCs w:val="22"/>
                <w:highlight w:val="none"/>
                <w:u w:val="none"/>
                <w:lang w:val="en-US" w:eastAsia="zh-CN"/>
              </w:rPr>
              <w:t>2台</w:t>
            </w:r>
          </w:p>
        </w:tc>
        <w:tc>
          <w:tcPr>
            <w:tcW w:w="6046" w:type="dxa"/>
            <w:tcBorders>
              <w:top w:val="single" w:color="auto" w:sz="4" w:space="0"/>
              <w:left w:val="single" w:color="auto" w:sz="4" w:space="0"/>
              <w:bottom w:val="single" w:color="auto" w:sz="4" w:space="0"/>
              <w:right w:val="single" w:color="auto" w:sz="4" w:space="0"/>
            </w:tcBorders>
            <w:vAlign w:val="center"/>
          </w:tcPr>
          <w:p w14:paraId="22B8C3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1.五分类血常规检测原理：采用三角度激光散射技术，通过双通道实现白细胞五分类检测；</w:t>
            </w:r>
          </w:p>
          <w:p w14:paraId="7E155B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2.报告参数：≥26项（不含直方图及散点图）；</w:t>
            </w:r>
          </w:p>
          <w:p w14:paraId="032DD1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3.研究参数：≥6项，含异常淋巴细胞、巨大未成熟细胞和有核红细胞研究参数；</w:t>
            </w:r>
          </w:p>
          <w:p w14:paraId="2F29B4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4.检测图形：散点图≥4个，包括1个可旋转三维立体散点图；</w:t>
            </w:r>
          </w:p>
          <w:p w14:paraId="01AC8C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5.检测模式：至少具有CBC+DIFF+CRP、CBC+CRP、CBC+DIFF等全血检测模式；</w:t>
            </w:r>
          </w:p>
          <w:p w14:paraId="781C38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6.进样器容量：一次可同时装载≥60个样本；</w:t>
            </w:r>
          </w:p>
          <w:p w14:paraId="70659B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7.检测速度：≥90样本/小时；</w:t>
            </w:r>
          </w:p>
          <w:p w14:paraId="05155A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8.血样模式：支持静脉全血、末梢全血、预稀释模式等；</w:t>
            </w:r>
          </w:p>
          <w:p w14:paraId="56827A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9.预稀释模式：自动定量打出稀释液，具备五分类+CRP功能；</w:t>
            </w:r>
          </w:p>
          <w:p w14:paraId="26C3C6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10.进样方式：具有自动封闭进样和开放进样两种进样方式；</w:t>
            </w:r>
          </w:p>
          <w:p w14:paraId="0E956F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11.血常规线性范围：WBC：0-500.0×10^9/L，HCT：0-67.0%，PLT：0-5000×10^9/L；</w:t>
            </w:r>
          </w:p>
          <w:p w14:paraId="69AE04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12.数据存储：仪器主机至少可存储30万条样本数据信息；</w:t>
            </w:r>
          </w:p>
          <w:p w14:paraId="0BD865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13.试剂存储：主机内置CRP抗体试剂冷藏装置，关机后保持制冷；</w:t>
            </w:r>
          </w:p>
          <w:p w14:paraId="627FD0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14.仪器休眠：具备自动休眠功能，主机停止操作进入休眠状态所需等待时间可自定义设置，可设置时长为2小时；</w:t>
            </w:r>
          </w:p>
          <w:p w14:paraId="1FAB89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15.质控管理：具有L-J 质控，每个批号的质控文件至少可保存400个质控结果；</w:t>
            </w:r>
          </w:p>
          <w:p w14:paraId="1A4996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16.采样针采用侧开孔设计，具有防抵死功能，可减少堵孔并提高吸样准确性；</w:t>
            </w:r>
          </w:p>
        </w:tc>
        <w:tc>
          <w:tcPr>
            <w:tcW w:w="1223" w:type="dxa"/>
            <w:tcBorders>
              <w:top w:val="single" w:color="auto" w:sz="4" w:space="0"/>
              <w:left w:val="single" w:color="auto" w:sz="4" w:space="0"/>
              <w:bottom w:val="single" w:color="auto" w:sz="4" w:space="0"/>
              <w:right w:val="single" w:color="auto" w:sz="4" w:space="0"/>
            </w:tcBorders>
            <w:vAlign w:val="center"/>
          </w:tcPr>
          <w:p w14:paraId="60E2B9B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auto"/>
                <w:kern w:val="0"/>
                <w:sz w:val="22"/>
                <w:szCs w:val="22"/>
                <w:highlight w:val="none"/>
                <w:u w:val="none"/>
                <w:lang w:val="en-US" w:eastAsia="zh-CN"/>
              </w:rPr>
              <w:t>56529.00</w:t>
            </w:r>
          </w:p>
        </w:tc>
      </w:tr>
      <w:tr w14:paraId="483CD7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0AF01B75"/>
        </w:tc>
        <w:tc>
          <w:tcPr>
            <w:tcW w:w="545" w:type="dxa"/>
            <w:tcBorders>
              <w:top w:val="single" w:color="auto" w:sz="4" w:space="0"/>
              <w:left w:val="single" w:color="auto" w:sz="4" w:space="0"/>
              <w:bottom w:val="single" w:color="auto" w:sz="4" w:space="0"/>
              <w:right w:val="single" w:color="auto" w:sz="4" w:space="0"/>
            </w:tcBorders>
            <w:vAlign w:val="center"/>
          </w:tcPr>
          <w:p w14:paraId="5B0D1CD5">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p>
        </w:tc>
        <w:tc>
          <w:tcPr>
            <w:tcW w:w="1092" w:type="dxa"/>
            <w:tcBorders>
              <w:top w:val="single" w:color="auto" w:sz="4" w:space="0"/>
              <w:left w:val="single" w:color="auto" w:sz="4" w:space="0"/>
              <w:bottom w:val="single" w:color="auto" w:sz="4" w:space="0"/>
              <w:right w:val="single" w:color="auto" w:sz="4" w:space="0"/>
            </w:tcBorders>
            <w:vAlign w:val="center"/>
          </w:tcPr>
          <w:p w14:paraId="53B9256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rPr>
              <w:t>尿液分析仪</w:t>
            </w:r>
          </w:p>
        </w:tc>
        <w:tc>
          <w:tcPr>
            <w:tcW w:w="670" w:type="dxa"/>
            <w:tcBorders>
              <w:top w:val="single" w:color="auto" w:sz="4" w:space="0"/>
              <w:left w:val="single" w:color="auto" w:sz="4" w:space="0"/>
              <w:bottom w:val="single" w:color="auto" w:sz="4" w:space="0"/>
              <w:right w:val="single" w:color="auto" w:sz="4" w:space="0"/>
            </w:tcBorders>
            <w:vAlign w:val="center"/>
          </w:tcPr>
          <w:p w14:paraId="34A3BD44">
            <w:pPr>
              <w:keepNext w:val="0"/>
              <w:keepLines w:val="0"/>
              <w:widowControl/>
              <w:suppressLineNumbers w:val="0"/>
              <w:jc w:val="center"/>
              <w:textAlignment w:val="center"/>
              <w:rPr>
                <w:rFonts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auto"/>
                <w:kern w:val="0"/>
                <w:sz w:val="22"/>
                <w:szCs w:val="22"/>
                <w:highlight w:val="none"/>
                <w:u w:val="none"/>
                <w:lang w:val="en-US" w:eastAsia="zh-CN"/>
              </w:rPr>
              <w:t>1台</w:t>
            </w:r>
          </w:p>
        </w:tc>
        <w:tc>
          <w:tcPr>
            <w:tcW w:w="6046" w:type="dxa"/>
            <w:tcBorders>
              <w:top w:val="single" w:color="auto" w:sz="4" w:space="0"/>
              <w:left w:val="single" w:color="auto" w:sz="4" w:space="0"/>
              <w:bottom w:val="single" w:color="auto" w:sz="4" w:space="0"/>
              <w:right w:val="single" w:color="auto" w:sz="4" w:space="0"/>
            </w:tcBorders>
            <w:vAlign w:val="center"/>
          </w:tcPr>
          <w:p w14:paraId="656211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1.项目选择：可选择检测十四项、十三项、十一项的试纸条；</w:t>
            </w:r>
          </w:p>
          <w:p w14:paraId="15B8E5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2.测定原理：反射光电比色法；</w:t>
            </w:r>
          </w:p>
          <w:p w14:paraId="486F57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3.测定速度：≥450条/h；</w:t>
            </w:r>
          </w:p>
          <w:p w14:paraId="7CDEA0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4.光源系统：采用冷光源测定系统；</w:t>
            </w:r>
          </w:p>
          <w:p w14:paraId="7D4E40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5.工作方式：可选择单条测试或连续测试；</w:t>
            </w:r>
          </w:p>
          <w:p w14:paraId="6E71AB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6.可测项目：白细胞、酮体、亚硝酸盐、尿胆原、胆红素、尿蛋白、葡萄糖、比重、隐血、pH、维生素C、肌酐、尿钙、微白蛋白；</w:t>
            </w:r>
          </w:p>
          <w:p w14:paraId="558D54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7.显示：触摸液晶显示屏，中英文操作界面，中英文测试结果并用符号单位、SI国际单位、常用单位表示；</w:t>
            </w:r>
          </w:p>
          <w:p w14:paraId="107D69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8.仪器能准确感应尿试纸条的数量；</w:t>
            </w:r>
          </w:p>
          <w:p w14:paraId="419721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9.自动卸条功能：能自动将测试过的试纸条卸到废料盒内；</w:t>
            </w:r>
          </w:p>
          <w:p w14:paraId="20A02D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10.打印：</w:t>
            </w:r>
            <w:r>
              <w:rPr>
                <w:rFonts w:hint="eastAsia" w:ascii="宋体" w:hAnsi="宋体" w:eastAsia="宋体" w:cs="宋体"/>
                <w:color w:val="auto"/>
                <w:sz w:val="21"/>
                <w:szCs w:val="21"/>
                <w:highlight w:val="none"/>
                <w:lang w:val="en-US" w:eastAsia="zh-CN"/>
              </w:rPr>
              <w:t>支持</w:t>
            </w:r>
            <w:r>
              <w:rPr>
                <w:rFonts w:hint="eastAsia" w:ascii="宋体" w:hAnsi="宋体" w:eastAsia="宋体" w:cs="宋体"/>
                <w:color w:val="auto"/>
                <w:sz w:val="21"/>
                <w:szCs w:val="21"/>
                <w:highlight w:val="none"/>
                <w:lang w:eastAsia="zh-CN"/>
              </w:rPr>
              <w:t>热敏</w:t>
            </w:r>
            <w:r>
              <w:rPr>
                <w:rFonts w:hint="eastAsia" w:ascii="宋体" w:hAnsi="宋体" w:eastAsia="宋体" w:cs="宋体"/>
                <w:color w:val="auto"/>
                <w:sz w:val="21"/>
                <w:szCs w:val="21"/>
                <w:highlight w:val="none"/>
                <w:lang w:val="en-US" w:eastAsia="zh-CN"/>
              </w:rPr>
              <w:t>打印</w:t>
            </w:r>
            <w:r>
              <w:rPr>
                <w:rFonts w:hint="eastAsia" w:ascii="宋体" w:hAnsi="宋体" w:eastAsia="宋体" w:cs="宋体"/>
                <w:color w:val="auto"/>
                <w:sz w:val="21"/>
                <w:szCs w:val="21"/>
                <w:highlight w:val="none"/>
                <w:lang w:eastAsia="zh-CN"/>
              </w:rPr>
              <w:t>，可以打印测试结果；</w:t>
            </w:r>
          </w:p>
          <w:p w14:paraId="6FE296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11.故障识别功能：能自动识别打印错误、测试项目不正确等故障；</w:t>
            </w:r>
          </w:p>
          <w:p w14:paraId="61C66B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12.仪器能自动感应试纸条，将感应到的试纸条送入仪器内部；</w:t>
            </w:r>
          </w:p>
          <w:p w14:paraId="304721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13.存储功能：可存储至少5000个测量结果；</w:t>
            </w:r>
          </w:p>
          <w:p w14:paraId="2F9D13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14.校准功能：仪器配有试纸条校准功能；</w:t>
            </w:r>
          </w:p>
          <w:p w14:paraId="57E9B7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15.输出接口：仪器有RS-232接口，可实现Lis系统连接（Lis软件选配）；</w:t>
            </w:r>
          </w:p>
          <w:p w14:paraId="1D157B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16.电源：可在110V—240V下工作；</w:t>
            </w:r>
          </w:p>
        </w:tc>
        <w:tc>
          <w:tcPr>
            <w:tcW w:w="1223" w:type="dxa"/>
            <w:tcBorders>
              <w:top w:val="single" w:color="auto" w:sz="4" w:space="0"/>
              <w:left w:val="single" w:color="auto" w:sz="4" w:space="0"/>
              <w:bottom w:val="single" w:color="auto" w:sz="4" w:space="0"/>
              <w:right w:val="single" w:color="auto" w:sz="4" w:space="0"/>
            </w:tcBorders>
            <w:vAlign w:val="center"/>
          </w:tcPr>
          <w:p w14:paraId="5FBE339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auto"/>
                <w:kern w:val="0"/>
                <w:sz w:val="22"/>
                <w:szCs w:val="22"/>
                <w:highlight w:val="none"/>
                <w:u w:val="none"/>
                <w:lang w:val="en-US" w:eastAsia="zh-CN"/>
              </w:rPr>
              <w:t>7722.00</w:t>
            </w:r>
          </w:p>
        </w:tc>
      </w:tr>
      <w:tr w14:paraId="2FAD74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7D0A8D46"/>
        </w:tc>
        <w:tc>
          <w:tcPr>
            <w:tcW w:w="545" w:type="dxa"/>
            <w:tcBorders>
              <w:top w:val="single" w:color="auto" w:sz="4" w:space="0"/>
              <w:left w:val="single" w:color="auto" w:sz="4" w:space="0"/>
              <w:bottom w:val="single" w:color="auto" w:sz="4" w:space="0"/>
              <w:right w:val="single" w:color="auto" w:sz="4" w:space="0"/>
            </w:tcBorders>
            <w:vAlign w:val="center"/>
          </w:tcPr>
          <w:p w14:paraId="48DF9AEA">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w:t>
            </w:r>
          </w:p>
        </w:tc>
        <w:tc>
          <w:tcPr>
            <w:tcW w:w="1092" w:type="dxa"/>
            <w:tcBorders>
              <w:top w:val="single" w:color="auto" w:sz="4" w:space="0"/>
              <w:left w:val="single" w:color="auto" w:sz="4" w:space="0"/>
              <w:bottom w:val="single" w:color="auto" w:sz="4" w:space="0"/>
              <w:right w:val="single" w:color="auto" w:sz="4" w:space="0"/>
            </w:tcBorders>
            <w:vAlign w:val="center"/>
          </w:tcPr>
          <w:p w14:paraId="06965D8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rPr>
              <w:t>心电图机</w:t>
            </w:r>
          </w:p>
        </w:tc>
        <w:tc>
          <w:tcPr>
            <w:tcW w:w="670" w:type="dxa"/>
            <w:tcBorders>
              <w:top w:val="single" w:color="auto" w:sz="4" w:space="0"/>
              <w:left w:val="single" w:color="auto" w:sz="4" w:space="0"/>
              <w:bottom w:val="single" w:color="auto" w:sz="4" w:space="0"/>
              <w:right w:val="single" w:color="auto" w:sz="4" w:space="0"/>
            </w:tcBorders>
            <w:vAlign w:val="center"/>
          </w:tcPr>
          <w:p w14:paraId="2FF19234">
            <w:pPr>
              <w:keepNext w:val="0"/>
              <w:keepLines w:val="0"/>
              <w:widowControl/>
              <w:suppressLineNumbers w:val="0"/>
              <w:jc w:val="center"/>
              <w:textAlignment w:val="center"/>
              <w:rPr>
                <w:rFonts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auto"/>
                <w:kern w:val="0"/>
                <w:sz w:val="22"/>
                <w:szCs w:val="22"/>
                <w:highlight w:val="none"/>
                <w:u w:val="none"/>
                <w:lang w:val="en-US" w:eastAsia="zh-CN"/>
              </w:rPr>
              <w:t>4台</w:t>
            </w:r>
          </w:p>
        </w:tc>
        <w:tc>
          <w:tcPr>
            <w:tcW w:w="6046" w:type="dxa"/>
            <w:tcBorders>
              <w:top w:val="single" w:color="auto" w:sz="4" w:space="0"/>
              <w:left w:val="single" w:color="auto" w:sz="4" w:space="0"/>
              <w:bottom w:val="single" w:color="auto" w:sz="4" w:space="0"/>
              <w:right w:val="single" w:color="auto" w:sz="4" w:space="0"/>
            </w:tcBorders>
            <w:vAlign w:val="center"/>
          </w:tcPr>
          <w:p w14:paraId="301231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一、工作条件： </w:t>
            </w:r>
          </w:p>
          <w:p w14:paraId="651655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1.1产品可在电源交流100V~240V，50/60Hz，室温5—40℃和相对湿度25%RH~80%RH的环境下正常工作。</w:t>
            </w:r>
          </w:p>
          <w:p w14:paraId="1604CD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1.2产品的电源插头符合中国标准，无需适配器。</w:t>
            </w:r>
          </w:p>
          <w:p w14:paraId="4E183D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二、 ECG输入</w:t>
            </w:r>
          </w:p>
          <w:p w14:paraId="24A550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2.1ECG输入通道：标准12导联心电信号同步采集。</w:t>
            </w:r>
          </w:p>
          <w:p w14:paraId="2030DB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2.2导联选择：手动/自动可选,（支持Nehb、Cabrera导联体系）。</w:t>
            </w:r>
          </w:p>
          <w:p w14:paraId="63F0E8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2.3输入阻抗：≥100MΩ（10Hz）。</w:t>
            </w:r>
          </w:p>
          <w:p w14:paraId="4A3706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2.4频率响应：0.01-450 Hz 。</w:t>
            </w:r>
          </w:p>
          <w:p w14:paraId="546ADF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2.5定标电压：1mV±1%。</w:t>
            </w:r>
          </w:p>
          <w:p w14:paraId="1FE8C3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2.6耐极化电压：≥±880 mV（±5%）。 </w:t>
            </w:r>
          </w:p>
          <w:p w14:paraId="35097B7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2.7内部噪声：≤12.5µVp-p。</w:t>
            </w:r>
          </w:p>
          <w:p w14:paraId="684F09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2.8时间常数：≥5s。</w:t>
            </w:r>
          </w:p>
          <w:p w14:paraId="6D345F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2.9共模抑制比：≥140dB（AC滤波开启）；≥123dB（AC滤波关闭）。</w:t>
            </w:r>
          </w:p>
          <w:p w14:paraId="03861D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2.10输入电流：≤0.01μA。</w:t>
            </w:r>
          </w:p>
          <w:p w14:paraId="441430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2.11除颤保护：具有抗除颤电击保护功能。</w:t>
            </w:r>
          </w:p>
          <w:p w14:paraId="6C043F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2.12导联线：导联线内附抗除颤电击保护功能。</w:t>
            </w:r>
          </w:p>
          <w:p w14:paraId="42C7DC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2.13中文输入及中文操作提示和中文报告语言。</w:t>
            </w:r>
          </w:p>
          <w:p w14:paraId="1478DA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三、波形处理：</w:t>
            </w:r>
          </w:p>
          <w:p w14:paraId="5BBD8C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3.1A/D转换：24bit。</w:t>
            </w:r>
          </w:p>
          <w:p w14:paraId="0CB392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3.2采样率：40kHz 。</w:t>
            </w:r>
          </w:p>
          <w:p w14:paraId="2B103D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3.3灵敏度选择：1.25、2.5、5、10、20、10/5、自动（AGC）mm/mV ±5%。</w:t>
            </w:r>
          </w:p>
          <w:p w14:paraId="6FDDD7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3.4抗干扰滤波：具有交流滤波、肌电滤波、基线漂移滤波、低通滤波功能。</w:t>
            </w:r>
          </w:p>
          <w:p w14:paraId="4F683FC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3.5自动分析功能：具有12导联同步自动分析以及RR分析功能。</w:t>
            </w:r>
          </w:p>
          <w:p w14:paraId="0AF27A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3.6自诊断功能：具有设备自诊断及故障提示功能。</w:t>
            </w:r>
          </w:p>
          <w:p w14:paraId="017760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四、存储器</w:t>
            </w:r>
          </w:p>
          <w:p w14:paraId="3E5329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4.1设备内置存储器，存储病历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800例。</w:t>
            </w:r>
          </w:p>
          <w:p w14:paraId="6814C6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4.2数据可通过SD卡、USB口导入导出,外接U盘和SD卡可扩展存储空间。</w:t>
            </w:r>
          </w:p>
          <w:p w14:paraId="62D9FA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五、显示器：</w:t>
            </w:r>
          </w:p>
          <w:p w14:paraId="31AB7E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5.1≥7英寸彩色液晶显示屏，倾斜角设计，支持显示背景网格。</w:t>
            </w:r>
          </w:p>
          <w:p w14:paraId="33EDFC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5.2显示信息：同屏显示12导同步心电波形。</w:t>
            </w:r>
          </w:p>
          <w:p w14:paraId="48851992">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5.3显示内容应包含波形、心率、导联、走纸速度、增益、滤波器、时间、电池电量指示、输入法、文件、信息提示区、中文患者信息等。</w:t>
            </w:r>
          </w:p>
          <w:p w14:paraId="03ED5F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六、记录器：</w:t>
            </w:r>
          </w:p>
          <w:p w14:paraId="3215C1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6.1走纸速度：5、6.25、10、12.5、25、50 mm/s （±3%）。  </w:t>
            </w:r>
          </w:p>
          <w:p w14:paraId="6B8FDE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6.2记录通道：3×4、3×4+1R、3×4+3R、6×2、6×2+1R、12×1。</w:t>
            </w:r>
          </w:p>
          <w:p w14:paraId="4D63D2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6.3记录纸规格：支持折叠纸打印，打印纸规格为：长210mm×宽140mm。</w:t>
            </w:r>
          </w:p>
          <w:p w14:paraId="5FD26C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6.4打印方式：实时同步或连续12道心电波形，分段打印。</w:t>
            </w:r>
          </w:p>
          <w:p w14:paraId="1D1E00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6.5记录内容：心电波形、分析结果、明尼苏达码、平均模板以及导联名称、走纸速度、增益、滤波器、日期、中文患者信息、标记等。</w:t>
            </w:r>
          </w:p>
          <w:p w14:paraId="162F9C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七、功能</w:t>
            </w:r>
          </w:p>
          <w:p w14:paraId="5A24B0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7.1直接功能键和标准键盘，直观、易用，具有性别、年龄组快速切换键。</w:t>
            </w:r>
          </w:p>
          <w:p w14:paraId="739C526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7.2可准确判定接触不良的电极并予以指示。</w:t>
            </w:r>
          </w:p>
          <w:p w14:paraId="4D21EA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7.3具有自动测量功能和自动诊断功能。</w:t>
            </w:r>
          </w:p>
          <w:p w14:paraId="47BA35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7.4手动、自动、节律、R-R四种工作模式可供选择。</w:t>
            </w:r>
          </w:p>
          <w:p w14:paraId="2AE0CF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7.5</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R-R间期检测，并将R-R趋势测量报告连同心电波形一并给出。</w:t>
            </w:r>
          </w:p>
          <w:p w14:paraId="777CE7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7.6自动模式下可以支持10-60s时间的采集，记录，存储，传输。</w:t>
            </w:r>
          </w:p>
          <w:p w14:paraId="64C5D8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7.7支持实时采样、触发采样、周期采样模式，支持心律失常检测延时打印报告。</w:t>
            </w:r>
          </w:p>
          <w:p w14:paraId="306374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7.8周期记录模式,记录时间间隔最长可设置为60分钟。</w:t>
            </w:r>
          </w:p>
          <w:p w14:paraId="73090A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7.9长时间波形冻结功能，方便医生对所需区间的波形进行更好的观察、分析、并选择所需要的时间段进行记录。</w:t>
            </w:r>
          </w:p>
          <w:p w14:paraId="46CD38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八、外部输入接口：</w:t>
            </w:r>
          </w:p>
          <w:p w14:paraId="188752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8.1具有USB接口、网络接口、外部输入输出端口、SD卡接口。</w:t>
            </w:r>
          </w:p>
          <w:p w14:paraId="7D6C31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8.2支持使用有线、无线的方式进行联网。</w:t>
            </w:r>
          </w:p>
          <w:p w14:paraId="524933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8.3支持DAT、PDF格式，满足医院信息化需求。</w:t>
            </w:r>
          </w:p>
          <w:p w14:paraId="3A9792F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8.4支持一维码，二维码扫描仪获取病人信息。</w:t>
            </w:r>
          </w:p>
          <w:p w14:paraId="3E2392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九、便携：采用外部隐藏式提手可方便机器移动。</w:t>
            </w:r>
          </w:p>
          <w:p w14:paraId="43B49E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十、电源：交直流两用，自动转换。</w:t>
            </w:r>
          </w:p>
          <w:p w14:paraId="1E9A54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10.1 直流电源：内置可充电锂离子电池，充足后可正常工作时间不少于4小时 。</w:t>
            </w:r>
          </w:p>
        </w:tc>
        <w:tc>
          <w:tcPr>
            <w:tcW w:w="1223" w:type="dxa"/>
            <w:tcBorders>
              <w:top w:val="single" w:color="auto" w:sz="4" w:space="0"/>
              <w:left w:val="single" w:color="auto" w:sz="4" w:space="0"/>
              <w:bottom w:val="single" w:color="auto" w:sz="4" w:space="0"/>
              <w:right w:val="single" w:color="auto" w:sz="4" w:space="0"/>
            </w:tcBorders>
            <w:vAlign w:val="center"/>
          </w:tcPr>
          <w:p w14:paraId="2F2F2B5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auto"/>
                <w:kern w:val="0"/>
                <w:sz w:val="22"/>
                <w:szCs w:val="22"/>
                <w:highlight w:val="none"/>
                <w:u w:val="none"/>
                <w:lang w:val="en-US" w:eastAsia="zh-CN"/>
              </w:rPr>
              <w:t>11880.00</w:t>
            </w:r>
          </w:p>
        </w:tc>
      </w:tr>
      <w:tr w14:paraId="53A1D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5E80637C"/>
        </w:tc>
        <w:tc>
          <w:tcPr>
            <w:tcW w:w="545" w:type="dxa"/>
            <w:tcBorders>
              <w:top w:val="single" w:color="auto" w:sz="4" w:space="0"/>
              <w:left w:val="single" w:color="auto" w:sz="4" w:space="0"/>
              <w:bottom w:val="single" w:color="auto" w:sz="4" w:space="0"/>
              <w:right w:val="single" w:color="auto" w:sz="4" w:space="0"/>
            </w:tcBorders>
            <w:vAlign w:val="center"/>
          </w:tcPr>
          <w:p w14:paraId="2809F98B">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p>
        </w:tc>
        <w:tc>
          <w:tcPr>
            <w:tcW w:w="1092" w:type="dxa"/>
            <w:tcBorders>
              <w:top w:val="single" w:color="auto" w:sz="4" w:space="0"/>
              <w:left w:val="single" w:color="auto" w:sz="4" w:space="0"/>
              <w:bottom w:val="single" w:color="auto" w:sz="4" w:space="0"/>
              <w:right w:val="single" w:color="auto" w:sz="4" w:space="0"/>
            </w:tcBorders>
            <w:vAlign w:val="center"/>
          </w:tcPr>
          <w:p w14:paraId="5B6455D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rPr>
              <w:t>彩色B超机</w:t>
            </w:r>
          </w:p>
        </w:tc>
        <w:tc>
          <w:tcPr>
            <w:tcW w:w="670" w:type="dxa"/>
            <w:tcBorders>
              <w:top w:val="single" w:color="auto" w:sz="4" w:space="0"/>
              <w:left w:val="single" w:color="auto" w:sz="4" w:space="0"/>
              <w:bottom w:val="single" w:color="auto" w:sz="4" w:space="0"/>
              <w:right w:val="single" w:color="auto" w:sz="4" w:space="0"/>
            </w:tcBorders>
            <w:vAlign w:val="center"/>
          </w:tcPr>
          <w:p w14:paraId="5AB4705E">
            <w:pPr>
              <w:keepNext w:val="0"/>
              <w:keepLines w:val="0"/>
              <w:widowControl/>
              <w:suppressLineNumbers w:val="0"/>
              <w:jc w:val="center"/>
              <w:textAlignment w:val="center"/>
              <w:rPr>
                <w:rFonts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auto"/>
                <w:kern w:val="0"/>
                <w:sz w:val="22"/>
                <w:szCs w:val="22"/>
                <w:highlight w:val="none"/>
                <w:u w:val="none"/>
                <w:lang w:val="en-US" w:eastAsia="zh-CN"/>
              </w:rPr>
              <w:t>2台</w:t>
            </w:r>
          </w:p>
        </w:tc>
        <w:tc>
          <w:tcPr>
            <w:tcW w:w="6046" w:type="dxa"/>
            <w:tcBorders>
              <w:top w:val="single" w:color="auto" w:sz="4" w:space="0"/>
              <w:left w:val="single" w:color="auto" w:sz="4" w:space="0"/>
              <w:bottom w:val="single" w:color="auto" w:sz="4" w:space="0"/>
              <w:right w:val="single" w:color="auto" w:sz="4" w:space="0"/>
            </w:tcBorders>
            <w:vAlign w:val="center"/>
          </w:tcPr>
          <w:p w14:paraId="7CC23E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一、用途说明：腹部、产科、妇科、心脏、小器官、泌尿、血管、儿科、急诊、麻醉、介入、神经、肌骨、颅脑及其它。</w:t>
            </w:r>
          </w:p>
          <w:p w14:paraId="4E4011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二、主要技术规格及系统概述：</w:t>
            </w:r>
          </w:p>
          <w:p w14:paraId="0B379C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1.主机系统性能</w:t>
            </w:r>
          </w:p>
          <w:p w14:paraId="4E89F6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1.1全数字化彩色多普勒超声诊断系统主机；</w:t>
            </w:r>
          </w:p>
          <w:p w14:paraId="7D16929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1.2≥21英寸高分辨率彩色液晶显示器；</w:t>
            </w:r>
          </w:p>
          <w:p w14:paraId="3AA1F2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1.3≥13英寸彩色液晶彩色触摸屏,  触摸屏可独立调整角度；</w:t>
            </w:r>
          </w:p>
          <w:p w14:paraId="4A1E53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1.4触摸屏界面可调整菜单顺序或隐藏；</w:t>
            </w:r>
          </w:p>
          <w:p w14:paraId="0E8529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1.5主机内置≥</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个大小一致探头接口，≥4个全激活互通互用；</w:t>
            </w:r>
          </w:p>
          <w:p w14:paraId="7193B3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1.6主机净重≤77 kg；</w:t>
            </w:r>
          </w:p>
          <w:p w14:paraId="48921A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1.7采用linux操作系统；</w:t>
            </w:r>
          </w:p>
          <w:p w14:paraId="738189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1.8数字波束形成器；</w:t>
            </w:r>
          </w:p>
          <w:p w14:paraId="773F31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1.9多倍信号并行处理技术；</w:t>
            </w:r>
          </w:p>
          <w:p w14:paraId="774230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1.10数字化全程动态聚焦；</w:t>
            </w:r>
          </w:p>
          <w:p w14:paraId="15B3D0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1.11数字化可变孔径及动态变迹技术，A/D≥14 bit；</w:t>
            </w:r>
          </w:p>
          <w:p w14:paraId="0D947B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1.12二维灰阶成像单元；</w:t>
            </w:r>
          </w:p>
          <w:p w14:paraId="3F206A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1.13谐波成像单元；</w:t>
            </w:r>
          </w:p>
          <w:p w14:paraId="3D739E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1.14M型成像单元；</w:t>
            </w:r>
          </w:p>
          <w:p w14:paraId="754ED5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1.15彩色M型成像单元；</w:t>
            </w:r>
          </w:p>
          <w:p w14:paraId="6F9E04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1.16解剖M型成像单元：≥3线，360°可调；</w:t>
            </w:r>
          </w:p>
          <w:p w14:paraId="11BFE3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1.17彩色多普勒成像单元；</w:t>
            </w:r>
          </w:p>
          <w:p w14:paraId="614284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1.18频谱多普勒成像单元；</w:t>
            </w:r>
          </w:p>
          <w:p w14:paraId="7595A2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1.19组织多普勒成像单元；</w:t>
            </w:r>
          </w:p>
          <w:p w14:paraId="4CF8E0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1.20自由臂三维成像单元；</w:t>
            </w:r>
          </w:p>
          <w:p w14:paraId="506D52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1.213D/4D成像单元；</w:t>
            </w:r>
          </w:p>
          <w:p w14:paraId="673F76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1.22可选配负荷超声心动图；</w:t>
            </w:r>
          </w:p>
          <w:p w14:paraId="0F3895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1.23可选配实时宽景成像（支持二维灰阶，具备速度提示、图像旋转功能，并支持彩色多普勒、能量多普勒实时宽景）；</w:t>
            </w:r>
          </w:p>
          <w:p w14:paraId="7EB16A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1.24可选配弹性成像，具备压力曲线显示，支持定量分析功能；</w:t>
            </w:r>
          </w:p>
          <w:p w14:paraId="36020C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1.25可选配造影成像，具备TIC定量分析功能，支持≥2条拟合曲线；</w:t>
            </w:r>
          </w:p>
          <w:p w14:paraId="229C8C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1.26空间复合成像，梯形成像模式下可用；</w:t>
            </w:r>
          </w:p>
          <w:p w14:paraId="580EDB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1.27腔内实时温控技术且温度值在显示器上体现；</w:t>
            </w:r>
          </w:p>
          <w:p w14:paraId="6234F4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1.28二维角度独立偏转成像；</w:t>
            </w:r>
          </w:p>
          <w:p w14:paraId="7A1FF7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1.29斑点噪音抑制≥5档可调；</w:t>
            </w:r>
          </w:p>
          <w:p w14:paraId="12C40F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1.30扩展成像≥2档可调；</w:t>
            </w:r>
          </w:p>
          <w:p w14:paraId="3D915E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1.31二维/彩色双实时对比成像；</w:t>
            </w:r>
          </w:p>
          <w:p w14:paraId="7D2F72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1.32一键优化，支持独立按键操作； </w:t>
            </w:r>
          </w:p>
          <w:p w14:paraId="3F5AD7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1.33局部放大：≥10倍，18级以上（含18级）档位调节；</w:t>
            </w:r>
          </w:p>
          <w:p w14:paraId="6A99F0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1.34穿刺引导功能：支持单线和双线区间引导两种方式，可调节位置及角度;支持碎石引导线；</w:t>
            </w:r>
          </w:p>
          <w:p w14:paraId="2AB96D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1.35穿刺针增强技术：具备双幅实时对比显示，增强前后效果，支持增强区域多角度可调。</w:t>
            </w:r>
          </w:p>
          <w:p w14:paraId="59C34B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2.测量/分析和报告</w:t>
            </w:r>
          </w:p>
          <w:p w14:paraId="1513A0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  常规测量软件包；</w:t>
            </w:r>
          </w:p>
          <w:p w14:paraId="75A097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2.1.1基础测量包，2B模式下支持双幅跨幅测量；</w:t>
            </w:r>
          </w:p>
          <w:p w14:paraId="08306A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2.1.2剖面血流，彩色多普勒模式下无需激活频谱即可测量血管截面瞬时的血流量，显示最大速度、平均速度、血流量，补偿角度可调；</w:t>
            </w:r>
          </w:p>
          <w:p w14:paraId="5C8284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2.1.3定点测速功能，彩色多普勒模式下可同屏测量血管腔内≥7个任意位置的血流速度；</w:t>
            </w:r>
          </w:p>
          <w:p w14:paraId="12D023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2.1.4频谱自动测量分析软件，用户可自由配置显示的参数；</w:t>
            </w:r>
          </w:p>
          <w:p w14:paraId="0283E8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  专科测量软件包（含腹部、妇科、产科、心脏、泌尿、小器官、儿科、血管）：可自动生成报告；</w:t>
            </w:r>
          </w:p>
          <w:p w14:paraId="66E6EE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2.2.1腹部测量软件包；</w:t>
            </w:r>
          </w:p>
          <w:p w14:paraId="0FBD42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2.2.2妇科测量软件包；</w:t>
            </w:r>
          </w:p>
          <w:p w14:paraId="2421A2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2.2.3产科测量软件包：≥4胞胎对比测量分析，胎儿生长曲线显示、胎儿解剖结构描述、胎儿生理评分、支持NT自动测量；</w:t>
            </w:r>
          </w:p>
          <w:p w14:paraId="48CA88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2.2.4心脏测量软件包：心肌功能指数，支持心内膜自动描迹；</w:t>
            </w:r>
          </w:p>
          <w:p w14:paraId="105039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2.2.5泌尿测量软件包；</w:t>
            </w:r>
          </w:p>
          <w:p w14:paraId="53E38D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2.2.6小器官测量软件包；</w:t>
            </w:r>
          </w:p>
          <w:p w14:paraId="52CEA5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2.2.7儿科测量软件包：髋关节测量可显示Graf法分类；</w:t>
            </w:r>
          </w:p>
          <w:p w14:paraId="24F42A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2.2.8血管测量软件包：IMT血管内中膜自动测量，具备前、后壁同屏独立测量显示；</w:t>
            </w:r>
          </w:p>
          <w:p w14:paraId="386727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3.电影回放及原始数据处理</w:t>
            </w:r>
          </w:p>
          <w:p w14:paraId="12C333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3.1 支持手动、自动回放，支持4D 电影自动回放；</w:t>
            </w:r>
          </w:p>
          <w:p w14:paraId="0C5D54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3.2 支持不同探头4幅图像同屏动态回放，回放速度可调；</w:t>
            </w:r>
          </w:p>
          <w:p w14:paraId="251CDF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3.3 原始数据处理，可对回放的动态图像进行离线参数分析，如增益、伪彩、灰阶曲线、斑点噪声抑制等各种参数的调节；</w:t>
            </w:r>
          </w:p>
          <w:p w14:paraId="620CAD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4.存储及数据管理</w:t>
            </w:r>
          </w:p>
          <w:p w14:paraId="6455F2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4.1 内置超声工作站；</w:t>
            </w:r>
          </w:p>
          <w:p w14:paraId="2E7716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4.2 同屏一体化智能剪切板：可实时同屏存储、回放动态及静态图像，可随时调阅、传输、删除图像；</w:t>
            </w:r>
          </w:p>
          <w:p w14:paraId="458DB0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4.3  多种图像格式传输：支持JPG、WMV、BMP、AVI、TIF等格式输出。</w:t>
            </w:r>
          </w:p>
          <w:p w14:paraId="15C22D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5.连通性要求</w:t>
            </w:r>
          </w:p>
          <w:p w14:paraId="154FFD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5.1具有DICOM 3.0功能；</w:t>
            </w:r>
          </w:p>
          <w:p w14:paraId="131D7B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5.2主机内置USB接口≥6个；</w:t>
            </w:r>
          </w:p>
          <w:p w14:paraId="18F7F8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5.3具有无线数据传输功能，实现将临床图像从超声设备传输到移动智能终端；</w:t>
            </w:r>
          </w:p>
          <w:p w14:paraId="7E86A0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5.4支持升级带远程会诊功能（支持申请、预约、会诊指导等会诊流程管理，可实现远程终端音视频互联，远程控制，支持多端互联，同步视频具备高清、高帧率流畅画面）；</w:t>
            </w:r>
          </w:p>
          <w:p w14:paraId="6279AD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a）远程会诊系统软件内，支持对某一检查项目，以检查切面形式开展质控。质控分为学员端和专家端，学员上传质控切面及自评，由专家端审核并评分，最终生成上下级质控评分报告。</w:t>
            </w:r>
          </w:p>
          <w:p w14:paraId="25BDF5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b）远程会诊系统软件内，支持会诊专家一次性监控多台设备实时影像画面，从远程监控多台实时影像画面切换到一对一实时音视频会诊画面。</w:t>
            </w:r>
          </w:p>
          <w:p w14:paraId="151D39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c）系统软件支持符合DICOM 3.0 标准成像设备和数据类型，实现超声影像采集、存储、传输。</w:t>
            </w:r>
          </w:p>
          <w:p w14:paraId="7222E2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d）兼容B/S 架构和C/S 架构；兼容安卓系统、Windows 系统、苹果系统。</w:t>
            </w:r>
          </w:p>
          <w:p w14:paraId="329FD2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e）支持会诊多方音视频画面实时传输，支持多路图像实时同步混合传输 ，在稳定网络情况下 ，各路音视频及超声影像画面无时延；</w:t>
            </w:r>
          </w:p>
          <w:p w14:paraId="57ED64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f）支持视频弹性编码服务、高保真影像传输机制、音频降噪与视频压缩转码服务；</w:t>
            </w:r>
          </w:p>
          <w:p w14:paraId="241E90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g）支持信息安全加密传输算法；</w:t>
            </w:r>
          </w:p>
          <w:p w14:paraId="0F9C7E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h）支持自动校验网络情况并给出实时提醒。在低网速情况下 ，优先保障超声设备影像无损实时传输。</w:t>
            </w:r>
          </w:p>
          <w:p w14:paraId="292BFD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i）系统软件支持同时且实时采集多台超声影像设备画面，并做到一次性传输。</w:t>
            </w:r>
          </w:p>
          <w:p w14:paraId="5ECFD0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j）软件支持创建实时直播，上传直播海报，生成直播二维码，并可通过扫描二维码在手机上观看直播。或者创建个人私教平台，在平台上发布直播教学、视频教学、在线考核，并对私教平台上学员进行管控。</w:t>
            </w:r>
          </w:p>
          <w:p w14:paraId="603146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k）实时会诊或实时直播结束后，支持实时视频回看，且回看视频支持任意截取保存（包括超声影像、语音和视频），作为会诊记录依据。并可在系统软件内，不影响源视频存储及质控前提下，对会诊视频进行剪辑，制作病历宣传视频。</w:t>
            </w:r>
          </w:p>
          <w:p w14:paraId="600897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6.系统技术参数及要求</w:t>
            </w:r>
          </w:p>
          <w:p w14:paraId="29AA56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6.1二维灰阶成像单元</w:t>
            </w:r>
          </w:p>
          <w:p w14:paraId="7FD31D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6.1.1焦点个数：≥10个；</w:t>
            </w:r>
          </w:p>
          <w:p w14:paraId="12A098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6.1.2预设条件：针对不同的检查脏器，可预置最佳化图像的检查条件并以脏器图形化直观显示，并配有部位名称，减少操作时的调节。</w:t>
            </w:r>
          </w:p>
          <w:p w14:paraId="47DD35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6.1.3TGC: ≥8段；</w:t>
            </w:r>
          </w:p>
          <w:p w14:paraId="02F12A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6.1.4LGC: ≥6段；</w:t>
            </w:r>
          </w:p>
          <w:p w14:paraId="2A2D0F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6.1.5可视可调动态范围: ≥280，增益调节≥250；</w:t>
            </w:r>
          </w:p>
          <w:p w14:paraId="5158B6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6.1.6最大显示深度≥40.0cm；</w:t>
            </w:r>
          </w:p>
          <w:p w14:paraId="0CD21A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6.1.7伪彩图谱: ≥12种；</w:t>
            </w:r>
          </w:p>
          <w:p w14:paraId="789D6C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6.1.8声功率≥100%，步进1可调；</w:t>
            </w:r>
          </w:p>
          <w:p w14:paraId="6B11A7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6.2彩色多普勒成像单元</w:t>
            </w:r>
          </w:p>
          <w:p w14:paraId="7632C5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6.2.1包括速度、速度方差、能量、方向能量显示等；</w:t>
            </w:r>
          </w:p>
          <w:p w14:paraId="2390A6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6.2.2显示方式：B/C、B/C/M、B/PDI、B/DPDI；</w:t>
            </w:r>
          </w:p>
          <w:p w14:paraId="14FBFC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6.2.3增益调节≥250；</w:t>
            </w:r>
          </w:p>
          <w:p w14:paraId="62ADA6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6.2.4壁滤波≥10档可调；</w:t>
            </w:r>
          </w:p>
          <w:p w14:paraId="50854C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6.2.5智能血流追踪技术，单键操作，取样框自动识别并追踪血管位置及血流方向，同时自动偏转；</w:t>
            </w:r>
          </w:p>
          <w:p w14:paraId="37FD23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6.2.6彩色基线调节：±15级可调；</w:t>
            </w:r>
          </w:p>
          <w:p w14:paraId="604B28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6.3频谱多普勒成像单元 </w:t>
            </w:r>
          </w:p>
          <w:p w14:paraId="28D847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6.3.1包括脉冲多普勒、高脉冲重复频率、连续多普勒；</w:t>
            </w:r>
          </w:p>
          <w:p w14:paraId="5E4464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6.3.2显示方式：PW，B/PW, B/C/PW, B/CW、B/C/CW、HPRF等；</w:t>
            </w:r>
          </w:p>
          <w:p w14:paraId="3D24BA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6.3.3PW实时自动跟踪测速，随着取样门位置改变，PW速度可进行自动跟踪测量；</w:t>
            </w:r>
          </w:p>
          <w:p w14:paraId="39197C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6.3.4彩色滤波器具有自动和手动技术：调节脉冲重复频率时，壁滤波器自动进行相应优化调节；</w:t>
            </w:r>
          </w:p>
          <w:p w14:paraId="3E3970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6.3.5取样容积：1-20mm；</w:t>
            </w:r>
          </w:p>
          <w:p w14:paraId="1A0B47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6.3.6零位移动：≥8 级；</w:t>
            </w:r>
          </w:p>
          <w:p w14:paraId="2A7AB0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6.3.7快速角度校正；</w:t>
            </w:r>
          </w:p>
          <w:p w14:paraId="575BE8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6.3.8支持频谱自动测量。</w:t>
            </w:r>
          </w:p>
          <w:p w14:paraId="2144C7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6.4 可选配实时三维成像单元</w:t>
            </w:r>
          </w:p>
          <w:p w14:paraId="4396C6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6.4.1渲染模式≥9种，包括：表面模式、骨骼成像、梯度亮度、X-Ray成像、深度成像、最小回声成像、光影成像、骨骼深度成像、高分辨率容积成像；</w:t>
            </w:r>
          </w:p>
          <w:p w14:paraId="5DD4B7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6.4.2S-Live高分辨率容积成像技术，通过仿真成像技术对3D/4D立体数据进行仿真渲染，并支持≥8种光源位置可调，显示不同动态光源所带来的立体渲染效果；</w:t>
            </w:r>
          </w:p>
          <w:p w14:paraId="3752C5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6.4.3光影成像技术，通过提取三维体数据组织边缘轮廓信息，滤除部分组织信号，并进行立体渲染，达到透视效果，主要适用于胎儿骨骼、孕囊、血管及空腔性结构等成像。</w:t>
            </w:r>
          </w:p>
          <w:p w14:paraId="799522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6.4.4骨骼深度模式，在骨骼模式的基础上叠加深度距离信息，增加立体感、提高细节分辨率；</w:t>
            </w:r>
          </w:p>
          <w:p w14:paraId="1474CE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6.4.5 截面功能，根据3D立体数据A、B、C三个正交平面之间的相互空间关系，通过调节某一平面，空间相关的另外一个平面也随之变化，从而判断病灶在A、B、C平面的表现，可支持A/B、B/C、A/C、A/B/C 4种显示模式；</w:t>
            </w:r>
          </w:p>
          <w:p w14:paraId="1FC63E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6.4.6 断层切片成像，可将3D立体数据沿A、B、C三个正交平面分别进行连续平行断层切割，可同屏显示≥23幅不同深度图像。</w:t>
            </w:r>
          </w:p>
          <w:p w14:paraId="68DA70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6.4.7 卵泡自动测量，在3D立体数据下，一键自动分割无回声结构，以不同的颜色区分显示不同位置和大小的无回声结构。并自动测量卵泡直径、X轴长度、Y轴长度、Z轴长度、三个轴的平均值和体积。至少可显示20组数据。 </w:t>
            </w:r>
          </w:p>
          <w:p w14:paraId="7F4D73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6.4.8支持胎儿面部自动识别，通过自动识别胎儿脸部结构，一键去除遮挡胎儿面部的组织，可减免医生反复采集和剪切操作，提高效率。</w:t>
            </w:r>
          </w:p>
          <w:p w14:paraId="30A2EF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7.探头规格</w:t>
            </w:r>
          </w:p>
          <w:p w14:paraId="37D9A92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7.1 支持探头类型：凸阵、相控阵、线阵、腔内、腹部容积、腔内容积、双平面、指夹式探头等；</w:t>
            </w:r>
          </w:p>
          <w:p w14:paraId="5A1C5B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7.2 探头频率：宽频变频探头,二维、谐波、彩色及频谱多普勒模式分别独立变频≥</w:t>
            </w:r>
            <w:r>
              <w:rPr>
                <w:rFonts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lang w:eastAsia="zh-CN"/>
              </w:rPr>
              <w:t>段；</w:t>
            </w:r>
          </w:p>
          <w:p w14:paraId="01E162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7.3 凸阵探头: 1.5-6.5 MHz，最大探测深度≥29cm；</w:t>
            </w:r>
          </w:p>
          <w:p w14:paraId="0A0394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7.4 线阵探头: 4-15.5 MHz；</w:t>
            </w:r>
          </w:p>
          <w:p w14:paraId="678DE8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7.5 腔内探头: 3-14 MHz；</w:t>
            </w:r>
          </w:p>
          <w:p w14:paraId="76FCE5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7.6 可选配宫腔专用探头，配合窥器使用，探头既有代替窥器下页扩张阴道的作用也有超声探头扫查子宫的作用，最大程度节约手术空间；</w:t>
            </w:r>
          </w:p>
          <w:p w14:paraId="5DDEBCB0">
            <w:pPr>
              <w:keepNext w:val="0"/>
              <w:keepLines w:val="0"/>
              <w:pageBreakBefore w:val="0"/>
              <w:widowControl w:val="0"/>
              <w:kinsoku/>
              <w:wordWrap/>
              <w:overflowPunct/>
              <w:topLinePunct w:val="0"/>
              <w:autoSpaceDE/>
              <w:autoSpaceDN/>
              <w:bidi w:val="0"/>
              <w:adjustRightInd/>
              <w:snapToGrid/>
              <w:spacing w:line="360" w:lineRule="auto"/>
              <w:ind w:firstLine="105" w:firstLineChars="5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8.技术、维修、培训及其它</w:t>
            </w:r>
          </w:p>
          <w:p w14:paraId="0DF620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8.1 中标人负责送货上门、安装调试，负责提供专业的现场培训。</w:t>
            </w:r>
          </w:p>
          <w:p w14:paraId="3D1DB1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9.配备超声工作站（含标清图文报告工作站、</w:t>
            </w:r>
            <w:r>
              <w:rPr>
                <w:rFonts w:hint="eastAsia" w:ascii="宋体" w:hAnsi="宋体" w:cs="宋体"/>
                <w:color w:val="auto"/>
                <w:sz w:val="21"/>
                <w:szCs w:val="21"/>
                <w:highlight w:val="none"/>
                <w:lang w:val="en-US" w:eastAsia="zh-CN"/>
              </w:rPr>
              <w:t>控制主机</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输出设备</w:t>
            </w:r>
            <w:r>
              <w:rPr>
                <w:rFonts w:hint="eastAsia" w:ascii="宋体" w:hAnsi="宋体" w:eastAsia="宋体" w:cs="宋体"/>
                <w:color w:val="auto"/>
                <w:sz w:val="21"/>
                <w:szCs w:val="21"/>
                <w:highlight w:val="none"/>
                <w:lang w:eastAsia="zh-CN"/>
              </w:rPr>
              <w:t>）一套</w:t>
            </w:r>
          </w:p>
        </w:tc>
        <w:tc>
          <w:tcPr>
            <w:tcW w:w="1223" w:type="dxa"/>
            <w:tcBorders>
              <w:top w:val="single" w:color="auto" w:sz="4" w:space="0"/>
              <w:left w:val="single" w:color="auto" w:sz="4" w:space="0"/>
              <w:bottom w:val="single" w:color="auto" w:sz="4" w:space="0"/>
              <w:right w:val="single" w:color="auto" w:sz="4" w:space="0"/>
            </w:tcBorders>
            <w:vAlign w:val="center"/>
          </w:tcPr>
          <w:p w14:paraId="6AA5A2C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auto"/>
                <w:kern w:val="0"/>
                <w:sz w:val="22"/>
                <w:szCs w:val="22"/>
                <w:highlight w:val="none"/>
                <w:u w:val="none"/>
                <w:lang w:val="en-US" w:eastAsia="zh-CN"/>
              </w:rPr>
              <w:t>312424.20</w:t>
            </w:r>
          </w:p>
        </w:tc>
      </w:tr>
      <w:tr w14:paraId="3619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66710897"/>
        </w:tc>
        <w:tc>
          <w:tcPr>
            <w:tcW w:w="545" w:type="dxa"/>
            <w:tcBorders>
              <w:top w:val="single" w:color="auto" w:sz="4" w:space="0"/>
              <w:left w:val="single" w:color="auto" w:sz="4" w:space="0"/>
              <w:bottom w:val="single" w:color="auto" w:sz="4" w:space="0"/>
              <w:right w:val="single" w:color="auto" w:sz="4" w:space="0"/>
            </w:tcBorders>
            <w:vAlign w:val="center"/>
          </w:tcPr>
          <w:p w14:paraId="7714D5C1">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p>
        </w:tc>
        <w:tc>
          <w:tcPr>
            <w:tcW w:w="1092" w:type="dxa"/>
            <w:tcBorders>
              <w:top w:val="single" w:color="auto" w:sz="4" w:space="0"/>
              <w:left w:val="single" w:color="auto" w:sz="4" w:space="0"/>
              <w:bottom w:val="single" w:color="auto" w:sz="4" w:space="0"/>
              <w:right w:val="single" w:color="auto" w:sz="4" w:space="0"/>
            </w:tcBorders>
            <w:vAlign w:val="center"/>
          </w:tcPr>
          <w:p w14:paraId="0FB1C1F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rPr>
              <w:t>床头柜</w:t>
            </w:r>
          </w:p>
        </w:tc>
        <w:tc>
          <w:tcPr>
            <w:tcW w:w="670" w:type="dxa"/>
            <w:tcBorders>
              <w:top w:val="single" w:color="auto" w:sz="4" w:space="0"/>
              <w:left w:val="single" w:color="auto" w:sz="4" w:space="0"/>
              <w:bottom w:val="single" w:color="auto" w:sz="4" w:space="0"/>
              <w:right w:val="single" w:color="auto" w:sz="4" w:space="0"/>
            </w:tcBorders>
            <w:vAlign w:val="center"/>
          </w:tcPr>
          <w:p w14:paraId="0FF99B96">
            <w:pPr>
              <w:keepNext w:val="0"/>
              <w:keepLines w:val="0"/>
              <w:widowControl/>
              <w:suppressLineNumbers w:val="0"/>
              <w:jc w:val="center"/>
              <w:textAlignment w:val="center"/>
              <w:rPr>
                <w:rFonts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auto"/>
                <w:kern w:val="0"/>
                <w:sz w:val="22"/>
                <w:szCs w:val="22"/>
                <w:highlight w:val="none"/>
                <w:u w:val="none"/>
                <w:lang w:val="en-US" w:eastAsia="zh-CN"/>
              </w:rPr>
              <w:t>40张</w:t>
            </w:r>
          </w:p>
        </w:tc>
        <w:tc>
          <w:tcPr>
            <w:tcW w:w="6046" w:type="dxa"/>
            <w:tcBorders>
              <w:top w:val="single" w:color="auto" w:sz="4" w:space="0"/>
              <w:left w:val="single" w:color="auto" w:sz="4" w:space="0"/>
              <w:bottom w:val="single" w:color="auto" w:sz="4" w:space="0"/>
              <w:right w:val="single" w:color="auto" w:sz="4" w:space="0"/>
            </w:tcBorders>
            <w:vAlign w:val="center"/>
          </w:tcPr>
          <w:p w14:paraId="675957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1.规格：长480mm×宽480mm×高760mm（±5mm）；</w:t>
            </w:r>
          </w:p>
          <w:p w14:paraId="1F52F8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2.材质：采用ABS材料注塑而成；</w:t>
            </w:r>
          </w:p>
          <w:p w14:paraId="00E7DD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3.所有配件ABS注塑而成，防水、防霉，装配采用锁扣方式紧密牢固；</w:t>
            </w:r>
          </w:p>
          <w:p w14:paraId="364786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4.柜体有餐板、抽屉，且两侧有折叠毛巾挂架；</w:t>
            </w:r>
          </w:p>
          <w:p w14:paraId="31D520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5.单开柜门， 柜内有层板，光泽、耐用。</w:t>
            </w:r>
          </w:p>
        </w:tc>
        <w:tc>
          <w:tcPr>
            <w:tcW w:w="1223" w:type="dxa"/>
            <w:tcBorders>
              <w:top w:val="single" w:color="auto" w:sz="4" w:space="0"/>
              <w:left w:val="single" w:color="auto" w:sz="4" w:space="0"/>
              <w:bottom w:val="single" w:color="auto" w:sz="4" w:space="0"/>
              <w:right w:val="single" w:color="auto" w:sz="4" w:space="0"/>
            </w:tcBorders>
            <w:vAlign w:val="center"/>
          </w:tcPr>
          <w:p w14:paraId="46B1BE1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auto"/>
                <w:kern w:val="0"/>
                <w:sz w:val="22"/>
                <w:szCs w:val="22"/>
                <w:highlight w:val="none"/>
                <w:u w:val="none"/>
                <w:lang w:val="en-US" w:eastAsia="zh-CN"/>
              </w:rPr>
              <w:t>344.52</w:t>
            </w:r>
          </w:p>
        </w:tc>
      </w:tr>
      <w:tr w14:paraId="093549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vAlign w:val="center"/>
          </w:tcPr>
          <w:p w14:paraId="70BC4CAB"/>
        </w:tc>
        <w:tc>
          <w:tcPr>
            <w:tcW w:w="545" w:type="dxa"/>
            <w:tcBorders>
              <w:top w:val="single" w:color="auto" w:sz="4" w:space="0"/>
              <w:left w:val="single" w:color="auto" w:sz="4" w:space="0"/>
              <w:bottom w:val="single" w:color="auto" w:sz="4" w:space="0"/>
              <w:right w:val="single" w:color="auto" w:sz="4" w:space="0"/>
            </w:tcBorders>
            <w:vAlign w:val="center"/>
          </w:tcPr>
          <w:p w14:paraId="1FB7A371">
            <w:pPr>
              <w:numPr>
                <w:ilvl w:val="0"/>
                <w:numId w:val="0"/>
              </w:numPr>
              <w:spacing w:line="2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p>
        </w:tc>
        <w:tc>
          <w:tcPr>
            <w:tcW w:w="1092" w:type="dxa"/>
            <w:tcBorders>
              <w:top w:val="single" w:color="auto" w:sz="4" w:space="0"/>
              <w:left w:val="single" w:color="auto" w:sz="4" w:space="0"/>
              <w:bottom w:val="single" w:color="auto" w:sz="4" w:space="0"/>
              <w:right w:val="single" w:color="auto" w:sz="4" w:space="0"/>
            </w:tcBorders>
            <w:vAlign w:val="center"/>
          </w:tcPr>
          <w:p w14:paraId="3AAEBFD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rPr>
              <w:t>牙科综合治疗机</w:t>
            </w:r>
          </w:p>
        </w:tc>
        <w:tc>
          <w:tcPr>
            <w:tcW w:w="670" w:type="dxa"/>
            <w:tcBorders>
              <w:top w:val="single" w:color="auto" w:sz="4" w:space="0"/>
              <w:left w:val="single" w:color="auto" w:sz="4" w:space="0"/>
              <w:bottom w:val="single" w:color="auto" w:sz="4" w:space="0"/>
              <w:right w:val="single" w:color="auto" w:sz="4" w:space="0"/>
            </w:tcBorders>
            <w:vAlign w:val="center"/>
          </w:tcPr>
          <w:p w14:paraId="0251B2E2">
            <w:pPr>
              <w:keepNext w:val="0"/>
              <w:keepLines w:val="0"/>
              <w:widowControl/>
              <w:suppressLineNumbers w:val="0"/>
              <w:jc w:val="center"/>
              <w:textAlignment w:val="center"/>
              <w:rPr>
                <w:rFonts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auto"/>
                <w:kern w:val="0"/>
                <w:sz w:val="22"/>
                <w:szCs w:val="22"/>
                <w:highlight w:val="none"/>
                <w:u w:val="none"/>
                <w:lang w:val="en-US" w:eastAsia="zh-CN"/>
              </w:rPr>
              <w:t>1台</w:t>
            </w:r>
          </w:p>
        </w:tc>
        <w:tc>
          <w:tcPr>
            <w:tcW w:w="6046" w:type="dxa"/>
            <w:tcBorders>
              <w:top w:val="single" w:color="auto" w:sz="4" w:space="0"/>
              <w:left w:val="single" w:color="auto" w:sz="4" w:space="0"/>
              <w:bottom w:val="single" w:color="auto" w:sz="4" w:space="0"/>
              <w:right w:val="single" w:color="auto" w:sz="4" w:space="0"/>
            </w:tcBorders>
            <w:vAlign w:val="center"/>
          </w:tcPr>
          <w:p w14:paraId="7BACD0C2">
            <w:pPr>
              <w:widowControl/>
              <w:spacing w:line="360" w:lineRule="auto"/>
              <w:ind w:firstLine="0"/>
              <w:jc w:val="left"/>
              <w:rPr>
                <w:rFonts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一、技术参数：</w:t>
            </w:r>
          </w:p>
          <w:p w14:paraId="1322A791">
            <w:pPr>
              <w:widowControl/>
              <w:spacing w:line="360" w:lineRule="auto"/>
              <w:ind w:left="0" w:firstLine="0"/>
              <w:jc w:val="left"/>
              <w:rPr>
                <w:rFonts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1.电压：AC220V±10V</w:t>
            </w:r>
            <w:r>
              <w:rPr>
                <w:rFonts w:hint="eastAsia" w:ascii="宋体" w:hAnsi="宋体" w:eastAsia="宋体" w:cs="宋体"/>
                <w:color w:val="auto"/>
                <w:kern w:val="0"/>
                <w:sz w:val="21"/>
                <w:szCs w:val="21"/>
                <w:highlight w:val="none"/>
                <w:lang w:val="en-US" w:eastAsia="zh-CN" w:bidi="ar-SA"/>
              </w:rPr>
              <w:br w:type="textWrapping"/>
            </w:r>
            <w:r>
              <w:rPr>
                <w:rFonts w:hint="eastAsia" w:ascii="宋体" w:hAnsi="宋体" w:eastAsia="宋体" w:cs="宋体"/>
                <w:color w:val="auto"/>
                <w:kern w:val="0"/>
                <w:sz w:val="21"/>
                <w:szCs w:val="21"/>
                <w:highlight w:val="none"/>
                <w:lang w:val="en-US" w:eastAsia="zh-CN" w:bidi="ar-SA"/>
              </w:rPr>
              <w:t>2.频率：50Hz±1Hz</w:t>
            </w:r>
            <w:r>
              <w:rPr>
                <w:rFonts w:hint="eastAsia" w:ascii="宋体" w:hAnsi="宋体" w:eastAsia="宋体" w:cs="宋体"/>
                <w:color w:val="auto"/>
                <w:kern w:val="0"/>
                <w:sz w:val="21"/>
                <w:szCs w:val="21"/>
                <w:highlight w:val="none"/>
                <w:lang w:val="en-US" w:eastAsia="zh-CN" w:bidi="ar-SA"/>
              </w:rPr>
              <w:br w:type="textWrapping"/>
            </w:r>
            <w:r>
              <w:rPr>
                <w:rFonts w:hint="eastAsia" w:ascii="宋体" w:hAnsi="宋体" w:eastAsia="宋体" w:cs="宋体"/>
                <w:color w:val="auto"/>
                <w:kern w:val="0"/>
                <w:sz w:val="21"/>
                <w:szCs w:val="21"/>
                <w:highlight w:val="none"/>
                <w:lang w:val="en-US" w:eastAsia="zh-CN" w:bidi="ar-SA"/>
              </w:rPr>
              <w:t>3.环境温度：5-40℃</w:t>
            </w:r>
            <w:r>
              <w:rPr>
                <w:rFonts w:hint="eastAsia" w:ascii="宋体" w:hAnsi="宋体" w:eastAsia="宋体" w:cs="宋体"/>
                <w:color w:val="auto"/>
                <w:kern w:val="0"/>
                <w:sz w:val="21"/>
                <w:szCs w:val="21"/>
                <w:highlight w:val="none"/>
                <w:lang w:val="en-US" w:eastAsia="zh-CN" w:bidi="ar-SA"/>
              </w:rPr>
              <w:br w:type="textWrapping"/>
            </w:r>
            <w:r>
              <w:rPr>
                <w:rFonts w:hint="eastAsia" w:ascii="宋体" w:hAnsi="宋体" w:eastAsia="宋体" w:cs="宋体"/>
                <w:color w:val="auto"/>
                <w:kern w:val="0"/>
                <w:sz w:val="21"/>
                <w:szCs w:val="21"/>
                <w:highlight w:val="none"/>
                <w:lang w:val="en-US" w:eastAsia="zh-CN" w:bidi="ar-SA"/>
              </w:rPr>
              <w:t>4.相对湿度：≤80%</w:t>
            </w:r>
            <w:r>
              <w:rPr>
                <w:rFonts w:hint="eastAsia" w:ascii="宋体" w:hAnsi="宋体" w:eastAsia="宋体" w:cs="宋体"/>
                <w:color w:val="auto"/>
                <w:kern w:val="0"/>
                <w:sz w:val="21"/>
                <w:szCs w:val="21"/>
                <w:highlight w:val="none"/>
                <w:lang w:val="en-US" w:eastAsia="zh-CN" w:bidi="ar-SA"/>
              </w:rPr>
              <w:br w:type="textWrapping"/>
            </w:r>
            <w:r>
              <w:rPr>
                <w:rFonts w:hint="eastAsia" w:ascii="宋体" w:hAnsi="宋体" w:eastAsia="宋体" w:cs="宋体"/>
                <w:color w:val="auto"/>
                <w:kern w:val="0"/>
                <w:sz w:val="21"/>
                <w:szCs w:val="21"/>
                <w:highlight w:val="none"/>
                <w:lang w:val="en-US" w:eastAsia="zh-CN" w:bidi="ar-SA"/>
              </w:rPr>
              <w:t xml:space="preserve">5.水压：0.20-0.40Mpa/2.0-4.0bar </w:t>
            </w:r>
            <w:r>
              <w:rPr>
                <w:rFonts w:hint="eastAsia" w:ascii="宋体" w:hAnsi="宋体" w:eastAsia="宋体" w:cs="宋体"/>
                <w:color w:val="auto"/>
                <w:kern w:val="0"/>
                <w:sz w:val="21"/>
                <w:szCs w:val="21"/>
                <w:highlight w:val="none"/>
                <w:lang w:val="en-US" w:eastAsia="zh-CN" w:bidi="ar-SA"/>
              </w:rPr>
              <w:br w:type="textWrapping"/>
            </w:r>
            <w:r>
              <w:rPr>
                <w:rFonts w:hint="eastAsia" w:ascii="宋体" w:hAnsi="宋体" w:eastAsia="宋体" w:cs="宋体"/>
                <w:color w:val="auto"/>
                <w:kern w:val="0"/>
                <w:sz w:val="21"/>
                <w:szCs w:val="21"/>
                <w:highlight w:val="none"/>
                <w:lang w:val="en-US" w:eastAsia="zh-CN" w:bidi="ar-SA"/>
              </w:rPr>
              <w:t xml:space="preserve">6.气压：0.5-0.80Mpa/5.0-8.0bar </w:t>
            </w:r>
          </w:p>
          <w:p w14:paraId="3D42E60B">
            <w:pPr>
              <w:widowControl/>
              <w:spacing w:line="360" w:lineRule="auto"/>
              <w:jc w:val="left"/>
              <w:rPr>
                <w:rFonts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7.排量：≥55L/min(水负压)</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≥120L/min（气负压）</w:t>
            </w:r>
          </w:p>
          <w:p w14:paraId="06E520DD">
            <w:pPr>
              <w:widowControl w:val="0"/>
              <w:spacing w:line="360" w:lineRule="auto"/>
              <w:jc w:val="left"/>
              <w:rPr>
                <w:rFonts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w:t>
            </w:r>
            <w:bookmarkStart w:id="59" w:name="OLE_LINK1"/>
            <w:r>
              <w:rPr>
                <w:rFonts w:hint="eastAsia" w:ascii="宋体" w:hAnsi="宋体" w:eastAsia="宋体" w:cs="宋体"/>
                <w:color w:val="auto"/>
                <w:kern w:val="0"/>
                <w:sz w:val="21"/>
                <w:szCs w:val="21"/>
                <w:highlight w:val="none"/>
                <w:lang w:val="en-US" w:eastAsia="zh-CN" w:bidi="ar-SA"/>
              </w:rPr>
              <w:t>重量</w:t>
            </w:r>
            <w:bookmarkEnd w:id="59"/>
            <w:r>
              <w:rPr>
                <w:rFonts w:hint="eastAsia" w:ascii="宋体" w:hAnsi="宋体" w:eastAsia="宋体" w:cs="宋体"/>
                <w:color w:val="auto"/>
                <w:kern w:val="0"/>
                <w:sz w:val="21"/>
                <w:szCs w:val="21"/>
                <w:highlight w:val="none"/>
                <w:lang w:val="en-US" w:eastAsia="zh-CN" w:bidi="ar-SA"/>
              </w:rPr>
              <w:t>:约210</w:t>
            </w:r>
            <w:r>
              <w:rPr>
                <w:rFonts w:ascii="Arial" w:hAnsi="Arial" w:eastAsia="宋体" w:cs="Arial"/>
                <w:i w:val="0"/>
                <w:iCs w:val="0"/>
                <w:caps w:val="0"/>
                <w:smallCaps w:val="0"/>
                <w:color w:val="auto"/>
                <w:spacing w:val="0"/>
                <w:kern w:val="2"/>
                <w:sz w:val="21"/>
                <w:szCs w:val="21"/>
                <w:highlight w:val="none"/>
                <w:shd w:val="clear" w:color="auto" w:fill="FFFFFF"/>
                <w:lang w:val="en-US" w:eastAsia="zh-CN" w:bidi="ar-SA"/>
              </w:rPr>
              <w:t>kg</w:t>
            </w:r>
            <w:r>
              <w:rPr>
                <w:rFonts w:hint="eastAsia" w:ascii="宋体" w:hAnsi="宋体" w:eastAsia="宋体" w:cs="宋体"/>
                <w:color w:val="auto"/>
                <w:kern w:val="0"/>
                <w:sz w:val="21"/>
                <w:szCs w:val="21"/>
                <w:highlight w:val="none"/>
                <w:lang w:val="en-US" w:eastAsia="zh-CN" w:bidi="ar-SA"/>
              </w:rPr>
              <w:br w:type="textWrapping"/>
            </w:r>
            <w:r>
              <w:rPr>
                <w:rFonts w:hint="eastAsia" w:ascii="宋体" w:hAnsi="宋体" w:eastAsia="宋体" w:cs="宋体"/>
                <w:color w:val="auto"/>
                <w:kern w:val="0"/>
                <w:sz w:val="21"/>
                <w:szCs w:val="21"/>
                <w:highlight w:val="none"/>
                <w:lang w:val="en-US" w:eastAsia="zh-CN" w:bidi="ar-SA"/>
              </w:rPr>
              <w:t>9.</w:t>
            </w:r>
            <w:r>
              <w:rPr>
                <w:rFonts w:hint="eastAsia" w:ascii="宋体" w:hAnsi="宋体" w:eastAsia="宋体" w:cs="宋体"/>
                <w:color w:val="auto"/>
                <w:kern w:val="0"/>
                <w:sz w:val="21"/>
                <w:szCs w:val="21"/>
                <w:highlight w:val="none"/>
                <w:u w:val="none"/>
                <w:lang w:val="en-US" w:eastAsia="zh-CN" w:bidi="ar-SA"/>
              </w:rPr>
              <w:t>牙科椅</w:t>
            </w:r>
            <w:r>
              <w:rPr>
                <w:rFonts w:hint="eastAsia" w:ascii="宋体" w:hAnsi="宋体" w:eastAsia="宋体" w:cs="宋体"/>
                <w:color w:val="auto"/>
                <w:kern w:val="0"/>
                <w:sz w:val="21"/>
                <w:szCs w:val="21"/>
                <w:highlight w:val="none"/>
                <w:u w:val="none"/>
                <w:lang w:val="en-US" w:eastAsia="zh-CN" w:bidi="ar-SA"/>
              </w:rPr>
              <w:br w:type="textWrapping"/>
            </w:r>
            <w:r>
              <w:rPr>
                <w:rFonts w:hint="eastAsia" w:ascii="宋体" w:hAnsi="宋体" w:eastAsia="宋体" w:cs="宋体"/>
                <w:color w:val="auto"/>
                <w:kern w:val="0"/>
                <w:sz w:val="21"/>
                <w:szCs w:val="21"/>
                <w:highlight w:val="none"/>
                <w:lang w:val="en-US" w:eastAsia="zh-CN" w:bidi="ar-SA"/>
              </w:rPr>
              <w:t>9.1</w:t>
            </w:r>
            <w:r>
              <w:rPr>
                <w:rFonts w:hint="eastAsia" w:ascii="宋体" w:hAnsi="宋体" w:eastAsia="宋体" w:cs="宋体"/>
                <w:color w:val="auto"/>
                <w:kern w:val="0"/>
                <w:sz w:val="21"/>
                <w:szCs w:val="21"/>
                <w:highlight w:val="none"/>
                <w:u w:val="none"/>
                <w:lang w:val="en-US" w:eastAsia="zh-CN" w:bidi="ar-SA"/>
              </w:rPr>
              <w:t>座垫离地面最低高度：400毫米;座垫离地面最高高度：800毫米。</w:t>
            </w:r>
            <w:r>
              <w:rPr>
                <w:rFonts w:hint="eastAsia" w:ascii="宋体" w:hAnsi="宋体" w:eastAsia="宋体" w:cs="宋体"/>
                <w:color w:val="auto"/>
                <w:kern w:val="0"/>
                <w:sz w:val="21"/>
                <w:szCs w:val="21"/>
                <w:highlight w:val="none"/>
                <w:lang w:val="en-US" w:eastAsia="zh-CN" w:bidi="ar-SA"/>
              </w:rPr>
              <w:br w:type="textWrapping"/>
            </w:r>
            <w:r>
              <w:rPr>
                <w:rFonts w:hint="eastAsia" w:ascii="宋体" w:hAnsi="宋体" w:eastAsia="宋体" w:cs="宋体"/>
                <w:color w:val="auto"/>
                <w:kern w:val="0"/>
                <w:sz w:val="21"/>
                <w:szCs w:val="21"/>
                <w:highlight w:val="none"/>
                <w:lang w:val="en-US" w:eastAsia="zh-CN" w:bidi="ar-SA"/>
              </w:rPr>
              <w:t>9.2靠背后倾范围：-5—67度</w:t>
            </w:r>
            <w:r>
              <w:rPr>
                <w:rFonts w:hint="eastAsia" w:ascii="宋体" w:hAnsi="宋体" w:eastAsia="宋体" w:cs="宋体"/>
                <w:color w:val="auto"/>
                <w:kern w:val="0"/>
                <w:sz w:val="21"/>
                <w:szCs w:val="21"/>
                <w:highlight w:val="none"/>
                <w:lang w:val="en-US" w:eastAsia="zh-CN" w:bidi="ar-SA"/>
              </w:rPr>
              <w:br w:type="textWrapping"/>
            </w:r>
            <w:r>
              <w:rPr>
                <w:rFonts w:hint="eastAsia" w:ascii="宋体" w:hAnsi="宋体" w:eastAsia="宋体" w:cs="宋体"/>
                <w:color w:val="auto"/>
                <w:kern w:val="0"/>
                <w:sz w:val="21"/>
                <w:szCs w:val="21"/>
                <w:highlight w:val="none"/>
                <w:u w:val="none"/>
                <w:lang w:val="en-US" w:eastAsia="zh-CN" w:bidi="ar-SA"/>
              </w:rPr>
              <w:t>10.治疗机</w:t>
            </w:r>
            <w:r>
              <w:rPr>
                <w:rFonts w:hint="eastAsia" w:ascii="宋体" w:hAnsi="宋体" w:eastAsia="宋体" w:cs="宋体"/>
                <w:color w:val="auto"/>
                <w:kern w:val="0"/>
                <w:sz w:val="21"/>
                <w:szCs w:val="21"/>
                <w:highlight w:val="none"/>
                <w:u w:val="none"/>
                <w:lang w:val="en-US" w:eastAsia="zh-CN" w:bidi="ar-SA"/>
              </w:rPr>
              <w:br w:type="textWrapping"/>
            </w:r>
            <w:r>
              <w:rPr>
                <w:rFonts w:hint="eastAsia" w:ascii="宋体" w:hAnsi="宋体" w:eastAsia="宋体" w:cs="宋体"/>
                <w:color w:val="auto"/>
                <w:kern w:val="0"/>
                <w:sz w:val="21"/>
                <w:szCs w:val="21"/>
                <w:highlight w:val="none"/>
                <w:lang w:val="en-US" w:eastAsia="zh-CN" w:bidi="ar-SA"/>
              </w:rPr>
              <w:t>10.1高速涡轮手机转速≥300000 r/min</w:t>
            </w:r>
            <w:r>
              <w:rPr>
                <w:rFonts w:hint="eastAsia" w:ascii="宋体" w:hAnsi="宋体" w:eastAsia="宋体" w:cs="宋体"/>
                <w:color w:val="auto"/>
                <w:kern w:val="0"/>
                <w:sz w:val="21"/>
                <w:szCs w:val="21"/>
                <w:highlight w:val="none"/>
                <w:lang w:val="en-US" w:eastAsia="zh-CN" w:bidi="ar-SA"/>
              </w:rPr>
              <w:br w:type="textWrapping"/>
            </w:r>
            <w:r>
              <w:rPr>
                <w:rFonts w:hint="eastAsia" w:ascii="宋体" w:hAnsi="宋体" w:eastAsia="宋体" w:cs="宋体"/>
                <w:color w:val="auto"/>
                <w:kern w:val="0"/>
                <w:sz w:val="21"/>
                <w:szCs w:val="21"/>
                <w:highlight w:val="none"/>
                <w:lang w:val="en-US" w:eastAsia="zh-CN" w:bidi="ar-SA"/>
              </w:rPr>
              <w:t>10.2低速气马达手机转速≥14000r/min</w:t>
            </w:r>
            <w:r>
              <w:rPr>
                <w:rFonts w:hint="eastAsia" w:ascii="宋体" w:hAnsi="宋体" w:eastAsia="宋体" w:cs="宋体"/>
                <w:color w:val="auto"/>
                <w:kern w:val="0"/>
                <w:sz w:val="21"/>
                <w:szCs w:val="21"/>
                <w:highlight w:val="none"/>
                <w:lang w:val="en-US" w:eastAsia="zh-CN" w:bidi="ar-SA"/>
              </w:rPr>
              <w:br w:type="textWrapping"/>
            </w:r>
            <w:r>
              <w:rPr>
                <w:rFonts w:hint="eastAsia" w:ascii="宋体" w:hAnsi="宋体" w:eastAsia="宋体" w:cs="宋体"/>
                <w:color w:val="auto"/>
                <w:kern w:val="0"/>
                <w:sz w:val="21"/>
                <w:szCs w:val="21"/>
                <w:highlight w:val="none"/>
                <w:lang w:val="en-US" w:eastAsia="zh-CN" w:bidi="ar-SA"/>
              </w:rPr>
              <w:t>10.3漱口水温度：40℃±5℃</w:t>
            </w:r>
            <w:r>
              <w:rPr>
                <w:rFonts w:hint="eastAsia" w:ascii="宋体" w:hAnsi="宋体" w:eastAsia="宋体" w:cs="宋体"/>
                <w:color w:val="auto"/>
                <w:kern w:val="0"/>
                <w:sz w:val="21"/>
                <w:szCs w:val="21"/>
                <w:highlight w:val="none"/>
                <w:lang w:val="en-US" w:eastAsia="zh-CN" w:bidi="ar-SA"/>
              </w:rPr>
              <w:br w:type="textWrapping"/>
            </w:r>
            <w:r>
              <w:rPr>
                <w:rFonts w:hint="eastAsia" w:ascii="宋体" w:hAnsi="宋体" w:eastAsia="宋体" w:cs="宋体"/>
                <w:color w:val="auto"/>
                <w:kern w:val="0"/>
                <w:sz w:val="21"/>
                <w:szCs w:val="21"/>
                <w:highlight w:val="none"/>
                <w:lang w:val="en-US" w:eastAsia="zh-CN" w:bidi="ar-SA"/>
              </w:rPr>
              <w:t>10.4冷光口腔灯：6000Lux～30000Lux</w:t>
            </w:r>
          </w:p>
          <w:p w14:paraId="50E798F7">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、产品要求：</w:t>
            </w:r>
          </w:p>
          <w:p w14:paraId="6FE577D4">
            <w:pPr>
              <w:tabs>
                <w:tab w:val="left" w:pos="4693"/>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1.患者单元：</w:t>
            </w:r>
          </w:p>
          <w:p w14:paraId="185054DF">
            <w:pPr>
              <w:tabs>
                <w:tab w:val="left" w:pos="4693"/>
              </w:tabs>
              <w:spacing w:line="360" w:lineRule="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u w:val="none"/>
                <w:lang w:val="en-US" w:eastAsia="zh-CN"/>
              </w:rPr>
              <w:t>配备智能管道清洁系统。激活后，牙椅自动升至最高位并关闭口腔灯，同步启动痰盂定量冲洗程序。系统支持一键复位功能，可快速将牙椅恢复至最低位与靠背直立状态。</w:t>
            </w:r>
          </w:p>
          <w:p w14:paraId="485BE457">
            <w:pPr>
              <w:tabs>
                <w:tab w:val="left" w:pos="4693"/>
              </w:tabs>
              <w:spacing w:line="360" w:lineRule="auto"/>
              <w:rPr>
                <w:rFonts w:hint="eastAsia" w:ascii="宋体" w:hAnsi="宋体" w:eastAsia="宋体" w:cs="宋体"/>
                <w:color w:val="auto"/>
                <w:sz w:val="21"/>
                <w:szCs w:val="21"/>
                <w:highlight w:val="none"/>
                <w:lang w:val="en-US" w:eastAsia="zh-CN"/>
              </w:rPr>
            </w:pPr>
            <w:r>
              <w:rPr>
                <w:rFonts w:ascii="宋体" w:hAnsi="宋体" w:eastAsia="宋体" w:cs="宋体"/>
                <w:color w:val="auto"/>
                <w:sz w:val="21"/>
                <w:szCs w:val="21"/>
                <w:highlight w:val="none"/>
              </w:rPr>
              <w:t>SOS 急救模式：当患者突发过敏性休克、昏迷等紧急状况时，设备可快速降至 -5</w:t>
            </w:r>
            <w:r>
              <w:rPr>
                <w:rFonts w:hint="eastAsia" w:ascii="宋体" w:hAnsi="宋体" w:cs="宋体"/>
                <w:color w:val="auto"/>
                <w:sz w:val="21"/>
                <w:szCs w:val="21"/>
                <w:highlight w:val="none"/>
                <w:lang w:val="en-US" w:eastAsia="zh-CN"/>
              </w:rPr>
              <w:t>°</w:t>
            </w:r>
            <w:r>
              <w:rPr>
                <w:rFonts w:ascii="宋体" w:hAnsi="宋体" w:eastAsia="宋体" w:cs="宋体"/>
                <w:color w:val="auto"/>
                <w:sz w:val="21"/>
                <w:szCs w:val="21"/>
                <w:highlight w:val="none"/>
              </w:rPr>
              <w:t>急救档位，便于开展自然复苏或人工急救，有效规避慌乱操作引发的二次意外</w:t>
            </w:r>
            <w:r>
              <w:rPr>
                <w:rFonts w:hint="eastAsia" w:ascii="宋体" w:hAnsi="宋体" w:eastAsia="宋体" w:cs="宋体"/>
                <w:color w:val="auto"/>
                <w:sz w:val="21"/>
                <w:szCs w:val="21"/>
                <w:highlight w:val="none"/>
                <w:u w:val="none"/>
                <w:lang w:val="en-US" w:eastAsia="zh-CN"/>
              </w:rPr>
              <w:t>。</w:t>
            </w:r>
          </w:p>
          <w:p w14:paraId="4651A7A7">
            <w:pPr>
              <w:keepNext w:val="0"/>
              <w:keepLines w:val="0"/>
              <w:widowControl/>
              <w:suppressLineNumbers w:val="0"/>
              <w:spacing w:before="60" w:beforeAutospacing="0" w:after="60" w:afterAutospacing="0" w:line="360" w:lineRule="auto"/>
              <w:ind w:left="0" w:right="0"/>
              <w:jc w:val="left"/>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1.2 座椅系统采用人体工程学设计。翼形靠背造型有效拓展医生操作视野与腿部空间；背板外部为高强度金属板保障安全支撑，外部弯板采用压铸铝一体成型工艺，兼顾强度与轻量化。</w:t>
            </w:r>
          </w:p>
          <w:p w14:paraId="1A1FEC64">
            <w:pPr>
              <w:keepNext w:val="0"/>
              <w:keepLines w:val="0"/>
              <w:widowControl/>
              <w:suppressLineNumbers w:val="0"/>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1.3人造PU皮革，表面有防霉抗菌涂层。</w:t>
            </w:r>
          </w:p>
          <w:p w14:paraId="78CBD7C0">
            <w:pPr>
              <w:keepNext w:val="0"/>
              <w:keepLines w:val="0"/>
              <w:widowControl/>
              <w:suppressLineNumbers w:val="0"/>
              <w:spacing w:line="360" w:lineRule="auto"/>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1.4头枕长度在0-160mm间调节；头枕角度采用旋钮式调节，可单手调节。头枕硅胶套保护皮垫，</w:t>
            </w:r>
            <w:r>
              <w:rPr>
                <w:rFonts w:hint="eastAsia" w:ascii="宋体" w:hAnsi="宋体" w:eastAsia="宋体" w:cs="宋体"/>
                <w:color w:val="auto"/>
                <w:kern w:val="0"/>
                <w:sz w:val="21"/>
                <w:szCs w:val="21"/>
                <w:highlight w:val="none"/>
                <w:lang w:val="en-US" w:eastAsia="zh-CN"/>
              </w:rPr>
              <w:t>可拆卸消毒。</w:t>
            </w:r>
          </w:p>
          <w:p w14:paraId="3439F483">
            <w:pPr>
              <w:keepNext w:val="0"/>
              <w:keepLines w:val="0"/>
              <w:widowControl/>
              <w:suppressLineNumbers w:val="0"/>
              <w:spacing w:line="360" w:lineRule="auto"/>
              <w:jc w:val="left"/>
              <w:rPr>
                <w:rFonts w:ascii="Calibri" w:hAnsi="Calibri"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rPr>
              <w:t>1.5</w:t>
            </w:r>
            <w:r>
              <w:rPr>
                <w:rFonts w:ascii="宋体" w:hAnsi="宋体" w:eastAsia="宋体" w:cs="宋体"/>
                <w:color w:val="auto"/>
                <w:kern w:val="0"/>
                <w:sz w:val="21"/>
                <w:szCs w:val="21"/>
                <w:highlight w:val="none"/>
                <w:lang w:val="en-US" w:eastAsia="zh-CN"/>
              </w:rPr>
              <w:t>椅架</w:t>
            </w:r>
            <w:r>
              <w:rPr>
                <w:rFonts w:hint="eastAsia" w:ascii="宋体" w:hAnsi="宋体" w:eastAsia="宋体" w:cs="宋体"/>
                <w:color w:val="auto"/>
                <w:kern w:val="0"/>
                <w:sz w:val="21"/>
                <w:szCs w:val="21"/>
                <w:highlight w:val="none"/>
                <w:lang w:val="en-US" w:eastAsia="zh-CN"/>
              </w:rPr>
              <w:t>底板</w:t>
            </w:r>
            <w:r>
              <w:rPr>
                <w:rFonts w:ascii="宋体" w:hAnsi="宋体" w:eastAsia="宋体" w:cs="宋体"/>
                <w:color w:val="auto"/>
                <w:kern w:val="0"/>
                <w:sz w:val="21"/>
                <w:szCs w:val="21"/>
                <w:highlight w:val="none"/>
                <w:lang w:val="en-US" w:eastAsia="zh-CN"/>
              </w:rPr>
              <w:t>主体结构采用</w:t>
            </w:r>
            <w:r>
              <w:rPr>
                <w:rFonts w:hint="eastAsia" w:ascii="宋体" w:hAnsi="宋体" w:eastAsia="宋体" w:cs="宋体"/>
                <w:color w:val="auto"/>
                <w:kern w:val="0"/>
                <w:sz w:val="21"/>
                <w:szCs w:val="21"/>
                <w:highlight w:val="none"/>
                <w:lang w:val="en-US" w:eastAsia="zh-CN"/>
              </w:rPr>
              <w:t>双层</w:t>
            </w:r>
            <w:r>
              <w:rPr>
                <w:rFonts w:ascii="宋体" w:hAnsi="宋体" w:eastAsia="宋体" w:cs="宋体"/>
                <w:color w:val="auto"/>
                <w:kern w:val="0"/>
                <w:sz w:val="21"/>
                <w:szCs w:val="21"/>
                <w:highlight w:val="none"/>
                <w:lang w:val="en-US" w:eastAsia="zh-CN"/>
              </w:rPr>
              <w:t>厚度12mm</w:t>
            </w:r>
            <w:r>
              <w:rPr>
                <w:rFonts w:hint="eastAsia" w:ascii="宋体" w:hAnsi="宋体" w:eastAsia="宋体" w:cs="宋体"/>
                <w:color w:val="auto"/>
                <w:kern w:val="0"/>
                <w:sz w:val="21"/>
                <w:szCs w:val="21"/>
                <w:highlight w:val="none"/>
                <w:lang w:val="en-US" w:eastAsia="zh-CN"/>
              </w:rPr>
              <w:t>（共24</w:t>
            </w:r>
            <w:r>
              <w:rPr>
                <w:rFonts w:ascii="宋体" w:hAnsi="宋体" w:eastAsia="宋体" w:cs="宋体"/>
                <w:color w:val="auto"/>
                <w:kern w:val="0"/>
                <w:sz w:val="21"/>
                <w:szCs w:val="21"/>
                <w:highlight w:val="none"/>
                <w:lang w:val="en-US" w:eastAsia="zh-CN"/>
              </w:rPr>
              <w:t>mm</w:t>
            </w:r>
            <w:r>
              <w:rPr>
                <w:rFonts w:hint="eastAsia" w:ascii="宋体" w:hAnsi="宋体" w:eastAsia="宋体" w:cs="宋体"/>
                <w:color w:val="auto"/>
                <w:kern w:val="0"/>
                <w:sz w:val="21"/>
                <w:szCs w:val="21"/>
                <w:highlight w:val="none"/>
                <w:lang w:val="en-US" w:eastAsia="zh-CN"/>
              </w:rPr>
              <w:t>）金属</w:t>
            </w:r>
            <w:r>
              <w:rPr>
                <w:rFonts w:ascii="宋体" w:hAnsi="宋体" w:eastAsia="宋体" w:cs="宋体"/>
                <w:color w:val="auto"/>
                <w:kern w:val="0"/>
                <w:sz w:val="21"/>
                <w:szCs w:val="21"/>
                <w:highlight w:val="none"/>
                <w:lang w:val="en-US" w:eastAsia="zh-CN"/>
              </w:rPr>
              <w:t>板制作。</w:t>
            </w:r>
          </w:p>
          <w:p w14:paraId="3DD44563">
            <w:pPr>
              <w:keepNext w:val="0"/>
              <w:keepLines w:val="0"/>
              <w:widowControl/>
              <w:suppressLineNumbers w:val="0"/>
              <w:spacing w:line="360" w:lineRule="auto"/>
              <w:jc w:val="left"/>
              <w:rPr>
                <w:rFonts w:ascii="宋体" w:hAnsi="宋体" w:eastAsia="宋体" w:cs="宋体"/>
                <w:color w:val="auto"/>
                <w:kern w:val="0"/>
                <w:sz w:val="21"/>
                <w:szCs w:val="21"/>
                <w:highlight w:val="none"/>
                <w:lang w:val="en-US" w:eastAsia="zh-CN"/>
              </w:rPr>
            </w:pPr>
            <w:r>
              <w:rPr>
                <w:rFonts w:hint="eastAsia" w:ascii="Calibri" w:hAnsi="Calibri" w:eastAsia="宋体" w:cs="Times New Roman"/>
                <w:color w:val="auto"/>
                <w:sz w:val="21"/>
                <w:szCs w:val="21"/>
                <w:highlight w:val="none"/>
                <w:u w:val="none"/>
                <w:lang w:val="en-US" w:eastAsia="zh-CN"/>
              </w:rPr>
              <w:t>1.6</w:t>
            </w:r>
            <w:r>
              <w:rPr>
                <w:rFonts w:ascii="宋体" w:hAnsi="宋体" w:eastAsia="宋体" w:cs="宋体"/>
                <w:color w:val="auto"/>
                <w:kern w:val="0"/>
                <w:sz w:val="21"/>
                <w:szCs w:val="21"/>
                <w:highlight w:val="none"/>
                <w:lang w:val="en-US" w:eastAsia="zh-CN"/>
              </w:rPr>
              <w:t>设备双层底板采用爆发粉静电喷涂表面处理工艺</w:t>
            </w:r>
            <w:r>
              <w:rPr>
                <w:rFonts w:hint="eastAsia" w:ascii="宋体" w:hAnsi="宋体" w:cs="宋体"/>
                <w:color w:val="auto"/>
                <w:kern w:val="0"/>
                <w:sz w:val="21"/>
                <w:szCs w:val="21"/>
                <w:highlight w:val="none"/>
                <w:lang w:val="en-US" w:eastAsia="zh-CN"/>
              </w:rPr>
              <w:t>，</w:t>
            </w:r>
            <w:r>
              <w:rPr>
                <w:rFonts w:ascii="宋体" w:hAnsi="宋体" w:eastAsia="宋体" w:cs="宋体"/>
                <w:color w:val="auto"/>
                <w:kern w:val="0"/>
                <w:sz w:val="21"/>
                <w:szCs w:val="21"/>
                <w:highlight w:val="none"/>
                <w:lang w:val="en-US" w:eastAsia="zh-CN"/>
              </w:rPr>
              <w:t>具备的防锈、防腐蚀、抗氧化性能，有效杜绝日常使用中生锈、掉漆、老化等问题。</w:t>
            </w:r>
          </w:p>
          <w:p w14:paraId="675F0343">
            <w:pPr>
              <w:keepNext w:val="0"/>
              <w:keepLines w:val="0"/>
              <w:widowControl/>
              <w:suppressLineNumbers w:val="0"/>
              <w:spacing w:line="360" w:lineRule="auto"/>
              <w:jc w:val="left"/>
              <w:rPr>
                <w:rFonts w:ascii="Calibri" w:hAnsi="Calibri" w:eastAsia="宋体" w:cs="Times New Roman"/>
                <w:color w:val="auto"/>
                <w:sz w:val="21"/>
                <w:szCs w:val="21"/>
                <w:highlight w:val="none"/>
              </w:rPr>
            </w:pPr>
            <w:r>
              <w:rPr>
                <w:rFonts w:hint="eastAsia" w:ascii="Calibri" w:hAnsi="Calibri" w:eastAsia="宋体" w:cs="Times New Roman"/>
                <w:color w:val="auto"/>
                <w:sz w:val="21"/>
                <w:szCs w:val="21"/>
                <w:highlight w:val="none"/>
                <w:u w:val="none"/>
                <w:lang w:val="en-US" w:eastAsia="zh-CN"/>
              </w:rPr>
              <w:t>1.7防腐性能经过专业盐雾检测验证：在5%氯化钠浓度、PH值6.9标准盐水环</w:t>
            </w:r>
            <w:r>
              <w:rPr>
                <w:rFonts w:ascii="宋体" w:hAnsi="宋体" w:eastAsia="宋体" w:cs="宋体"/>
                <w:color w:val="auto"/>
                <w:kern w:val="0"/>
                <w:sz w:val="21"/>
                <w:szCs w:val="21"/>
                <w:highlight w:val="none"/>
                <w:lang w:val="en-US" w:eastAsia="zh-CN"/>
              </w:rPr>
              <w:t>境下，完成72小时中性连续喷雾盐雾测试，喷涂表面仅出现轻微锈迹，整体防腐防锈性能优异，可适配潮湿、多尘等复杂使用环境，使用寿命更长。</w:t>
            </w:r>
          </w:p>
          <w:p w14:paraId="623816BE">
            <w:pPr>
              <w:spacing w:line="360" w:lineRule="auto"/>
              <w:rPr>
                <w:rFonts w:hint="eastAsia" w:ascii="宋体" w:hAnsi="宋体" w:eastAsia="宋体" w:cs="宋体"/>
                <w:color w:val="auto"/>
                <w:sz w:val="21"/>
                <w:szCs w:val="21"/>
                <w:highlight w:val="none"/>
                <w:lang w:val="en-US" w:eastAsia="zh-CN"/>
              </w:rPr>
            </w:pPr>
            <w:r>
              <w:rPr>
                <w:rFonts w:hint="eastAsia" w:ascii="Calibri" w:hAnsi="Calibri" w:eastAsia="宋体" w:cs="Times New Roman"/>
                <w:color w:val="auto"/>
                <w:sz w:val="21"/>
                <w:szCs w:val="21"/>
                <w:highlight w:val="none"/>
                <w:u w:val="none"/>
                <w:lang w:val="en-US" w:eastAsia="zh-CN"/>
              </w:rPr>
              <w:t>1.8</w:t>
            </w:r>
            <w:r>
              <w:rPr>
                <w:rFonts w:hint="eastAsia" w:ascii="宋体" w:hAnsi="宋体" w:eastAsia="宋体" w:cs="宋体"/>
                <w:color w:val="auto"/>
                <w:sz w:val="21"/>
                <w:szCs w:val="21"/>
                <w:highlight w:val="none"/>
                <w:u w:val="none"/>
              </w:rPr>
              <w:t>设置有紧急开关，工作状态为绿灯，内凹设计</w:t>
            </w:r>
            <w:r>
              <w:rPr>
                <w:rFonts w:hint="eastAsia" w:ascii="宋体" w:hAnsi="宋体" w:eastAsia="宋体" w:cs="宋体"/>
                <w:color w:val="auto"/>
                <w:sz w:val="21"/>
                <w:szCs w:val="21"/>
                <w:highlight w:val="none"/>
                <w:u w:val="none"/>
                <w:lang w:eastAsia="zh-CN"/>
              </w:rPr>
              <w:t>，</w:t>
            </w:r>
            <w:r>
              <w:rPr>
                <w:rFonts w:hint="eastAsia" w:ascii="宋体" w:hAnsi="宋体" w:eastAsia="宋体" w:cs="宋体"/>
                <w:color w:val="auto"/>
                <w:sz w:val="21"/>
                <w:szCs w:val="21"/>
                <w:highlight w:val="none"/>
                <w:u w:val="none"/>
              </w:rPr>
              <w:t>避免医生误操作，方便急停</w:t>
            </w:r>
            <w:r>
              <w:rPr>
                <w:rFonts w:hint="eastAsia" w:ascii="宋体" w:hAnsi="宋体" w:eastAsia="宋体" w:cs="宋体"/>
                <w:color w:val="auto"/>
                <w:sz w:val="21"/>
                <w:szCs w:val="21"/>
                <w:highlight w:val="none"/>
                <w:u w:val="none"/>
                <w:lang w:eastAsia="zh-CN"/>
              </w:rPr>
              <w:t>。</w:t>
            </w:r>
          </w:p>
          <w:p w14:paraId="0D4E9EC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牙椅使用期限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eastAsia="zh-CN"/>
              </w:rPr>
              <w:t>。</w:t>
            </w:r>
          </w:p>
          <w:p w14:paraId="5CFF772A">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1.10</w:t>
            </w:r>
            <w:r>
              <w:rPr>
                <w:rFonts w:hint="eastAsia" w:ascii="宋体" w:hAnsi="宋体" w:eastAsia="宋体" w:cs="宋体"/>
                <w:color w:val="auto"/>
                <w:sz w:val="21"/>
                <w:szCs w:val="21"/>
                <w:highlight w:val="none"/>
              </w:rPr>
              <w:t>配置快速静音电机。</w:t>
            </w:r>
          </w:p>
          <w:p w14:paraId="029C6799">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1.11腰围采用内嵌式多功能按键设计，可控制蓝牙音乐播放，方便医生操作。</w:t>
            </w:r>
          </w:p>
          <w:p w14:paraId="2ED6BC72">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sz w:val="21"/>
                <w:szCs w:val="21"/>
                <w:highlight w:val="none"/>
                <w:lang w:val="en-US" w:eastAsia="zh-CN"/>
              </w:rPr>
              <w:t>1.12</w:t>
            </w:r>
            <w:r>
              <w:rPr>
                <w:rFonts w:hint="eastAsia" w:ascii="Calibri" w:hAnsi="Calibri" w:eastAsia="宋体" w:cs="Times New Roman"/>
                <w:color w:val="auto"/>
                <w:sz w:val="21"/>
                <w:szCs w:val="21"/>
                <w:highlight w:val="none"/>
                <w:lang w:val="en-US" w:eastAsia="zh-CN"/>
              </w:rPr>
              <w:t>具有</w:t>
            </w:r>
            <w:r>
              <w:rPr>
                <w:rFonts w:hint="eastAsia" w:ascii="宋体" w:hAnsi="宋体" w:eastAsia="宋体" w:cs="宋体"/>
                <w:i w:val="0"/>
                <w:iCs w:val="0"/>
                <w:color w:val="auto"/>
                <w:sz w:val="21"/>
                <w:szCs w:val="21"/>
                <w:highlight w:val="none"/>
                <w:lang w:val="en-US" w:eastAsia="zh-CN"/>
              </w:rPr>
              <w:t>医患沟通功能，患者感到不适时，按下呼叫器按钮，系统自动发出语音，叫停手术。</w:t>
            </w:r>
          </w:p>
          <w:p w14:paraId="2456DD27">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2.医生单元：</w:t>
            </w:r>
          </w:p>
          <w:p w14:paraId="3B870F57">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1六挂架，每个挂架都可独立垂直旋转约110°，预留洁牙机和电动马达位置。</w:t>
            </w:r>
          </w:p>
          <w:p w14:paraId="63FC3AF5">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2.2任意键急停装置，机椅在运作过程中器械盘任意一个按键可让设备马上停止运作；</w:t>
            </w:r>
            <w:r>
              <w:rPr>
                <w:rFonts w:hint="eastAsia" w:ascii="宋体" w:hAnsi="宋体" w:eastAsia="宋体" w:cs="宋体"/>
                <w:color w:val="auto"/>
                <w:sz w:val="21"/>
                <w:szCs w:val="21"/>
                <w:highlight w:val="none"/>
              </w:rPr>
              <w:t>设置有</w:t>
            </w:r>
            <w:r>
              <w:rPr>
                <w:rFonts w:hint="eastAsia" w:ascii="宋体" w:hAnsi="宋体" w:eastAsia="宋体" w:cs="宋体"/>
                <w:color w:val="auto"/>
                <w:sz w:val="21"/>
                <w:szCs w:val="21"/>
                <w:highlight w:val="none"/>
                <w:lang w:val="en-US" w:eastAsia="zh-CN"/>
              </w:rPr>
              <w:t>一键</w:t>
            </w:r>
            <w:r>
              <w:rPr>
                <w:rFonts w:hint="eastAsia" w:ascii="宋体" w:hAnsi="宋体" w:eastAsia="宋体" w:cs="宋体"/>
                <w:color w:val="auto"/>
                <w:sz w:val="21"/>
                <w:szCs w:val="21"/>
                <w:highlight w:val="none"/>
              </w:rPr>
              <w:t>水气开关，一键即可通断水气，方便操作和提高水气管的使用寿命</w:t>
            </w:r>
            <w:r>
              <w:rPr>
                <w:rFonts w:hint="eastAsia" w:ascii="宋体" w:hAnsi="宋体" w:eastAsia="宋体" w:cs="宋体"/>
                <w:color w:val="auto"/>
                <w:sz w:val="21"/>
                <w:szCs w:val="21"/>
                <w:highlight w:val="none"/>
                <w:lang w:eastAsia="zh-CN"/>
              </w:rPr>
              <w:t>。</w:t>
            </w:r>
          </w:p>
          <w:p w14:paraId="005EAFC6">
            <w:pPr>
              <w:spacing w:line="360" w:lineRule="auto"/>
              <w:rPr>
                <w:rFonts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w:t>
            </w:r>
            <w:r>
              <w:rPr>
                <w:rFonts w:hint="eastAsia" w:ascii="宋体" w:hAnsi="宋体" w:eastAsia="宋体" w:cs="宋体"/>
                <w:color w:val="auto"/>
                <w:sz w:val="21"/>
                <w:szCs w:val="21"/>
                <w:highlight w:val="none"/>
                <w:u w:val="none"/>
              </w:rPr>
              <w:t>.</w:t>
            </w:r>
            <w:r>
              <w:rPr>
                <w:rFonts w:hint="eastAsia" w:ascii="宋体" w:hAnsi="宋体" w:eastAsia="宋体" w:cs="宋体"/>
                <w:color w:val="auto"/>
                <w:sz w:val="21"/>
                <w:szCs w:val="21"/>
                <w:highlight w:val="none"/>
                <w:u w:val="none"/>
                <w:lang w:val="en-US" w:eastAsia="zh-CN"/>
              </w:rPr>
              <w:t>3具有动态器械保护系统。</w:t>
            </w:r>
          </w:p>
          <w:p w14:paraId="57E8389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u w:val="none"/>
                <w:lang w:val="en-US" w:eastAsia="zh-CN"/>
              </w:rPr>
              <w:t>2.4至少</w:t>
            </w:r>
            <w:r>
              <w:rPr>
                <w:rFonts w:hint="eastAsia" w:ascii="宋体" w:hAnsi="宋体" w:eastAsia="宋体" w:cs="宋体"/>
                <w:color w:val="auto"/>
                <w:sz w:val="21"/>
                <w:szCs w:val="21"/>
                <w:highlight w:val="none"/>
                <w:u w:val="none"/>
              </w:rPr>
              <w:t>具有</w:t>
            </w:r>
            <w:r>
              <w:rPr>
                <w:rFonts w:hint="eastAsia" w:ascii="宋体" w:hAnsi="宋体" w:eastAsia="宋体" w:cs="宋体"/>
                <w:color w:val="auto"/>
                <w:kern w:val="0"/>
                <w:sz w:val="21"/>
                <w:szCs w:val="21"/>
                <w:highlight w:val="none"/>
                <w:u w:val="none"/>
                <w:lang w:val="en-US" w:eastAsia="zh-CN"/>
              </w:rPr>
              <w:t>3</w:t>
            </w:r>
            <w:r>
              <w:rPr>
                <w:rFonts w:hint="eastAsia" w:ascii="宋体" w:hAnsi="宋体" w:eastAsia="宋体" w:cs="宋体"/>
                <w:color w:val="auto"/>
                <w:kern w:val="0"/>
                <w:sz w:val="21"/>
                <w:szCs w:val="21"/>
                <w:highlight w:val="none"/>
                <w:u w:val="none"/>
              </w:rPr>
              <w:t>个可编程序设定</w:t>
            </w:r>
            <w:r>
              <w:rPr>
                <w:rFonts w:hint="eastAsia" w:ascii="宋体" w:hAnsi="宋体" w:eastAsia="宋体" w:cs="宋体"/>
                <w:color w:val="auto"/>
                <w:kern w:val="0"/>
                <w:sz w:val="21"/>
                <w:szCs w:val="21"/>
                <w:highlight w:val="none"/>
                <w:u w:val="none"/>
                <w:lang w:val="en-US" w:eastAsia="zh-CN"/>
              </w:rPr>
              <w:t>记忆</w:t>
            </w:r>
            <w:r>
              <w:rPr>
                <w:rFonts w:hint="eastAsia" w:ascii="宋体" w:hAnsi="宋体" w:eastAsia="宋体" w:cs="宋体"/>
                <w:color w:val="auto"/>
                <w:kern w:val="0"/>
                <w:sz w:val="21"/>
                <w:szCs w:val="21"/>
                <w:highlight w:val="none"/>
                <w:u w:val="none"/>
              </w:rPr>
              <w:t>椅位功能</w:t>
            </w:r>
            <w:r>
              <w:rPr>
                <w:rFonts w:hint="eastAsia" w:ascii="宋体" w:hAnsi="宋体" w:eastAsia="宋体" w:cs="宋体"/>
                <w:color w:val="auto"/>
                <w:kern w:val="0"/>
                <w:sz w:val="21"/>
                <w:szCs w:val="21"/>
                <w:highlight w:val="none"/>
                <w:u w:val="none"/>
                <w:lang w:eastAsia="zh-CN"/>
              </w:rPr>
              <w:t>，一键</w:t>
            </w:r>
            <w:r>
              <w:rPr>
                <w:rFonts w:hint="eastAsia" w:ascii="宋体" w:hAnsi="宋体" w:eastAsia="宋体" w:cs="宋体"/>
                <w:color w:val="auto"/>
                <w:sz w:val="21"/>
                <w:szCs w:val="21"/>
                <w:highlight w:val="none"/>
                <w:u w:val="none"/>
              </w:rPr>
              <w:t>吐痰复位</w:t>
            </w:r>
            <w:r>
              <w:rPr>
                <w:rFonts w:hint="eastAsia" w:ascii="宋体" w:hAnsi="宋体" w:eastAsia="宋体" w:cs="宋体"/>
                <w:color w:val="auto"/>
                <w:sz w:val="21"/>
                <w:szCs w:val="21"/>
                <w:highlight w:val="none"/>
                <w:u w:val="none"/>
                <w:lang w:eastAsia="zh-CN"/>
              </w:rPr>
              <w:t>，一键急救，一键</w:t>
            </w:r>
            <w:r>
              <w:rPr>
                <w:rFonts w:hint="eastAsia" w:ascii="宋体" w:hAnsi="宋体" w:eastAsia="宋体" w:cs="宋体"/>
                <w:color w:val="auto"/>
                <w:sz w:val="21"/>
                <w:szCs w:val="21"/>
                <w:highlight w:val="none"/>
                <w:u w:val="none"/>
              </w:rPr>
              <w:t>清洁椅</w:t>
            </w:r>
            <w:r>
              <w:rPr>
                <w:rFonts w:hint="eastAsia" w:ascii="宋体" w:hAnsi="宋体" w:eastAsia="宋体" w:cs="宋体"/>
                <w:color w:val="auto"/>
                <w:sz w:val="21"/>
                <w:szCs w:val="21"/>
                <w:highlight w:val="none"/>
                <w:u w:val="none"/>
                <w:lang w:eastAsia="zh-CN"/>
              </w:rPr>
              <w:t>位功能。</w:t>
            </w:r>
            <w:r>
              <w:rPr>
                <w:rFonts w:hint="eastAsia" w:ascii="宋体" w:hAnsi="宋体" w:eastAsia="宋体" w:cs="宋体"/>
                <w:color w:val="auto"/>
                <w:sz w:val="21"/>
                <w:szCs w:val="21"/>
                <w:highlight w:val="none"/>
                <w:u w:val="none"/>
                <w:lang w:val="en-US" w:eastAsia="zh-CN"/>
              </w:rPr>
              <w:t>至少具备19个功能按键</w:t>
            </w:r>
            <w:r>
              <w:rPr>
                <w:rFonts w:hint="eastAsia" w:ascii="宋体" w:hAnsi="宋体" w:eastAsia="宋体" w:cs="宋体"/>
                <w:color w:val="auto"/>
                <w:sz w:val="21"/>
                <w:szCs w:val="21"/>
                <w:highlight w:val="none"/>
                <w:u w:val="none"/>
              </w:rPr>
              <w:t>，可控制</w:t>
            </w:r>
            <w:r>
              <w:rPr>
                <w:rFonts w:hint="eastAsia" w:ascii="宋体" w:hAnsi="宋体" w:eastAsia="宋体" w:cs="宋体"/>
                <w:color w:val="auto"/>
                <w:kern w:val="0"/>
                <w:sz w:val="21"/>
                <w:szCs w:val="21"/>
                <w:highlight w:val="none"/>
                <w:u w:val="none"/>
              </w:rPr>
              <w:t>椅位升降仰俯、冷热水、冲痰、</w:t>
            </w:r>
            <w:r>
              <w:rPr>
                <w:rFonts w:hint="eastAsia" w:ascii="宋体" w:hAnsi="宋体" w:eastAsia="宋体" w:cs="宋体"/>
                <w:color w:val="auto"/>
                <w:kern w:val="0"/>
                <w:sz w:val="21"/>
                <w:szCs w:val="21"/>
                <w:highlight w:val="none"/>
                <w:u w:val="none"/>
                <w:lang w:eastAsia="zh-CN"/>
              </w:rPr>
              <w:t>口腔</w:t>
            </w:r>
            <w:r>
              <w:rPr>
                <w:rFonts w:hint="eastAsia" w:ascii="宋体" w:hAnsi="宋体" w:eastAsia="宋体" w:cs="宋体"/>
                <w:color w:val="auto"/>
                <w:kern w:val="0"/>
                <w:sz w:val="21"/>
                <w:szCs w:val="21"/>
                <w:highlight w:val="none"/>
                <w:u w:val="none"/>
              </w:rPr>
              <w:t>灯、观片灯等功能，可任意设定冲痰时间及漱口水水量</w:t>
            </w:r>
            <w:r>
              <w:rPr>
                <w:rFonts w:hint="eastAsia" w:ascii="宋体" w:hAnsi="宋体" w:eastAsia="宋体" w:cs="宋体"/>
                <w:color w:val="auto"/>
                <w:kern w:val="0"/>
                <w:sz w:val="21"/>
                <w:szCs w:val="21"/>
                <w:highlight w:val="none"/>
                <w:u w:val="none"/>
                <w:lang w:eastAsia="zh-CN"/>
              </w:rPr>
              <w:t>。</w:t>
            </w:r>
            <w:r>
              <w:rPr>
                <w:rFonts w:hint="eastAsia" w:ascii="微软雅黑" w:hAnsi="微软雅黑" w:eastAsia="微软雅黑" w:cs="微软雅黑"/>
                <w:color w:val="auto"/>
                <w:sz w:val="21"/>
                <w:szCs w:val="21"/>
                <w:highlight w:val="none"/>
                <w:u w:val="none"/>
                <w:vertAlign w:val="baseline"/>
                <w:lang w:val="en-US" w:eastAsia="zh-CN"/>
              </w:rPr>
              <w:br w:type="textWrapping"/>
            </w:r>
            <w:r>
              <w:rPr>
                <w:rFonts w:hint="eastAsia" w:ascii="宋体" w:hAnsi="宋体" w:eastAsia="宋体" w:cs="宋体"/>
                <w:color w:val="auto"/>
                <w:sz w:val="21"/>
                <w:szCs w:val="21"/>
                <w:highlight w:val="none"/>
                <w:u w:val="none"/>
                <w:lang w:val="en-US" w:eastAsia="zh-CN"/>
              </w:rPr>
              <w:t>2.5</w:t>
            </w:r>
            <w:r>
              <w:rPr>
                <w:rFonts w:hint="eastAsia" w:ascii="宋体" w:hAnsi="宋体" w:eastAsia="宋体" w:cs="宋体"/>
                <w:color w:val="auto"/>
                <w:sz w:val="21"/>
                <w:szCs w:val="21"/>
                <w:highlight w:val="none"/>
                <w:u w:val="none"/>
              </w:rPr>
              <w:t>内置</w:t>
            </w:r>
            <w:r>
              <w:rPr>
                <w:rFonts w:hint="eastAsia" w:ascii="宋体" w:hAnsi="宋体" w:eastAsia="宋体" w:cs="宋体"/>
                <w:color w:val="auto"/>
                <w:sz w:val="21"/>
                <w:szCs w:val="21"/>
                <w:highlight w:val="none"/>
                <w:u w:val="none"/>
                <w:lang w:val="en-US" w:eastAsia="zh-CN"/>
              </w:rPr>
              <w:t>≥4寸</w:t>
            </w:r>
            <w:r>
              <w:rPr>
                <w:rFonts w:hint="eastAsia" w:ascii="宋体" w:hAnsi="宋体" w:eastAsia="宋体" w:cs="宋体"/>
                <w:color w:val="auto"/>
                <w:sz w:val="21"/>
                <w:szCs w:val="21"/>
                <w:highlight w:val="none"/>
                <w:u w:val="none"/>
              </w:rPr>
              <w:t>LED观片灯</w:t>
            </w:r>
            <w:r>
              <w:rPr>
                <w:rFonts w:hint="eastAsia" w:ascii="宋体" w:hAnsi="宋体" w:eastAsia="宋体" w:cs="宋体"/>
                <w:color w:val="auto"/>
                <w:sz w:val="21"/>
                <w:szCs w:val="21"/>
                <w:highlight w:val="none"/>
                <w:u w:val="none"/>
                <w:lang w:eastAsia="zh-CN"/>
              </w:rPr>
              <w:t>，</w:t>
            </w:r>
            <w:r>
              <w:rPr>
                <w:rFonts w:hint="eastAsia" w:ascii="宋体" w:hAnsi="宋体" w:eastAsia="宋体" w:cs="宋体"/>
                <w:color w:val="auto"/>
                <w:sz w:val="21"/>
                <w:szCs w:val="21"/>
                <w:highlight w:val="none"/>
                <w:u w:val="none"/>
              </w:rPr>
              <w:t>直流供电发光</w:t>
            </w:r>
            <w:r>
              <w:rPr>
                <w:rFonts w:hint="eastAsia" w:ascii="宋体" w:hAnsi="宋体" w:eastAsia="宋体" w:cs="宋体"/>
                <w:color w:val="auto"/>
                <w:sz w:val="21"/>
                <w:szCs w:val="21"/>
                <w:highlight w:val="none"/>
              </w:rPr>
              <w:t>。</w:t>
            </w:r>
          </w:p>
          <w:p w14:paraId="5E3BE41F">
            <w:pPr>
              <w:spacing w:line="360" w:lineRule="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val="en-US" w:eastAsia="zh-CN"/>
              </w:rPr>
              <w:t>2.6</w:t>
            </w:r>
            <w:r>
              <w:rPr>
                <w:rFonts w:hint="eastAsia" w:ascii="宋体" w:hAnsi="宋体" w:eastAsia="宋体" w:cs="宋体"/>
                <w:color w:val="auto"/>
                <w:sz w:val="21"/>
                <w:szCs w:val="21"/>
                <w:highlight w:val="none"/>
                <w:u w:val="none"/>
              </w:rPr>
              <w:t>三旋转轴设计冷光源</w:t>
            </w:r>
            <w:r>
              <w:rPr>
                <w:rFonts w:hint="eastAsia" w:ascii="宋体" w:hAnsi="宋体" w:eastAsia="宋体" w:cs="宋体"/>
                <w:color w:val="auto"/>
                <w:sz w:val="21"/>
                <w:szCs w:val="21"/>
                <w:highlight w:val="none"/>
                <w:u w:val="none"/>
                <w:lang w:val="en-US" w:eastAsia="zh-CN"/>
              </w:rPr>
              <w:t>LED</w:t>
            </w:r>
            <w:r>
              <w:rPr>
                <w:rFonts w:hint="eastAsia" w:ascii="宋体" w:hAnsi="宋体" w:eastAsia="宋体" w:cs="宋体"/>
                <w:color w:val="auto"/>
                <w:sz w:val="21"/>
                <w:szCs w:val="21"/>
                <w:highlight w:val="none"/>
                <w:u w:val="none"/>
              </w:rPr>
              <w:t>灯，</w:t>
            </w:r>
            <w:r>
              <w:rPr>
                <w:rFonts w:hint="eastAsia" w:ascii="宋体" w:hAnsi="宋体" w:eastAsia="宋体" w:cs="宋体"/>
                <w:color w:val="auto"/>
                <w:sz w:val="21"/>
                <w:szCs w:val="21"/>
                <w:highlight w:val="none"/>
                <w:u w:val="none"/>
                <w:lang w:eastAsia="zh-CN"/>
              </w:rPr>
              <w:t>左右手可操作</w:t>
            </w:r>
            <w:r>
              <w:rPr>
                <w:rFonts w:hint="eastAsia" w:ascii="宋体" w:hAnsi="宋体" w:eastAsia="宋体" w:cs="宋体"/>
                <w:color w:val="auto"/>
                <w:sz w:val="21"/>
                <w:szCs w:val="21"/>
                <w:highlight w:val="none"/>
                <w:u w:val="none"/>
              </w:rPr>
              <w:t>，拥有灯光控制开关≥</w:t>
            </w:r>
            <w:r>
              <w:rPr>
                <w:rFonts w:hint="eastAsia" w:ascii="宋体" w:hAnsi="宋体" w:eastAsia="宋体" w:cs="宋体"/>
                <w:color w:val="auto"/>
                <w:sz w:val="21"/>
                <w:szCs w:val="21"/>
                <w:highlight w:val="none"/>
                <w:u w:val="none"/>
                <w:lang w:val="en-US" w:eastAsia="zh-CN"/>
              </w:rPr>
              <w:t>4</w:t>
            </w:r>
            <w:r>
              <w:rPr>
                <w:rFonts w:hint="eastAsia" w:ascii="宋体" w:hAnsi="宋体" w:eastAsia="宋体" w:cs="宋体"/>
                <w:color w:val="auto"/>
                <w:sz w:val="21"/>
                <w:szCs w:val="21"/>
                <w:highlight w:val="none"/>
                <w:u w:val="none"/>
              </w:rPr>
              <w:t>个，最高照度≥</w:t>
            </w:r>
            <w:r>
              <w:rPr>
                <w:rFonts w:hint="eastAsia" w:ascii="宋体" w:hAnsi="宋体" w:eastAsia="宋体" w:cs="宋体"/>
                <w:color w:val="auto"/>
                <w:sz w:val="21"/>
                <w:szCs w:val="21"/>
                <w:highlight w:val="none"/>
                <w:u w:val="none"/>
                <w:lang w:val="en-US" w:eastAsia="zh-CN"/>
              </w:rPr>
              <w:t>300</w:t>
            </w:r>
            <w:r>
              <w:rPr>
                <w:rFonts w:hint="eastAsia" w:ascii="宋体" w:hAnsi="宋体" w:eastAsia="宋体" w:cs="宋体"/>
                <w:color w:val="auto"/>
                <w:kern w:val="0"/>
                <w:sz w:val="21"/>
                <w:szCs w:val="21"/>
                <w:highlight w:val="none"/>
                <w:u w:val="none"/>
                <w:lang w:val="en-US" w:eastAsia="zh-CN"/>
              </w:rPr>
              <w:t>00</w:t>
            </w:r>
            <w:r>
              <w:rPr>
                <w:rFonts w:hint="eastAsia" w:ascii="宋体" w:hAnsi="宋体" w:eastAsia="宋体" w:cs="宋体"/>
                <w:color w:val="auto"/>
                <w:sz w:val="21"/>
                <w:szCs w:val="21"/>
                <w:highlight w:val="none"/>
                <w:u w:val="none"/>
              </w:rPr>
              <w:t>Lux</w:t>
            </w:r>
            <w:r>
              <w:rPr>
                <w:rFonts w:hint="eastAsia" w:ascii="宋体" w:hAnsi="宋体" w:eastAsia="宋体" w:cs="宋体"/>
                <w:color w:val="auto"/>
                <w:sz w:val="21"/>
                <w:szCs w:val="21"/>
                <w:highlight w:val="none"/>
                <w:u w:val="none"/>
                <w:lang w:eastAsia="zh-CN"/>
              </w:rPr>
              <w:t>，</w:t>
            </w:r>
            <w:r>
              <w:rPr>
                <w:rFonts w:hint="eastAsia" w:ascii="宋体" w:hAnsi="宋体" w:eastAsia="宋体" w:cs="宋体"/>
                <w:color w:val="auto"/>
                <w:sz w:val="21"/>
                <w:szCs w:val="21"/>
                <w:highlight w:val="none"/>
                <w:u w:val="none"/>
              </w:rPr>
              <w:t>可</w:t>
            </w:r>
            <w:r>
              <w:rPr>
                <w:rFonts w:hint="eastAsia" w:ascii="宋体" w:hAnsi="宋体" w:eastAsia="宋体" w:cs="宋体"/>
                <w:color w:val="auto"/>
                <w:sz w:val="21"/>
                <w:szCs w:val="21"/>
                <w:highlight w:val="none"/>
                <w:u w:val="none"/>
                <w:lang w:eastAsia="zh-CN"/>
              </w:rPr>
              <w:t>白光和黄光</w:t>
            </w:r>
            <w:r>
              <w:rPr>
                <w:rFonts w:hint="eastAsia" w:ascii="宋体" w:hAnsi="宋体" w:eastAsia="宋体" w:cs="宋体"/>
                <w:color w:val="auto"/>
                <w:sz w:val="21"/>
                <w:szCs w:val="21"/>
                <w:highlight w:val="none"/>
                <w:u w:val="none"/>
              </w:rPr>
              <w:t>切换，强弱光无级调节适应不同的治疗需求</w:t>
            </w:r>
            <w:r>
              <w:rPr>
                <w:rFonts w:hint="eastAsia" w:ascii="宋体" w:hAnsi="宋体" w:eastAsia="宋体" w:cs="宋体"/>
                <w:color w:val="auto"/>
                <w:sz w:val="21"/>
                <w:szCs w:val="21"/>
                <w:highlight w:val="none"/>
                <w:u w:val="none"/>
                <w:lang w:eastAsia="zh-CN"/>
              </w:rPr>
              <w:t>。</w:t>
            </w:r>
          </w:p>
          <w:p w14:paraId="5FC0D0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2.7配</w:t>
            </w:r>
            <w:r>
              <w:rPr>
                <w:rFonts w:hint="eastAsia" w:ascii="宋体" w:hAnsi="宋体" w:eastAsia="宋体" w:cs="宋体"/>
                <w:color w:val="auto"/>
                <w:kern w:val="0"/>
                <w:sz w:val="21"/>
                <w:szCs w:val="21"/>
                <w:highlight w:val="none"/>
                <w:u w:val="none"/>
              </w:rPr>
              <w:t>置多</w:t>
            </w:r>
            <w:r>
              <w:rPr>
                <w:rFonts w:hint="eastAsia" w:ascii="宋体" w:hAnsi="宋体" w:eastAsia="宋体" w:cs="宋体"/>
                <w:color w:val="auto"/>
                <w:kern w:val="0"/>
                <w:sz w:val="21"/>
                <w:szCs w:val="21"/>
                <w:highlight w:val="none"/>
                <w:u w:val="none"/>
                <w:lang w:eastAsia="zh-CN"/>
              </w:rPr>
              <w:t>功</w:t>
            </w:r>
            <w:r>
              <w:rPr>
                <w:rFonts w:hint="eastAsia" w:ascii="宋体" w:hAnsi="宋体" w:eastAsia="宋体" w:cs="宋体"/>
                <w:color w:val="auto"/>
                <w:kern w:val="0"/>
                <w:sz w:val="21"/>
                <w:szCs w:val="21"/>
                <w:highlight w:val="none"/>
                <w:u w:val="none"/>
              </w:rPr>
              <w:t xml:space="preserve">能组合脚踏可控制牙椅进行椅位升降俯仰调节、口腔灯开关、吹屑气开关、 </w:t>
            </w:r>
            <w:r>
              <w:rPr>
                <w:rFonts w:hint="eastAsia" w:ascii="宋体" w:hAnsi="宋体" w:eastAsia="宋体" w:cs="宋体"/>
                <w:color w:val="auto"/>
                <w:kern w:val="0"/>
                <w:sz w:val="21"/>
                <w:szCs w:val="21"/>
                <w:highlight w:val="none"/>
                <w:u w:val="none"/>
                <w:lang w:eastAsia="zh-CN"/>
              </w:rPr>
              <w:t>漱口水功能</w:t>
            </w:r>
            <w:r>
              <w:rPr>
                <w:rFonts w:hint="eastAsia" w:ascii="宋体" w:hAnsi="宋体" w:eastAsia="宋体" w:cs="宋体"/>
                <w:color w:val="auto"/>
                <w:kern w:val="0"/>
                <w:sz w:val="21"/>
                <w:szCs w:val="21"/>
                <w:highlight w:val="none"/>
                <w:u w:val="none"/>
                <w:lang w:val="en-US" w:eastAsia="zh-CN"/>
              </w:rPr>
              <w:t>控制；</w:t>
            </w:r>
            <w:r>
              <w:rPr>
                <w:rFonts w:hint="eastAsia" w:ascii="宋体" w:hAnsi="宋体" w:eastAsia="宋体" w:cs="宋体"/>
                <w:color w:val="auto"/>
                <w:kern w:val="0"/>
                <w:sz w:val="21"/>
                <w:szCs w:val="21"/>
                <w:highlight w:val="none"/>
                <w:u w:val="none"/>
              </w:rPr>
              <w:t>配</w:t>
            </w:r>
            <w:r>
              <w:rPr>
                <w:rFonts w:hint="eastAsia" w:ascii="宋体" w:hAnsi="宋体" w:eastAsia="宋体" w:cs="宋体"/>
                <w:color w:val="auto"/>
                <w:kern w:val="0"/>
                <w:sz w:val="21"/>
                <w:szCs w:val="21"/>
                <w:highlight w:val="none"/>
                <w:u w:val="none"/>
                <w:lang w:val="en-US" w:eastAsia="zh-CN"/>
              </w:rPr>
              <w:t>备</w:t>
            </w:r>
            <w:r>
              <w:rPr>
                <w:rFonts w:ascii="宋体" w:hAnsi="宋体" w:eastAsia="宋体" w:cs="宋体"/>
                <w:color w:val="auto"/>
                <w:kern w:val="0"/>
                <w:sz w:val="21"/>
                <w:szCs w:val="21"/>
                <w:highlight w:val="none"/>
                <w:u w:val="none"/>
                <w:lang w:val="en-US" w:eastAsia="zh-CN"/>
              </w:rPr>
              <w:t>不锈钢脚踏</w:t>
            </w:r>
            <w:r>
              <w:rPr>
                <w:rFonts w:hint="eastAsia" w:ascii="宋体" w:hAnsi="宋体" w:eastAsia="宋体" w:cs="宋体"/>
                <w:color w:val="auto"/>
                <w:kern w:val="0"/>
                <w:sz w:val="21"/>
                <w:szCs w:val="21"/>
                <w:highlight w:val="none"/>
                <w:u w:val="none"/>
                <w:lang w:val="en-US" w:eastAsia="zh-CN"/>
              </w:rPr>
              <w:t>软</w:t>
            </w:r>
            <w:r>
              <w:rPr>
                <w:rFonts w:ascii="宋体" w:hAnsi="宋体" w:eastAsia="宋体" w:cs="宋体"/>
                <w:color w:val="auto"/>
                <w:kern w:val="0"/>
                <w:sz w:val="21"/>
                <w:szCs w:val="21"/>
                <w:highlight w:val="none"/>
                <w:u w:val="none"/>
                <w:lang w:val="en-US" w:eastAsia="zh-CN"/>
              </w:rPr>
              <w:t>管，双层结构可以载重</w:t>
            </w:r>
            <w:r>
              <w:rPr>
                <w:rFonts w:hint="eastAsia" w:ascii="宋体" w:hAnsi="宋体" w:eastAsia="宋体" w:cs="宋体"/>
                <w:color w:val="auto"/>
                <w:kern w:val="0"/>
                <w:sz w:val="21"/>
                <w:szCs w:val="21"/>
                <w:highlight w:val="none"/>
                <w:u w:val="none"/>
                <w:lang w:val="en-US" w:eastAsia="zh-CN"/>
              </w:rPr>
              <w:t>不小于</w:t>
            </w:r>
            <w:r>
              <w:rPr>
                <w:rFonts w:ascii="宋体" w:hAnsi="宋体" w:eastAsia="宋体" w:cs="宋体"/>
                <w:color w:val="auto"/>
                <w:kern w:val="0"/>
                <w:sz w:val="21"/>
                <w:szCs w:val="21"/>
                <w:highlight w:val="none"/>
                <w:u w:val="none"/>
                <w:lang w:val="en-US" w:eastAsia="zh-CN"/>
              </w:rPr>
              <w:t>80公斤</w:t>
            </w:r>
            <w:r>
              <w:rPr>
                <w:rFonts w:hint="eastAsia" w:ascii="宋体" w:hAnsi="宋体" w:eastAsia="宋体" w:cs="宋体"/>
                <w:color w:val="auto"/>
                <w:kern w:val="0"/>
                <w:sz w:val="21"/>
                <w:szCs w:val="21"/>
                <w:highlight w:val="none"/>
                <w:u w:val="none"/>
                <w:lang w:val="en-US" w:eastAsia="zh-CN"/>
              </w:rPr>
              <w:t>。</w:t>
            </w:r>
          </w:p>
          <w:p w14:paraId="5546C1D8">
            <w:pPr>
              <w:widowControl/>
              <w:spacing w:line="360" w:lineRule="auto"/>
              <w:ind w:firstLine="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3.水箱单元：</w:t>
            </w:r>
          </w:p>
          <w:p w14:paraId="5E931DD6">
            <w:pPr>
              <w:widowControl/>
              <w:spacing w:line="360" w:lineRule="auto"/>
              <w:ind w:firstLine="0"/>
              <w:jc w:val="both"/>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3.1可旋转约60°机箱设计：方便四手操作和维修，机箱连接杆居中设计。</w:t>
            </w:r>
          </w:p>
          <w:p w14:paraId="3B94B351">
            <w:pPr>
              <w:keepNext w:val="0"/>
              <w:keepLines w:val="0"/>
              <w:widowControl/>
              <w:suppressLineNumbers w:val="0"/>
              <w:spacing w:line="360" w:lineRule="auto"/>
              <w:jc w:val="left"/>
              <w:rPr>
                <w:rFonts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rPr>
              <w:t>3.2侧箱外壳</w:t>
            </w:r>
            <w:r>
              <w:rPr>
                <w:rFonts w:ascii="Calibri" w:hAnsi="Calibri" w:eastAsia="宋体" w:cs="Times New Roman"/>
                <w:color w:val="auto"/>
                <w:sz w:val="21"/>
                <w:szCs w:val="21"/>
                <w:highlight w:val="none"/>
                <w:u w:val="none"/>
                <w:lang w:val="en-US" w:eastAsia="zh-CN"/>
              </w:rPr>
              <w:t>采用注塑工艺成型，塑料采用的是ABS工程塑料</w:t>
            </w:r>
            <w:r>
              <w:rPr>
                <w:rFonts w:hint="eastAsia" w:ascii="Calibri" w:hAnsi="Calibri" w:eastAsia="宋体" w:cs="Times New Roman"/>
                <w:color w:val="auto"/>
                <w:sz w:val="21"/>
                <w:szCs w:val="21"/>
                <w:highlight w:val="none"/>
                <w:u w:val="none"/>
                <w:lang w:val="en-US" w:eastAsia="zh-CN"/>
              </w:rPr>
              <w:t>。</w:t>
            </w:r>
          </w:p>
          <w:p w14:paraId="47011BF2">
            <w:pPr>
              <w:tabs>
                <w:tab w:val="left" w:pos="4693"/>
              </w:tabs>
              <w:spacing w:line="360" w:lineRule="auto"/>
              <w:rPr>
                <w:rFonts w:ascii="Calibri" w:hAnsi="Calibri" w:eastAsia="宋体" w:cs="Times New Roman"/>
                <w:color w:val="auto"/>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3.3</w:t>
            </w:r>
            <w:r>
              <w:rPr>
                <w:rFonts w:ascii="Calibri" w:hAnsi="Calibri" w:eastAsia="宋体" w:cs="Times New Roman"/>
                <w:color w:val="auto"/>
                <w:sz w:val="21"/>
                <w:szCs w:val="21"/>
                <w:highlight w:val="none"/>
                <w:u w:val="none"/>
                <w:lang w:val="en-US" w:eastAsia="zh-CN"/>
              </w:rPr>
              <w:t>水气管全部采用医用管，防腐蚀，耐水解水管，使用寿命</w:t>
            </w:r>
            <w:r>
              <w:rPr>
                <w:rFonts w:hint="eastAsia" w:ascii="Calibri" w:hAnsi="Calibri" w:cs="Times New Roman"/>
                <w:color w:val="auto"/>
                <w:sz w:val="21"/>
                <w:szCs w:val="21"/>
                <w:highlight w:val="none"/>
                <w:u w:val="none"/>
                <w:lang w:val="en-US" w:eastAsia="zh-CN"/>
              </w:rPr>
              <w:t>≥</w:t>
            </w:r>
            <w:r>
              <w:rPr>
                <w:rFonts w:ascii="Calibri" w:hAnsi="Calibri" w:eastAsia="宋体" w:cs="Times New Roman"/>
                <w:color w:val="auto"/>
                <w:sz w:val="21"/>
                <w:szCs w:val="21"/>
                <w:highlight w:val="none"/>
                <w:u w:val="none"/>
                <w:lang w:val="en-US" w:eastAsia="zh-CN"/>
              </w:rPr>
              <w:t>8年</w:t>
            </w:r>
            <w:r>
              <w:rPr>
                <w:rFonts w:hint="eastAsia" w:ascii="Calibri" w:hAnsi="Calibri" w:eastAsia="宋体" w:cs="Times New Roman"/>
                <w:color w:val="auto"/>
                <w:sz w:val="21"/>
                <w:szCs w:val="21"/>
                <w:highlight w:val="none"/>
                <w:u w:val="none"/>
                <w:lang w:val="en-US" w:eastAsia="zh-CN"/>
              </w:rPr>
              <w:t>。</w:t>
            </w:r>
          </w:p>
          <w:p w14:paraId="6462A560">
            <w:pPr>
              <w:spacing w:line="360" w:lineRule="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none"/>
                <w:lang w:val="en-US" w:eastAsia="zh-CN"/>
              </w:rPr>
              <w:t>3.4</w:t>
            </w:r>
            <w:r>
              <w:rPr>
                <w:rFonts w:hint="eastAsia" w:ascii="宋体" w:hAnsi="宋体" w:cs="宋体"/>
                <w:color w:val="auto"/>
                <w:kern w:val="0"/>
                <w:sz w:val="21"/>
                <w:szCs w:val="21"/>
                <w:highlight w:val="none"/>
                <w:u w:val="none"/>
                <w:lang w:val="en-US" w:eastAsia="zh-CN"/>
              </w:rPr>
              <w:t>具有</w:t>
            </w:r>
            <w:r>
              <w:rPr>
                <w:rFonts w:hint="eastAsia" w:ascii="宋体" w:hAnsi="宋体" w:eastAsia="宋体" w:cs="宋体"/>
                <w:color w:val="auto"/>
                <w:kern w:val="0"/>
                <w:sz w:val="21"/>
                <w:szCs w:val="21"/>
                <w:highlight w:val="none"/>
                <w:u w:val="none"/>
              </w:rPr>
              <w:t>强吸系统带消音装置：</w:t>
            </w:r>
            <w:r>
              <w:rPr>
                <w:rFonts w:hint="eastAsia" w:ascii="宋体" w:hAnsi="宋体" w:eastAsia="宋体" w:cs="宋体"/>
                <w:color w:val="auto"/>
                <w:kern w:val="0"/>
                <w:sz w:val="21"/>
                <w:szCs w:val="21"/>
                <w:highlight w:val="none"/>
                <w:u w:val="none"/>
                <w:lang w:eastAsia="zh-CN"/>
              </w:rPr>
              <w:t>降低噪音</w:t>
            </w:r>
            <w:r>
              <w:rPr>
                <w:rFonts w:hint="eastAsia" w:ascii="宋体" w:hAnsi="宋体" w:eastAsia="宋体" w:cs="宋体"/>
                <w:color w:val="auto"/>
                <w:kern w:val="0"/>
                <w:sz w:val="21"/>
                <w:szCs w:val="21"/>
                <w:highlight w:val="none"/>
                <w:u w:val="none"/>
              </w:rPr>
              <w:t>，同时强、弱吸系统的过滤装置可快速拆装，方便清洁、消毒。</w:t>
            </w:r>
          </w:p>
          <w:p w14:paraId="64691F9E">
            <w:pPr>
              <w:spacing w:line="360" w:lineRule="auto"/>
              <w:rPr>
                <w:rFonts w:hint="eastAsia" w:ascii="宋体" w:hAnsi="宋体" w:eastAsia="宋体" w:cs="宋体"/>
                <w:color w:val="auto"/>
                <w:kern w:val="0"/>
                <w:sz w:val="21"/>
                <w:szCs w:val="21"/>
                <w:highlight w:val="none"/>
                <w:u w:val="none"/>
                <w:lang w:eastAsia="zh-CN"/>
              </w:rPr>
            </w:pPr>
            <w:r>
              <w:rPr>
                <w:rFonts w:hint="eastAsia" w:ascii="宋体" w:hAnsi="宋体" w:eastAsia="宋体" w:cs="宋体"/>
                <w:color w:val="auto"/>
                <w:kern w:val="0"/>
                <w:sz w:val="21"/>
                <w:szCs w:val="21"/>
                <w:highlight w:val="none"/>
                <w:u w:val="none"/>
                <w:lang w:val="en-US" w:eastAsia="zh-CN"/>
              </w:rPr>
              <w:t>3.5</w:t>
            </w:r>
            <w:r>
              <w:rPr>
                <w:rFonts w:hint="eastAsia" w:ascii="宋体" w:hAnsi="宋体" w:eastAsia="宋体" w:cs="宋体"/>
                <w:color w:val="auto"/>
                <w:kern w:val="0"/>
                <w:sz w:val="21"/>
                <w:szCs w:val="21"/>
                <w:highlight w:val="none"/>
                <w:u w:val="none"/>
              </w:rPr>
              <w:t>可</w:t>
            </w:r>
            <w:r>
              <w:rPr>
                <w:rFonts w:hint="eastAsia" w:ascii="宋体" w:hAnsi="宋体" w:eastAsia="宋体" w:cs="宋体"/>
                <w:color w:val="auto"/>
                <w:kern w:val="0"/>
                <w:sz w:val="21"/>
                <w:szCs w:val="21"/>
                <w:highlight w:val="none"/>
                <w:u w:val="none"/>
                <w:lang w:val="en-US" w:eastAsia="zh-CN"/>
              </w:rPr>
              <w:t>180</w:t>
            </w:r>
            <w:r>
              <w:rPr>
                <w:rFonts w:hint="eastAsia" w:ascii="宋体" w:hAnsi="宋体" w:eastAsia="宋体" w:cs="宋体"/>
                <w:color w:val="auto"/>
                <w:kern w:val="0"/>
                <w:sz w:val="21"/>
                <w:szCs w:val="21"/>
                <w:highlight w:val="none"/>
                <w:u w:val="none"/>
              </w:rPr>
              <w:t>度旋转的陶瓷痰盂</w:t>
            </w:r>
            <w:r>
              <w:rPr>
                <w:rFonts w:hint="eastAsia" w:ascii="宋体" w:hAnsi="宋体" w:eastAsia="宋体" w:cs="宋体"/>
                <w:color w:val="auto"/>
                <w:kern w:val="0"/>
                <w:sz w:val="21"/>
                <w:szCs w:val="21"/>
                <w:highlight w:val="none"/>
                <w:u w:val="none"/>
                <w:lang w:eastAsia="zh-CN"/>
              </w:rPr>
              <w:t>盘。</w:t>
            </w:r>
          </w:p>
          <w:p w14:paraId="3EA7CEA5">
            <w:pPr>
              <w:tabs>
                <w:tab w:val="left" w:pos="4693"/>
              </w:tabs>
              <w:spacing w:line="360" w:lineRule="auto"/>
              <w:rPr>
                <w:rFonts w:hint="eastAsia" w:ascii="Calibri" w:hAnsi="Calibri" w:eastAsia="宋体" w:cs="Times New Roman"/>
                <w:color w:val="auto"/>
                <w:sz w:val="21"/>
                <w:szCs w:val="21"/>
                <w:highlight w:val="none"/>
                <w:lang w:val="en-US" w:eastAsia="zh-CN"/>
              </w:rPr>
            </w:pPr>
            <w:r>
              <w:rPr>
                <w:rFonts w:hint="eastAsia" w:ascii="Calibri" w:hAnsi="Calibri" w:eastAsia="宋体" w:cs="Times New Roman"/>
                <w:color w:val="auto"/>
                <w:sz w:val="21"/>
                <w:szCs w:val="21"/>
                <w:highlight w:val="none"/>
                <w:lang w:val="en-US" w:eastAsia="zh-CN"/>
              </w:rPr>
              <w:t>3.6机箱程控器具有开机自检功能，数码管可准确显示≥6种牙椅故障信息描述。</w:t>
            </w:r>
          </w:p>
          <w:p w14:paraId="3D258A31">
            <w:pPr>
              <w:tabs>
                <w:tab w:val="left" w:pos="4693"/>
              </w:tabs>
              <w:spacing w:line="360" w:lineRule="auto"/>
              <w:rPr>
                <w:rFonts w:hint="eastAsia" w:ascii="Calibri" w:hAnsi="Calibri" w:eastAsia="宋体" w:cs="Times New Roman"/>
                <w:color w:val="auto"/>
                <w:sz w:val="21"/>
                <w:szCs w:val="21"/>
                <w:highlight w:val="none"/>
                <w:lang w:val="en-US" w:eastAsia="zh-CN"/>
              </w:rPr>
            </w:pPr>
            <w:r>
              <w:rPr>
                <w:rFonts w:hint="eastAsia" w:ascii="Calibri" w:hAnsi="Calibri" w:eastAsia="宋体" w:cs="Times New Roman"/>
                <w:color w:val="auto"/>
                <w:sz w:val="21"/>
                <w:szCs w:val="21"/>
                <w:highlight w:val="none"/>
                <w:lang w:val="en-US" w:eastAsia="zh-CN"/>
              </w:rPr>
              <w:t>3.7机箱上方具有双水瓶注水功能，</w:t>
            </w:r>
            <w:r>
              <w:rPr>
                <w:rFonts w:hint="eastAsia" w:ascii="Calibri" w:hAnsi="Calibri" w:cs="Times New Roman"/>
                <w:color w:val="auto"/>
                <w:sz w:val="21"/>
                <w:szCs w:val="21"/>
                <w:highlight w:val="none"/>
                <w:lang w:val="en-US" w:eastAsia="zh-CN"/>
              </w:rPr>
              <w:t>可</w:t>
            </w:r>
            <w:r>
              <w:rPr>
                <w:rFonts w:hint="eastAsia" w:ascii="Calibri" w:hAnsi="Calibri" w:eastAsia="宋体" w:cs="Times New Roman"/>
                <w:color w:val="auto"/>
                <w:sz w:val="21"/>
                <w:szCs w:val="21"/>
                <w:highlight w:val="none"/>
                <w:lang w:val="en-US" w:eastAsia="zh-CN"/>
              </w:rPr>
              <w:t>从机箱顶部加入纯净水或者消毒液。</w:t>
            </w:r>
          </w:p>
          <w:p w14:paraId="589288D4">
            <w:pPr>
              <w:tabs>
                <w:tab w:val="left" w:pos="4693"/>
              </w:tabs>
              <w:spacing w:line="360" w:lineRule="auto"/>
              <w:rPr>
                <w:rFonts w:hint="eastAsia" w:ascii="Calibri" w:hAnsi="Calibri" w:eastAsia="宋体" w:cs="Times New Roman"/>
                <w:color w:val="auto"/>
                <w:sz w:val="21"/>
                <w:szCs w:val="21"/>
                <w:highlight w:val="none"/>
                <w:lang w:val="en-US" w:eastAsia="zh-CN"/>
              </w:rPr>
            </w:pPr>
            <w:r>
              <w:rPr>
                <w:rFonts w:hint="eastAsia" w:ascii="Calibri" w:hAnsi="Calibri" w:eastAsia="宋体" w:cs="Times New Roman"/>
                <w:color w:val="auto"/>
                <w:sz w:val="21"/>
                <w:szCs w:val="21"/>
                <w:highlight w:val="none"/>
                <w:lang w:val="en-US" w:eastAsia="zh-CN"/>
              </w:rPr>
              <w:t>4.助手单元：</w:t>
            </w:r>
          </w:p>
          <w:p w14:paraId="545E07DC">
            <w:pPr>
              <w:tabs>
                <w:tab w:val="left" w:pos="4693"/>
              </w:tabs>
              <w:spacing w:line="360" w:lineRule="auto"/>
              <w:rPr>
                <w:rFonts w:hint="eastAsia" w:ascii="Calibri" w:hAnsi="Calibri" w:eastAsia="宋体" w:cs="Times New Roman"/>
                <w:color w:val="auto"/>
                <w:sz w:val="21"/>
                <w:szCs w:val="21"/>
                <w:highlight w:val="none"/>
                <w:lang w:val="en-US" w:eastAsia="zh-CN"/>
              </w:rPr>
            </w:pPr>
            <w:r>
              <w:rPr>
                <w:rFonts w:hint="eastAsia" w:ascii="Calibri" w:hAnsi="Calibri" w:eastAsia="宋体" w:cs="Times New Roman"/>
                <w:color w:val="auto"/>
                <w:sz w:val="21"/>
                <w:szCs w:val="21"/>
                <w:highlight w:val="none"/>
                <w:lang w:val="en-US" w:eastAsia="zh-CN"/>
              </w:rPr>
              <w:t>4.1配置≥10功能按键的助手控制面板，可水平旋转＞90度；</w:t>
            </w:r>
          </w:p>
          <w:p w14:paraId="34C22997">
            <w:pPr>
              <w:tabs>
                <w:tab w:val="left" w:pos="4693"/>
              </w:tabs>
              <w:spacing w:line="360" w:lineRule="auto"/>
              <w:rPr>
                <w:rFonts w:hint="eastAsia" w:ascii="Calibri" w:hAnsi="Calibri" w:eastAsia="宋体" w:cs="Times New Roman"/>
                <w:color w:val="auto"/>
                <w:sz w:val="21"/>
                <w:szCs w:val="21"/>
                <w:highlight w:val="none"/>
                <w:lang w:val="en-US" w:eastAsia="zh-CN"/>
              </w:rPr>
            </w:pPr>
            <w:r>
              <w:rPr>
                <w:rFonts w:hint="eastAsia" w:ascii="Calibri" w:hAnsi="Calibri" w:eastAsia="宋体" w:cs="Times New Roman"/>
                <w:color w:val="auto"/>
                <w:sz w:val="21"/>
                <w:szCs w:val="21"/>
                <w:highlight w:val="none"/>
                <w:lang w:val="en-US" w:eastAsia="zh-CN"/>
              </w:rPr>
              <w:t>4.2配置四挂架，预留光固化位置。</w:t>
            </w:r>
          </w:p>
          <w:p w14:paraId="7B51D426">
            <w:pPr>
              <w:tabs>
                <w:tab w:val="left" w:pos="4693"/>
              </w:tabs>
              <w:spacing w:line="360" w:lineRule="auto"/>
              <w:rPr>
                <w:rFonts w:ascii="Calibri" w:hAnsi="Calibri" w:eastAsia="宋体" w:cs="Times New Roman"/>
                <w:color w:val="auto"/>
                <w:sz w:val="21"/>
                <w:szCs w:val="21"/>
                <w:highlight w:val="none"/>
                <w:lang w:val="en-US" w:eastAsia="zh-CN"/>
              </w:rPr>
            </w:pPr>
            <w:r>
              <w:rPr>
                <w:rFonts w:hint="eastAsia" w:ascii="Calibri" w:hAnsi="Calibri" w:eastAsia="宋体" w:cs="Times New Roman"/>
                <w:color w:val="auto"/>
                <w:sz w:val="21"/>
                <w:szCs w:val="21"/>
                <w:highlight w:val="none"/>
                <w:lang w:val="en-US" w:eastAsia="zh-CN"/>
              </w:rPr>
              <w:t>4.3配备内嵌式拉手，让护士操作更便捷。</w:t>
            </w:r>
          </w:p>
          <w:p w14:paraId="51B87789">
            <w:pPr>
              <w:widowControl/>
              <w:spacing w:line="360" w:lineRule="auto"/>
              <w:ind w:firstLine="0"/>
              <w:jc w:val="both"/>
              <w:rPr>
                <w:rFonts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三、配置清单：</w:t>
            </w:r>
          </w:p>
          <w:tbl>
            <w:tblPr>
              <w:tblStyle w:val="29"/>
              <w:tblW w:w="8773" w:type="dxa"/>
              <w:tblInd w:w="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57"/>
              <w:gridCol w:w="216"/>
            </w:tblGrid>
            <w:tr w14:paraId="05E0D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single" w:color="auto" w:sz="4" w:space="0"/>
                    <w:left w:val="single" w:color="auto" w:sz="4" w:space="0"/>
                    <w:bottom w:val="single" w:color="auto" w:sz="4" w:space="0"/>
                    <w:right w:val="single" w:color="auto" w:sz="4" w:space="0"/>
                  </w:tcBorders>
                  <w:vAlign w:val="center"/>
                </w:tcPr>
                <w:p w14:paraId="34295953">
                  <w:pPr>
                    <w:widowControl/>
                    <w:spacing w:line="360" w:lineRule="auto"/>
                    <w:rPr>
                      <w:rFonts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医生单元</w:t>
                  </w:r>
                </w:p>
              </w:tc>
            </w:tr>
            <w:tr w14:paraId="7AAE3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single" w:color="auto" w:sz="4" w:space="0"/>
                    <w:left w:val="single" w:color="auto" w:sz="4" w:space="0"/>
                    <w:bottom w:val="single" w:color="auto" w:sz="4" w:space="0"/>
                    <w:right w:val="single" w:color="auto" w:sz="4" w:space="0"/>
                  </w:tcBorders>
                  <w:vAlign w:val="center"/>
                </w:tcPr>
                <w:p w14:paraId="56191430">
                  <w:pPr>
                    <w:widowControl/>
                    <w:spacing w:line="360" w:lineRule="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lang w:eastAsia="zh-CN"/>
                    </w:rPr>
                    <w:t>金属</w:t>
                  </w:r>
                  <w:r>
                    <w:rPr>
                      <w:rFonts w:hint="eastAsia" w:ascii="宋体" w:hAnsi="宋体" w:eastAsia="宋体" w:cs="宋体"/>
                      <w:color w:val="auto"/>
                      <w:kern w:val="0"/>
                      <w:sz w:val="21"/>
                      <w:szCs w:val="21"/>
                      <w:highlight w:val="none"/>
                    </w:rPr>
                    <w:t>下挂式器械盘*1</w:t>
                  </w:r>
                  <w:r>
                    <w:rPr>
                      <w:rFonts w:hint="eastAsia" w:ascii="Calibri" w:hAnsi="Calibri" w:eastAsia="宋体" w:cs="Times New Roman"/>
                      <w:color w:val="auto"/>
                      <w:sz w:val="21"/>
                      <w:szCs w:val="21"/>
                      <w:highlight w:val="none"/>
                      <w:lang w:val="en-US" w:eastAsia="zh-CN"/>
                    </w:rPr>
                    <w:t>个</w:t>
                  </w:r>
                </w:p>
              </w:tc>
            </w:tr>
            <w:tr w14:paraId="1C9C9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single" w:color="auto" w:sz="4" w:space="0"/>
                    <w:left w:val="single" w:color="auto" w:sz="4" w:space="0"/>
                    <w:bottom w:val="single" w:color="auto" w:sz="4" w:space="0"/>
                    <w:right w:val="single" w:color="auto" w:sz="4" w:space="0"/>
                  </w:tcBorders>
                  <w:vAlign w:val="center"/>
                </w:tcPr>
                <w:p w14:paraId="2A767D06">
                  <w:pPr>
                    <w:widowControl/>
                    <w:spacing w:line="36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eastAsia="zh-CN"/>
                    </w:rPr>
                    <w:t>亚克力全覆盖保护罩</w:t>
                  </w: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个</w:t>
                  </w:r>
                </w:p>
              </w:tc>
            </w:tr>
            <w:tr w14:paraId="7F3FD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single" w:color="auto" w:sz="4" w:space="0"/>
                    <w:left w:val="single" w:color="auto" w:sz="4" w:space="0"/>
                    <w:bottom w:val="single" w:color="auto" w:sz="4" w:space="0"/>
                    <w:right w:val="single" w:color="auto" w:sz="4" w:space="0"/>
                  </w:tcBorders>
                  <w:vAlign w:val="center"/>
                </w:tcPr>
                <w:p w14:paraId="23DD58F3">
                  <w:pPr>
                    <w:widowControl/>
                    <w:spacing w:line="360" w:lineRule="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rPr>
                    <w:t>钛合金四孔手机管*3</w:t>
                  </w:r>
                  <w:r>
                    <w:rPr>
                      <w:rFonts w:hint="eastAsia" w:ascii="宋体" w:hAnsi="宋体" w:eastAsia="宋体" w:cs="宋体"/>
                      <w:color w:val="auto"/>
                      <w:kern w:val="0"/>
                      <w:sz w:val="21"/>
                      <w:szCs w:val="21"/>
                      <w:highlight w:val="none"/>
                      <w:lang w:val="en-US" w:eastAsia="zh-CN"/>
                    </w:rPr>
                    <w:t>个</w:t>
                  </w:r>
                </w:p>
              </w:tc>
            </w:tr>
            <w:tr w14:paraId="4255D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single" w:color="auto" w:sz="4" w:space="0"/>
                    <w:left w:val="single" w:color="auto" w:sz="4" w:space="0"/>
                    <w:bottom w:val="single" w:color="auto" w:sz="4" w:space="0"/>
                    <w:right w:val="single" w:color="auto" w:sz="4" w:space="0"/>
                  </w:tcBorders>
                  <w:vAlign w:val="center"/>
                </w:tcPr>
                <w:p w14:paraId="03679184">
                  <w:pPr>
                    <w:widowControl/>
                    <w:spacing w:line="360" w:lineRule="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rPr>
                    <w:t>三用喷枪*1</w:t>
                  </w:r>
                  <w:r>
                    <w:rPr>
                      <w:rFonts w:hint="eastAsia" w:ascii="宋体" w:hAnsi="宋体" w:eastAsia="宋体" w:cs="宋体"/>
                      <w:color w:val="auto"/>
                      <w:kern w:val="0"/>
                      <w:sz w:val="21"/>
                      <w:szCs w:val="21"/>
                      <w:highlight w:val="none"/>
                      <w:lang w:val="en-US" w:eastAsia="zh-CN"/>
                    </w:rPr>
                    <w:t>把</w:t>
                  </w:r>
                </w:p>
              </w:tc>
            </w:tr>
            <w:tr w14:paraId="2ED03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single" w:color="auto" w:sz="4" w:space="0"/>
                    <w:left w:val="single" w:color="auto" w:sz="4" w:space="0"/>
                    <w:bottom w:val="single" w:color="auto" w:sz="4" w:space="0"/>
                    <w:right w:val="single" w:color="auto" w:sz="4" w:space="0"/>
                  </w:tcBorders>
                  <w:vAlign w:val="center"/>
                </w:tcPr>
                <w:p w14:paraId="7AA9537B">
                  <w:pPr>
                    <w:widowControl/>
                    <w:spacing w:line="360" w:lineRule="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rPr>
                    <w:t>内置式直流24V观片灯*1</w:t>
                  </w:r>
                  <w:r>
                    <w:rPr>
                      <w:rFonts w:hint="eastAsia" w:ascii="宋体" w:hAnsi="宋体" w:eastAsia="宋体" w:cs="宋体"/>
                      <w:color w:val="auto"/>
                      <w:kern w:val="0"/>
                      <w:sz w:val="21"/>
                      <w:szCs w:val="21"/>
                      <w:highlight w:val="none"/>
                      <w:lang w:val="en-US" w:eastAsia="zh-CN"/>
                    </w:rPr>
                    <w:t>台</w:t>
                  </w:r>
                </w:p>
              </w:tc>
            </w:tr>
            <w:tr w14:paraId="59EB5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single" w:color="auto" w:sz="4" w:space="0"/>
                    <w:left w:val="single" w:color="auto" w:sz="4" w:space="0"/>
                    <w:bottom w:val="single" w:color="auto" w:sz="4" w:space="0"/>
                    <w:right w:val="single" w:color="auto" w:sz="4" w:space="0"/>
                  </w:tcBorders>
                  <w:vAlign w:val="center"/>
                </w:tcPr>
                <w:p w14:paraId="3B61CBA7">
                  <w:pPr>
                    <w:widowControl/>
                    <w:spacing w:line="360" w:lineRule="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rPr>
                    <w:t>水气开关装置*1</w:t>
                  </w:r>
                  <w:r>
                    <w:rPr>
                      <w:rFonts w:hint="eastAsia" w:ascii="宋体" w:hAnsi="宋体" w:eastAsia="宋体" w:cs="宋体"/>
                      <w:color w:val="auto"/>
                      <w:kern w:val="0"/>
                      <w:sz w:val="21"/>
                      <w:szCs w:val="21"/>
                      <w:highlight w:val="none"/>
                      <w:lang w:val="en-US" w:eastAsia="zh-CN"/>
                    </w:rPr>
                    <w:t>个</w:t>
                  </w:r>
                </w:p>
              </w:tc>
            </w:tr>
            <w:tr w14:paraId="365A0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single" w:color="auto" w:sz="4" w:space="0"/>
                    <w:left w:val="single" w:color="auto" w:sz="4" w:space="0"/>
                    <w:bottom w:val="single" w:color="auto" w:sz="4" w:space="0"/>
                    <w:right w:val="single" w:color="auto" w:sz="4" w:space="0"/>
                  </w:tcBorders>
                  <w:vAlign w:val="center"/>
                </w:tcPr>
                <w:p w14:paraId="28130C88">
                  <w:pPr>
                    <w:widowControl/>
                    <w:spacing w:line="360" w:lineRule="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rPr>
                    <w:t>六向调节医生工作座椅*1</w:t>
                  </w:r>
                  <w:r>
                    <w:rPr>
                      <w:rFonts w:hint="eastAsia" w:ascii="宋体" w:hAnsi="宋体" w:eastAsia="宋体" w:cs="宋体"/>
                      <w:color w:val="auto"/>
                      <w:kern w:val="0"/>
                      <w:sz w:val="21"/>
                      <w:szCs w:val="21"/>
                      <w:highlight w:val="none"/>
                      <w:lang w:val="en-US" w:eastAsia="zh-CN"/>
                    </w:rPr>
                    <w:t>把</w:t>
                  </w:r>
                </w:p>
              </w:tc>
            </w:tr>
            <w:tr w14:paraId="399A1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single" w:color="auto" w:sz="4" w:space="0"/>
                    <w:left w:val="single" w:color="auto" w:sz="4" w:space="0"/>
                    <w:bottom w:val="single" w:color="auto" w:sz="4" w:space="0"/>
                    <w:right w:val="single" w:color="auto" w:sz="4" w:space="0"/>
                  </w:tcBorders>
                  <w:vAlign w:val="center"/>
                </w:tcPr>
                <w:p w14:paraId="7DFD231C">
                  <w:pPr>
                    <w:widowControl/>
                    <w:spacing w:line="360" w:lineRule="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rPr>
                    <w:t>急救椅位*1</w:t>
                  </w:r>
                  <w:r>
                    <w:rPr>
                      <w:rFonts w:hint="eastAsia" w:ascii="宋体" w:hAnsi="宋体" w:eastAsia="宋体" w:cs="宋体"/>
                      <w:color w:val="auto"/>
                      <w:kern w:val="0"/>
                      <w:sz w:val="21"/>
                      <w:szCs w:val="21"/>
                      <w:highlight w:val="none"/>
                      <w:lang w:val="en-US" w:eastAsia="zh-CN"/>
                    </w:rPr>
                    <w:t>把</w:t>
                  </w:r>
                </w:p>
              </w:tc>
            </w:tr>
            <w:tr w14:paraId="4E116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single" w:color="auto" w:sz="4" w:space="0"/>
                    <w:left w:val="single" w:color="auto" w:sz="4" w:space="0"/>
                    <w:bottom w:val="single" w:color="auto" w:sz="4" w:space="0"/>
                    <w:right w:val="single" w:color="auto" w:sz="4" w:space="0"/>
                  </w:tcBorders>
                  <w:vAlign w:val="center"/>
                </w:tcPr>
                <w:p w14:paraId="5663EF52">
                  <w:pPr>
                    <w:widowControl/>
                    <w:spacing w:line="360" w:lineRule="auto"/>
                    <w:rPr>
                      <w:rFonts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术后清洁椅位*1</w:t>
                  </w:r>
                  <w:r>
                    <w:rPr>
                      <w:rFonts w:hint="eastAsia" w:ascii="宋体" w:hAnsi="宋体" w:eastAsia="宋体" w:cs="宋体"/>
                      <w:color w:val="auto"/>
                      <w:kern w:val="0"/>
                      <w:sz w:val="21"/>
                      <w:szCs w:val="21"/>
                      <w:highlight w:val="none"/>
                      <w:lang w:val="en-US" w:eastAsia="zh-CN"/>
                    </w:rPr>
                    <w:t>把</w:t>
                  </w:r>
                </w:p>
              </w:tc>
            </w:tr>
            <w:tr w14:paraId="0971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single" w:color="auto" w:sz="4" w:space="0"/>
                    <w:left w:val="single" w:color="auto" w:sz="4" w:space="0"/>
                    <w:bottom w:val="single" w:color="auto" w:sz="4" w:space="0"/>
                    <w:right w:val="single" w:color="auto" w:sz="4" w:space="0"/>
                  </w:tcBorders>
                  <w:vAlign w:val="center"/>
                </w:tcPr>
                <w:p w14:paraId="425F317D">
                  <w:pPr>
                    <w:widowControl/>
                    <w:spacing w:line="36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感应式LED口腔灯*1</w:t>
                  </w:r>
                  <w:r>
                    <w:rPr>
                      <w:rFonts w:hint="eastAsia" w:ascii="宋体" w:hAnsi="宋体" w:eastAsia="宋体" w:cs="宋体"/>
                      <w:color w:val="auto"/>
                      <w:kern w:val="0"/>
                      <w:sz w:val="21"/>
                      <w:szCs w:val="21"/>
                      <w:highlight w:val="none"/>
                      <w:lang w:val="en-US" w:eastAsia="zh-CN"/>
                    </w:rPr>
                    <w:t>个</w:t>
                  </w:r>
                </w:p>
              </w:tc>
            </w:tr>
            <w:tr w14:paraId="19AD4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767" w:type="dxa"/>
                  <w:tcBorders>
                    <w:top w:val="nil"/>
                    <w:left w:val="single" w:color="auto" w:sz="4" w:space="0"/>
                    <w:bottom w:val="single" w:color="auto" w:sz="4" w:space="0"/>
                    <w:right w:val="single" w:color="auto" w:sz="4" w:space="0"/>
                  </w:tcBorders>
                  <w:vAlign w:val="center"/>
                </w:tcPr>
                <w:p w14:paraId="39241526">
                  <w:pPr>
                    <w:widowControl/>
                    <w:spacing w:line="36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eastAsia="zh-CN"/>
                    </w:rPr>
                    <w:t>全铝倒吊灯臂</w:t>
                  </w: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个</w:t>
                  </w:r>
                </w:p>
              </w:tc>
              <w:tc>
                <w:tcPr>
                  <w:tcW w:w="6" w:type="dxa"/>
                  <w:tcBorders>
                    <w:top w:val="nil"/>
                    <w:left w:val="single" w:color="auto" w:sz="4" w:space="0"/>
                    <w:bottom w:val="single" w:color="auto" w:sz="4" w:space="0"/>
                    <w:right w:val="single" w:color="auto" w:sz="4" w:space="0"/>
                  </w:tcBorders>
                  <w:vAlign w:val="center"/>
                </w:tcPr>
                <w:p w14:paraId="6206AE95">
                  <w:pPr>
                    <w:widowControl/>
                    <w:spacing w:line="360" w:lineRule="auto"/>
                    <w:rPr>
                      <w:rFonts w:hint="eastAsia" w:ascii="宋体" w:hAnsi="宋体" w:eastAsia="宋体" w:cs="宋体"/>
                      <w:color w:val="auto"/>
                      <w:kern w:val="0"/>
                      <w:sz w:val="21"/>
                      <w:szCs w:val="21"/>
                      <w:highlight w:val="none"/>
                    </w:rPr>
                  </w:pPr>
                </w:p>
              </w:tc>
            </w:tr>
            <w:tr w14:paraId="473AC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90" w:hRule="atLeast"/>
              </w:trPr>
              <w:tc>
                <w:tcPr>
                  <w:tcW w:w="8767" w:type="dxa"/>
                  <w:tcBorders>
                    <w:top w:val="single" w:color="auto" w:sz="4" w:space="0"/>
                    <w:left w:val="single" w:color="auto" w:sz="4" w:space="0"/>
                    <w:bottom w:val="single" w:color="auto" w:sz="4" w:space="0"/>
                    <w:right w:val="single" w:color="auto" w:sz="4" w:space="0"/>
                  </w:tcBorders>
                  <w:vAlign w:val="center"/>
                </w:tcPr>
                <w:p w14:paraId="598EBBA9">
                  <w:pPr>
                    <w:widowControl/>
                    <w:spacing w:line="360" w:lineRule="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rPr>
                    <w:t>多功能脚踏*1</w:t>
                  </w:r>
                  <w:r>
                    <w:rPr>
                      <w:rFonts w:hint="eastAsia" w:ascii="宋体" w:hAnsi="宋体" w:eastAsia="宋体" w:cs="宋体"/>
                      <w:color w:val="auto"/>
                      <w:kern w:val="0"/>
                      <w:sz w:val="21"/>
                      <w:szCs w:val="21"/>
                      <w:highlight w:val="none"/>
                      <w:lang w:val="en-US" w:eastAsia="zh-CN"/>
                    </w:rPr>
                    <w:t>个</w:t>
                  </w:r>
                </w:p>
              </w:tc>
            </w:tr>
            <w:tr w14:paraId="41F9E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nil"/>
                    <w:left w:val="single" w:color="auto" w:sz="4" w:space="0"/>
                    <w:bottom w:val="single" w:color="auto" w:sz="4" w:space="0"/>
                    <w:right w:val="single" w:color="auto" w:sz="4" w:space="0"/>
                  </w:tcBorders>
                  <w:vAlign w:val="center"/>
                </w:tcPr>
                <w:p w14:paraId="26AF1314">
                  <w:pPr>
                    <w:widowControl/>
                    <w:spacing w:line="360" w:lineRule="auto"/>
                    <w:rPr>
                      <w:rFonts w:hint="eastAsia" w:ascii="宋体" w:hAnsi="宋体" w:eastAsia="宋体" w:cs="宋体"/>
                      <w:b/>
                      <w:bCs/>
                      <w:color w:val="auto"/>
                      <w:kern w:val="0"/>
                      <w:sz w:val="21"/>
                      <w:szCs w:val="21"/>
                      <w:highlight w:val="none"/>
                      <w:lang w:eastAsia="zh-CN"/>
                    </w:rPr>
                  </w:pPr>
                  <w:r>
                    <w:rPr>
                      <w:rFonts w:hint="eastAsia" w:ascii="宋体" w:hAnsi="宋体" w:eastAsia="宋体" w:cs="宋体"/>
                      <w:b/>
                      <w:bCs/>
                      <w:color w:val="auto"/>
                      <w:kern w:val="0"/>
                      <w:sz w:val="21"/>
                      <w:szCs w:val="21"/>
                      <w:highlight w:val="none"/>
                    </w:rPr>
                    <w:t>水</w:t>
                  </w:r>
                  <w:r>
                    <w:rPr>
                      <w:rFonts w:hint="eastAsia" w:ascii="宋体" w:hAnsi="宋体" w:eastAsia="宋体" w:cs="宋体"/>
                      <w:b/>
                      <w:bCs/>
                      <w:color w:val="auto"/>
                      <w:kern w:val="0"/>
                      <w:sz w:val="21"/>
                      <w:szCs w:val="21"/>
                      <w:highlight w:val="none"/>
                      <w:lang w:eastAsia="zh-CN"/>
                    </w:rPr>
                    <w:t>箱</w:t>
                  </w:r>
                  <w:r>
                    <w:rPr>
                      <w:rFonts w:hint="eastAsia" w:ascii="宋体" w:hAnsi="宋体" w:eastAsia="宋体" w:cs="宋体"/>
                      <w:b/>
                      <w:bCs/>
                      <w:color w:val="auto"/>
                      <w:kern w:val="0"/>
                      <w:sz w:val="21"/>
                      <w:szCs w:val="21"/>
                      <w:highlight w:val="none"/>
                    </w:rPr>
                    <w:t>单元</w:t>
                  </w:r>
                </w:p>
              </w:tc>
            </w:tr>
            <w:tr w14:paraId="08EC3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nil"/>
                    <w:left w:val="single" w:color="auto" w:sz="4" w:space="0"/>
                    <w:bottom w:val="single" w:color="auto" w:sz="4" w:space="0"/>
                    <w:right w:val="single" w:color="auto" w:sz="4" w:space="0"/>
                  </w:tcBorders>
                  <w:vAlign w:val="center"/>
                </w:tcPr>
                <w:p w14:paraId="7B799B8E">
                  <w:pPr>
                    <w:widowControl/>
                    <w:spacing w:line="36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rPr>
                    <w:t>可充电托盘*1</w:t>
                  </w:r>
                  <w:r>
                    <w:rPr>
                      <w:rFonts w:hint="eastAsia" w:ascii="宋体" w:hAnsi="宋体" w:eastAsia="宋体" w:cs="宋体"/>
                      <w:b w:val="0"/>
                      <w:bCs w:val="0"/>
                      <w:color w:val="auto"/>
                      <w:kern w:val="0"/>
                      <w:sz w:val="21"/>
                      <w:szCs w:val="21"/>
                      <w:highlight w:val="none"/>
                      <w:lang w:val="en-US" w:eastAsia="zh-CN"/>
                    </w:rPr>
                    <w:t>个</w:t>
                  </w:r>
                </w:p>
              </w:tc>
            </w:tr>
            <w:tr w14:paraId="06215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nil"/>
                    <w:left w:val="single" w:color="auto" w:sz="4" w:space="0"/>
                    <w:bottom w:val="single" w:color="auto" w:sz="4" w:space="0"/>
                    <w:right w:val="single" w:color="auto" w:sz="4" w:space="0"/>
                  </w:tcBorders>
                  <w:vAlign w:val="center"/>
                </w:tcPr>
                <w:p w14:paraId="74A3BCA2">
                  <w:pPr>
                    <w:widowControl/>
                    <w:spacing w:line="360" w:lineRule="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rPr>
                    <w:t>优质电磁阀*2</w:t>
                  </w:r>
                  <w:r>
                    <w:rPr>
                      <w:rFonts w:hint="eastAsia" w:ascii="宋体" w:hAnsi="宋体" w:eastAsia="宋体" w:cs="宋体"/>
                      <w:color w:val="auto"/>
                      <w:kern w:val="0"/>
                      <w:sz w:val="21"/>
                      <w:szCs w:val="21"/>
                      <w:highlight w:val="none"/>
                      <w:lang w:val="en-US" w:eastAsia="zh-CN"/>
                    </w:rPr>
                    <w:t>个</w:t>
                  </w:r>
                </w:p>
              </w:tc>
            </w:tr>
            <w:tr w14:paraId="28E66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263" w:hRule="atLeast"/>
              </w:trPr>
              <w:tc>
                <w:tcPr>
                  <w:tcW w:w="8767" w:type="dxa"/>
                  <w:tcBorders>
                    <w:top w:val="nil"/>
                    <w:left w:val="single" w:color="auto" w:sz="4" w:space="0"/>
                    <w:bottom w:val="single" w:color="auto" w:sz="4" w:space="0"/>
                    <w:right w:val="single" w:color="auto" w:sz="4" w:space="0"/>
                  </w:tcBorders>
                  <w:vAlign w:val="center"/>
                </w:tcPr>
                <w:p w14:paraId="280A3609">
                  <w:pPr>
                    <w:widowControl/>
                    <w:spacing w:line="360" w:lineRule="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rPr>
                    <w:t>180°旋转陶瓷痰盂*1</w:t>
                  </w:r>
                  <w:r>
                    <w:rPr>
                      <w:rFonts w:hint="eastAsia" w:ascii="宋体" w:hAnsi="宋体" w:eastAsia="宋体" w:cs="宋体"/>
                      <w:b w:val="0"/>
                      <w:bCs/>
                      <w:color w:val="auto"/>
                      <w:kern w:val="0"/>
                      <w:sz w:val="21"/>
                      <w:szCs w:val="21"/>
                      <w:highlight w:val="none"/>
                      <w:lang w:val="en-US" w:eastAsia="zh-CN"/>
                    </w:rPr>
                    <w:t>个</w:t>
                  </w:r>
                </w:p>
              </w:tc>
            </w:tr>
            <w:tr w14:paraId="3CF2B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90" w:hRule="atLeast"/>
              </w:trPr>
              <w:tc>
                <w:tcPr>
                  <w:tcW w:w="8767" w:type="dxa"/>
                  <w:tcBorders>
                    <w:top w:val="nil"/>
                    <w:left w:val="single" w:color="auto" w:sz="4" w:space="0"/>
                    <w:bottom w:val="single" w:color="auto" w:sz="4" w:space="0"/>
                    <w:right w:val="single" w:color="auto" w:sz="4" w:space="0"/>
                  </w:tcBorders>
                  <w:vAlign w:val="center"/>
                </w:tcPr>
                <w:p w14:paraId="3D84A602">
                  <w:pPr>
                    <w:widowControl/>
                    <w:spacing w:line="360" w:lineRule="auto"/>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助手单元</w:t>
                  </w:r>
                </w:p>
              </w:tc>
            </w:tr>
            <w:tr w14:paraId="1D58D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90" w:hRule="atLeast"/>
              </w:trPr>
              <w:tc>
                <w:tcPr>
                  <w:tcW w:w="8767" w:type="dxa"/>
                  <w:tcBorders>
                    <w:top w:val="nil"/>
                    <w:left w:val="single" w:color="auto" w:sz="4" w:space="0"/>
                    <w:bottom w:val="single" w:color="auto" w:sz="4" w:space="0"/>
                    <w:right w:val="single" w:color="auto" w:sz="4" w:space="0"/>
                  </w:tcBorders>
                  <w:vAlign w:val="center"/>
                </w:tcPr>
                <w:p w14:paraId="6FD4F862">
                  <w:pPr>
                    <w:widowControl/>
                    <w:spacing w:line="360" w:lineRule="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rPr>
                    <w:t>助手盘*1</w:t>
                  </w:r>
                  <w:r>
                    <w:rPr>
                      <w:rFonts w:hint="eastAsia" w:ascii="宋体" w:hAnsi="宋体" w:eastAsia="宋体" w:cs="宋体"/>
                      <w:color w:val="auto"/>
                      <w:kern w:val="0"/>
                      <w:sz w:val="21"/>
                      <w:szCs w:val="21"/>
                      <w:highlight w:val="none"/>
                      <w:lang w:val="en-US" w:eastAsia="zh-CN"/>
                    </w:rPr>
                    <w:t>个</w:t>
                  </w:r>
                </w:p>
              </w:tc>
            </w:tr>
            <w:tr w14:paraId="2F256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90" w:hRule="atLeast"/>
              </w:trPr>
              <w:tc>
                <w:tcPr>
                  <w:tcW w:w="8767" w:type="dxa"/>
                  <w:tcBorders>
                    <w:top w:val="nil"/>
                    <w:left w:val="single" w:color="auto" w:sz="4" w:space="0"/>
                    <w:bottom w:val="single" w:color="auto" w:sz="4" w:space="0"/>
                    <w:right w:val="single" w:color="auto" w:sz="4" w:space="0"/>
                  </w:tcBorders>
                  <w:vAlign w:val="center"/>
                </w:tcPr>
                <w:p w14:paraId="1811CB6C">
                  <w:pPr>
                    <w:widowControl/>
                    <w:spacing w:line="36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三用喷枪（冷热水）*1</w:t>
                  </w:r>
                  <w:r>
                    <w:rPr>
                      <w:rFonts w:hint="eastAsia" w:ascii="宋体" w:hAnsi="宋体" w:eastAsia="宋体" w:cs="宋体"/>
                      <w:color w:val="auto"/>
                      <w:kern w:val="0"/>
                      <w:sz w:val="21"/>
                      <w:szCs w:val="21"/>
                      <w:highlight w:val="none"/>
                      <w:lang w:val="en-US" w:eastAsia="zh-CN"/>
                    </w:rPr>
                    <w:t>套</w:t>
                  </w:r>
                </w:p>
              </w:tc>
            </w:tr>
            <w:tr w14:paraId="69511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90" w:hRule="atLeast"/>
              </w:trPr>
              <w:tc>
                <w:tcPr>
                  <w:tcW w:w="8767" w:type="dxa"/>
                  <w:tcBorders>
                    <w:top w:val="nil"/>
                    <w:left w:val="single" w:color="auto" w:sz="4" w:space="0"/>
                    <w:bottom w:val="single" w:color="auto" w:sz="4" w:space="0"/>
                    <w:right w:val="single" w:color="auto" w:sz="4" w:space="0"/>
                  </w:tcBorders>
                  <w:vAlign w:val="center"/>
                </w:tcPr>
                <w:p w14:paraId="3117BA7C">
                  <w:pPr>
                    <w:widowControl/>
                    <w:spacing w:line="36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可拆卸消毒弱吸接头*1</w:t>
                  </w:r>
                  <w:r>
                    <w:rPr>
                      <w:rFonts w:hint="eastAsia" w:ascii="宋体" w:hAnsi="宋体" w:eastAsia="宋体" w:cs="宋体"/>
                      <w:color w:val="auto"/>
                      <w:kern w:val="0"/>
                      <w:sz w:val="21"/>
                      <w:szCs w:val="21"/>
                      <w:highlight w:val="none"/>
                      <w:lang w:val="en-US" w:eastAsia="zh-CN"/>
                    </w:rPr>
                    <w:t>个</w:t>
                  </w:r>
                </w:p>
              </w:tc>
            </w:tr>
            <w:tr w14:paraId="24789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90" w:hRule="atLeast"/>
              </w:trPr>
              <w:tc>
                <w:tcPr>
                  <w:tcW w:w="8767" w:type="dxa"/>
                  <w:tcBorders>
                    <w:top w:val="nil"/>
                    <w:left w:val="single" w:color="auto" w:sz="4" w:space="0"/>
                    <w:bottom w:val="single" w:color="auto" w:sz="4" w:space="0"/>
                    <w:right w:val="single" w:color="auto" w:sz="4" w:space="0"/>
                  </w:tcBorders>
                  <w:vAlign w:val="center"/>
                </w:tcPr>
                <w:p w14:paraId="54850FF2">
                  <w:pPr>
                    <w:widowControl/>
                    <w:spacing w:line="36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可拆卸消毒强吸接头*1</w:t>
                  </w:r>
                  <w:r>
                    <w:rPr>
                      <w:rFonts w:hint="eastAsia" w:ascii="宋体" w:hAnsi="宋体" w:eastAsia="宋体" w:cs="宋体"/>
                      <w:color w:val="auto"/>
                      <w:kern w:val="0"/>
                      <w:sz w:val="21"/>
                      <w:szCs w:val="21"/>
                      <w:highlight w:val="none"/>
                      <w:lang w:val="en-US" w:eastAsia="zh-CN"/>
                    </w:rPr>
                    <w:t>个</w:t>
                  </w:r>
                </w:p>
              </w:tc>
            </w:tr>
            <w:tr w14:paraId="1A0F1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6" w:type="dxa"/>
                <w:trHeight w:val="90" w:hRule="atLeast"/>
              </w:trPr>
              <w:tc>
                <w:tcPr>
                  <w:tcW w:w="8767" w:type="dxa"/>
                  <w:tcBorders>
                    <w:top w:val="nil"/>
                    <w:left w:val="single" w:color="auto" w:sz="4" w:space="0"/>
                    <w:bottom w:val="single" w:color="auto" w:sz="4" w:space="0"/>
                    <w:right w:val="single" w:color="auto" w:sz="4" w:space="0"/>
                  </w:tcBorders>
                  <w:vAlign w:val="center"/>
                </w:tcPr>
                <w:p w14:paraId="34B868CA">
                  <w:pPr>
                    <w:widowControl/>
                    <w:spacing w:line="360" w:lineRule="auto"/>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患者</w:t>
                  </w:r>
                  <w:r>
                    <w:rPr>
                      <w:rFonts w:hint="eastAsia" w:ascii="宋体" w:hAnsi="宋体" w:eastAsia="宋体" w:cs="宋体"/>
                      <w:b/>
                      <w:bCs/>
                      <w:color w:val="auto"/>
                      <w:kern w:val="0"/>
                      <w:sz w:val="21"/>
                      <w:szCs w:val="21"/>
                      <w:highlight w:val="none"/>
                      <w:lang w:eastAsia="zh-CN"/>
                    </w:rPr>
                    <w:t>单元</w:t>
                  </w:r>
                </w:p>
              </w:tc>
            </w:tr>
            <w:tr w14:paraId="09697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767" w:type="dxa"/>
                  <w:tcBorders>
                    <w:top w:val="single" w:color="auto" w:sz="4" w:space="0"/>
                    <w:left w:val="single" w:color="auto" w:sz="4" w:space="0"/>
                    <w:bottom w:val="single" w:color="auto" w:sz="4" w:space="0"/>
                    <w:right w:val="single" w:color="auto" w:sz="4" w:space="0"/>
                  </w:tcBorders>
                  <w:vAlign w:val="center"/>
                </w:tcPr>
                <w:p w14:paraId="0804ADC5">
                  <w:pPr>
                    <w:widowControl/>
                    <w:spacing w:line="36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低噪音电动牙科椅*1</w:t>
                  </w:r>
                  <w:r>
                    <w:rPr>
                      <w:rFonts w:hint="eastAsia" w:ascii="宋体" w:hAnsi="宋体" w:eastAsia="宋体" w:cs="宋体"/>
                      <w:color w:val="auto"/>
                      <w:kern w:val="0"/>
                      <w:sz w:val="21"/>
                      <w:szCs w:val="21"/>
                      <w:highlight w:val="none"/>
                      <w:lang w:val="en-US" w:eastAsia="zh-CN"/>
                    </w:rPr>
                    <w:t>台</w:t>
                  </w:r>
                </w:p>
              </w:tc>
              <w:tc>
                <w:tcPr>
                  <w:tcW w:w="6" w:type="dxa"/>
                  <w:tcBorders>
                    <w:top w:val="single" w:color="auto" w:sz="4" w:space="0"/>
                    <w:left w:val="single" w:color="auto" w:sz="4" w:space="0"/>
                    <w:bottom w:val="single" w:color="auto" w:sz="4" w:space="0"/>
                    <w:right w:val="single" w:color="auto" w:sz="4" w:space="0"/>
                  </w:tcBorders>
                  <w:vAlign w:val="center"/>
                </w:tcPr>
                <w:p w14:paraId="1DCBB403">
                  <w:pPr>
                    <w:widowControl/>
                    <w:spacing w:line="360" w:lineRule="auto"/>
                    <w:rPr>
                      <w:rFonts w:hint="eastAsia" w:ascii="宋体" w:hAnsi="宋体" w:eastAsia="宋体" w:cs="宋体"/>
                      <w:color w:val="auto"/>
                      <w:kern w:val="0"/>
                      <w:sz w:val="21"/>
                      <w:szCs w:val="21"/>
                      <w:highlight w:val="none"/>
                    </w:rPr>
                  </w:pPr>
                </w:p>
              </w:tc>
            </w:tr>
            <w:tr w14:paraId="03D1F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767" w:type="dxa"/>
                  <w:tcBorders>
                    <w:top w:val="single" w:color="auto" w:sz="4" w:space="0"/>
                    <w:left w:val="single" w:color="auto" w:sz="4" w:space="0"/>
                    <w:bottom w:val="single" w:color="auto" w:sz="4" w:space="0"/>
                    <w:right w:val="single" w:color="auto" w:sz="4" w:space="0"/>
                  </w:tcBorders>
                  <w:vAlign w:val="center"/>
                </w:tcPr>
                <w:p w14:paraId="1F77509B">
                  <w:pPr>
                    <w:widowControl/>
                    <w:spacing w:line="36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安全急停控制装置*1</w:t>
                  </w:r>
                  <w:r>
                    <w:rPr>
                      <w:rFonts w:hint="eastAsia" w:ascii="宋体" w:hAnsi="宋体" w:eastAsia="宋体" w:cs="宋体"/>
                      <w:color w:val="auto"/>
                      <w:kern w:val="0"/>
                      <w:sz w:val="21"/>
                      <w:szCs w:val="21"/>
                      <w:highlight w:val="none"/>
                      <w:lang w:val="en-US" w:eastAsia="zh-CN"/>
                    </w:rPr>
                    <w:t>个</w:t>
                  </w:r>
                </w:p>
              </w:tc>
              <w:tc>
                <w:tcPr>
                  <w:tcW w:w="6" w:type="dxa"/>
                  <w:tcBorders>
                    <w:top w:val="single" w:color="auto" w:sz="4" w:space="0"/>
                    <w:left w:val="single" w:color="auto" w:sz="4" w:space="0"/>
                    <w:bottom w:val="single" w:color="auto" w:sz="4" w:space="0"/>
                    <w:right w:val="single" w:color="auto" w:sz="4" w:space="0"/>
                  </w:tcBorders>
                  <w:vAlign w:val="center"/>
                </w:tcPr>
                <w:p w14:paraId="2A09E2F7">
                  <w:pPr>
                    <w:widowControl/>
                    <w:spacing w:line="360" w:lineRule="auto"/>
                    <w:rPr>
                      <w:rFonts w:hint="eastAsia" w:ascii="宋体" w:hAnsi="宋体" w:eastAsia="宋体" w:cs="宋体"/>
                      <w:color w:val="auto"/>
                      <w:kern w:val="0"/>
                      <w:sz w:val="21"/>
                      <w:szCs w:val="21"/>
                      <w:highlight w:val="none"/>
                    </w:rPr>
                  </w:pPr>
                </w:p>
              </w:tc>
            </w:tr>
            <w:tr w14:paraId="4EE8A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767" w:type="dxa"/>
                  <w:tcBorders>
                    <w:top w:val="single" w:color="auto" w:sz="4" w:space="0"/>
                    <w:left w:val="single" w:color="auto" w:sz="4" w:space="0"/>
                    <w:bottom w:val="single" w:color="auto" w:sz="4" w:space="0"/>
                    <w:right w:val="single" w:color="auto" w:sz="4" w:space="0"/>
                  </w:tcBorders>
                  <w:vAlign w:val="center"/>
                </w:tcPr>
                <w:p w14:paraId="2CD7A780">
                  <w:pPr>
                    <w:widowControl/>
                    <w:spacing w:line="36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双关节折叠式头枕*1</w:t>
                  </w:r>
                  <w:r>
                    <w:rPr>
                      <w:rFonts w:hint="eastAsia" w:ascii="宋体" w:hAnsi="宋体" w:eastAsia="宋体" w:cs="宋体"/>
                      <w:color w:val="auto"/>
                      <w:kern w:val="0"/>
                      <w:sz w:val="21"/>
                      <w:szCs w:val="21"/>
                      <w:highlight w:val="none"/>
                      <w:lang w:val="en-US" w:eastAsia="zh-CN"/>
                    </w:rPr>
                    <w:t>个</w:t>
                  </w:r>
                </w:p>
              </w:tc>
              <w:tc>
                <w:tcPr>
                  <w:tcW w:w="6" w:type="dxa"/>
                  <w:tcBorders>
                    <w:top w:val="single" w:color="auto" w:sz="4" w:space="0"/>
                    <w:left w:val="single" w:color="auto" w:sz="4" w:space="0"/>
                    <w:bottom w:val="single" w:color="auto" w:sz="4" w:space="0"/>
                    <w:right w:val="single" w:color="auto" w:sz="4" w:space="0"/>
                  </w:tcBorders>
                  <w:vAlign w:val="center"/>
                </w:tcPr>
                <w:p w14:paraId="5206BE14">
                  <w:pPr>
                    <w:widowControl/>
                    <w:spacing w:line="360" w:lineRule="auto"/>
                    <w:rPr>
                      <w:rFonts w:hint="eastAsia" w:ascii="宋体" w:hAnsi="宋体" w:eastAsia="宋体" w:cs="宋体"/>
                      <w:color w:val="auto"/>
                      <w:kern w:val="0"/>
                      <w:sz w:val="21"/>
                      <w:szCs w:val="21"/>
                      <w:highlight w:val="none"/>
                    </w:rPr>
                  </w:pPr>
                </w:p>
              </w:tc>
            </w:tr>
            <w:tr w14:paraId="3CAB0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767" w:type="dxa"/>
                  <w:tcBorders>
                    <w:top w:val="single" w:color="auto" w:sz="4" w:space="0"/>
                    <w:left w:val="single" w:color="auto" w:sz="4" w:space="0"/>
                    <w:bottom w:val="single" w:color="auto" w:sz="4" w:space="0"/>
                    <w:right w:val="single" w:color="auto" w:sz="4" w:space="0"/>
                  </w:tcBorders>
                  <w:vAlign w:val="center"/>
                </w:tcPr>
                <w:p w14:paraId="3D31CA2A">
                  <w:pPr>
                    <w:widowControl/>
                    <w:spacing w:line="36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eastAsia="zh-CN"/>
                    </w:rPr>
                    <w:t>头枕硅胶套</w:t>
                  </w: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个</w:t>
                  </w:r>
                </w:p>
              </w:tc>
              <w:tc>
                <w:tcPr>
                  <w:tcW w:w="6" w:type="dxa"/>
                  <w:tcBorders>
                    <w:top w:val="single" w:color="auto" w:sz="4" w:space="0"/>
                    <w:left w:val="single" w:color="auto" w:sz="4" w:space="0"/>
                    <w:bottom w:val="single" w:color="auto" w:sz="4" w:space="0"/>
                    <w:right w:val="single" w:color="auto" w:sz="4" w:space="0"/>
                  </w:tcBorders>
                  <w:vAlign w:val="center"/>
                </w:tcPr>
                <w:p w14:paraId="5885CBE7">
                  <w:pPr>
                    <w:widowControl/>
                    <w:spacing w:line="360" w:lineRule="auto"/>
                    <w:rPr>
                      <w:rFonts w:hint="eastAsia" w:ascii="宋体" w:hAnsi="宋体" w:eastAsia="宋体" w:cs="宋体"/>
                      <w:color w:val="auto"/>
                      <w:kern w:val="0"/>
                      <w:sz w:val="21"/>
                      <w:szCs w:val="21"/>
                      <w:highlight w:val="none"/>
                    </w:rPr>
                  </w:pPr>
                </w:p>
              </w:tc>
            </w:tr>
          </w:tbl>
          <w:p w14:paraId="7157C0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p>
        </w:tc>
        <w:tc>
          <w:tcPr>
            <w:tcW w:w="1223" w:type="dxa"/>
            <w:tcBorders>
              <w:top w:val="single" w:color="auto" w:sz="4" w:space="0"/>
              <w:left w:val="single" w:color="auto" w:sz="4" w:space="0"/>
              <w:bottom w:val="single" w:color="auto" w:sz="4" w:space="0"/>
              <w:right w:val="single" w:color="auto" w:sz="4" w:space="0"/>
            </w:tcBorders>
            <w:vAlign w:val="center"/>
          </w:tcPr>
          <w:p w14:paraId="5946317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i w:val="0"/>
                <w:iCs w:val="0"/>
                <w:color w:val="auto"/>
                <w:kern w:val="0"/>
                <w:sz w:val="22"/>
                <w:szCs w:val="22"/>
                <w:highlight w:val="none"/>
                <w:u w:val="none"/>
                <w:lang w:val="en-US" w:eastAsia="zh-CN"/>
              </w:rPr>
              <w:t>30195.00</w:t>
            </w:r>
          </w:p>
        </w:tc>
      </w:tr>
      <w:tr w14:paraId="3ABA0A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47" w:hRule="atLeast"/>
          <w:jc w:val="center"/>
        </w:trPr>
        <w:tc>
          <w:tcPr>
            <w:tcW w:w="545" w:type="dxa"/>
            <w:tcBorders>
              <w:top w:val="single" w:color="auto" w:sz="4" w:space="0"/>
              <w:left w:val="single" w:color="auto" w:sz="4" w:space="0"/>
              <w:bottom w:val="single" w:color="auto" w:sz="4" w:space="0"/>
              <w:right w:val="single" w:color="auto" w:sz="4" w:space="0"/>
            </w:tcBorders>
            <w:vAlign w:val="center"/>
          </w:tcPr>
          <w:p w14:paraId="36EB292A">
            <w:pPr>
              <w:jc w:val="center"/>
              <w:rPr>
                <w:rFonts w:hint="eastAsia" w:ascii="宋体" w:hAnsi="宋体" w:eastAsia="宋体" w:cs="宋体"/>
                <w:color w:val="auto"/>
                <w:highlight w:val="none"/>
              </w:rPr>
            </w:pPr>
            <w:r>
              <w:rPr>
                <w:rFonts w:hint="eastAsia" w:ascii="宋体" w:hAnsi="宋体" w:eastAsia="宋体" w:cs="宋体"/>
                <w:color w:val="auto"/>
                <w:highlight w:val="none"/>
              </w:rPr>
              <w:t>商务条款</w:t>
            </w:r>
          </w:p>
        </w:tc>
        <w:tc>
          <w:tcPr>
            <w:tcW w:w="9576" w:type="dxa"/>
            <w:gridSpan w:val="5"/>
            <w:tcBorders>
              <w:top w:val="single" w:color="auto" w:sz="4" w:space="0"/>
              <w:left w:val="single" w:color="auto" w:sz="4" w:space="0"/>
              <w:bottom w:val="single" w:color="auto" w:sz="4" w:space="0"/>
              <w:right w:val="single" w:color="auto" w:sz="4" w:space="0"/>
            </w:tcBorders>
          </w:tcPr>
          <w:p w14:paraId="62FCAB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一、合同签订期：自中标通知书发出之日起25日内。</w:t>
            </w:r>
          </w:p>
          <w:p w14:paraId="697863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 xml:space="preserve">二、交付时间：自合同签订之日起30日内安装调试完毕并验收合格交付使用。 </w:t>
            </w:r>
          </w:p>
          <w:p w14:paraId="044523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三、交付地点：天等县内采购人指定地点。</w:t>
            </w:r>
          </w:p>
          <w:p w14:paraId="774F8305">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highlight w:val="none"/>
              </w:rPr>
              <w:t>四、验收标准、规范：</w:t>
            </w:r>
            <w:r>
              <w:rPr>
                <w:rFonts w:hint="eastAsia" w:ascii="宋体" w:hAnsi="宋体" w:eastAsia="宋体" w:cs="宋体"/>
                <w:color w:val="auto"/>
                <w:kern w:val="0"/>
                <w:sz w:val="21"/>
                <w:szCs w:val="21"/>
                <w:highlight w:val="none"/>
                <w:lang w:val="en-US" w:eastAsia="zh-CN"/>
              </w:rPr>
              <w:t>依据</w:t>
            </w:r>
            <w:r>
              <w:rPr>
                <w:rFonts w:hint="eastAsia" w:ascii="宋体" w:hAnsi="宋体" w:eastAsia="宋体" w:cs="宋体"/>
                <w:color w:val="auto"/>
                <w:kern w:val="0"/>
                <w:sz w:val="21"/>
                <w:szCs w:val="21"/>
                <w:highlight w:val="none"/>
              </w:rPr>
              <w:t>国家有关规定</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采购文件的要求</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投标人</w:t>
            </w:r>
            <w:r>
              <w:rPr>
                <w:rFonts w:hint="eastAsia" w:ascii="宋体" w:hAnsi="宋体" w:eastAsia="宋体" w:cs="宋体"/>
                <w:color w:val="auto"/>
                <w:kern w:val="0"/>
                <w:sz w:val="21"/>
                <w:szCs w:val="21"/>
                <w:highlight w:val="none"/>
              </w:rPr>
              <w:t>的</w:t>
            </w:r>
            <w:r>
              <w:rPr>
                <w:rFonts w:hint="eastAsia" w:ascii="宋体" w:hAnsi="宋体" w:eastAsia="宋体" w:cs="宋体"/>
                <w:color w:val="auto"/>
                <w:kern w:val="0"/>
                <w:sz w:val="21"/>
                <w:szCs w:val="21"/>
                <w:highlight w:val="none"/>
                <w:lang w:eastAsia="zh-CN"/>
              </w:rPr>
              <w:t>投标文件</w:t>
            </w:r>
            <w:r>
              <w:rPr>
                <w:rFonts w:hint="eastAsia" w:ascii="宋体" w:hAnsi="宋体" w:eastAsia="宋体" w:cs="宋体"/>
                <w:color w:val="auto"/>
                <w:kern w:val="0"/>
                <w:sz w:val="21"/>
                <w:szCs w:val="21"/>
                <w:highlight w:val="none"/>
              </w:rPr>
              <w:t>及承诺与本合同约定标准进行验收</w:t>
            </w:r>
            <w:r>
              <w:rPr>
                <w:rFonts w:hint="eastAsia" w:ascii="宋体" w:hAnsi="宋体" w:eastAsia="宋体" w:cs="宋体"/>
                <w:color w:val="auto"/>
                <w:kern w:val="0"/>
                <w:sz w:val="21"/>
                <w:szCs w:val="21"/>
                <w:highlight w:val="none"/>
                <w:lang w:eastAsia="zh-CN"/>
              </w:rPr>
              <w:t>。</w:t>
            </w:r>
          </w:p>
          <w:p w14:paraId="342FEF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五、售后服务要求：</w:t>
            </w:r>
          </w:p>
          <w:p w14:paraId="01A446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1、质量保证期：按国家有关产品“三包”规定执行“三包”，免费协助采购单位进行安装场地设计，免费安装、调试，安装应符合国家行业相关标准、规范及规定。质保期除特别注明外，最短不得少于</w:t>
            </w:r>
            <w:r>
              <w:rPr>
                <w:rFonts w:hint="eastAsia" w:ascii="宋体" w:hAnsi="宋体" w:eastAsia="宋体" w:cs="宋体"/>
                <w:color w:val="auto"/>
                <w:kern w:val="2"/>
                <w:sz w:val="21"/>
                <w:szCs w:val="20"/>
                <w:highlight w:val="none"/>
                <w:u w:val="single"/>
                <w:lang w:val="en-US" w:eastAsia="zh-CN" w:bidi="ar-SA"/>
              </w:rPr>
              <w:t xml:space="preserve"> 1   </w:t>
            </w:r>
            <w:r>
              <w:rPr>
                <w:rFonts w:hint="eastAsia" w:ascii="宋体" w:hAnsi="宋体" w:eastAsia="宋体" w:cs="宋体"/>
                <w:color w:val="auto"/>
                <w:kern w:val="2"/>
                <w:sz w:val="21"/>
                <w:szCs w:val="20"/>
                <w:highlight w:val="none"/>
                <w:lang w:val="en-US" w:eastAsia="zh-CN" w:bidi="ar-SA"/>
              </w:rPr>
              <w:t>年（自双方验收合格之日起计）；质保期内负责上门服务、维修、更换配件，不得收取任何费用。</w:t>
            </w:r>
          </w:p>
          <w:p w14:paraId="527A80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2、响应时间：设备在使用过程中发生质量问题，供应商技术人员在接到采购人通知后12小时响应，24小时内到达采购人指定现场解决处理。</w:t>
            </w:r>
          </w:p>
          <w:p w14:paraId="7E5D04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3、质保期内免费为采购单位提供完善的设备操作培训和维修技术人员的培训，确保采购单位有关人员能独立操作使用设备；培训人数由采购单位确定。</w:t>
            </w:r>
          </w:p>
          <w:p w14:paraId="7978FF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4、采购人及</w:t>
            </w:r>
            <w:r>
              <w:rPr>
                <w:rFonts w:hint="eastAsia" w:ascii="宋体" w:hAnsi="宋体" w:cs="宋体"/>
                <w:color w:val="auto"/>
                <w:kern w:val="2"/>
                <w:sz w:val="21"/>
                <w:szCs w:val="20"/>
                <w:highlight w:val="none"/>
                <w:lang w:val="en-US" w:eastAsia="zh-CN" w:bidi="ar-SA"/>
              </w:rPr>
              <w:t>中标人</w:t>
            </w:r>
            <w:r>
              <w:rPr>
                <w:rFonts w:hint="eastAsia" w:ascii="宋体" w:hAnsi="宋体" w:eastAsia="宋体" w:cs="宋体"/>
                <w:color w:val="auto"/>
                <w:kern w:val="2"/>
                <w:sz w:val="21"/>
                <w:szCs w:val="20"/>
                <w:highlight w:val="none"/>
                <w:lang w:val="en-US" w:eastAsia="zh-CN" w:bidi="ar-SA"/>
              </w:rPr>
              <w:t>双方必须安排人员到场，采购人只负责协调及监督工作，</w:t>
            </w:r>
            <w:r>
              <w:rPr>
                <w:rFonts w:hint="eastAsia" w:ascii="宋体" w:hAnsi="宋体" w:cs="宋体"/>
                <w:color w:val="auto"/>
                <w:kern w:val="2"/>
                <w:sz w:val="21"/>
                <w:szCs w:val="20"/>
                <w:highlight w:val="none"/>
                <w:lang w:val="en-US" w:eastAsia="zh-CN" w:bidi="ar-SA"/>
              </w:rPr>
              <w:t>中标人</w:t>
            </w:r>
            <w:r>
              <w:rPr>
                <w:rFonts w:hint="eastAsia" w:ascii="宋体" w:hAnsi="宋体" w:eastAsia="宋体" w:cs="宋体"/>
                <w:color w:val="auto"/>
                <w:kern w:val="2"/>
                <w:sz w:val="21"/>
                <w:szCs w:val="20"/>
                <w:highlight w:val="none"/>
                <w:lang w:val="en-US" w:eastAsia="zh-CN" w:bidi="ar-SA"/>
              </w:rPr>
              <w:t>应当安排足够人员到场负责进行装卸、调试</w:t>
            </w:r>
            <w:r>
              <w:rPr>
                <w:rFonts w:hint="eastAsia" w:ascii="宋体" w:hAnsi="宋体" w:cs="宋体"/>
                <w:color w:val="auto"/>
                <w:kern w:val="2"/>
                <w:sz w:val="21"/>
                <w:szCs w:val="20"/>
                <w:highlight w:val="none"/>
                <w:lang w:val="en-US" w:eastAsia="zh-CN" w:bidi="ar-SA"/>
              </w:rPr>
              <w:t>，</w:t>
            </w:r>
            <w:r>
              <w:rPr>
                <w:rFonts w:hint="eastAsia" w:ascii="宋体" w:hAnsi="宋体" w:eastAsia="宋体" w:cs="宋体"/>
                <w:color w:val="auto"/>
                <w:kern w:val="2"/>
                <w:sz w:val="21"/>
                <w:szCs w:val="20"/>
                <w:highlight w:val="none"/>
                <w:lang w:val="en-US" w:eastAsia="zh-CN" w:bidi="ar-SA"/>
              </w:rPr>
              <w:t>清理装机产生的木箱等工作。</w:t>
            </w:r>
          </w:p>
          <w:p w14:paraId="7170E0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5、每半年至少进行一次定期回访以及对设备保养。</w:t>
            </w:r>
          </w:p>
          <w:p w14:paraId="492B93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6、供应商应保证提供的是最新软件版本、全新未经使用的合格产品。</w:t>
            </w:r>
            <w:r>
              <w:rPr>
                <w:rFonts w:hint="eastAsia" w:ascii="宋体" w:hAnsi="宋体" w:eastAsia="宋体" w:cs="宋体"/>
                <w:color w:val="auto"/>
                <w:kern w:val="2"/>
                <w:sz w:val="21"/>
                <w:szCs w:val="20"/>
                <w:highlight w:val="none"/>
                <w:lang w:val="en-US" w:eastAsia="zh-CN" w:bidi="ar-SA"/>
              </w:rPr>
              <w:br w:type="textWrapping"/>
            </w:r>
            <w:r>
              <w:rPr>
                <w:rFonts w:hint="eastAsia" w:ascii="宋体" w:hAnsi="宋体" w:eastAsia="宋体" w:cs="宋体"/>
                <w:color w:val="auto"/>
                <w:kern w:val="2"/>
                <w:sz w:val="21"/>
                <w:szCs w:val="20"/>
                <w:highlight w:val="none"/>
                <w:lang w:val="en-US" w:eastAsia="zh-CN" w:bidi="ar-SA"/>
              </w:rPr>
              <w:t>六、其他要求：</w:t>
            </w:r>
            <w:r>
              <w:rPr>
                <w:rFonts w:hint="eastAsia" w:ascii="宋体" w:hAnsi="宋体" w:eastAsia="宋体" w:cs="宋体"/>
                <w:color w:val="auto"/>
                <w:kern w:val="2"/>
                <w:sz w:val="21"/>
                <w:szCs w:val="20"/>
                <w:highlight w:val="none"/>
                <w:lang w:val="en-US" w:eastAsia="zh-CN" w:bidi="ar-SA"/>
              </w:rPr>
              <w:br w:type="textWrapping"/>
            </w:r>
            <w:r>
              <w:rPr>
                <w:rFonts w:hint="eastAsia" w:ascii="宋体" w:hAnsi="宋体" w:eastAsia="宋体" w:cs="宋体"/>
                <w:color w:val="auto"/>
                <w:kern w:val="2"/>
                <w:sz w:val="21"/>
                <w:szCs w:val="20"/>
                <w:highlight w:val="none"/>
                <w:lang w:val="en-US" w:eastAsia="zh-CN" w:bidi="ar-SA"/>
              </w:rPr>
              <w:t>1、报价必须含以下部分，包括：</w:t>
            </w:r>
          </w:p>
          <w:p w14:paraId="1B47A2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（1）货物的价格；</w:t>
            </w:r>
          </w:p>
          <w:p w14:paraId="74D967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（2）必要的保险费用和各项税金；</w:t>
            </w:r>
          </w:p>
          <w:p w14:paraId="7152E1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 xml:space="preserve">（3）运输、安装、调试、培训、技术支持、售后服务等费用。 </w:t>
            </w:r>
          </w:p>
          <w:p w14:paraId="5CD612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2、付款方式：</w:t>
            </w:r>
          </w:p>
          <w:p w14:paraId="3B1EA6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eastAsia="宋体" w:cs="宋体"/>
                <w:color w:val="auto"/>
                <w:kern w:val="2"/>
                <w:sz w:val="21"/>
                <w:szCs w:val="20"/>
                <w:highlight w:val="none"/>
                <w:lang w:val="en-US" w:eastAsia="zh-CN" w:bidi="ar-SA"/>
              </w:rPr>
            </w:pPr>
            <w:r>
              <w:rPr>
                <w:rFonts w:hint="eastAsia" w:ascii="宋体" w:hAnsi="宋体" w:eastAsia="宋体" w:cs="宋体"/>
                <w:color w:val="auto"/>
                <w:kern w:val="2"/>
                <w:sz w:val="21"/>
                <w:szCs w:val="20"/>
                <w:highlight w:val="none"/>
                <w:lang w:val="en-US" w:eastAsia="zh-CN" w:bidi="ar-SA"/>
              </w:rPr>
              <w:t>本项目无预付款，货物甲方（采购方）书面验收合格后，乙方将发票交甲方，甲方向财政局提交用款申请，待财政局批复后支付合同款。鉴于本项目合同款项系使用财政资金支付，甲方付款须以财政预算资金下达为前提，如因财政预算调整或未下达导致甲方无法按约付款，付款期限自动顺延至预算批复后，甲方在验收合格后向财政部门申请付款，</w:t>
            </w:r>
            <w:r>
              <w:rPr>
                <w:rFonts w:hint="eastAsia" w:ascii="宋体" w:hAnsi="宋体" w:cs="宋体"/>
                <w:color w:val="auto"/>
                <w:kern w:val="2"/>
                <w:sz w:val="21"/>
                <w:szCs w:val="20"/>
                <w:highlight w:val="none"/>
                <w:lang w:val="en-US" w:eastAsia="zh-CN" w:bidi="ar-SA"/>
              </w:rPr>
              <w:t>即视为</w:t>
            </w:r>
            <w:r>
              <w:rPr>
                <w:rFonts w:hint="eastAsia" w:ascii="宋体" w:hAnsi="宋体" w:eastAsia="宋体" w:cs="宋体"/>
                <w:color w:val="auto"/>
                <w:kern w:val="2"/>
                <w:sz w:val="21"/>
                <w:szCs w:val="20"/>
                <w:highlight w:val="none"/>
                <w:lang w:val="en-US" w:eastAsia="zh-CN" w:bidi="ar-SA"/>
              </w:rPr>
              <w:t>甲方已履行支付义务，具体付款时间以财政部门批复并支付为准。</w:t>
            </w:r>
          </w:p>
        </w:tc>
      </w:tr>
      <w:tr w14:paraId="08B0C7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16" w:hRule="atLeast"/>
          <w:jc w:val="center"/>
        </w:trPr>
        <w:tc>
          <w:tcPr>
            <w:tcW w:w="545" w:type="dxa"/>
            <w:tcBorders>
              <w:top w:val="single" w:color="auto" w:sz="4" w:space="0"/>
              <w:left w:val="single" w:color="auto" w:sz="4" w:space="0"/>
              <w:bottom w:val="single" w:color="auto" w:sz="4" w:space="0"/>
              <w:right w:val="single" w:color="auto" w:sz="4" w:space="0"/>
            </w:tcBorders>
            <w:vAlign w:val="center"/>
          </w:tcPr>
          <w:p w14:paraId="459658FD">
            <w:pPr>
              <w:jc w:val="center"/>
              <w:rPr>
                <w:rFonts w:hint="eastAsia" w:ascii="宋体" w:hAnsi="宋体" w:eastAsia="宋体" w:cs="宋体"/>
                <w:color w:val="auto"/>
                <w:highlight w:val="none"/>
              </w:rPr>
            </w:pPr>
            <w:r>
              <w:rPr>
                <w:rFonts w:hint="eastAsia" w:ascii="宋体" w:hAnsi="宋体" w:eastAsia="宋体" w:cs="宋体"/>
                <w:color w:val="auto"/>
                <w:highlight w:val="none"/>
              </w:rPr>
              <w:t>其他说明</w:t>
            </w:r>
          </w:p>
        </w:tc>
        <w:tc>
          <w:tcPr>
            <w:tcW w:w="9576" w:type="dxa"/>
            <w:gridSpan w:val="5"/>
            <w:tcBorders>
              <w:top w:val="single" w:color="auto" w:sz="4" w:space="0"/>
              <w:left w:val="single" w:color="auto" w:sz="4" w:space="0"/>
              <w:bottom w:val="single" w:color="auto" w:sz="4" w:space="0"/>
              <w:right w:val="single" w:color="auto" w:sz="4" w:space="0"/>
            </w:tcBorders>
          </w:tcPr>
          <w:p w14:paraId="1B926897">
            <w:pPr>
              <w:widowControl/>
              <w:tabs>
                <w:tab w:val="left" w:pos="180"/>
                <w:tab w:val="left" w:pos="1620"/>
              </w:tabs>
              <w:spacing w:line="360" w:lineRule="auto"/>
              <w:rPr>
                <w:rFonts w:ascii="宋体" w:hAnsi="宋体" w:eastAsia="宋体" w:cs="宋体"/>
                <w:color w:val="auto"/>
                <w:szCs w:val="21"/>
                <w:highlight w:val="none"/>
              </w:rPr>
            </w:pPr>
            <w:r>
              <w:rPr>
                <w:rFonts w:hint="eastAsia" w:ascii="宋体" w:hAnsi="宋体" w:eastAsia="宋体" w:cs="宋体"/>
                <w:color w:val="auto"/>
                <w:szCs w:val="21"/>
                <w:highlight w:val="none"/>
              </w:rPr>
              <w:t>一、进口产品说明：</w:t>
            </w:r>
          </w:p>
          <w:p w14:paraId="038BC838">
            <w:pPr>
              <w:widowControl/>
              <w:tabs>
                <w:tab w:val="left" w:pos="180"/>
                <w:tab w:val="left" w:pos="1620"/>
              </w:tabs>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本表的第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货物已按规定办妥进口产品采购审核手续，投标产品可选用进口产品；但如选用进口产品时必须为全套全新原装进口产品（即通过中国海关报关验放进入中国境内且产自关境外的产品），要求：①中标人负责办理进口设备的相关手续及承担相关的所有费用（含办理免税证的费用）；②采购人将协助具有进出口业务代理资质的</w:t>
            </w:r>
            <w:r>
              <w:rPr>
                <w:rFonts w:hint="eastAsia" w:ascii="宋体" w:hAnsi="宋体" w:cs="宋体"/>
                <w:color w:val="auto"/>
                <w:szCs w:val="21"/>
                <w:highlight w:val="none"/>
                <w:lang w:eastAsia="zh-CN"/>
              </w:rPr>
              <w:t>中标人</w:t>
            </w:r>
            <w:r>
              <w:rPr>
                <w:rFonts w:hint="eastAsia" w:ascii="宋体" w:hAnsi="宋体" w:eastAsia="宋体" w:cs="宋体"/>
                <w:color w:val="auto"/>
                <w:szCs w:val="21"/>
                <w:highlight w:val="none"/>
              </w:rPr>
              <w:t>办理上述进口货物的免关税手续，如投标人不具备进出口业务代理资质，则其报价中必须包含关税在内的所有税费。</w:t>
            </w:r>
          </w:p>
          <w:p w14:paraId="356E6985">
            <w:pPr>
              <w:widowControl/>
              <w:tabs>
                <w:tab w:val="left" w:pos="180"/>
                <w:tab w:val="left" w:pos="1620"/>
              </w:tabs>
              <w:spacing w:line="360" w:lineRule="auto"/>
              <w:rPr>
                <w:rFonts w:ascii="宋体" w:hAnsi="宋体" w:eastAsia="宋体" w:cs="宋体"/>
                <w:color w:val="auto"/>
                <w:szCs w:val="21"/>
                <w:highlight w:val="none"/>
              </w:rPr>
            </w:pPr>
            <w:r>
              <w:rPr>
                <w:rFonts w:hint="eastAsia" w:ascii="宋体" w:hAnsi="宋体" w:eastAsia="宋体" w:cs="宋体"/>
                <w:color w:val="auto"/>
                <w:szCs w:val="21"/>
                <w:highlight w:val="none"/>
              </w:rPr>
              <w:t>优先采购向我国企业转让技术、与我国企业签订消化吸收再创新方案的投标人的进口产品。</w:t>
            </w:r>
          </w:p>
          <w:p w14:paraId="723CF624">
            <w:pPr>
              <w:widowControl/>
              <w:tabs>
                <w:tab w:val="left" w:pos="180"/>
                <w:tab w:val="left" w:pos="1620"/>
              </w:tabs>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本项目货物不接受进口产品（即通过中国海关报关验放进入中国境内且产自关境外的产品）参与投标，如有进口产品参与投标的作无效标处理。</w:t>
            </w:r>
          </w:p>
          <w:p w14:paraId="7976268C">
            <w:pPr>
              <w:widowControl/>
              <w:tabs>
                <w:tab w:val="left" w:pos="180"/>
                <w:tab w:val="left" w:pos="1620"/>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根据《国务院办公厅关于在政府采购中实施本国产品标准及相关政策的通知》（国办发〔2025〕34号）的规定，政府采购活动中既有本国产品又有非本国产品参与竞争的，依法对符合政策要求的本国产品给予价格评审优惠，具体详见“第四章 评标方法和评标标准”。产品在中国境内生产的组件成本，按照《中国境内生产的组件成本核算基本规则》（见附件3）计算。</w:t>
            </w:r>
          </w:p>
          <w:p w14:paraId="726CA401">
            <w:pPr>
              <w:widowControl/>
              <w:tabs>
                <w:tab w:val="left" w:pos="180"/>
                <w:tab w:val="left" w:pos="1620"/>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三、与本项目有关的设计图纸、技术规范、文件等附件资料及其获取方式：</w:t>
            </w:r>
          </w:p>
          <w:p w14:paraId="1BF56208">
            <w:pPr>
              <w:widowControl/>
              <w:tabs>
                <w:tab w:val="left" w:pos="180"/>
                <w:tab w:val="left" w:pos="1620"/>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文件或者资料名称：无</w:t>
            </w:r>
          </w:p>
          <w:p w14:paraId="6BA3BBAE">
            <w:pPr>
              <w:widowControl/>
              <w:tabs>
                <w:tab w:val="left" w:pos="180"/>
                <w:tab w:val="left" w:pos="1620"/>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公布渠道或者获取方式：无        </w:t>
            </w:r>
          </w:p>
          <w:p w14:paraId="7519E0AD">
            <w:pPr>
              <w:widowControl/>
              <w:tabs>
                <w:tab w:val="left" w:pos="180"/>
                <w:tab w:val="left" w:pos="1620"/>
              </w:tabs>
              <w:spacing w:line="360" w:lineRule="auto"/>
              <w:rPr>
                <w:rFonts w:ascii="宋体" w:hAnsi="宋体" w:eastAsia="宋体" w:cs="宋体"/>
                <w:color w:val="auto"/>
                <w:szCs w:val="21"/>
                <w:highlight w:val="none"/>
              </w:rPr>
            </w:pPr>
            <w:r>
              <w:rPr>
                <w:rFonts w:hint="eastAsia" w:ascii="宋体" w:hAnsi="宋体" w:cs="宋体"/>
                <w:color w:val="auto"/>
                <w:szCs w:val="21"/>
                <w:highlight w:val="none"/>
                <w:lang w:val="en-US" w:eastAsia="zh-CN"/>
              </w:rPr>
              <w:t>四</w:t>
            </w:r>
            <w:r>
              <w:rPr>
                <w:rFonts w:hint="eastAsia" w:ascii="宋体" w:hAnsi="宋体" w:eastAsia="宋体" w:cs="宋体"/>
                <w:color w:val="auto"/>
                <w:szCs w:val="21"/>
                <w:highlight w:val="none"/>
              </w:rPr>
              <w:t>、核心产品：</w:t>
            </w:r>
          </w:p>
          <w:p w14:paraId="1AA0C658">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szCs w:val="21"/>
                <w:highlight w:val="none"/>
              </w:rPr>
              <w:t>本项目的核心产品为“需求一览表”中第</w:t>
            </w:r>
            <w:r>
              <w:rPr>
                <w:rFonts w:hint="eastAsia" w:ascii="宋体" w:hAnsi="宋体" w:cs="宋体"/>
                <w:color w:val="auto"/>
                <w:szCs w:val="21"/>
                <w:highlight w:val="none"/>
                <w:u w:val="single"/>
                <w:lang w:val="en-US" w:eastAsia="zh-CN"/>
              </w:rPr>
              <w:t>5</w:t>
            </w:r>
            <w:r>
              <w:rPr>
                <w:rFonts w:hint="eastAsia" w:ascii="宋体" w:hAnsi="宋体" w:eastAsia="宋体" w:cs="宋体"/>
                <w:color w:val="auto"/>
                <w:szCs w:val="21"/>
                <w:highlight w:val="none"/>
              </w:rPr>
              <w:t>项产品：“</w:t>
            </w:r>
            <w:r>
              <w:rPr>
                <w:rFonts w:hint="eastAsia" w:ascii="宋体" w:hAnsi="宋体" w:cs="宋体"/>
                <w:color w:val="auto"/>
                <w:szCs w:val="21"/>
                <w:highlight w:val="none"/>
                <w:lang w:val="en-US" w:eastAsia="zh-CN"/>
              </w:rPr>
              <w:t>彩色B超机</w:t>
            </w:r>
            <w:r>
              <w:rPr>
                <w:rFonts w:hint="eastAsia" w:ascii="宋体" w:hAnsi="宋体" w:eastAsia="宋体" w:cs="宋体"/>
                <w:color w:val="auto"/>
                <w:szCs w:val="21"/>
                <w:highlight w:val="none"/>
              </w:rPr>
              <w:t>”。</w:t>
            </w:r>
          </w:p>
        </w:tc>
      </w:tr>
      <w:tr w14:paraId="72B0CC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6" w:hRule="atLeast"/>
          <w:jc w:val="center"/>
        </w:trPr>
        <w:tc>
          <w:tcPr>
            <w:tcW w:w="545" w:type="dxa"/>
            <w:tcBorders>
              <w:top w:val="single" w:color="auto" w:sz="4" w:space="0"/>
              <w:left w:val="single" w:color="auto" w:sz="4" w:space="0"/>
              <w:bottom w:val="single" w:color="auto" w:sz="4" w:space="0"/>
              <w:right w:val="single" w:color="auto" w:sz="4" w:space="0"/>
            </w:tcBorders>
            <w:vAlign w:val="center"/>
          </w:tcPr>
          <w:p w14:paraId="339AE9D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其他要求</w:t>
            </w:r>
          </w:p>
        </w:tc>
        <w:tc>
          <w:tcPr>
            <w:tcW w:w="9576" w:type="dxa"/>
            <w:gridSpan w:val="5"/>
            <w:tcBorders>
              <w:top w:val="single" w:color="auto" w:sz="4" w:space="0"/>
              <w:left w:val="single" w:color="auto" w:sz="4" w:space="0"/>
              <w:bottom w:val="single" w:color="auto" w:sz="4" w:space="0"/>
              <w:right w:val="single" w:color="auto" w:sz="4" w:space="0"/>
            </w:tcBorders>
            <w:vAlign w:val="center"/>
          </w:tcPr>
          <w:p w14:paraId="2DCDAB10">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资料及证明文件</w:t>
            </w:r>
          </w:p>
          <w:p w14:paraId="2EA87545">
            <w:pPr>
              <w:keepNext w:val="0"/>
              <w:keepLines w:val="0"/>
              <w:pageBreakBefore w:val="0"/>
              <w:tabs>
                <w:tab w:val="left" w:pos="180"/>
                <w:tab w:val="left" w:pos="1620"/>
              </w:tabs>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Cs w:val="24"/>
                <w:highlight w:val="none"/>
                <w:u w:val="none"/>
                <w:lang w:val="en-US" w:eastAsia="zh-CN"/>
              </w:rPr>
            </w:pPr>
            <w:r>
              <w:rPr>
                <w:rFonts w:hint="eastAsia" w:ascii="宋体" w:hAnsi="宋体" w:eastAsia="宋体" w:cs="宋体"/>
                <w:color w:val="auto"/>
                <w:sz w:val="21"/>
                <w:szCs w:val="21"/>
                <w:highlight w:val="none"/>
                <w:u w:val="none"/>
              </w:rPr>
              <w:t>▲</w:t>
            </w:r>
            <w:r>
              <w:rPr>
                <w:rFonts w:hint="eastAsia" w:ascii="宋体" w:hAnsi="宋体" w:eastAsia="宋体" w:cs="宋体"/>
                <w:bCs/>
                <w:color w:val="auto"/>
                <w:kern w:val="0"/>
                <w:szCs w:val="21"/>
                <w:highlight w:val="none"/>
                <w:lang w:val="en-US" w:eastAsia="zh-CN"/>
              </w:rPr>
              <w:t>1、</w:t>
            </w:r>
            <w:r>
              <w:rPr>
                <w:rFonts w:hint="eastAsia" w:ascii="宋体" w:hAnsi="宋体" w:eastAsia="宋体" w:cs="宋体"/>
                <w:bCs/>
                <w:color w:val="auto"/>
                <w:kern w:val="0"/>
                <w:szCs w:val="21"/>
                <w:highlight w:val="none"/>
                <w:u w:val="none"/>
                <w:lang w:val="en-US" w:eastAsia="zh-CN"/>
              </w:rPr>
              <w:t>本标项需求一览表中“床头柜”非医疗器械</w:t>
            </w:r>
            <w:r>
              <w:rPr>
                <w:rFonts w:hint="eastAsia" w:ascii="宋体" w:hAnsi="宋体" w:eastAsia="宋体" w:cs="宋体"/>
                <w:color w:val="auto"/>
                <w:szCs w:val="24"/>
                <w:highlight w:val="none"/>
                <w:u w:val="none"/>
                <w:lang w:val="en-US" w:eastAsia="zh-CN"/>
              </w:rPr>
              <w:t>；其余标的均属于第二类医疗器械；</w:t>
            </w:r>
            <w:r>
              <w:rPr>
                <w:rFonts w:hint="eastAsia" w:ascii="宋体" w:hAnsi="宋体" w:eastAsia="宋体" w:cs="宋体"/>
                <w:b w:val="0"/>
                <w:bCs w:val="0"/>
                <w:color w:val="auto"/>
                <w:szCs w:val="21"/>
                <w:highlight w:val="none"/>
                <w:lang w:val="en-US" w:eastAsia="zh-CN"/>
              </w:rPr>
              <w:t>投标人为经销商的，根据所投医疗器械产品的类别提供对应且有效的第二类医疗器械经营备案凭证；投标人为生产厂家的，根据所投医疗器械产品的类别提供相应的《医疗器械生产许可证》</w:t>
            </w:r>
            <w:r>
              <w:rPr>
                <w:rFonts w:hint="eastAsia" w:ascii="宋体" w:hAnsi="宋体" w:eastAsia="宋体" w:cs="宋体"/>
                <w:color w:val="auto"/>
                <w:szCs w:val="24"/>
                <w:highlight w:val="none"/>
                <w:u w:val="none"/>
                <w:lang w:val="en-US" w:eastAsia="zh-CN"/>
              </w:rPr>
              <w:t>，提供相应有效证书复印件。</w:t>
            </w:r>
          </w:p>
          <w:p w14:paraId="309A211B">
            <w:pPr>
              <w:keepNext w:val="0"/>
              <w:keepLines w:val="0"/>
              <w:pageBreakBefore w:val="0"/>
              <w:tabs>
                <w:tab w:val="left" w:pos="180"/>
                <w:tab w:val="left" w:pos="1620"/>
              </w:tabs>
              <w:kinsoku/>
              <w:wordWrap/>
              <w:overflowPunct/>
              <w:topLinePunct w:val="0"/>
              <w:autoSpaceDE/>
              <w:autoSpaceDN/>
              <w:bidi w:val="0"/>
              <w:adjustRightInd/>
              <w:snapToGrid/>
              <w:spacing w:line="360" w:lineRule="auto"/>
              <w:jc w:val="both"/>
              <w:textAlignment w:val="auto"/>
              <w:rPr>
                <w:rFonts w:hint="eastAsia" w:ascii="宋体" w:hAnsi="宋体" w:eastAsia="宋体" w:cs="宋体"/>
                <w:b/>
                <w:color w:val="auto"/>
                <w:szCs w:val="21"/>
                <w:highlight w:val="none"/>
                <w:lang w:val="en-US" w:eastAsia="zh-CN"/>
              </w:rPr>
            </w:pPr>
            <w:r>
              <w:rPr>
                <w:rFonts w:hint="eastAsia" w:ascii="宋体" w:hAnsi="宋体" w:eastAsia="宋体" w:cs="宋体"/>
                <w:color w:val="auto"/>
                <w:sz w:val="21"/>
                <w:szCs w:val="21"/>
                <w:highlight w:val="none"/>
                <w:u w:val="none"/>
              </w:rPr>
              <w:t>▲</w:t>
            </w:r>
            <w:r>
              <w:rPr>
                <w:rFonts w:hint="eastAsia" w:ascii="宋体" w:hAnsi="宋体" w:eastAsia="宋体" w:cs="宋体"/>
                <w:color w:val="auto"/>
                <w:szCs w:val="24"/>
                <w:highlight w:val="none"/>
                <w:u w:val="none"/>
                <w:lang w:val="en-US" w:eastAsia="zh-CN"/>
              </w:rPr>
              <w:t>2、投标人须在投标文件中提供所投产品的</w:t>
            </w:r>
            <w:r>
              <w:rPr>
                <w:rFonts w:hint="eastAsia" w:ascii="宋体" w:hAnsi="宋体" w:eastAsia="宋体" w:cs="宋体"/>
                <w:bCs/>
                <w:color w:val="auto"/>
                <w:kern w:val="0"/>
                <w:szCs w:val="21"/>
                <w:highlight w:val="none"/>
                <w:u w:val="none"/>
                <w:lang w:val="en-US" w:eastAsia="zh-CN"/>
              </w:rPr>
              <w:t>医疗器械产品注册证复印件。</w:t>
            </w:r>
          </w:p>
        </w:tc>
      </w:tr>
    </w:tbl>
    <w:p w14:paraId="7FEE5FBA">
      <w:pPr>
        <w:rPr>
          <w:rFonts w:hint="eastAsia" w:ascii="宋体" w:cs="宋体"/>
          <w:color w:val="auto"/>
          <w:sz w:val="32"/>
          <w:szCs w:val="32"/>
          <w:highlight w:val="none"/>
        </w:rPr>
      </w:pPr>
      <w:r>
        <w:rPr>
          <w:rFonts w:hint="eastAsia" w:ascii="宋体" w:cs="宋体"/>
          <w:color w:val="auto"/>
          <w:sz w:val="32"/>
          <w:szCs w:val="32"/>
          <w:highlight w:val="none"/>
        </w:rPr>
        <w:br w:type="page"/>
      </w:r>
    </w:p>
    <w:p w14:paraId="04FEFCFB">
      <w:pPr>
        <w:spacing w:line="428" w:lineRule="exact"/>
        <w:rPr>
          <w:rFonts w:hint="eastAsia" w:ascii="宋体" w:cs="宋体"/>
          <w:color w:val="auto"/>
          <w:sz w:val="32"/>
          <w:szCs w:val="32"/>
          <w:highlight w:val="none"/>
        </w:rPr>
      </w:pPr>
      <w:r>
        <w:rPr>
          <w:rFonts w:hint="eastAsia" w:ascii="宋体" w:cs="宋体"/>
          <w:color w:val="auto"/>
          <w:sz w:val="32"/>
          <w:szCs w:val="32"/>
          <w:highlight w:val="none"/>
        </w:rPr>
        <w:t>附件1</w:t>
      </w:r>
    </w:p>
    <w:p w14:paraId="637C514D">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节能产品政府采购品目清单</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
        <w:gridCol w:w="916"/>
        <w:gridCol w:w="1516"/>
        <w:gridCol w:w="1612"/>
        <w:gridCol w:w="4335"/>
      </w:tblGrid>
      <w:tr w14:paraId="36F6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41" w:type="dxa"/>
          </w:tcPr>
          <w:p w14:paraId="7DFB1F9B">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品目序号</w:t>
            </w:r>
          </w:p>
        </w:tc>
        <w:tc>
          <w:tcPr>
            <w:tcW w:w="4044" w:type="dxa"/>
            <w:gridSpan w:val="3"/>
            <w:vAlign w:val="center"/>
          </w:tcPr>
          <w:p w14:paraId="6E1A1315">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名称</w:t>
            </w:r>
          </w:p>
        </w:tc>
        <w:tc>
          <w:tcPr>
            <w:tcW w:w="4335" w:type="dxa"/>
            <w:vAlign w:val="center"/>
          </w:tcPr>
          <w:p w14:paraId="293D6B56">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依据的标准</w:t>
            </w:r>
          </w:p>
        </w:tc>
      </w:tr>
      <w:tr w14:paraId="501F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restart"/>
            <w:vAlign w:val="center"/>
          </w:tcPr>
          <w:p w14:paraId="2488DF1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916" w:type="dxa"/>
            <w:vMerge w:val="restart"/>
            <w:vAlign w:val="center"/>
          </w:tcPr>
          <w:p w14:paraId="28C1CDD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A020101计算机设备</w:t>
            </w:r>
          </w:p>
        </w:tc>
        <w:tc>
          <w:tcPr>
            <w:tcW w:w="1516" w:type="dxa"/>
            <w:vAlign w:val="center"/>
          </w:tcPr>
          <w:p w14:paraId="633968F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★A02010104台式计算机</w:t>
            </w:r>
          </w:p>
        </w:tc>
        <w:tc>
          <w:tcPr>
            <w:tcW w:w="1612" w:type="dxa"/>
            <w:vAlign w:val="center"/>
          </w:tcPr>
          <w:p w14:paraId="79D0095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1AD42A3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16DE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56A0F13C"/>
        </w:tc>
        <w:tc>
          <w:tcPr>
            <w:tcW w:w="916" w:type="dxa"/>
            <w:vMerge w:val="continue"/>
            <w:vAlign w:val="center"/>
          </w:tcPr>
          <w:p w14:paraId="01B1BC2B"/>
        </w:tc>
        <w:tc>
          <w:tcPr>
            <w:tcW w:w="1516" w:type="dxa"/>
            <w:vAlign w:val="center"/>
          </w:tcPr>
          <w:p w14:paraId="3A6832C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★A02010105便携式计算机</w:t>
            </w:r>
          </w:p>
        </w:tc>
        <w:tc>
          <w:tcPr>
            <w:tcW w:w="1612" w:type="dxa"/>
            <w:vAlign w:val="center"/>
          </w:tcPr>
          <w:p w14:paraId="6ABA9F1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63AF88B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3114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14:paraId="550E0856"/>
        </w:tc>
        <w:tc>
          <w:tcPr>
            <w:tcW w:w="916" w:type="dxa"/>
            <w:vMerge w:val="continue"/>
            <w:vAlign w:val="center"/>
          </w:tcPr>
          <w:p w14:paraId="62031855"/>
        </w:tc>
        <w:tc>
          <w:tcPr>
            <w:tcW w:w="1516" w:type="dxa"/>
            <w:vAlign w:val="center"/>
          </w:tcPr>
          <w:p w14:paraId="167FB46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★A02010107平板式微型计算机</w:t>
            </w:r>
          </w:p>
        </w:tc>
        <w:tc>
          <w:tcPr>
            <w:tcW w:w="1612" w:type="dxa"/>
            <w:vAlign w:val="center"/>
          </w:tcPr>
          <w:p w14:paraId="47C01CB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018B4F94">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78CC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restart"/>
            <w:vAlign w:val="center"/>
          </w:tcPr>
          <w:p w14:paraId="5B9BABB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916" w:type="dxa"/>
            <w:vMerge w:val="restart"/>
            <w:vAlign w:val="center"/>
          </w:tcPr>
          <w:p w14:paraId="2036514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A020106输入输出设备</w:t>
            </w:r>
          </w:p>
        </w:tc>
        <w:tc>
          <w:tcPr>
            <w:tcW w:w="1516" w:type="dxa"/>
            <w:vMerge w:val="restart"/>
            <w:vAlign w:val="center"/>
          </w:tcPr>
          <w:p w14:paraId="1A1A1BF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A02010601打印设备</w:t>
            </w:r>
          </w:p>
        </w:tc>
        <w:tc>
          <w:tcPr>
            <w:tcW w:w="1612" w:type="dxa"/>
            <w:vAlign w:val="center"/>
          </w:tcPr>
          <w:p w14:paraId="4DD3646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A0201060101喷墨打印机</w:t>
            </w:r>
          </w:p>
        </w:tc>
        <w:tc>
          <w:tcPr>
            <w:tcW w:w="4335" w:type="dxa"/>
            <w:vAlign w:val="center"/>
          </w:tcPr>
          <w:p w14:paraId="1B3DDC4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7A22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7D1D130A"/>
        </w:tc>
        <w:tc>
          <w:tcPr>
            <w:tcW w:w="916" w:type="dxa"/>
            <w:vMerge w:val="continue"/>
            <w:vAlign w:val="center"/>
          </w:tcPr>
          <w:p w14:paraId="06A51FF2"/>
        </w:tc>
        <w:tc>
          <w:tcPr>
            <w:tcW w:w="1516" w:type="dxa"/>
            <w:vMerge w:val="continue"/>
            <w:vAlign w:val="center"/>
          </w:tcPr>
          <w:p w14:paraId="73BF4F8E"/>
        </w:tc>
        <w:tc>
          <w:tcPr>
            <w:tcW w:w="1612" w:type="dxa"/>
            <w:vAlign w:val="center"/>
          </w:tcPr>
          <w:p w14:paraId="200D0E6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★A0201060102激光打印机</w:t>
            </w:r>
          </w:p>
        </w:tc>
        <w:tc>
          <w:tcPr>
            <w:tcW w:w="4335" w:type="dxa"/>
            <w:vAlign w:val="center"/>
          </w:tcPr>
          <w:p w14:paraId="3C7F9D7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2B00D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7EEFFD3F"/>
        </w:tc>
        <w:tc>
          <w:tcPr>
            <w:tcW w:w="916" w:type="dxa"/>
            <w:vMerge w:val="continue"/>
            <w:vAlign w:val="center"/>
          </w:tcPr>
          <w:p w14:paraId="6E35CFDC"/>
        </w:tc>
        <w:tc>
          <w:tcPr>
            <w:tcW w:w="1516" w:type="dxa"/>
            <w:vMerge w:val="continue"/>
            <w:vAlign w:val="center"/>
          </w:tcPr>
          <w:p w14:paraId="31D845A1"/>
        </w:tc>
        <w:tc>
          <w:tcPr>
            <w:tcW w:w="1612" w:type="dxa"/>
            <w:vAlign w:val="center"/>
          </w:tcPr>
          <w:p w14:paraId="75E3A31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★A0201060104针式打印机</w:t>
            </w:r>
          </w:p>
        </w:tc>
        <w:tc>
          <w:tcPr>
            <w:tcW w:w="4335" w:type="dxa"/>
            <w:vAlign w:val="center"/>
          </w:tcPr>
          <w:p w14:paraId="30E5E84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6F0B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0ABB135C"/>
        </w:tc>
        <w:tc>
          <w:tcPr>
            <w:tcW w:w="916" w:type="dxa"/>
            <w:vMerge w:val="continue"/>
            <w:vAlign w:val="center"/>
          </w:tcPr>
          <w:p w14:paraId="75412EC8"/>
        </w:tc>
        <w:tc>
          <w:tcPr>
            <w:tcW w:w="1516" w:type="dxa"/>
            <w:vAlign w:val="center"/>
          </w:tcPr>
          <w:p w14:paraId="63E5762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A02010604显示设备</w:t>
            </w:r>
          </w:p>
        </w:tc>
        <w:tc>
          <w:tcPr>
            <w:tcW w:w="1612" w:type="dxa"/>
            <w:vAlign w:val="center"/>
          </w:tcPr>
          <w:p w14:paraId="6E500EB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★A0201060401液晶显示器</w:t>
            </w:r>
          </w:p>
        </w:tc>
        <w:tc>
          <w:tcPr>
            <w:tcW w:w="4335" w:type="dxa"/>
            <w:vAlign w:val="center"/>
          </w:tcPr>
          <w:p w14:paraId="35487D8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《计算机显示器能效限定值及能效等级》（GB21520）</w:t>
            </w:r>
          </w:p>
        </w:tc>
      </w:tr>
      <w:tr w14:paraId="767F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841" w:type="dxa"/>
            <w:vMerge w:val="continue"/>
            <w:vAlign w:val="center"/>
          </w:tcPr>
          <w:p w14:paraId="45D30808"/>
        </w:tc>
        <w:tc>
          <w:tcPr>
            <w:tcW w:w="916" w:type="dxa"/>
            <w:vMerge w:val="continue"/>
            <w:vAlign w:val="center"/>
          </w:tcPr>
          <w:p w14:paraId="1AB0E5AB"/>
        </w:tc>
        <w:tc>
          <w:tcPr>
            <w:tcW w:w="1516" w:type="dxa"/>
            <w:vAlign w:val="center"/>
          </w:tcPr>
          <w:p w14:paraId="596C15E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A02010609图形图像输入设备</w:t>
            </w:r>
          </w:p>
        </w:tc>
        <w:tc>
          <w:tcPr>
            <w:tcW w:w="1612" w:type="dxa"/>
            <w:vAlign w:val="center"/>
          </w:tcPr>
          <w:p w14:paraId="2F946FB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A0201060901扫描仪</w:t>
            </w:r>
          </w:p>
        </w:tc>
        <w:tc>
          <w:tcPr>
            <w:tcW w:w="4335" w:type="dxa"/>
            <w:vAlign w:val="center"/>
          </w:tcPr>
          <w:p w14:paraId="7645F02D">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参照《复印机、打印机和传真机能效限定值及能效等级》（GB21521</w:t>
            </w:r>
            <w:r>
              <w:rPr>
                <w:rFonts w:hint="eastAsia" w:ascii="宋体" w:hAnsi="宋体" w:eastAsia="宋体" w:cs="宋体"/>
                <w:color w:val="auto"/>
                <w:kern w:val="0"/>
                <w:sz w:val="20"/>
                <w:szCs w:val="20"/>
                <w:highlight w:val="none"/>
                <w:lang w:eastAsia="zh-CN"/>
              </w:rPr>
              <w:t>）</w:t>
            </w:r>
            <w:r>
              <w:rPr>
                <w:rFonts w:hint="eastAsia" w:ascii="宋体" w:hAnsi="宋体" w:eastAsia="宋体" w:cs="宋体"/>
                <w:color w:val="auto"/>
                <w:kern w:val="0"/>
                <w:sz w:val="20"/>
                <w:szCs w:val="20"/>
                <w:highlight w:val="none"/>
              </w:rPr>
              <w:t>中打印速度为15页/分的针式打印机相关要求</w:t>
            </w:r>
          </w:p>
        </w:tc>
      </w:tr>
      <w:tr w14:paraId="0509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14:paraId="6F2ACCF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916" w:type="dxa"/>
            <w:vAlign w:val="center"/>
          </w:tcPr>
          <w:p w14:paraId="37D422C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A020202投影仪</w:t>
            </w:r>
          </w:p>
        </w:tc>
        <w:tc>
          <w:tcPr>
            <w:tcW w:w="1516" w:type="dxa"/>
            <w:vAlign w:val="center"/>
          </w:tcPr>
          <w:p w14:paraId="0A30706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vAlign w:val="center"/>
          </w:tcPr>
          <w:p w14:paraId="7FDCD06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28674ABC">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《投影机能效限定值及能效等级》（GB32028）</w:t>
            </w:r>
          </w:p>
        </w:tc>
      </w:tr>
      <w:tr w14:paraId="77B5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14:paraId="704B178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916" w:type="dxa"/>
            <w:vAlign w:val="center"/>
          </w:tcPr>
          <w:p w14:paraId="46E2E68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A020204多功能一体机</w:t>
            </w:r>
          </w:p>
        </w:tc>
        <w:tc>
          <w:tcPr>
            <w:tcW w:w="1516" w:type="dxa"/>
            <w:vAlign w:val="center"/>
          </w:tcPr>
          <w:p w14:paraId="4B3AE09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vAlign w:val="center"/>
          </w:tcPr>
          <w:p w14:paraId="03482D1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39FC5FF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51E7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14:paraId="40B21E2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w:t>
            </w:r>
          </w:p>
        </w:tc>
        <w:tc>
          <w:tcPr>
            <w:tcW w:w="916" w:type="dxa"/>
            <w:vAlign w:val="center"/>
          </w:tcPr>
          <w:p w14:paraId="6E7B1C1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A020519泵</w:t>
            </w:r>
          </w:p>
        </w:tc>
        <w:tc>
          <w:tcPr>
            <w:tcW w:w="1516" w:type="dxa"/>
            <w:vAlign w:val="center"/>
          </w:tcPr>
          <w:p w14:paraId="1549460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A02051901离心泵</w:t>
            </w:r>
          </w:p>
        </w:tc>
        <w:tc>
          <w:tcPr>
            <w:tcW w:w="1612" w:type="dxa"/>
            <w:vAlign w:val="center"/>
          </w:tcPr>
          <w:p w14:paraId="132CABA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1514AF9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《清水离心泵能效限定值及节能评价值》（GB19762）</w:t>
            </w:r>
          </w:p>
        </w:tc>
      </w:tr>
      <w:tr w14:paraId="06C9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restart"/>
            <w:vAlign w:val="center"/>
          </w:tcPr>
          <w:p w14:paraId="4CBB19A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w:t>
            </w:r>
          </w:p>
        </w:tc>
        <w:tc>
          <w:tcPr>
            <w:tcW w:w="916" w:type="dxa"/>
            <w:vMerge w:val="restart"/>
            <w:vAlign w:val="center"/>
          </w:tcPr>
          <w:p w14:paraId="31B48A2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A020523制冷空调设备</w:t>
            </w:r>
          </w:p>
        </w:tc>
        <w:tc>
          <w:tcPr>
            <w:tcW w:w="1516" w:type="dxa"/>
            <w:vMerge w:val="restart"/>
            <w:vAlign w:val="center"/>
          </w:tcPr>
          <w:p w14:paraId="213DBDF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★A02052301制冷压缩机</w:t>
            </w:r>
          </w:p>
        </w:tc>
        <w:tc>
          <w:tcPr>
            <w:tcW w:w="1612" w:type="dxa"/>
            <w:vAlign w:val="center"/>
          </w:tcPr>
          <w:p w14:paraId="51508DB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w:t>
            </w:r>
          </w:p>
        </w:tc>
        <w:tc>
          <w:tcPr>
            <w:tcW w:w="4335" w:type="dxa"/>
            <w:vAlign w:val="center"/>
          </w:tcPr>
          <w:p w14:paraId="5C91803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《冷水机组能效限定值及能效等级》（GB19577），《低环境温度空气源热泵（冷水）机组能效限定值及能效等级》（GB37480）</w:t>
            </w:r>
          </w:p>
        </w:tc>
      </w:tr>
      <w:tr w14:paraId="1023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3B4A952A"/>
        </w:tc>
        <w:tc>
          <w:tcPr>
            <w:tcW w:w="916" w:type="dxa"/>
            <w:vMerge w:val="continue"/>
            <w:vAlign w:val="center"/>
          </w:tcPr>
          <w:p w14:paraId="4DF67F48"/>
        </w:tc>
        <w:tc>
          <w:tcPr>
            <w:tcW w:w="1516" w:type="dxa"/>
            <w:vMerge w:val="continue"/>
            <w:vAlign w:val="center"/>
          </w:tcPr>
          <w:p w14:paraId="676A7DBA"/>
        </w:tc>
        <w:tc>
          <w:tcPr>
            <w:tcW w:w="1612" w:type="dxa"/>
            <w:vAlign w:val="center"/>
          </w:tcPr>
          <w:p w14:paraId="525B47C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水源热泵机组</w:t>
            </w:r>
          </w:p>
        </w:tc>
        <w:tc>
          <w:tcPr>
            <w:tcW w:w="4335" w:type="dxa"/>
            <w:vAlign w:val="center"/>
          </w:tcPr>
          <w:p w14:paraId="480E4C1D">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《水（地）源热泵机组能效限定值及能效等级》（GB30721）</w:t>
            </w:r>
          </w:p>
        </w:tc>
      </w:tr>
      <w:tr w14:paraId="52AE6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330CBCE4"/>
        </w:tc>
        <w:tc>
          <w:tcPr>
            <w:tcW w:w="916" w:type="dxa"/>
            <w:vMerge w:val="continue"/>
            <w:vAlign w:val="center"/>
          </w:tcPr>
          <w:p w14:paraId="797F72F6"/>
        </w:tc>
        <w:tc>
          <w:tcPr>
            <w:tcW w:w="1516" w:type="dxa"/>
            <w:vMerge w:val="continue"/>
            <w:vAlign w:val="center"/>
          </w:tcPr>
          <w:p w14:paraId="31678A96"/>
        </w:tc>
        <w:tc>
          <w:tcPr>
            <w:tcW w:w="1612" w:type="dxa"/>
            <w:vAlign w:val="center"/>
          </w:tcPr>
          <w:p w14:paraId="4ED510C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w:t>
            </w:r>
          </w:p>
        </w:tc>
        <w:tc>
          <w:tcPr>
            <w:tcW w:w="4335" w:type="dxa"/>
            <w:vAlign w:val="center"/>
          </w:tcPr>
          <w:p w14:paraId="1E641BA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《溴化锂吸收式冷水机组能效限定值及能效等级》（GB29540）</w:t>
            </w:r>
          </w:p>
        </w:tc>
      </w:tr>
      <w:tr w14:paraId="5CCF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14:paraId="2C202C72"/>
        </w:tc>
        <w:tc>
          <w:tcPr>
            <w:tcW w:w="916" w:type="dxa"/>
            <w:vMerge w:val="continue"/>
            <w:vAlign w:val="center"/>
          </w:tcPr>
          <w:p w14:paraId="6DBC4C6D"/>
        </w:tc>
        <w:tc>
          <w:tcPr>
            <w:tcW w:w="1516" w:type="dxa"/>
            <w:vMerge w:val="restart"/>
            <w:vAlign w:val="center"/>
          </w:tcPr>
          <w:p w14:paraId="294491B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★A02052305空调机组</w:t>
            </w:r>
          </w:p>
        </w:tc>
        <w:tc>
          <w:tcPr>
            <w:tcW w:w="1612" w:type="dxa"/>
            <w:vAlign w:val="center"/>
          </w:tcPr>
          <w:p w14:paraId="38886FB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多联式空调（热泵）机组(制冷量&gt;14000W)</w:t>
            </w:r>
          </w:p>
        </w:tc>
        <w:tc>
          <w:tcPr>
            <w:tcW w:w="4335" w:type="dxa"/>
            <w:vAlign w:val="center"/>
          </w:tcPr>
          <w:p w14:paraId="57D7494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2B80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14:paraId="4ABE05D8"/>
        </w:tc>
        <w:tc>
          <w:tcPr>
            <w:tcW w:w="916" w:type="dxa"/>
            <w:vMerge w:val="continue"/>
            <w:vAlign w:val="center"/>
          </w:tcPr>
          <w:p w14:paraId="5B544B3E"/>
        </w:tc>
        <w:tc>
          <w:tcPr>
            <w:tcW w:w="1516" w:type="dxa"/>
            <w:vMerge w:val="continue"/>
            <w:vAlign w:val="center"/>
          </w:tcPr>
          <w:p w14:paraId="6DF50344"/>
        </w:tc>
        <w:tc>
          <w:tcPr>
            <w:tcW w:w="1612" w:type="dxa"/>
            <w:vAlign w:val="center"/>
          </w:tcPr>
          <w:p w14:paraId="6A7E35B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单元式空气调节机(制冷量&gt;14000W</w:t>
            </w:r>
          </w:p>
        </w:tc>
        <w:tc>
          <w:tcPr>
            <w:tcW w:w="4335" w:type="dxa"/>
            <w:vAlign w:val="center"/>
          </w:tcPr>
          <w:p w14:paraId="7A1D7D1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《单元式空气调节机能效限定值及能效等级》（GB19576）《风管送风式空调机组能效限定值及能效等级》（GB37479）</w:t>
            </w:r>
          </w:p>
        </w:tc>
      </w:tr>
      <w:tr w14:paraId="312A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14:paraId="26523156"/>
        </w:tc>
        <w:tc>
          <w:tcPr>
            <w:tcW w:w="916" w:type="dxa"/>
            <w:vMerge w:val="continue"/>
            <w:vAlign w:val="center"/>
          </w:tcPr>
          <w:p w14:paraId="6981C4BF"/>
        </w:tc>
        <w:tc>
          <w:tcPr>
            <w:tcW w:w="1516" w:type="dxa"/>
            <w:vAlign w:val="center"/>
          </w:tcPr>
          <w:p w14:paraId="12368F8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★A02052309专用制冷、空调设备</w:t>
            </w:r>
          </w:p>
        </w:tc>
        <w:tc>
          <w:tcPr>
            <w:tcW w:w="1612" w:type="dxa"/>
            <w:vAlign w:val="center"/>
          </w:tcPr>
          <w:p w14:paraId="237A0D9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机房空调</w:t>
            </w:r>
          </w:p>
        </w:tc>
        <w:tc>
          <w:tcPr>
            <w:tcW w:w="4335" w:type="dxa"/>
            <w:vAlign w:val="center"/>
          </w:tcPr>
          <w:p w14:paraId="06C92EBC">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w:t>
            </w:r>
          </w:p>
        </w:tc>
      </w:tr>
      <w:tr w14:paraId="0BBA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14:paraId="689B976A"/>
        </w:tc>
        <w:tc>
          <w:tcPr>
            <w:tcW w:w="916" w:type="dxa"/>
            <w:vMerge w:val="continue"/>
            <w:vAlign w:val="center"/>
          </w:tcPr>
          <w:p w14:paraId="6AB97986"/>
        </w:tc>
        <w:tc>
          <w:tcPr>
            <w:tcW w:w="1516" w:type="dxa"/>
            <w:vAlign w:val="center"/>
          </w:tcPr>
          <w:p w14:paraId="2AA83BE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A02052399其他制冷空调设备</w:t>
            </w:r>
          </w:p>
        </w:tc>
        <w:tc>
          <w:tcPr>
            <w:tcW w:w="1612" w:type="dxa"/>
            <w:vAlign w:val="center"/>
          </w:tcPr>
          <w:p w14:paraId="4B8D184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冷却塔</w:t>
            </w:r>
          </w:p>
        </w:tc>
        <w:tc>
          <w:tcPr>
            <w:tcW w:w="4335" w:type="dxa"/>
            <w:vAlign w:val="center"/>
          </w:tcPr>
          <w:p w14:paraId="3C78321E">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《机械通风冷却塔第1部分：中小型开式冷却塔》（GB/T7190.1）；《机械通风冷却塔第2部分：大型开式冷却塔》（GB/T7190.2）</w:t>
            </w:r>
          </w:p>
        </w:tc>
      </w:tr>
      <w:tr w14:paraId="0072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14:paraId="7DBB00F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w:t>
            </w:r>
          </w:p>
        </w:tc>
        <w:tc>
          <w:tcPr>
            <w:tcW w:w="916" w:type="dxa"/>
            <w:vAlign w:val="center"/>
          </w:tcPr>
          <w:p w14:paraId="5B9979B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A020601电机</w:t>
            </w:r>
          </w:p>
        </w:tc>
        <w:tc>
          <w:tcPr>
            <w:tcW w:w="1516" w:type="dxa"/>
            <w:vAlign w:val="center"/>
          </w:tcPr>
          <w:p w14:paraId="72931E0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vAlign w:val="center"/>
          </w:tcPr>
          <w:p w14:paraId="3804102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1A0121E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《中小型三相异步电动机能效限定值及能效等级》（GB18613）</w:t>
            </w:r>
          </w:p>
        </w:tc>
      </w:tr>
      <w:tr w14:paraId="25716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14:paraId="62D53EB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8</w:t>
            </w:r>
          </w:p>
        </w:tc>
        <w:tc>
          <w:tcPr>
            <w:tcW w:w="916" w:type="dxa"/>
            <w:vAlign w:val="center"/>
          </w:tcPr>
          <w:p w14:paraId="7313CDC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A020602变压器</w:t>
            </w:r>
          </w:p>
        </w:tc>
        <w:tc>
          <w:tcPr>
            <w:tcW w:w="1516" w:type="dxa"/>
            <w:vAlign w:val="center"/>
          </w:tcPr>
          <w:p w14:paraId="7AF3702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配电变压器</w:t>
            </w:r>
          </w:p>
        </w:tc>
        <w:tc>
          <w:tcPr>
            <w:tcW w:w="1612" w:type="dxa"/>
            <w:vAlign w:val="center"/>
          </w:tcPr>
          <w:p w14:paraId="402EB99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2586558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《三相配电变压器能效限定值及能效等级》（GB20052）</w:t>
            </w:r>
          </w:p>
        </w:tc>
      </w:tr>
      <w:tr w14:paraId="59ED5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14:paraId="5254344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9</w:t>
            </w:r>
          </w:p>
        </w:tc>
        <w:tc>
          <w:tcPr>
            <w:tcW w:w="916" w:type="dxa"/>
            <w:vAlign w:val="center"/>
          </w:tcPr>
          <w:p w14:paraId="0324760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★A020609镇流器</w:t>
            </w:r>
          </w:p>
        </w:tc>
        <w:tc>
          <w:tcPr>
            <w:tcW w:w="1516" w:type="dxa"/>
            <w:vAlign w:val="center"/>
          </w:tcPr>
          <w:p w14:paraId="5B275AE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管型荧光灯镇流器</w:t>
            </w:r>
          </w:p>
        </w:tc>
        <w:tc>
          <w:tcPr>
            <w:tcW w:w="1612" w:type="dxa"/>
            <w:vAlign w:val="center"/>
          </w:tcPr>
          <w:p w14:paraId="147DFEE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45E6F0B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《管形荧光灯镇流器能效限定值及能效等级》（GB17896）</w:t>
            </w:r>
          </w:p>
        </w:tc>
      </w:tr>
      <w:tr w14:paraId="37CF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restart"/>
            <w:vAlign w:val="center"/>
          </w:tcPr>
          <w:p w14:paraId="3FD49CF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10</w:t>
            </w:r>
          </w:p>
        </w:tc>
        <w:tc>
          <w:tcPr>
            <w:tcW w:w="916" w:type="dxa"/>
            <w:vMerge w:val="restart"/>
            <w:vAlign w:val="center"/>
          </w:tcPr>
          <w:p w14:paraId="570E0A7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A020618生活用电器</w:t>
            </w:r>
          </w:p>
        </w:tc>
        <w:tc>
          <w:tcPr>
            <w:tcW w:w="1516" w:type="dxa"/>
            <w:vAlign w:val="center"/>
          </w:tcPr>
          <w:p w14:paraId="5C46D1C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A0206180101电冰箱</w:t>
            </w:r>
          </w:p>
        </w:tc>
        <w:tc>
          <w:tcPr>
            <w:tcW w:w="1612" w:type="dxa"/>
            <w:vAlign w:val="center"/>
          </w:tcPr>
          <w:p w14:paraId="1112118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530E78E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《家用电冰箱耗电量限定值及能效等级》（GB 12021.2）</w:t>
            </w:r>
          </w:p>
        </w:tc>
      </w:tr>
      <w:tr w14:paraId="4C1D7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841" w:type="dxa"/>
            <w:vMerge w:val="continue"/>
            <w:vAlign w:val="center"/>
          </w:tcPr>
          <w:p w14:paraId="5E86DDCD"/>
        </w:tc>
        <w:tc>
          <w:tcPr>
            <w:tcW w:w="916" w:type="dxa"/>
            <w:vMerge w:val="continue"/>
            <w:vAlign w:val="center"/>
          </w:tcPr>
          <w:p w14:paraId="43058559"/>
        </w:tc>
        <w:tc>
          <w:tcPr>
            <w:tcW w:w="1516" w:type="dxa"/>
            <w:vMerge w:val="restart"/>
            <w:vAlign w:val="center"/>
          </w:tcPr>
          <w:p w14:paraId="08B4F38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★A0206180203空调机</w:t>
            </w:r>
          </w:p>
        </w:tc>
        <w:tc>
          <w:tcPr>
            <w:tcW w:w="1612" w:type="dxa"/>
            <w:vAlign w:val="center"/>
          </w:tcPr>
          <w:p w14:paraId="3826207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房间空气调节器</w:t>
            </w:r>
          </w:p>
        </w:tc>
        <w:tc>
          <w:tcPr>
            <w:tcW w:w="4335" w:type="dxa"/>
            <w:vAlign w:val="center"/>
          </w:tcPr>
          <w:p w14:paraId="03D76D7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3D2F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14:paraId="1F95CBB1"/>
        </w:tc>
        <w:tc>
          <w:tcPr>
            <w:tcW w:w="916" w:type="dxa"/>
            <w:vMerge w:val="continue"/>
            <w:vAlign w:val="center"/>
          </w:tcPr>
          <w:p w14:paraId="174B071A"/>
        </w:tc>
        <w:tc>
          <w:tcPr>
            <w:tcW w:w="1516" w:type="dxa"/>
            <w:vMerge w:val="continue"/>
            <w:vAlign w:val="center"/>
          </w:tcPr>
          <w:p w14:paraId="13F5F184"/>
        </w:tc>
        <w:tc>
          <w:tcPr>
            <w:tcW w:w="1612" w:type="dxa"/>
            <w:vAlign w:val="center"/>
          </w:tcPr>
          <w:p w14:paraId="1B00773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 14000W）</w:t>
            </w:r>
          </w:p>
        </w:tc>
        <w:tc>
          <w:tcPr>
            <w:tcW w:w="4335" w:type="dxa"/>
            <w:vAlign w:val="center"/>
          </w:tcPr>
          <w:p w14:paraId="623AFBA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30B3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14:paraId="40581A46"/>
        </w:tc>
        <w:tc>
          <w:tcPr>
            <w:tcW w:w="916" w:type="dxa"/>
            <w:vMerge w:val="continue"/>
            <w:vAlign w:val="center"/>
          </w:tcPr>
          <w:p w14:paraId="2735D0BD"/>
        </w:tc>
        <w:tc>
          <w:tcPr>
            <w:tcW w:w="1516" w:type="dxa"/>
            <w:vMerge w:val="continue"/>
            <w:vAlign w:val="center"/>
          </w:tcPr>
          <w:p w14:paraId="7DFFCA1A"/>
        </w:tc>
        <w:tc>
          <w:tcPr>
            <w:tcW w:w="1612" w:type="dxa"/>
            <w:vAlign w:val="center"/>
          </w:tcPr>
          <w:p w14:paraId="354BBC1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单元式空气调节机(制冷量≤14000W)</w:t>
            </w:r>
          </w:p>
        </w:tc>
        <w:tc>
          <w:tcPr>
            <w:tcW w:w="4335" w:type="dxa"/>
            <w:vAlign w:val="center"/>
          </w:tcPr>
          <w:p w14:paraId="6C874623">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《单元式空气调节机能效限定值及能源效率等级》（GB19576）《风管送风式空调机组能效限定值及能效等级》（GB37479）</w:t>
            </w:r>
          </w:p>
        </w:tc>
      </w:tr>
      <w:tr w14:paraId="38AEC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1FB5E55A"/>
        </w:tc>
        <w:tc>
          <w:tcPr>
            <w:tcW w:w="916" w:type="dxa"/>
            <w:vMerge w:val="continue"/>
            <w:vAlign w:val="center"/>
          </w:tcPr>
          <w:p w14:paraId="3FC97AA1"/>
        </w:tc>
        <w:tc>
          <w:tcPr>
            <w:tcW w:w="1516" w:type="dxa"/>
            <w:vAlign w:val="center"/>
          </w:tcPr>
          <w:p w14:paraId="063B9FE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A0206180301洗衣机</w:t>
            </w:r>
          </w:p>
        </w:tc>
        <w:tc>
          <w:tcPr>
            <w:tcW w:w="1612" w:type="dxa"/>
            <w:vAlign w:val="center"/>
          </w:tcPr>
          <w:p w14:paraId="5932ABA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141D49B6">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《电动洗衣机能效水效限定值及等级》（GB12021.4）</w:t>
            </w:r>
          </w:p>
        </w:tc>
      </w:tr>
      <w:tr w14:paraId="0D0E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46DECD66"/>
        </w:tc>
        <w:tc>
          <w:tcPr>
            <w:tcW w:w="916" w:type="dxa"/>
            <w:vMerge w:val="continue"/>
            <w:vAlign w:val="center"/>
          </w:tcPr>
          <w:p w14:paraId="57B8A56C"/>
        </w:tc>
        <w:tc>
          <w:tcPr>
            <w:tcW w:w="1516" w:type="dxa"/>
            <w:vMerge w:val="restart"/>
            <w:vAlign w:val="center"/>
          </w:tcPr>
          <w:p w14:paraId="27DFDF1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A02061808热水器</w:t>
            </w:r>
          </w:p>
        </w:tc>
        <w:tc>
          <w:tcPr>
            <w:tcW w:w="1612" w:type="dxa"/>
            <w:vAlign w:val="center"/>
          </w:tcPr>
          <w:p w14:paraId="1054DFB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★电热水器</w:t>
            </w:r>
          </w:p>
        </w:tc>
        <w:tc>
          <w:tcPr>
            <w:tcW w:w="4335" w:type="dxa"/>
            <w:vAlign w:val="center"/>
          </w:tcPr>
          <w:p w14:paraId="47596DD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《储水式电热水器能效限定值及能效等级》（GB21519）</w:t>
            </w:r>
          </w:p>
        </w:tc>
      </w:tr>
      <w:tr w14:paraId="41EA3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767CD082"/>
        </w:tc>
        <w:tc>
          <w:tcPr>
            <w:tcW w:w="916" w:type="dxa"/>
            <w:vMerge w:val="continue"/>
            <w:vAlign w:val="center"/>
          </w:tcPr>
          <w:p w14:paraId="425EB52F"/>
        </w:tc>
        <w:tc>
          <w:tcPr>
            <w:tcW w:w="1516" w:type="dxa"/>
            <w:vMerge w:val="continue"/>
            <w:vAlign w:val="center"/>
          </w:tcPr>
          <w:p w14:paraId="6A079689"/>
        </w:tc>
        <w:tc>
          <w:tcPr>
            <w:tcW w:w="1612" w:type="dxa"/>
            <w:vAlign w:val="center"/>
          </w:tcPr>
          <w:p w14:paraId="50853D4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燃气热水器</w:t>
            </w:r>
          </w:p>
        </w:tc>
        <w:tc>
          <w:tcPr>
            <w:tcW w:w="4335" w:type="dxa"/>
            <w:vAlign w:val="center"/>
          </w:tcPr>
          <w:p w14:paraId="215CA40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《家用燃气快速热水器和燃气采暖热水炉能效限定值及能效等级》（GB20665）</w:t>
            </w:r>
          </w:p>
        </w:tc>
      </w:tr>
      <w:tr w14:paraId="3605B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39E40E37"/>
        </w:tc>
        <w:tc>
          <w:tcPr>
            <w:tcW w:w="916" w:type="dxa"/>
            <w:vMerge w:val="continue"/>
            <w:vAlign w:val="center"/>
          </w:tcPr>
          <w:p w14:paraId="237AF498"/>
        </w:tc>
        <w:tc>
          <w:tcPr>
            <w:tcW w:w="1516" w:type="dxa"/>
            <w:vMerge w:val="continue"/>
            <w:vAlign w:val="center"/>
          </w:tcPr>
          <w:p w14:paraId="4AE89A68"/>
        </w:tc>
        <w:tc>
          <w:tcPr>
            <w:tcW w:w="1612" w:type="dxa"/>
            <w:vAlign w:val="center"/>
          </w:tcPr>
          <w:p w14:paraId="3C2539A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热泵热水器</w:t>
            </w:r>
          </w:p>
        </w:tc>
        <w:tc>
          <w:tcPr>
            <w:tcW w:w="4335" w:type="dxa"/>
            <w:vAlign w:val="center"/>
          </w:tcPr>
          <w:p w14:paraId="1928767E">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《热泵热水机（器）能效限定值及能效等级》（GB29541）</w:t>
            </w:r>
          </w:p>
        </w:tc>
      </w:tr>
      <w:tr w14:paraId="08DA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157ED3C5"/>
        </w:tc>
        <w:tc>
          <w:tcPr>
            <w:tcW w:w="916" w:type="dxa"/>
            <w:vMerge w:val="continue"/>
            <w:vAlign w:val="center"/>
          </w:tcPr>
          <w:p w14:paraId="1521F605"/>
        </w:tc>
        <w:tc>
          <w:tcPr>
            <w:tcW w:w="1516" w:type="dxa"/>
            <w:vMerge w:val="continue"/>
            <w:vAlign w:val="center"/>
          </w:tcPr>
          <w:p w14:paraId="1D3BDD66"/>
        </w:tc>
        <w:tc>
          <w:tcPr>
            <w:tcW w:w="1612" w:type="dxa"/>
            <w:vAlign w:val="center"/>
          </w:tcPr>
          <w:p w14:paraId="53172BB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太阳能热水系统</w:t>
            </w:r>
          </w:p>
        </w:tc>
        <w:tc>
          <w:tcPr>
            <w:tcW w:w="4335" w:type="dxa"/>
            <w:vAlign w:val="center"/>
          </w:tcPr>
          <w:p w14:paraId="43AE0D6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《家用太阳能热水系统能效限定值及能效等级》（GB26969）</w:t>
            </w:r>
          </w:p>
        </w:tc>
      </w:tr>
      <w:tr w14:paraId="5465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restart"/>
            <w:vAlign w:val="center"/>
          </w:tcPr>
          <w:p w14:paraId="4CB34B9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11</w:t>
            </w:r>
          </w:p>
        </w:tc>
        <w:tc>
          <w:tcPr>
            <w:tcW w:w="916" w:type="dxa"/>
            <w:vMerge w:val="restart"/>
            <w:vAlign w:val="center"/>
          </w:tcPr>
          <w:p w14:paraId="2EAE30B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A020619照明设备</w:t>
            </w:r>
          </w:p>
        </w:tc>
        <w:tc>
          <w:tcPr>
            <w:tcW w:w="1516" w:type="dxa"/>
            <w:vAlign w:val="center"/>
          </w:tcPr>
          <w:p w14:paraId="3FD0007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w:t>
            </w:r>
          </w:p>
        </w:tc>
        <w:tc>
          <w:tcPr>
            <w:tcW w:w="1612" w:type="dxa"/>
            <w:vAlign w:val="center"/>
          </w:tcPr>
          <w:p w14:paraId="40C1CE1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4F00A78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《普通照明用双端荧光灯能效限定值及能效等级》（GB19043）</w:t>
            </w:r>
          </w:p>
        </w:tc>
      </w:tr>
      <w:tr w14:paraId="30CA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58CE6D55"/>
        </w:tc>
        <w:tc>
          <w:tcPr>
            <w:tcW w:w="916" w:type="dxa"/>
            <w:vMerge w:val="continue"/>
            <w:vAlign w:val="center"/>
          </w:tcPr>
          <w:p w14:paraId="3BA5E2EA"/>
        </w:tc>
        <w:tc>
          <w:tcPr>
            <w:tcW w:w="1516" w:type="dxa"/>
            <w:vAlign w:val="center"/>
          </w:tcPr>
          <w:p w14:paraId="21F6FA8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LED道路/隧道照明产品</w:t>
            </w:r>
          </w:p>
        </w:tc>
        <w:tc>
          <w:tcPr>
            <w:tcW w:w="1612" w:type="dxa"/>
            <w:vAlign w:val="center"/>
          </w:tcPr>
          <w:p w14:paraId="2B7CA8A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02A2B1A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《道路和隧道照明用LED灯具能效限定值及能效等级》（GB37478）</w:t>
            </w:r>
          </w:p>
        </w:tc>
      </w:tr>
      <w:tr w14:paraId="2E57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4A8D00E9"/>
        </w:tc>
        <w:tc>
          <w:tcPr>
            <w:tcW w:w="916" w:type="dxa"/>
            <w:vMerge w:val="continue"/>
            <w:vAlign w:val="center"/>
          </w:tcPr>
          <w:p w14:paraId="4AC4CCFF"/>
        </w:tc>
        <w:tc>
          <w:tcPr>
            <w:tcW w:w="1516" w:type="dxa"/>
            <w:vAlign w:val="center"/>
          </w:tcPr>
          <w:p w14:paraId="5C3835B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LED筒灯</w:t>
            </w:r>
          </w:p>
        </w:tc>
        <w:tc>
          <w:tcPr>
            <w:tcW w:w="1612" w:type="dxa"/>
            <w:vAlign w:val="center"/>
          </w:tcPr>
          <w:p w14:paraId="3701E9B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10FF987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3E39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14:paraId="4888C174"/>
        </w:tc>
        <w:tc>
          <w:tcPr>
            <w:tcW w:w="916" w:type="dxa"/>
            <w:vMerge w:val="continue"/>
            <w:vAlign w:val="center"/>
          </w:tcPr>
          <w:p w14:paraId="2EA2003F"/>
        </w:tc>
        <w:tc>
          <w:tcPr>
            <w:tcW w:w="1516" w:type="dxa"/>
            <w:vAlign w:val="center"/>
          </w:tcPr>
          <w:p w14:paraId="726B929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普通照明用非定向自镇流LED灯</w:t>
            </w:r>
          </w:p>
        </w:tc>
        <w:tc>
          <w:tcPr>
            <w:tcW w:w="1612" w:type="dxa"/>
            <w:vAlign w:val="center"/>
          </w:tcPr>
          <w:p w14:paraId="4ED30D7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4AD2703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77B3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Align w:val="center"/>
          </w:tcPr>
          <w:p w14:paraId="7C9F80D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12</w:t>
            </w:r>
          </w:p>
        </w:tc>
        <w:tc>
          <w:tcPr>
            <w:tcW w:w="916" w:type="dxa"/>
            <w:vAlign w:val="center"/>
          </w:tcPr>
          <w:p w14:paraId="1938F80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★A020910电视设备</w:t>
            </w:r>
          </w:p>
        </w:tc>
        <w:tc>
          <w:tcPr>
            <w:tcW w:w="1516" w:type="dxa"/>
            <w:vAlign w:val="center"/>
          </w:tcPr>
          <w:p w14:paraId="153C063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A02091001普通电视设备（电视机）</w:t>
            </w:r>
          </w:p>
        </w:tc>
        <w:tc>
          <w:tcPr>
            <w:tcW w:w="1612" w:type="dxa"/>
            <w:vAlign w:val="center"/>
          </w:tcPr>
          <w:p w14:paraId="0E57322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4ABA5C4C">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《平板电视能效限定值及能效等级》（GB24850）</w:t>
            </w:r>
          </w:p>
        </w:tc>
      </w:tr>
      <w:tr w14:paraId="04F5D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841" w:type="dxa"/>
            <w:vAlign w:val="center"/>
          </w:tcPr>
          <w:p w14:paraId="14D7F58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13</w:t>
            </w:r>
          </w:p>
        </w:tc>
        <w:tc>
          <w:tcPr>
            <w:tcW w:w="916" w:type="dxa"/>
            <w:vAlign w:val="center"/>
          </w:tcPr>
          <w:p w14:paraId="40B50F4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★A020911视频设备</w:t>
            </w:r>
          </w:p>
        </w:tc>
        <w:tc>
          <w:tcPr>
            <w:tcW w:w="1516" w:type="dxa"/>
            <w:vAlign w:val="center"/>
          </w:tcPr>
          <w:p w14:paraId="7EAA3E2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A02091107视频监控设备</w:t>
            </w:r>
          </w:p>
        </w:tc>
        <w:tc>
          <w:tcPr>
            <w:tcW w:w="1612" w:type="dxa"/>
            <w:vAlign w:val="center"/>
          </w:tcPr>
          <w:p w14:paraId="525BBAC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监视器</w:t>
            </w:r>
          </w:p>
        </w:tc>
        <w:tc>
          <w:tcPr>
            <w:tcW w:w="4335" w:type="dxa"/>
            <w:vAlign w:val="center"/>
          </w:tcPr>
          <w:p w14:paraId="2CF6A47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1A3E1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14:paraId="324C2DF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14</w:t>
            </w:r>
          </w:p>
        </w:tc>
        <w:tc>
          <w:tcPr>
            <w:tcW w:w="916" w:type="dxa"/>
            <w:vAlign w:val="center"/>
          </w:tcPr>
          <w:p w14:paraId="33579D4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A031210饮食炊事机械</w:t>
            </w:r>
          </w:p>
        </w:tc>
        <w:tc>
          <w:tcPr>
            <w:tcW w:w="1516" w:type="dxa"/>
            <w:vAlign w:val="center"/>
          </w:tcPr>
          <w:p w14:paraId="0CF1853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w:t>
            </w:r>
          </w:p>
        </w:tc>
        <w:tc>
          <w:tcPr>
            <w:tcW w:w="1612" w:type="dxa"/>
            <w:vAlign w:val="center"/>
          </w:tcPr>
          <w:p w14:paraId="5AE5AD6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6E77D50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《商用燃气灶具能效限定值及能效等级》（GB30531）</w:t>
            </w:r>
          </w:p>
        </w:tc>
      </w:tr>
      <w:tr w14:paraId="2D282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1" w:type="dxa"/>
            <w:vMerge w:val="restart"/>
            <w:vAlign w:val="center"/>
          </w:tcPr>
          <w:p w14:paraId="5E0C56F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15</w:t>
            </w:r>
          </w:p>
        </w:tc>
        <w:tc>
          <w:tcPr>
            <w:tcW w:w="916" w:type="dxa"/>
            <w:vMerge w:val="restart"/>
            <w:vAlign w:val="center"/>
          </w:tcPr>
          <w:p w14:paraId="124CBDF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★A060805便器</w:t>
            </w:r>
          </w:p>
        </w:tc>
        <w:tc>
          <w:tcPr>
            <w:tcW w:w="1516" w:type="dxa"/>
            <w:vAlign w:val="center"/>
          </w:tcPr>
          <w:p w14:paraId="1DF9990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w:t>
            </w:r>
          </w:p>
        </w:tc>
        <w:tc>
          <w:tcPr>
            <w:tcW w:w="1612" w:type="dxa"/>
            <w:vAlign w:val="center"/>
          </w:tcPr>
          <w:p w14:paraId="54AE4F9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676F3AA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《坐便器水效限定值及水效等级》（GB25502）</w:t>
            </w:r>
          </w:p>
        </w:tc>
      </w:tr>
      <w:tr w14:paraId="1FCD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1A0C6CE3"/>
        </w:tc>
        <w:tc>
          <w:tcPr>
            <w:tcW w:w="916" w:type="dxa"/>
            <w:vMerge w:val="continue"/>
            <w:vAlign w:val="center"/>
          </w:tcPr>
          <w:p w14:paraId="248E2E48"/>
        </w:tc>
        <w:tc>
          <w:tcPr>
            <w:tcW w:w="1516" w:type="dxa"/>
            <w:vAlign w:val="center"/>
          </w:tcPr>
          <w:p w14:paraId="285BAFC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w:t>
            </w:r>
          </w:p>
        </w:tc>
        <w:tc>
          <w:tcPr>
            <w:tcW w:w="1612" w:type="dxa"/>
            <w:vAlign w:val="center"/>
          </w:tcPr>
          <w:p w14:paraId="0A4C1A1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7AD766B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《蹲便器用水效率限定值及用水效率等级》（GB30717）</w:t>
            </w:r>
          </w:p>
        </w:tc>
      </w:tr>
      <w:tr w14:paraId="3D887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14:paraId="205C8FD6"/>
        </w:tc>
        <w:tc>
          <w:tcPr>
            <w:tcW w:w="916" w:type="dxa"/>
            <w:vMerge w:val="continue"/>
            <w:vAlign w:val="center"/>
          </w:tcPr>
          <w:p w14:paraId="2F957F67"/>
        </w:tc>
        <w:tc>
          <w:tcPr>
            <w:tcW w:w="1516" w:type="dxa"/>
            <w:vAlign w:val="center"/>
          </w:tcPr>
          <w:p w14:paraId="605F410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w:t>
            </w:r>
          </w:p>
        </w:tc>
        <w:tc>
          <w:tcPr>
            <w:tcW w:w="1612" w:type="dxa"/>
            <w:vAlign w:val="center"/>
          </w:tcPr>
          <w:p w14:paraId="617AE8B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110FAA6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《小便器用水效率限定值及用水效率等级》（GB28377）</w:t>
            </w:r>
          </w:p>
        </w:tc>
      </w:tr>
      <w:tr w14:paraId="4798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14:paraId="5C52FEB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916" w:type="dxa"/>
            <w:vAlign w:val="center"/>
          </w:tcPr>
          <w:p w14:paraId="74C5C7C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★A060806水嘴</w:t>
            </w:r>
          </w:p>
        </w:tc>
        <w:tc>
          <w:tcPr>
            <w:tcW w:w="1516" w:type="dxa"/>
            <w:vAlign w:val="center"/>
          </w:tcPr>
          <w:p w14:paraId="1C23188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vAlign w:val="center"/>
          </w:tcPr>
          <w:p w14:paraId="30C9BAD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76DB0EA3">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《水嘴用水效率限定值及用水效率等级》（GB 25501）</w:t>
            </w:r>
          </w:p>
        </w:tc>
      </w:tr>
      <w:tr w14:paraId="12E4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14:paraId="24AC602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17</w:t>
            </w:r>
          </w:p>
        </w:tc>
        <w:tc>
          <w:tcPr>
            <w:tcW w:w="916" w:type="dxa"/>
            <w:vAlign w:val="center"/>
          </w:tcPr>
          <w:p w14:paraId="4B61A48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A060807便器冲洗阀</w:t>
            </w:r>
          </w:p>
        </w:tc>
        <w:tc>
          <w:tcPr>
            <w:tcW w:w="1516" w:type="dxa"/>
            <w:vAlign w:val="center"/>
          </w:tcPr>
          <w:p w14:paraId="36DF43D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vAlign w:val="center"/>
          </w:tcPr>
          <w:p w14:paraId="1E8C402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2DE9ACFD">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《便器冲洗阀用水效率限定值及用水效率等级》（GB28379）</w:t>
            </w:r>
          </w:p>
        </w:tc>
      </w:tr>
      <w:tr w14:paraId="21B5C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14:paraId="67CA71B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18</w:t>
            </w:r>
          </w:p>
        </w:tc>
        <w:tc>
          <w:tcPr>
            <w:tcW w:w="916" w:type="dxa"/>
            <w:vAlign w:val="center"/>
          </w:tcPr>
          <w:p w14:paraId="5FCBC36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A060810淋浴器</w:t>
            </w:r>
          </w:p>
        </w:tc>
        <w:tc>
          <w:tcPr>
            <w:tcW w:w="1516" w:type="dxa"/>
            <w:vAlign w:val="center"/>
          </w:tcPr>
          <w:p w14:paraId="00B4402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vAlign w:val="center"/>
          </w:tcPr>
          <w:p w14:paraId="1EF4DF0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vAlign w:val="center"/>
          </w:tcPr>
          <w:p w14:paraId="3678C15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《淋浴器用水效率限定值及用水效率等级》（GB28378）</w:t>
            </w:r>
          </w:p>
        </w:tc>
      </w:tr>
    </w:tbl>
    <w:p w14:paraId="15A1963C">
      <w:pPr>
        <w:spacing w:after="120" w:line="360" w:lineRule="auto"/>
        <w:rPr>
          <w:rFonts w:hint="eastAsia" w:ascii="宋体" w:hAnsi="宋体" w:eastAsia="宋体" w:cs="宋体"/>
          <w:color w:val="auto"/>
          <w:spacing w:val="-3"/>
          <w:szCs w:val="21"/>
          <w:highlight w:val="none"/>
        </w:rPr>
      </w:pPr>
    </w:p>
    <w:p w14:paraId="711D7C67">
      <w:pPr>
        <w:spacing w:after="120" w:line="360" w:lineRule="auto"/>
        <w:rPr>
          <w:rFonts w:hint="eastAsia" w:ascii="宋体" w:hAnsi="宋体" w:eastAsia="宋体" w:cs="宋体"/>
          <w:color w:val="auto"/>
          <w:szCs w:val="21"/>
          <w:highlight w:val="none"/>
        </w:rPr>
      </w:pPr>
      <w:r>
        <w:rPr>
          <w:rFonts w:hint="eastAsia" w:ascii="宋体" w:hAnsi="宋体" w:eastAsia="宋体" w:cs="宋体"/>
          <w:color w:val="auto"/>
          <w:spacing w:val="-3"/>
          <w:szCs w:val="21"/>
          <w:highlight w:val="none"/>
        </w:rPr>
        <w:t>注：1.节能产品认证应依据相关国家标准的最新版本，依据国家标准中二级能效（水效）</w:t>
      </w:r>
      <w:r>
        <w:rPr>
          <w:rFonts w:hint="eastAsia" w:ascii="宋体" w:hAnsi="宋体" w:eastAsia="宋体" w:cs="宋体"/>
          <w:color w:val="auto"/>
          <w:szCs w:val="21"/>
          <w:highlight w:val="none"/>
        </w:rPr>
        <w:t>指标。</w:t>
      </w:r>
    </w:p>
    <w:p w14:paraId="6B3D82D8">
      <w:pPr>
        <w:spacing w:line="428" w:lineRule="exact"/>
        <w:rPr>
          <w:rFonts w:hint="eastAsia" w:ascii="宋体" w:cs="宋体"/>
          <w:color w:val="auto"/>
          <w:sz w:val="32"/>
          <w:szCs w:val="32"/>
          <w:highlight w:val="none"/>
        </w:rPr>
      </w:pPr>
      <w:r>
        <w:rPr>
          <w:rFonts w:hint="eastAsia" w:ascii="宋体" w:hAnsi="宋体" w:eastAsia="宋体" w:cs="宋体"/>
          <w:color w:val="auto"/>
          <w:szCs w:val="21"/>
          <w:highlight w:val="none"/>
        </w:rPr>
        <w:t xml:space="preserve">    2</w:t>
      </w:r>
      <w:r>
        <w:rPr>
          <w:rFonts w:hint="eastAsia" w:ascii="宋体" w:hAnsi="宋体" w:eastAsia="宋体" w:cs="宋体"/>
          <w:b/>
          <w:bCs/>
          <w:color w:val="auto"/>
          <w:szCs w:val="21"/>
          <w:highlight w:val="none"/>
        </w:rPr>
        <w:t>.以“★”标注的为政府强制采购产品。</w:t>
      </w:r>
    </w:p>
    <w:p w14:paraId="00A08973">
      <w:pPr>
        <w:spacing w:line="428" w:lineRule="exact"/>
        <w:rPr>
          <w:rFonts w:hint="eastAsia" w:ascii="宋体" w:cs="宋体"/>
          <w:color w:val="auto"/>
          <w:sz w:val="32"/>
          <w:szCs w:val="32"/>
          <w:highlight w:val="none"/>
        </w:rPr>
      </w:pPr>
    </w:p>
    <w:p w14:paraId="542E7E1D">
      <w:pPr>
        <w:spacing w:line="428" w:lineRule="exact"/>
        <w:rPr>
          <w:rFonts w:hint="eastAsia" w:ascii="宋体" w:cs="宋体"/>
          <w:color w:val="auto"/>
          <w:sz w:val="32"/>
          <w:szCs w:val="32"/>
          <w:highlight w:val="none"/>
        </w:rPr>
      </w:pPr>
    </w:p>
    <w:p w14:paraId="15004FB0">
      <w:pPr>
        <w:spacing w:line="428" w:lineRule="exact"/>
        <w:rPr>
          <w:rFonts w:hint="eastAsia" w:ascii="宋体" w:cs="宋体"/>
          <w:color w:val="auto"/>
          <w:sz w:val="32"/>
          <w:szCs w:val="32"/>
          <w:highlight w:val="none"/>
        </w:rPr>
      </w:pPr>
    </w:p>
    <w:p w14:paraId="6919AA33">
      <w:pPr>
        <w:spacing w:line="428" w:lineRule="exact"/>
        <w:rPr>
          <w:rFonts w:hint="eastAsia" w:ascii="宋体" w:cs="宋体"/>
          <w:color w:val="auto"/>
          <w:sz w:val="32"/>
          <w:szCs w:val="32"/>
          <w:highlight w:val="none"/>
        </w:rPr>
      </w:pPr>
    </w:p>
    <w:p w14:paraId="66548A71">
      <w:pPr>
        <w:spacing w:line="428" w:lineRule="exact"/>
        <w:rPr>
          <w:rFonts w:hint="eastAsia" w:ascii="宋体" w:cs="宋体"/>
          <w:color w:val="auto"/>
          <w:sz w:val="32"/>
          <w:szCs w:val="32"/>
          <w:highlight w:val="none"/>
        </w:rPr>
      </w:pPr>
    </w:p>
    <w:p w14:paraId="0E8EBA58">
      <w:pPr>
        <w:spacing w:before="7"/>
        <w:rPr>
          <w:rFonts w:ascii="宋体" w:cs="宋体"/>
          <w:color w:val="auto"/>
          <w:sz w:val="17"/>
          <w:szCs w:val="17"/>
          <w:highlight w:val="none"/>
        </w:rPr>
      </w:pPr>
    </w:p>
    <w:p w14:paraId="40F48D73">
      <w:pPr>
        <w:widowControl/>
        <w:spacing w:before="166" w:beforeLines="50" w:after="166" w:afterLines="50" w:line="280" w:lineRule="exact"/>
        <w:jc w:val="center"/>
        <w:rPr>
          <w:rFonts w:hint="eastAsia" w:ascii="宋体" w:cs="宋体"/>
          <w:b/>
          <w:bCs/>
          <w:color w:val="auto"/>
          <w:kern w:val="0"/>
          <w:sz w:val="30"/>
          <w:szCs w:val="30"/>
          <w:highlight w:val="none"/>
        </w:rPr>
      </w:pPr>
      <w:bookmarkStart w:id="60" w:name="_Toc28361_WPSOffice_Level2"/>
    </w:p>
    <w:p w14:paraId="590C4891">
      <w:pPr>
        <w:widowControl/>
        <w:spacing w:before="166" w:beforeLines="50" w:after="166" w:afterLines="50" w:line="280" w:lineRule="exact"/>
        <w:jc w:val="center"/>
        <w:rPr>
          <w:rFonts w:hint="eastAsia" w:ascii="宋体" w:cs="宋体"/>
          <w:b/>
          <w:bCs/>
          <w:color w:val="auto"/>
          <w:kern w:val="0"/>
          <w:sz w:val="30"/>
          <w:szCs w:val="30"/>
          <w:highlight w:val="none"/>
        </w:rPr>
      </w:pPr>
    </w:p>
    <w:p w14:paraId="32D45E92">
      <w:pPr>
        <w:widowControl/>
        <w:spacing w:before="166" w:beforeLines="50" w:after="166" w:afterLines="50" w:line="280" w:lineRule="exact"/>
        <w:jc w:val="center"/>
        <w:rPr>
          <w:rFonts w:hint="eastAsia" w:ascii="宋体" w:cs="宋体"/>
          <w:b/>
          <w:bCs/>
          <w:color w:val="auto"/>
          <w:kern w:val="0"/>
          <w:sz w:val="30"/>
          <w:szCs w:val="30"/>
          <w:highlight w:val="none"/>
        </w:rPr>
      </w:pPr>
    </w:p>
    <w:p w14:paraId="3D9E5420">
      <w:pPr>
        <w:spacing w:line="428" w:lineRule="exact"/>
        <w:rPr>
          <w:rFonts w:ascii="宋体" w:hAnsi="Times New Roman" w:eastAsia="宋体" w:cs="宋体"/>
          <w:color w:val="auto"/>
          <w:sz w:val="32"/>
          <w:szCs w:val="32"/>
          <w:highlight w:val="none"/>
          <w:lang w:val="en-US" w:eastAsia="zh-CN"/>
        </w:rPr>
      </w:pPr>
      <w:r>
        <w:rPr>
          <w:rFonts w:hint="eastAsia" w:ascii="宋体" w:hAnsi="Times New Roman" w:eastAsia="宋体" w:cs="宋体"/>
          <w:color w:val="auto"/>
          <w:sz w:val="32"/>
          <w:szCs w:val="32"/>
          <w:highlight w:val="none"/>
          <w:lang w:val="en-US" w:eastAsia="zh-CN"/>
        </w:rPr>
        <w:t>附件2</w:t>
      </w:r>
    </w:p>
    <w:p w14:paraId="7FD10C11">
      <w:pPr>
        <w:widowControl/>
        <w:spacing w:before="166" w:beforeLines="50" w:after="166" w:afterLines="50" w:line="280" w:lineRule="exact"/>
        <w:jc w:val="center"/>
        <w:rPr>
          <w:rFonts w:hint="eastAsia" w:ascii="宋体" w:cs="宋体"/>
          <w:b/>
          <w:bCs/>
          <w:color w:val="auto"/>
          <w:kern w:val="0"/>
          <w:sz w:val="30"/>
          <w:szCs w:val="30"/>
          <w:highlight w:val="none"/>
        </w:rPr>
      </w:pPr>
    </w:p>
    <w:p w14:paraId="7837AEB2">
      <w:pPr>
        <w:widowControl/>
        <w:spacing w:before="166" w:beforeLines="50" w:after="166" w:afterLines="50" w:line="280" w:lineRule="exact"/>
        <w:jc w:val="center"/>
        <w:rPr>
          <w:rFonts w:ascii="宋体" w:cs="宋体"/>
          <w:b/>
          <w:bCs/>
          <w:color w:val="auto"/>
          <w:kern w:val="0"/>
          <w:sz w:val="30"/>
          <w:szCs w:val="30"/>
          <w:highlight w:val="none"/>
        </w:rPr>
      </w:pPr>
      <w:r>
        <w:rPr>
          <w:rFonts w:hint="eastAsia" w:ascii="宋体" w:cs="宋体"/>
          <w:b/>
          <w:bCs/>
          <w:color w:val="auto"/>
          <w:kern w:val="0"/>
          <w:sz w:val="30"/>
          <w:szCs w:val="30"/>
          <w:highlight w:val="none"/>
        </w:rPr>
        <w:t>统计上大中小微型企业划分标准</w:t>
      </w:r>
      <w:bookmarkEnd w:id="60"/>
    </w:p>
    <w:tbl>
      <w:tblPr>
        <w:tblStyle w:val="29"/>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26CD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8DB3E2"/>
            <w:vAlign w:val="center"/>
          </w:tcPr>
          <w:p w14:paraId="4F149E87">
            <w:pPr>
              <w:widowControl/>
              <w:spacing w:line="280" w:lineRule="exact"/>
              <w:jc w:val="center"/>
              <w:rPr>
                <w:rFonts w:ascii="宋体" w:cs="宋体"/>
                <w:b/>
                <w:bCs/>
                <w:color w:val="auto"/>
                <w:kern w:val="0"/>
                <w:sz w:val="18"/>
                <w:szCs w:val="21"/>
                <w:highlight w:val="none"/>
              </w:rPr>
            </w:pPr>
            <w:r>
              <w:rPr>
                <w:rFonts w:hint="eastAsia" w:ascii="宋体" w:cs="宋体"/>
                <w:b/>
                <w:bCs/>
                <w:color w:val="auto"/>
                <w:kern w:val="0"/>
                <w:sz w:val="18"/>
                <w:szCs w:val="21"/>
                <w:highlight w:val="none"/>
              </w:rPr>
              <w:t>行业名称</w:t>
            </w:r>
          </w:p>
        </w:tc>
        <w:tc>
          <w:tcPr>
            <w:tcW w:w="1369" w:type="dxa"/>
            <w:shd w:val="clear" w:color="auto" w:fill="8DB3E2"/>
            <w:vAlign w:val="center"/>
          </w:tcPr>
          <w:p w14:paraId="255B043D">
            <w:pPr>
              <w:widowControl/>
              <w:spacing w:line="280" w:lineRule="exact"/>
              <w:jc w:val="center"/>
              <w:rPr>
                <w:rFonts w:ascii="宋体" w:cs="宋体"/>
                <w:b/>
                <w:bCs/>
                <w:color w:val="auto"/>
                <w:kern w:val="0"/>
                <w:sz w:val="18"/>
                <w:szCs w:val="18"/>
                <w:highlight w:val="none"/>
              </w:rPr>
            </w:pPr>
            <w:r>
              <w:rPr>
                <w:rFonts w:hint="eastAsia" w:ascii="宋体" w:cs="宋体"/>
                <w:b/>
                <w:bCs/>
                <w:color w:val="auto"/>
                <w:kern w:val="0"/>
                <w:sz w:val="18"/>
                <w:szCs w:val="18"/>
                <w:highlight w:val="none"/>
              </w:rPr>
              <w:t>指标名称</w:t>
            </w:r>
          </w:p>
        </w:tc>
        <w:tc>
          <w:tcPr>
            <w:tcW w:w="709" w:type="dxa"/>
            <w:shd w:val="clear" w:color="auto" w:fill="8DB3E2"/>
            <w:vAlign w:val="center"/>
          </w:tcPr>
          <w:p w14:paraId="4D5CD1D9">
            <w:pPr>
              <w:widowControl/>
              <w:spacing w:line="280" w:lineRule="exact"/>
              <w:jc w:val="center"/>
              <w:rPr>
                <w:rFonts w:ascii="宋体" w:cs="宋体"/>
                <w:b/>
                <w:bCs/>
                <w:color w:val="auto"/>
                <w:kern w:val="0"/>
                <w:sz w:val="18"/>
                <w:szCs w:val="18"/>
                <w:highlight w:val="none"/>
              </w:rPr>
            </w:pPr>
            <w:r>
              <w:rPr>
                <w:rFonts w:hint="eastAsia" w:ascii="宋体" w:cs="宋体"/>
                <w:b/>
                <w:bCs/>
                <w:color w:val="auto"/>
                <w:kern w:val="0"/>
                <w:sz w:val="18"/>
                <w:szCs w:val="18"/>
                <w:highlight w:val="none"/>
              </w:rPr>
              <w:t>计量</w:t>
            </w:r>
          </w:p>
          <w:p w14:paraId="5B11B35D">
            <w:pPr>
              <w:widowControl/>
              <w:spacing w:line="280" w:lineRule="exact"/>
              <w:jc w:val="center"/>
              <w:rPr>
                <w:rFonts w:ascii="宋体" w:cs="宋体"/>
                <w:b/>
                <w:bCs/>
                <w:color w:val="auto"/>
                <w:kern w:val="0"/>
                <w:sz w:val="18"/>
                <w:szCs w:val="18"/>
                <w:highlight w:val="none"/>
              </w:rPr>
            </w:pPr>
            <w:r>
              <w:rPr>
                <w:rFonts w:hint="eastAsia" w:ascii="宋体" w:cs="宋体"/>
                <w:b/>
                <w:bCs/>
                <w:color w:val="auto"/>
                <w:kern w:val="0"/>
                <w:sz w:val="18"/>
                <w:szCs w:val="18"/>
                <w:highlight w:val="none"/>
              </w:rPr>
              <w:t>单位</w:t>
            </w:r>
          </w:p>
        </w:tc>
        <w:tc>
          <w:tcPr>
            <w:tcW w:w="1125" w:type="dxa"/>
            <w:shd w:val="clear" w:color="auto" w:fill="8DB3E2"/>
            <w:vAlign w:val="center"/>
          </w:tcPr>
          <w:p w14:paraId="3304DCA3">
            <w:pPr>
              <w:widowControl/>
              <w:spacing w:line="280" w:lineRule="exact"/>
              <w:jc w:val="center"/>
              <w:rPr>
                <w:rFonts w:ascii="宋体" w:cs="宋体"/>
                <w:b/>
                <w:bCs/>
                <w:color w:val="auto"/>
                <w:kern w:val="0"/>
                <w:sz w:val="18"/>
                <w:szCs w:val="18"/>
                <w:highlight w:val="none"/>
              </w:rPr>
            </w:pPr>
            <w:r>
              <w:rPr>
                <w:rFonts w:hint="eastAsia" w:ascii="宋体" w:cs="宋体"/>
                <w:b/>
                <w:bCs/>
                <w:color w:val="auto"/>
                <w:kern w:val="0"/>
                <w:sz w:val="18"/>
                <w:szCs w:val="18"/>
                <w:highlight w:val="none"/>
              </w:rPr>
              <w:t>大型</w:t>
            </w:r>
          </w:p>
        </w:tc>
        <w:tc>
          <w:tcPr>
            <w:tcW w:w="1701" w:type="dxa"/>
            <w:shd w:val="clear" w:color="auto" w:fill="8DB3E2"/>
            <w:vAlign w:val="center"/>
          </w:tcPr>
          <w:p w14:paraId="55318A73">
            <w:pPr>
              <w:widowControl/>
              <w:spacing w:line="280" w:lineRule="exact"/>
              <w:jc w:val="center"/>
              <w:rPr>
                <w:rFonts w:ascii="宋体" w:cs="宋体"/>
                <w:b/>
                <w:bCs/>
                <w:color w:val="auto"/>
                <w:kern w:val="0"/>
                <w:sz w:val="18"/>
                <w:szCs w:val="18"/>
                <w:highlight w:val="none"/>
              </w:rPr>
            </w:pPr>
            <w:r>
              <w:rPr>
                <w:rFonts w:hint="eastAsia" w:ascii="宋体" w:cs="宋体"/>
                <w:b/>
                <w:bCs/>
                <w:color w:val="auto"/>
                <w:kern w:val="0"/>
                <w:sz w:val="18"/>
                <w:szCs w:val="18"/>
                <w:highlight w:val="none"/>
              </w:rPr>
              <w:t>中型</w:t>
            </w:r>
          </w:p>
        </w:tc>
        <w:tc>
          <w:tcPr>
            <w:tcW w:w="1426" w:type="dxa"/>
            <w:shd w:val="clear" w:color="auto" w:fill="8DB3E2"/>
            <w:vAlign w:val="center"/>
          </w:tcPr>
          <w:p w14:paraId="60256D27">
            <w:pPr>
              <w:widowControl/>
              <w:spacing w:line="280" w:lineRule="exact"/>
              <w:jc w:val="center"/>
              <w:rPr>
                <w:rFonts w:ascii="宋体" w:cs="宋体"/>
                <w:b/>
                <w:bCs/>
                <w:color w:val="auto"/>
                <w:kern w:val="0"/>
                <w:sz w:val="18"/>
                <w:szCs w:val="18"/>
                <w:highlight w:val="none"/>
              </w:rPr>
            </w:pPr>
            <w:r>
              <w:rPr>
                <w:rFonts w:hint="eastAsia" w:ascii="宋体" w:cs="宋体"/>
                <w:b/>
                <w:bCs/>
                <w:color w:val="auto"/>
                <w:kern w:val="0"/>
                <w:sz w:val="18"/>
                <w:szCs w:val="18"/>
                <w:highlight w:val="none"/>
              </w:rPr>
              <w:t>小型</w:t>
            </w:r>
          </w:p>
        </w:tc>
        <w:tc>
          <w:tcPr>
            <w:tcW w:w="992" w:type="dxa"/>
            <w:shd w:val="clear" w:color="auto" w:fill="8DB3E2"/>
            <w:vAlign w:val="center"/>
          </w:tcPr>
          <w:p w14:paraId="10525D10">
            <w:pPr>
              <w:widowControl/>
              <w:spacing w:line="280" w:lineRule="exact"/>
              <w:jc w:val="center"/>
              <w:rPr>
                <w:rFonts w:ascii="宋体" w:cs="宋体"/>
                <w:b/>
                <w:bCs/>
                <w:color w:val="auto"/>
                <w:kern w:val="0"/>
                <w:sz w:val="18"/>
                <w:szCs w:val="18"/>
                <w:highlight w:val="none"/>
              </w:rPr>
            </w:pPr>
            <w:r>
              <w:rPr>
                <w:rFonts w:hint="eastAsia" w:ascii="宋体" w:cs="宋体"/>
                <w:b/>
                <w:bCs/>
                <w:color w:val="auto"/>
                <w:kern w:val="0"/>
                <w:sz w:val="18"/>
                <w:szCs w:val="18"/>
                <w:highlight w:val="none"/>
              </w:rPr>
              <w:t>微型</w:t>
            </w:r>
          </w:p>
        </w:tc>
      </w:tr>
      <w:tr w14:paraId="0564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1816B2F4">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农、林、牧、渔业</w:t>
            </w:r>
          </w:p>
        </w:tc>
        <w:tc>
          <w:tcPr>
            <w:tcW w:w="1369" w:type="dxa"/>
            <w:vAlign w:val="center"/>
          </w:tcPr>
          <w:p w14:paraId="5669F62E">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2F88C0B0">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30C29AC4">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Y≥20000</w:t>
            </w:r>
          </w:p>
        </w:tc>
        <w:tc>
          <w:tcPr>
            <w:tcW w:w="1701" w:type="dxa"/>
            <w:vAlign w:val="center"/>
          </w:tcPr>
          <w:p w14:paraId="79A82E3B">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500≤Y＜20000</w:t>
            </w:r>
          </w:p>
        </w:tc>
        <w:tc>
          <w:tcPr>
            <w:tcW w:w="1426" w:type="dxa"/>
            <w:vAlign w:val="center"/>
          </w:tcPr>
          <w:p w14:paraId="63CCE80B">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50≤Y＜500</w:t>
            </w:r>
          </w:p>
        </w:tc>
        <w:tc>
          <w:tcPr>
            <w:tcW w:w="992" w:type="dxa"/>
            <w:vAlign w:val="center"/>
          </w:tcPr>
          <w:p w14:paraId="2BEB1E05">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Y＜50</w:t>
            </w:r>
          </w:p>
        </w:tc>
      </w:tr>
      <w:tr w14:paraId="3165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6C37A07">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工业 *</w:t>
            </w:r>
          </w:p>
        </w:tc>
        <w:tc>
          <w:tcPr>
            <w:tcW w:w="1369" w:type="dxa"/>
            <w:vAlign w:val="center"/>
          </w:tcPr>
          <w:p w14:paraId="5ABC969F">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从业人员(X)</w:t>
            </w:r>
          </w:p>
        </w:tc>
        <w:tc>
          <w:tcPr>
            <w:tcW w:w="709" w:type="dxa"/>
            <w:vAlign w:val="center"/>
          </w:tcPr>
          <w:p w14:paraId="1A4F0884">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人</w:t>
            </w:r>
          </w:p>
        </w:tc>
        <w:tc>
          <w:tcPr>
            <w:tcW w:w="1125" w:type="dxa"/>
            <w:vAlign w:val="center"/>
          </w:tcPr>
          <w:p w14:paraId="1779007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X≥1000</w:t>
            </w:r>
          </w:p>
        </w:tc>
        <w:tc>
          <w:tcPr>
            <w:tcW w:w="1701" w:type="dxa"/>
            <w:vAlign w:val="center"/>
          </w:tcPr>
          <w:p w14:paraId="4E574C1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300≤X＜1000</w:t>
            </w:r>
          </w:p>
        </w:tc>
        <w:tc>
          <w:tcPr>
            <w:tcW w:w="1426" w:type="dxa"/>
            <w:vAlign w:val="center"/>
          </w:tcPr>
          <w:p w14:paraId="23ADE79C">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20≤X＜300</w:t>
            </w:r>
          </w:p>
        </w:tc>
        <w:tc>
          <w:tcPr>
            <w:tcW w:w="992" w:type="dxa"/>
            <w:vAlign w:val="center"/>
          </w:tcPr>
          <w:p w14:paraId="40A7242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X＜20</w:t>
            </w:r>
          </w:p>
        </w:tc>
      </w:tr>
      <w:tr w14:paraId="0DCB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8AD1013"/>
        </w:tc>
        <w:tc>
          <w:tcPr>
            <w:tcW w:w="1369" w:type="dxa"/>
            <w:vAlign w:val="center"/>
          </w:tcPr>
          <w:p w14:paraId="4C12FABD">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4E3DB515">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789F012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Y≥40000</w:t>
            </w:r>
          </w:p>
        </w:tc>
        <w:tc>
          <w:tcPr>
            <w:tcW w:w="1701" w:type="dxa"/>
            <w:vAlign w:val="center"/>
          </w:tcPr>
          <w:p w14:paraId="7B1349ED">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2000≤Y＜40000</w:t>
            </w:r>
          </w:p>
        </w:tc>
        <w:tc>
          <w:tcPr>
            <w:tcW w:w="1426" w:type="dxa"/>
            <w:vAlign w:val="center"/>
          </w:tcPr>
          <w:p w14:paraId="52DEB6C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300≤Y＜2000</w:t>
            </w:r>
          </w:p>
        </w:tc>
        <w:tc>
          <w:tcPr>
            <w:tcW w:w="992" w:type="dxa"/>
            <w:vAlign w:val="center"/>
          </w:tcPr>
          <w:p w14:paraId="2FE7BD1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Y＜300</w:t>
            </w:r>
          </w:p>
        </w:tc>
      </w:tr>
      <w:tr w14:paraId="4D598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70D31181">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建筑业</w:t>
            </w:r>
          </w:p>
        </w:tc>
        <w:tc>
          <w:tcPr>
            <w:tcW w:w="1369" w:type="dxa"/>
            <w:vAlign w:val="center"/>
          </w:tcPr>
          <w:p w14:paraId="51ED4F84">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28CF8975">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11EA0954">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Y≥80000</w:t>
            </w:r>
          </w:p>
        </w:tc>
        <w:tc>
          <w:tcPr>
            <w:tcW w:w="1701" w:type="dxa"/>
            <w:vAlign w:val="center"/>
          </w:tcPr>
          <w:p w14:paraId="1786DF65">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6000≤Y＜80000</w:t>
            </w:r>
          </w:p>
        </w:tc>
        <w:tc>
          <w:tcPr>
            <w:tcW w:w="1426" w:type="dxa"/>
            <w:vAlign w:val="center"/>
          </w:tcPr>
          <w:p w14:paraId="3F0D68DF">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300≤Y＜6000</w:t>
            </w:r>
          </w:p>
        </w:tc>
        <w:tc>
          <w:tcPr>
            <w:tcW w:w="992" w:type="dxa"/>
            <w:vAlign w:val="center"/>
          </w:tcPr>
          <w:p w14:paraId="6C6C9097">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Y＜300</w:t>
            </w:r>
          </w:p>
        </w:tc>
      </w:tr>
      <w:tr w14:paraId="08252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0571E82F"/>
        </w:tc>
        <w:tc>
          <w:tcPr>
            <w:tcW w:w="1369" w:type="dxa"/>
            <w:vAlign w:val="center"/>
          </w:tcPr>
          <w:p w14:paraId="41196689">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资产总额(Z)</w:t>
            </w:r>
          </w:p>
        </w:tc>
        <w:tc>
          <w:tcPr>
            <w:tcW w:w="709" w:type="dxa"/>
            <w:vAlign w:val="center"/>
          </w:tcPr>
          <w:p w14:paraId="6708929D">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35A6E59C">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Z≥80000</w:t>
            </w:r>
          </w:p>
        </w:tc>
        <w:tc>
          <w:tcPr>
            <w:tcW w:w="1701" w:type="dxa"/>
            <w:vAlign w:val="center"/>
          </w:tcPr>
          <w:p w14:paraId="49D25A45">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5000≤Z＜80000</w:t>
            </w:r>
          </w:p>
        </w:tc>
        <w:tc>
          <w:tcPr>
            <w:tcW w:w="1426" w:type="dxa"/>
            <w:vAlign w:val="center"/>
          </w:tcPr>
          <w:p w14:paraId="70984007">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300≤Z＜5000</w:t>
            </w:r>
          </w:p>
        </w:tc>
        <w:tc>
          <w:tcPr>
            <w:tcW w:w="992" w:type="dxa"/>
            <w:vAlign w:val="center"/>
          </w:tcPr>
          <w:p w14:paraId="2459249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Z＜300</w:t>
            </w:r>
          </w:p>
        </w:tc>
      </w:tr>
      <w:tr w14:paraId="74E3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67DBE3EF">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批发业</w:t>
            </w:r>
          </w:p>
        </w:tc>
        <w:tc>
          <w:tcPr>
            <w:tcW w:w="1369" w:type="dxa"/>
            <w:vAlign w:val="center"/>
          </w:tcPr>
          <w:p w14:paraId="600C99A2">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从业人员(X)</w:t>
            </w:r>
          </w:p>
        </w:tc>
        <w:tc>
          <w:tcPr>
            <w:tcW w:w="709" w:type="dxa"/>
            <w:vAlign w:val="center"/>
          </w:tcPr>
          <w:p w14:paraId="738E774E">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人</w:t>
            </w:r>
          </w:p>
        </w:tc>
        <w:tc>
          <w:tcPr>
            <w:tcW w:w="1125" w:type="dxa"/>
            <w:vAlign w:val="center"/>
          </w:tcPr>
          <w:p w14:paraId="77785D30">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X≥200</w:t>
            </w:r>
          </w:p>
        </w:tc>
        <w:tc>
          <w:tcPr>
            <w:tcW w:w="1701" w:type="dxa"/>
            <w:vAlign w:val="center"/>
          </w:tcPr>
          <w:p w14:paraId="1C6ED610">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20≤X＜200</w:t>
            </w:r>
          </w:p>
        </w:tc>
        <w:tc>
          <w:tcPr>
            <w:tcW w:w="1426" w:type="dxa"/>
            <w:vAlign w:val="center"/>
          </w:tcPr>
          <w:p w14:paraId="2CBD7D7A">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5≤X＜20</w:t>
            </w:r>
          </w:p>
        </w:tc>
        <w:tc>
          <w:tcPr>
            <w:tcW w:w="992" w:type="dxa"/>
            <w:vAlign w:val="center"/>
          </w:tcPr>
          <w:p w14:paraId="3ED3BDD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X＜5</w:t>
            </w:r>
          </w:p>
        </w:tc>
      </w:tr>
      <w:tr w14:paraId="77D79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CFB1EBE"/>
        </w:tc>
        <w:tc>
          <w:tcPr>
            <w:tcW w:w="1369" w:type="dxa"/>
            <w:vAlign w:val="center"/>
          </w:tcPr>
          <w:p w14:paraId="57CA283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6DB4F806">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1554FF2D">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Y≥40000</w:t>
            </w:r>
          </w:p>
        </w:tc>
        <w:tc>
          <w:tcPr>
            <w:tcW w:w="1701" w:type="dxa"/>
            <w:vAlign w:val="center"/>
          </w:tcPr>
          <w:p w14:paraId="25A16C69">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5000≤Y＜40000</w:t>
            </w:r>
          </w:p>
        </w:tc>
        <w:tc>
          <w:tcPr>
            <w:tcW w:w="1426" w:type="dxa"/>
            <w:vAlign w:val="center"/>
          </w:tcPr>
          <w:p w14:paraId="0A944F72">
            <w:pPr>
              <w:widowControl/>
              <w:spacing w:line="280" w:lineRule="exact"/>
              <w:ind w:left="-1" w:leftChars="-1" w:hanging="1"/>
              <w:jc w:val="center"/>
              <w:rPr>
                <w:rFonts w:ascii="宋体" w:cs="宋体"/>
                <w:color w:val="auto"/>
                <w:kern w:val="0"/>
                <w:sz w:val="18"/>
                <w:szCs w:val="18"/>
                <w:highlight w:val="none"/>
              </w:rPr>
            </w:pPr>
            <w:r>
              <w:rPr>
                <w:rFonts w:hint="eastAsia" w:ascii="宋体" w:cs="宋体"/>
                <w:color w:val="auto"/>
                <w:kern w:val="0"/>
                <w:sz w:val="18"/>
                <w:szCs w:val="18"/>
                <w:highlight w:val="none"/>
              </w:rPr>
              <w:t>1000≤Y＜5000</w:t>
            </w:r>
          </w:p>
        </w:tc>
        <w:tc>
          <w:tcPr>
            <w:tcW w:w="992" w:type="dxa"/>
            <w:vAlign w:val="center"/>
          </w:tcPr>
          <w:p w14:paraId="4E04F32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Y＜1000</w:t>
            </w:r>
          </w:p>
        </w:tc>
      </w:tr>
      <w:tr w14:paraId="35BE4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DB1E0EF">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零售业</w:t>
            </w:r>
          </w:p>
        </w:tc>
        <w:tc>
          <w:tcPr>
            <w:tcW w:w="1369" w:type="dxa"/>
            <w:vAlign w:val="center"/>
          </w:tcPr>
          <w:p w14:paraId="441F82BB">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从业人员(X)</w:t>
            </w:r>
          </w:p>
        </w:tc>
        <w:tc>
          <w:tcPr>
            <w:tcW w:w="709" w:type="dxa"/>
            <w:vAlign w:val="center"/>
          </w:tcPr>
          <w:p w14:paraId="043B51A4">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人</w:t>
            </w:r>
          </w:p>
        </w:tc>
        <w:tc>
          <w:tcPr>
            <w:tcW w:w="1125" w:type="dxa"/>
            <w:vAlign w:val="center"/>
          </w:tcPr>
          <w:p w14:paraId="7EECDE67">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X≥300</w:t>
            </w:r>
          </w:p>
        </w:tc>
        <w:tc>
          <w:tcPr>
            <w:tcW w:w="1701" w:type="dxa"/>
            <w:vAlign w:val="center"/>
          </w:tcPr>
          <w:p w14:paraId="44A8F6A7">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50≤X＜300</w:t>
            </w:r>
          </w:p>
        </w:tc>
        <w:tc>
          <w:tcPr>
            <w:tcW w:w="1426" w:type="dxa"/>
            <w:vAlign w:val="center"/>
          </w:tcPr>
          <w:p w14:paraId="0317F3A3">
            <w:pPr>
              <w:widowControl/>
              <w:spacing w:line="280" w:lineRule="exact"/>
              <w:ind w:left="-1" w:leftChars="-1" w:hanging="1"/>
              <w:jc w:val="center"/>
              <w:rPr>
                <w:rFonts w:ascii="宋体" w:cs="宋体"/>
                <w:color w:val="auto"/>
                <w:kern w:val="0"/>
                <w:sz w:val="18"/>
                <w:szCs w:val="18"/>
                <w:highlight w:val="none"/>
              </w:rPr>
            </w:pPr>
            <w:r>
              <w:rPr>
                <w:rFonts w:hint="eastAsia" w:ascii="宋体" w:cs="宋体"/>
                <w:color w:val="auto"/>
                <w:kern w:val="0"/>
                <w:sz w:val="18"/>
                <w:szCs w:val="18"/>
                <w:highlight w:val="none"/>
              </w:rPr>
              <w:t xml:space="preserve">10≤X＜50 </w:t>
            </w:r>
          </w:p>
        </w:tc>
        <w:tc>
          <w:tcPr>
            <w:tcW w:w="992" w:type="dxa"/>
            <w:vAlign w:val="center"/>
          </w:tcPr>
          <w:p w14:paraId="4878C766">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X＜10</w:t>
            </w:r>
          </w:p>
        </w:tc>
      </w:tr>
      <w:tr w14:paraId="10E8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0FF65AE"/>
        </w:tc>
        <w:tc>
          <w:tcPr>
            <w:tcW w:w="1369" w:type="dxa"/>
            <w:vAlign w:val="center"/>
          </w:tcPr>
          <w:p w14:paraId="58177750">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28F83E7E">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6B237FD6">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Y≥20000</w:t>
            </w:r>
          </w:p>
        </w:tc>
        <w:tc>
          <w:tcPr>
            <w:tcW w:w="1701" w:type="dxa"/>
            <w:vAlign w:val="center"/>
          </w:tcPr>
          <w:p w14:paraId="6A5876D5">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500≤Y＜20000</w:t>
            </w:r>
          </w:p>
        </w:tc>
        <w:tc>
          <w:tcPr>
            <w:tcW w:w="1426" w:type="dxa"/>
            <w:vAlign w:val="center"/>
          </w:tcPr>
          <w:p w14:paraId="73EA34C9">
            <w:pPr>
              <w:widowControl/>
              <w:spacing w:line="280" w:lineRule="exact"/>
              <w:ind w:left="-1" w:leftChars="-1" w:hanging="1"/>
              <w:jc w:val="center"/>
              <w:rPr>
                <w:rFonts w:ascii="宋体" w:cs="宋体"/>
                <w:color w:val="auto"/>
                <w:kern w:val="0"/>
                <w:sz w:val="18"/>
                <w:szCs w:val="18"/>
                <w:highlight w:val="none"/>
              </w:rPr>
            </w:pPr>
            <w:r>
              <w:rPr>
                <w:rFonts w:hint="eastAsia" w:ascii="宋体" w:cs="宋体"/>
                <w:color w:val="auto"/>
                <w:kern w:val="0"/>
                <w:sz w:val="18"/>
                <w:szCs w:val="18"/>
                <w:highlight w:val="none"/>
              </w:rPr>
              <w:t>100≤Y＜500</w:t>
            </w:r>
          </w:p>
        </w:tc>
        <w:tc>
          <w:tcPr>
            <w:tcW w:w="992" w:type="dxa"/>
            <w:vAlign w:val="center"/>
          </w:tcPr>
          <w:p w14:paraId="2BE0E93B">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Y＜100</w:t>
            </w:r>
          </w:p>
        </w:tc>
      </w:tr>
      <w:tr w14:paraId="09CE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0C48D90">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交通运输业 *</w:t>
            </w:r>
          </w:p>
        </w:tc>
        <w:tc>
          <w:tcPr>
            <w:tcW w:w="1369" w:type="dxa"/>
            <w:vAlign w:val="center"/>
          </w:tcPr>
          <w:p w14:paraId="7FB72B8E">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从业人员(X)</w:t>
            </w:r>
          </w:p>
        </w:tc>
        <w:tc>
          <w:tcPr>
            <w:tcW w:w="709" w:type="dxa"/>
            <w:vAlign w:val="center"/>
          </w:tcPr>
          <w:p w14:paraId="7D35CFA6">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人</w:t>
            </w:r>
          </w:p>
        </w:tc>
        <w:tc>
          <w:tcPr>
            <w:tcW w:w="1125" w:type="dxa"/>
            <w:vAlign w:val="center"/>
          </w:tcPr>
          <w:p w14:paraId="014D4B6A">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X≥1000</w:t>
            </w:r>
          </w:p>
        </w:tc>
        <w:tc>
          <w:tcPr>
            <w:tcW w:w="1701" w:type="dxa"/>
            <w:vAlign w:val="center"/>
          </w:tcPr>
          <w:p w14:paraId="1DE13F4A">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300≤X＜1000</w:t>
            </w:r>
          </w:p>
        </w:tc>
        <w:tc>
          <w:tcPr>
            <w:tcW w:w="1426" w:type="dxa"/>
            <w:vAlign w:val="center"/>
          </w:tcPr>
          <w:p w14:paraId="22946DA2">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20≤X＜300</w:t>
            </w:r>
          </w:p>
        </w:tc>
        <w:tc>
          <w:tcPr>
            <w:tcW w:w="992" w:type="dxa"/>
            <w:vAlign w:val="center"/>
          </w:tcPr>
          <w:p w14:paraId="44AA7AF1">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X＜20</w:t>
            </w:r>
          </w:p>
        </w:tc>
      </w:tr>
      <w:tr w14:paraId="5BBC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FBAACEF"/>
        </w:tc>
        <w:tc>
          <w:tcPr>
            <w:tcW w:w="1369" w:type="dxa"/>
            <w:vAlign w:val="center"/>
          </w:tcPr>
          <w:p w14:paraId="6C9472C6">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6C1334A7">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0F91F71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Y≥30000</w:t>
            </w:r>
          </w:p>
        </w:tc>
        <w:tc>
          <w:tcPr>
            <w:tcW w:w="1701" w:type="dxa"/>
            <w:vAlign w:val="center"/>
          </w:tcPr>
          <w:p w14:paraId="5676282F">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3000≤Y＜30000</w:t>
            </w:r>
          </w:p>
        </w:tc>
        <w:tc>
          <w:tcPr>
            <w:tcW w:w="1426" w:type="dxa"/>
            <w:vAlign w:val="center"/>
          </w:tcPr>
          <w:p w14:paraId="32260B7A">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200≤Y＜3000</w:t>
            </w:r>
          </w:p>
        </w:tc>
        <w:tc>
          <w:tcPr>
            <w:tcW w:w="992" w:type="dxa"/>
            <w:vAlign w:val="center"/>
          </w:tcPr>
          <w:p w14:paraId="53B78DFA">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Y＜200</w:t>
            </w:r>
          </w:p>
        </w:tc>
      </w:tr>
      <w:tr w14:paraId="4B6A6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B42E530">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仓储业*</w:t>
            </w:r>
          </w:p>
        </w:tc>
        <w:tc>
          <w:tcPr>
            <w:tcW w:w="1369" w:type="dxa"/>
            <w:vAlign w:val="center"/>
          </w:tcPr>
          <w:p w14:paraId="7509E832">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从业人员(X)</w:t>
            </w:r>
          </w:p>
        </w:tc>
        <w:tc>
          <w:tcPr>
            <w:tcW w:w="709" w:type="dxa"/>
            <w:vAlign w:val="center"/>
          </w:tcPr>
          <w:p w14:paraId="343E0EA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人</w:t>
            </w:r>
          </w:p>
        </w:tc>
        <w:tc>
          <w:tcPr>
            <w:tcW w:w="1125" w:type="dxa"/>
            <w:vAlign w:val="center"/>
          </w:tcPr>
          <w:p w14:paraId="44D549C7">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X≥200</w:t>
            </w:r>
          </w:p>
        </w:tc>
        <w:tc>
          <w:tcPr>
            <w:tcW w:w="1701" w:type="dxa"/>
            <w:vAlign w:val="center"/>
          </w:tcPr>
          <w:p w14:paraId="583585A8">
            <w:pPr>
              <w:widowControl/>
              <w:spacing w:line="280" w:lineRule="exact"/>
              <w:ind w:left="1" w:leftChars="-51" w:hanging="108" w:hangingChars="60"/>
              <w:jc w:val="center"/>
              <w:rPr>
                <w:rFonts w:ascii="宋体" w:cs="宋体"/>
                <w:color w:val="auto"/>
                <w:kern w:val="0"/>
                <w:sz w:val="18"/>
                <w:szCs w:val="18"/>
                <w:highlight w:val="none"/>
              </w:rPr>
            </w:pPr>
            <w:r>
              <w:rPr>
                <w:rFonts w:hint="eastAsia" w:ascii="宋体" w:cs="宋体"/>
                <w:color w:val="auto"/>
                <w:kern w:val="0"/>
                <w:sz w:val="18"/>
                <w:szCs w:val="18"/>
                <w:highlight w:val="none"/>
              </w:rPr>
              <w:t>100≤X＜200</w:t>
            </w:r>
          </w:p>
        </w:tc>
        <w:tc>
          <w:tcPr>
            <w:tcW w:w="1426" w:type="dxa"/>
            <w:vAlign w:val="center"/>
          </w:tcPr>
          <w:p w14:paraId="6A2832CC">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20≤X＜100</w:t>
            </w:r>
          </w:p>
        </w:tc>
        <w:tc>
          <w:tcPr>
            <w:tcW w:w="992" w:type="dxa"/>
            <w:vAlign w:val="center"/>
          </w:tcPr>
          <w:p w14:paraId="72A97A3F">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X＜20</w:t>
            </w:r>
          </w:p>
        </w:tc>
      </w:tr>
      <w:tr w14:paraId="75F0A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47F05EB"/>
        </w:tc>
        <w:tc>
          <w:tcPr>
            <w:tcW w:w="1369" w:type="dxa"/>
            <w:vAlign w:val="center"/>
          </w:tcPr>
          <w:p w14:paraId="0B082DAD">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619687F1">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19399FEC">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Y≥30000</w:t>
            </w:r>
          </w:p>
        </w:tc>
        <w:tc>
          <w:tcPr>
            <w:tcW w:w="1701" w:type="dxa"/>
            <w:vAlign w:val="center"/>
          </w:tcPr>
          <w:p w14:paraId="402296F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1000≤Y＜30000</w:t>
            </w:r>
          </w:p>
        </w:tc>
        <w:tc>
          <w:tcPr>
            <w:tcW w:w="1426" w:type="dxa"/>
            <w:vAlign w:val="center"/>
          </w:tcPr>
          <w:p w14:paraId="17E366A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100≤Y＜1000</w:t>
            </w:r>
          </w:p>
        </w:tc>
        <w:tc>
          <w:tcPr>
            <w:tcW w:w="992" w:type="dxa"/>
            <w:vAlign w:val="center"/>
          </w:tcPr>
          <w:p w14:paraId="2A14E2AF">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Y＜100</w:t>
            </w:r>
          </w:p>
        </w:tc>
      </w:tr>
      <w:tr w14:paraId="786FD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9E8F3E4">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邮政业</w:t>
            </w:r>
          </w:p>
        </w:tc>
        <w:tc>
          <w:tcPr>
            <w:tcW w:w="1369" w:type="dxa"/>
            <w:vAlign w:val="center"/>
          </w:tcPr>
          <w:p w14:paraId="00D5781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从业人员(X)</w:t>
            </w:r>
          </w:p>
        </w:tc>
        <w:tc>
          <w:tcPr>
            <w:tcW w:w="709" w:type="dxa"/>
            <w:vAlign w:val="center"/>
          </w:tcPr>
          <w:p w14:paraId="09DB7AA5">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人</w:t>
            </w:r>
          </w:p>
        </w:tc>
        <w:tc>
          <w:tcPr>
            <w:tcW w:w="1125" w:type="dxa"/>
            <w:vAlign w:val="center"/>
          </w:tcPr>
          <w:p w14:paraId="7097C0AC">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X≥1000</w:t>
            </w:r>
          </w:p>
        </w:tc>
        <w:tc>
          <w:tcPr>
            <w:tcW w:w="1701" w:type="dxa"/>
            <w:vAlign w:val="center"/>
          </w:tcPr>
          <w:p w14:paraId="43B46BAE">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300≤X＜1000</w:t>
            </w:r>
          </w:p>
        </w:tc>
        <w:tc>
          <w:tcPr>
            <w:tcW w:w="1426" w:type="dxa"/>
            <w:vAlign w:val="center"/>
          </w:tcPr>
          <w:p w14:paraId="5D5C2DA4">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20≤X＜300</w:t>
            </w:r>
          </w:p>
        </w:tc>
        <w:tc>
          <w:tcPr>
            <w:tcW w:w="992" w:type="dxa"/>
            <w:vAlign w:val="center"/>
          </w:tcPr>
          <w:p w14:paraId="2E5A3F51">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X＜20</w:t>
            </w:r>
          </w:p>
        </w:tc>
      </w:tr>
      <w:tr w14:paraId="6350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F53ACC8"/>
        </w:tc>
        <w:tc>
          <w:tcPr>
            <w:tcW w:w="1369" w:type="dxa"/>
            <w:vAlign w:val="center"/>
          </w:tcPr>
          <w:p w14:paraId="2C6F9A2B">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12832E99">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116DABCB">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Y≥30000</w:t>
            </w:r>
          </w:p>
        </w:tc>
        <w:tc>
          <w:tcPr>
            <w:tcW w:w="1701" w:type="dxa"/>
            <w:vAlign w:val="center"/>
          </w:tcPr>
          <w:p w14:paraId="28D61BF5">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2000≤Y＜30000</w:t>
            </w:r>
          </w:p>
        </w:tc>
        <w:tc>
          <w:tcPr>
            <w:tcW w:w="1426" w:type="dxa"/>
            <w:vAlign w:val="center"/>
          </w:tcPr>
          <w:p w14:paraId="7D55C6FD">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100≤Y＜2000</w:t>
            </w:r>
          </w:p>
        </w:tc>
        <w:tc>
          <w:tcPr>
            <w:tcW w:w="992" w:type="dxa"/>
            <w:vAlign w:val="center"/>
          </w:tcPr>
          <w:p w14:paraId="08330A09">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Y＜100</w:t>
            </w:r>
          </w:p>
        </w:tc>
      </w:tr>
      <w:tr w14:paraId="0E52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411D2D1">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住宿业</w:t>
            </w:r>
          </w:p>
        </w:tc>
        <w:tc>
          <w:tcPr>
            <w:tcW w:w="1369" w:type="dxa"/>
            <w:vAlign w:val="center"/>
          </w:tcPr>
          <w:p w14:paraId="00942042">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从业人员(X)</w:t>
            </w:r>
          </w:p>
        </w:tc>
        <w:tc>
          <w:tcPr>
            <w:tcW w:w="709" w:type="dxa"/>
            <w:vAlign w:val="center"/>
          </w:tcPr>
          <w:p w14:paraId="21281B2D">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人</w:t>
            </w:r>
          </w:p>
        </w:tc>
        <w:tc>
          <w:tcPr>
            <w:tcW w:w="1125" w:type="dxa"/>
            <w:vAlign w:val="center"/>
          </w:tcPr>
          <w:p w14:paraId="4CFAF90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X≥300</w:t>
            </w:r>
          </w:p>
        </w:tc>
        <w:tc>
          <w:tcPr>
            <w:tcW w:w="1701" w:type="dxa"/>
            <w:vAlign w:val="center"/>
          </w:tcPr>
          <w:p w14:paraId="6457DBB2">
            <w:pPr>
              <w:widowControl/>
              <w:spacing w:line="280" w:lineRule="exact"/>
              <w:ind w:left="1" w:leftChars="-51" w:hanging="108" w:hangingChars="60"/>
              <w:jc w:val="center"/>
              <w:rPr>
                <w:rFonts w:ascii="宋体" w:cs="宋体"/>
                <w:color w:val="auto"/>
                <w:kern w:val="0"/>
                <w:sz w:val="18"/>
                <w:szCs w:val="18"/>
                <w:highlight w:val="none"/>
              </w:rPr>
            </w:pPr>
            <w:r>
              <w:rPr>
                <w:rFonts w:hint="eastAsia" w:ascii="宋体" w:cs="宋体"/>
                <w:color w:val="auto"/>
                <w:kern w:val="0"/>
                <w:sz w:val="18"/>
                <w:szCs w:val="18"/>
                <w:highlight w:val="none"/>
              </w:rPr>
              <w:t>100≤X＜300</w:t>
            </w:r>
          </w:p>
        </w:tc>
        <w:tc>
          <w:tcPr>
            <w:tcW w:w="1426" w:type="dxa"/>
            <w:vAlign w:val="center"/>
          </w:tcPr>
          <w:p w14:paraId="3EFFB341">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10≤X＜100</w:t>
            </w:r>
          </w:p>
        </w:tc>
        <w:tc>
          <w:tcPr>
            <w:tcW w:w="992" w:type="dxa"/>
            <w:vAlign w:val="center"/>
          </w:tcPr>
          <w:p w14:paraId="2A36375A">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X＜10</w:t>
            </w:r>
          </w:p>
        </w:tc>
      </w:tr>
      <w:tr w14:paraId="6823F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A6738F5"/>
        </w:tc>
        <w:tc>
          <w:tcPr>
            <w:tcW w:w="1369" w:type="dxa"/>
            <w:vAlign w:val="center"/>
          </w:tcPr>
          <w:p w14:paraId="58823CF7">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580FD156">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142F262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Y≥10000</w:t>
            </w:r>
          </w:p>
        </w:tc>
        <w:tc>
          <w:tcPr>
            <w:tcW w:w="1701" w:type="dxa"/>
            <w:vAlign w:val="center"/>
          </w:tcPr>
          <w:p w14:paraId="07DB72B2">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2000≤Y＜10000</w:t>
            </w:r>
          </w:p>
        </w:tc>
        <w:tc>
          <w:tcPr>
            <w:tcW w:w="1426" w:type="dxa"/>
            <w:vAlign w:val="center"/>
          </w:tcPr>
          <w:p w14:paraId="7899BCDC">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100≤Y＜2000</w:t>
            </w:r>
          </w:p>
        </w:tc>
        <w:tc>
          <w:tcPr>
            <w:tcW w:w="992" w:type="dxa"/>
            <w:vAlign w:val="center"/>
          </w:tcPr>
          <w:p w14:paraId="4DCA0A19">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Y＜100</w:t>
            </w:r>
          </w:p>
        </w:tc>
      </w:tr>
      <w:tr w14:paraId="45B9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160F8BC">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餐饮业</w:t>
            </w:r>
          </w:p>
        </w:tc>
        <w:tc>
          <w:tcPr>
            <w:tcW w:w="1369" w:type="dxa"/>
            <w:vAlign w:val="center"/>
          </w:tcPr>
          <w:p w14:paraId="512B3AE2">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从业人员(X)</w:t>
            </w:r>
          </w:p>
        </w:tc>
        <w:tc>
          <w:tcPr>
            <w:tcW w:w="709" w:type="dxa"/>
            <w:vAlign w:val="center"/>
          </w:tcPr>
          <w:p w14:paraId="58D2AF34">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人</w:t>
            </w:r>
          </w:p>
        </w:tc>
        <w:tc>
          <w:tcPr>
            <w:tcW w:w="1125" w:type="dxa"/>
            <w:vAlign w:val="center"/>
          </w:tcPr>
          <w:p w14:paraId="7705934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X≥300</w:t>
            </w:r>
          </w:p>
        </w:tc>
        <w:tc>
          <w:tcPr>
            <w:tcW w:w="1701" w:type="dxa"/>
            <w:vAlign w:val="center"/>
          </w:tcPr>
          <w:p w14:paraId="67B6D2A9">
            <w:pPr>
              <w:widowControl/>
              <w:spacing w:line="280" w:lineRule="exact"/>
              <w:ind w:left="1" w:leftChars="-51" w:hanging="108" w:hangingChars="60"/>
              <w:jc w:val="center"/>
              <w:rPr>
                <w:rFonts w:ascii="宋体" w:cs="宋体"/>
                <w:color w:val="auto"/>
                <w:kern w:val="0"/>
                <w:sz w:val="18"/>
                <w:szCs w:val="18"/>
                <w:highlight w:val="none"/>
              </w:rPr>
            </w:pPr>
            <w:r>
              <w:rPr>
                <w:rFonts w:hint="eastAsia" w:ascii="宋体" w:cs="宋体"/>
                <w:color w:val="auto"/>
                <w:kern w:val="0"/>
                <w:sz w:val="18"/>
                <w:szCs w:val="18"/>
                <w:highlight w:val="none"/>
              </w:rPr>
              <w:t xml:space="preserve">100≤X＜300 </w:t>
            </w:r>
          </w:p>
        </w:tc>
        <w:tc>
          <w:tcPr>
            <w:tcW w:w="1426" w:type="dxa"/>
            <w:vAlign w:val="center"/>
          </w:tcPr>
          <w:p w14:paraId="5DD6A4A6">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10≤X＜100</w:t>
            </w:r>
          </w:p>
        </w:tc>
        <w:tc>
          <w:tcPr>
            <w:tcW w:w="992" w:type="dxa"/>
            <w:vAlign w:val="center"/>
          </w:tcPr>
          <w:p w14:paraId="6DF1AE8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X＜10</w:t>
            </w:r>
          </w:p>
        </w:tc>
      </w:tr>
      <w:tr w14:paraId="5686D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0E566D65"/>
        </w:tc>
        <w:tc>
          <w:tcPr>
            <w:tcW w:w="1369" w:type="dxa"/>
            <w:vAlign w:val="center"/>
          </w:tcPr>
          <w:p w14:paraId="7E64947E">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6B0405F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69F18420">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Y≥10000</w:t>
            </w:r>
          </w:p>
        </w:tc>
        <w:tc>
          <w:tcPr>
            <w:tcW w:w="1701" w:type="dxa"/>
            <w:vAlign w:val="center"/>
          </w:tcPr>
          <w:p w14:paraId="48D4B12B">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2000≤Y＜10000</w:t>
            </w:r>
          </w:p>
        </w:tc>
        <w:tc>
          <w:tcPr>
            <w:tcW w:w="1426" w:type="dxa"/>
            <w:vAlign w:val="center"/>
          </w:tcPr>
          <w:p w14:paraId="62F7B74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100≤Y＜2000</w:t>
            </w:r>
          </w:p>
        </w:tc>
        <w:tc>
          <w:tcPr>
            <w:tcW w:w="992" w:type="dxa"/>
            <w:vAlign w:val="center"/>
          </w:tcPr>
          <w:p w14:paraId="4DEB61F2">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Y＜100</w:t>
            </w:r>
          </w:p>
        </w:tc>
      </w:tr>
      <w:tr w14:paraId="2129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74F8F8BF">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信息传输业 *</w:t>
            </w:r>
          </w:p>
        </w:tc>
        <w:tc>
          <w:tcPr>
            <w:tcW w:w="1369" w:type="dxa"/>
            <w:vAlign w:val="center"/>
          </w:tcPr>
          <w:p w14:paraId="02A3CFEF">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从业人员(X)</w:t>
            </w:r>
          </w:p>
        </w:tc>
        <w:tc>
          <w:tcPr>
            <w:tcW w:w="709" w:type="dxa"/>
            <w:vAlign w:val="center"/>
          </w:tcPr>
          <w:p w14:paraId="5BE3A7E7">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人</w:t>
            </w:r>
          </w:p>
        </w:tc>
        <w:tc>
          <w:tcPr>
            <w:tcW w:w="1125" w:type="dxa"/>
            <w:vAlign w:val="center"/>
          </w:tcPr>
          <w:p w14:paraId="559AB75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X≥2000</w:t>
            </w:r>
          </w:p>
        </w:tc>
        <w:tc>
          <w:tcPr>
            <w:tcW w:w="1701" w:type="dxa"/>
            <w:vAlign w:val="center"/>
          </w:tcPr>
          <w:p w14:paraId="1D99C6B0">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100≤X＜2000</w:t>
            </w:r>
          </w:p>
        </w:tc>
        <w:tc>
          <w:tcPr>
            <w:tcW w:w="1426" w:type="dxa"/>
            <w:vAlign w:val="center"/>
          </w:tcPr>
          <w:p w14:paraId="21209D11">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10≤X＜100</w:t>
            </w:r>
          </w:p>
        </w:tc>
        <w:tc>
          <w:tcPr>
            <w:tcW w:w="992" w:type="dxa"/>
            <w:vAlign w:val="center"/>
          </w:tcPr>
          <w:p w14:paraId="739738B7">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X＜10</w:t>
            </w:r>
          </w:p>
        </w:tc>
      </w:tr>
      <w:tr w14:paraId="436A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7C449E66"/>
        </w:tc>
        <w:tc>
          <w:tcPr>
            <w:tcW w:w="1369" w:type="dxa"/>
            <w:vAlign w:val="center"/>
          </w:tcPr>
          <w:p w14:paraId="776B795A">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245FE829">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6050ECD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Y≥100000</w:t>
            </w:r>
          </w:p>
        </w:tc>
        <w:tc>
          <w:tcPr>
            <w:tcW w:w="1701" w:type="dxa"/>
            <w:vAlign w:val="center"/>
          </w:tcPr>
          <w:p w14:paraId="222E9802">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1000≤Y＜100000</w:t>
            </w:r>
          </w:p>
        </w:tc>
        <w:tc>
          <w:tcPr>
            <w:tcW w:w="1426" w:type="dxa"/>
            <w:vAlign w:val="center"/>
          </w:tcPr>
          <w:p w14:paraId="26E7C9AA">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100≤Y＜1000</w:t>
            </w:r>
          </w:p>
        </w:tc>
        <w:tc>
          <w:tcPr>
            <w:tcW w:w="992" w:type="dxa"/>
            <w:vAlign w:val="center"/>
          </w:tcPr>
          <w:p w14:paraId="619B60A6">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Y＜100</w:t>
            </w:r>
          </w:p>
        </w:tc>
      </w:tr>
      <w:tr w14:paraId="6374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08CDA795">
            <w:pPr>
              <w:widowControl/>
              <w:spacing w:line="280" w:lineRule="exact"/>
              <w:jc w:val="left"/>
              <w:rPr>
                <w:rFonts w:ascii="宋体" w:cs="宋体"/>
                <w:color w:val="auto"/>
                <w:spacing w:val="-12"/>
                <w:kern w:val="0"/>
                <w:sz w:val="18"/>
                <w:szCs w:val="18"/>
                <w:highlight w:val="none"/>
              </w:rPr>
            </w:pPr>
            <w:r>
              <w:rPr>
                <w:rFonts w:hint="eastAsia" w:ascii="宋体" w:cs="宋体"/>
                <w:color w:val="auto"/>
                <w:spacing w:val="-12"/>
                <w:kern w:val="0"/>
                <w:sz w:val="18"/>
                <w:szCs w:val="18"/>
                <w:highlight w:val="none"/>
              </w:rPr>
              <w:t>软件和信息技术服</w:t>
            </w:r>
            <w:r>
              <w:rPr>
                <w:rFonts w:hint="eastAsia" w:ascii="宋体" w:cs="宋体"/>
                <w:color w:val="auto"/>
                <w:kern w:val="0"/>
                <w:sz w:val="18"/>
                <w:szCs w:val="18"/>
                <w:highlight w:val="none"/>
              </w:rPr>
              <w:t>务业</w:t>
            </w:r>
          </w:p>
        </w:tc>
        <w:tc>
          <w:tcPr>
            <w:tcW w:w="1369" w:type="dxa"/>
            <w:vAlign w:val="center"/>
          </w:tcPr>
          <w:p w14:paraId="3373BD27">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从业人员(X)</w:t>
            </w:r>
          </w:p>
        </w:tc>
        <w:tc>
          <w:tcPr>
            <w:tcW w:w="709" w:type="dxa"/>
            <w:vAlign w:val="center"/>
          </w:tcPr>
          <w:p w14:paraId="4447958E">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人</w:t>
            </w:r>
          </w:p>
        </w:tc>
        <w:tc>
          <w:tcPr>
            <w:tcW w:w="1125" w:type="dxa"/>
            <w:vAlign w:val="center"/>
          </w:tcPr>
          <w:p w14:paraId="617A2B9B">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X≥300</w:t>
            </w:r>
          </w:p>
        </w:tc>
        <w:tc>
          <w:tcPr>
            <w:tcW w:w="1701" w:type="dxa"/>
            <w:vAlign w:val="center"/>
          </w:tcPr>
          <w:p w14:paraId="7CA2BC82">
            <w:pPr>
              <w:widowControl/>
              <w:spacing w:line="280" w:lineRule="exact"/>
              <w:ind w:left="1" w:leftChars="-51" w:hanging="108" w:hangingChars="60"/>
              <w:jc w:val="center"/>
              <w:rPr>
                <w:rFonts w:ascii="宋体" w:cs="宋体"/>
                <w:color w:val="auto"/>
                <w:kern w:val="0"/>
                <w:sz w:val="18"/>
                <w:szCs w:val="18"/>
                <w:highlight w:val="none"/>
              </w:rPr>
            </w:pPr>
            <w:r>
              <w:rPr>
                <w:rFonts w:hint="eastAsia" w:ascii="宋体" w:cs="宋体"/>
                <w:color w:val="auto"/>
                <w:kern w:val="0"/>
                <w:sz w:val="18"/>
                <w:szCs w:val="18"/>
                <w:highlight w:val="none"/>
              </w:rPr>
              <w:t xml:space="preserve">100≤X＜300 </w:t>
            </w:r>
          </w:p>
        </w:tc>
        <w:tc>
          <w:tcPr>
            <w:tcW w:w="1426" w:type="dxa"/>
            <w:vAlign w:val="center"/>
          </w:tcPr>
          <w:p w14:paraId="0BB4B186">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10≤X＜100</w:t>
            </w:r>
          </w:p>
        </w:tc>
        <w:tc>
          <w:tcPr>
            <w:tcW w:w="992" w:type="dxa"/>
            <w:vAlign w:val="center"/>
          </w:tcPr>
          <w:p w14:paraId="4BC0069A">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X＜10</w:t>
            </w:r>
          </w:p>
        </w:tc>
      </w:tr>
      <w:tr w14:paraId="29E5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4018A78B"/>
        </w:tc>
        <w:tc>
          <w:tcPr>
            <w:tcW w:w="1369" w:type="dxa"/>
            <w:vAlign w:val="center"/>
          </w:tcPr>
          <w:p w14:paraId="61F33F27">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6F14856D">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6AA15F36">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Y≥10000</w:t>
            </w:r>
          </w:p>
        </w:tc>
        <w:tc>
          <w:tcPr>
            <w:tcW w:w="1701" w:type="dxa"/>
            <w:vAlign w:val="center"/>
          </w:tcPr>
          <w:p w14:paraId="67386680">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1000≤Y＜10000</w:t>
            </w:r>
          </w:p>
        </w:tc>
        <w:tc>
          <w:tcPr>
            <w:tcW w:w="1426" w:type="dxa"/>
            <w:vAlign w:val="center"/>
          </w:tcPr>
          <w:p w14:paraId="0863A01D">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50≤Y＜1000</w:t>
            </w:r>
          </w:p>
        </w:tc>
        <w:tc>
          <w:tcPr>
            <w:tcW w:w="992" w:type="dxa"/>
            <w:vAlign w:val="center"/>
          </w:tcPr>
          <w:p w14:paraId="59F5A1B6">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Y＜50</w:t>
            </w:r>
          </w:p>
        </w:tc>
      </w:tr>
      <w:tr w14:paraId="3D2C1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32F9C0B1">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房地产开发经营</w:t>
            </w:r>
          </w:p>
        </w:tc>
        <w:tc>
          <w:tcPr>
            <w:tcW w:w="1369" w:type="dxa"/>
            <w:vAlign w:val="center"/>
          </w:tcPr>
          <w:p w14:paraId="42262652">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1233195E">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4F61BEAF">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Y≥200000</w:t>
            </w:r>
          </w:p>
        </w:tc>
        <w:tc>
          <w:tcPr>
            <w:tcW w:w="1701" w:type="dxa"/>
            <w:vAlign w:val="center"/>
          </w:tcPr>
          <w:p w14:paraId="729D9C3F">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1000≤Y＜200000</w:t>
            </w:r>
          </w:p>
        </w:tc>
        <w:tc>
          <w:tcPr>
            <w:tcW w:w="1426" w:type="dxa"/>
            <w:vAlign w:val="center"/>
          </w:tcPr>
          <w:p w14:paraId="702056C5">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100≤Y＜1000</w:t>
            </w:r>
          </w:p>
        </w:tc>
        <w:tc>
          <w:tcPr>
            <w:tcW w:w="992" w:type="dxa"/>
            <w:vAlign w:val="center"/>
          </w:tcPr>
          <w:p w14:paraId="5A69195A">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Y＜100</w:t>
            </w:r>
          </w:p>
        </w:tc>
      </w:tr>
      <w:tr w14:paraId="7B57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7ED6F1AD"/>
        </w:tc>
        <w:tc>
          <w:tcPr>
            <w:tcW w:w="1369" w:type="dxa"/>
            <w:vAlign w:val="center"/>
          </w:tcPr>
          <w:p w14:paraId="3C723A1C">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资产总额(Z)</w:t>
            </w:r>
          </w:p>
        </w:tc>
        <w:tc>
          <w:tcPr>
            <w:tcW w:w="709" w:type="dxa"/>
            <w:vAlign w:val="center"/>
          </w:tcPr>
          <w:p w14:paraId="3962321F">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0B74BFFC">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Z≥10000</w:t>
            </w:r>
          </w:p>
        </w:tc>
        <w:tc>
          <w:tcPr>
            <w:tcW w:w="1701" w:type="dxa"/>
            <w:vAlign w:val="center"/>
          </w:tcPr>
          <w:p w14:paraId="0455A6B2">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5000≤Z＜10000</w:t>
            </w:r>
          </w:p>
        </w:tc>
        <w:tc>
          <w:tcPr>
            <w:tcW w:w="1426" w:type="dxa"/>
            <w:vAlign w:val="center"/>
          </w:tcPr>
          <w:p w14:paraId="25BAEA9F">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2000≤Z＜5000</w:t>
            </w:r>
          </w:p>
        </w:tc>
        <w:tc>
          <w:tcPr>
            <w:tcW w:w="992" w:type="dxa"/>
            <w:vAlign w:val="center"/>
          </w:tcPr>
          <w:p w14:paraId="265FDE15">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Z＜2000</w:t>
            </w:r>
          </w:p>
        </w:tc>
      </w:tr>
      <w:tr w14:paraId="3D53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0F9461BA">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物业管理</w:t>
            </w:r>
          </w:p>
        </w:tc>
        <w:tc>
          <w:tcPr>
            <w:tcW w:w="1369" w:type="dxa"/>
            <w:vAlign w:val="center"/>
          </w:tcPr>
          <w:p w14:paraId="75635662">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从业人员(X)</w:t>
            </w:r>
          </w:p>
        </w:tc>
        <w:tc>
          <w:tcPr>
            <w:tcW w:w="709" w:type="dxa"/>
            <w:vAlign w:val="center"/>
          </w:tcPr>
          <w:p w14:paraId="4914AEC0">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人</w:t>
            </w:r>
          </w:p>
        </w:tc>
        <w:tc>
          <w:tcPr>
            <w:tcW w:w="1125" w:type="dxa"/>
            <w:vAlign w:val="center"/>
          </w:tcPr>
          <w:p w14:paraId="24C5383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X≥1000</w:t>
            </w:r>
          </w:p>
        </w:tc>
        <w:tc>
          <w:tcPr>
            <w:tcW w:w="1701" w:type="dxa"/>
            <w:vAlign w:val="center"/>
          </w:tcPr>
          <w:p w14:paraId="5B73B96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300≤X＜1000</w:t>
            </w:r>
          </w:p>
        </w:tc>
        <w:tc>
          <w:tcPr>
            <w:tcW w:w="1426" w:type="dxa"/>
            <w:vAlign w:val="center"/>
          </w:tcPr>
          <w:p w14:paraId="07752F0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100≤X＜300</w:t>
            </w:r>
          </w:p>
        </w:tc>
        <w:tc>
          <w:tcPr>
            <w:tcW w:w="992" w:type="dxa"/>
            <w:vAlign w:val="center"/>
          </w:tcPr>
          <w:p w14:paraId="7D9F6D5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X＜100</w:t>
            </w:r>
          </w:p>
        </w:tc>
      </w:tr>
      <w:tr w14:paraId="0C32E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14C41289"/>
        </w:tc>
        <w:tc>
          <w:tcPr>
            <w:tcW w:w="1369" w:type="dxa"/>
            <w:vAlign w:val="center"/>
          </w:tcPr>
          <w:p w14:paraId="533E44A4">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营业收入(Y)</w:t>
            </w:r>
          </w:p>
        </w:tc>
        <w:tc>
          <w:tcPr>
            <w:tcW w:w="709" w:type="dxa"/>
            <w:vAlign w:val="center"/>
          </w:tcPr>
          <w:p w14:paraId="7F0C4F3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53A2533C">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Y≥5000</w:t>
            </w:r>
          </w:p>
        </w:tc>
        <w:tc>
          <w:tcPr>
            <w:tcW w:w="1701" w:type="dxa"/>
            <w:vAlign w:val="center"/>
          </w:tcPr>
          <w:p w14:paraId="5C39C51F">
            <w:pPr>
              <w:widowControl/>
              <w:spacing w:line="280" w:lineRule="exact"/>
              <w:ind w:left="1" w:leftChars="-51" w:hanging="108" w:hangingChars="60"/>
              <w:jc w:val="center"/>
              <w:rPr>
                <w:rFonts w:ascii="宋体" w:cs="宋体"/>
                <w:color w:val="auto"/>
                <w:kern w:val="0"/>
                <w:sz w:val="18"/>
                <w:szCs w:val="18"/>
                <w:highlight w:val="none"/>
              </w:rPr>
            </w:pPr>
            <w:r>
              <w:rPr>
                <w:rFonts w:hint="eastAsia" w:ascii="宋体" w:cs="宋体"/>
                <w:color w:val="auto"/>
                <w:kern w:val="0"/>
                <w:sz w:val="18"/>
                <w:szCs w:val="18"/>
                <w:highlight w:val="none"/>
              </w:rPr>
              <w:t>1000≤Y＜5000</w:t>
            </w:r>
          </w:p>
        </w:tc>
        <w:tc>
          <w:tcPr>
            <w:tcW w:w="1426" w:type="dxa"/>
            <w:vAlign w:val="center"/>
          </w:tcPr>
          <w:p w14:paraId="518408EB">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500≤Y＜1000</w:t>
            </w:r>
          </w:p>
        </w:tc>
        <w:tc>
          <w:tcPr>
            <w:tcW w:w="992" w:type="dxa"/>
            <w:vAlign w:val="center"/>
          </w:tcPr>
          <w:p w14:paraId="17A4A464">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Y＜500</w:t>
            </w:r>
          </w:p>
        </w:tc>
      </w:tr>
      <w:tr w14:paraId="506E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3D326B8A">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租赁和商务服务业</w:t>
            </w:r>
          </w:p>
        </w:tc>
        <w:tc>
          <w:tcPr>
            <w:tcW w:w="1369" w:type="dxa"/>
            <w:vAlign w:val="center"/>
          </w:tcPr>
          <w:p w14:paraId="5791BF34">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从业人员(X)</w:t>
            </w:r>
          </w:p>
        </w:tc>
        <w:tc>
          <w:tcPr>
            <w:tcW w:w="709" w:type="dxa"/>
            <w:vAlign w:val="center"/>
          </w:tcPr>
          <w:p w14:paraId="1DC9C8FB">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人</w:t>
            </w:r>
          </w:p>
        </w:tc>
        <w:tc>
          <w:tcPr>
            <w:tcW w:w="1125" w:type="dxa"/>
            <w:vAlign w:val="center"/>
          </w:tcPr>
          <w:p w14:paraId="08A40DBA">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X≥300</w:t>
            </w:r>
          </w:p>
        </w:tc>
        <w:tc>
          <w:tcPr>
            <w:tcW w:w="1701" w:type="dxa"/>
            <w:vAlign w:val="center"/>
          </w:tcPr>
          <w:p w14:paraId="7858A34F">
            <w:pPr>
              <w:widowControl/>
              <w:spacing w:line="280" w:lineRule="exact"/>
              <w:ind w:left="1" w:leftChars="-51" w:hanging="108" w:hangingChars="60"/>
              <w:jc w:val="center"/>
              <w:rPr>
                <w:rFonts w:ascii="宋体" w:cs="宋体"/>
                <w:color w:val="auto"/>
                <w:kern w:val="0"/>
                <w:sz w:val="18"/>
                <w:szCs w:val="18"/>
                <w:highlight w:val="none"/>
              </w:rPr>
            </w:pPr>
            <w:r>
              <w:rPr>
                <w:rFonts w:hint="eastAsia" w:ascii="宋体" w:cs="宋体"/>
                <w:color w:val="auto"/>
                <w:kern w:val="0"/>
                <w:sz w:val="18"/>
                <w:szCs w:val="18"/>
                <w:highlight w:val="none"/>
              </w:rPr>
              <w:t>100≤X＜300</w:t>
            </w:r>
          </w:p>
        </w:tc>
        <w:tc>
          <w:tcPr>
            <w:tcW w:w="1426" w:type="dxa"/>
            <w:vAlign w:val="center"/>
          </w:tcPr>
          <w:p w14:paraId="2ADBAE78">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10≤X＜100</w:t>
            </w:r>
          </w:p>
        </w:tc>
        <w:tc>
          <w:tcPr>
            <w:tcW w:w="992" w:type="dxa"/>
            <w:vAlign w:val="center"/>
          </w:tcPr>
          <w:p w14:paraId="3EE04275">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X＜10</w:t>
            </w:r>
          </w:p>
        </w:tc>
      </w:tr>
      <w:tr w14:paraId="737B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31EF5F42"/>
        </w:tc>
        <w:tc>
          <w:tcPr>
            <w:tcW w:w="1369" w:type="dxa"/>
            <w:vAlign w:val="center"/>
          </w:tcPr>
          <w:p w14:paraId="57CB31B3">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资产总额(Z)</w:t>
            </w:r>
          </w:p>
        </w:tc>
        <w:tc>
          <w:tcPr>
            <w:tcW w:w="709" w:type="dxa"/>
            <w:vAlign w:val="center"/>
          </w:tcPr>
          <w:p w14:paraId="164598FA">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万元</w:t>
            </w:r>
          </w:p>
        </w:tc>
        <w:tc>
          <w:tcPr>
            <w:tcW w:w="1125" w:type="dxa"/>
            <w:vAlign w:val="center"/>
          </w:tcPr>
          <w:p w14:paraId="6AE1E72E">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Z≥120000</w:t>
            </w:r>
          </w:p>
        </w:tc>
        <w:tc>
          <w:tcPr>
            <w:tcW w:w="1701" w:type="dxa"/>
            <w:vAlign w:val="center"/>
          </w:tcPr>
          <w:p w14:paraId="2A2B7EF5">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8000≤Z＜120000</w:t>
            </w:r>
          </w:p>
        </w:tc>
        <w:tc>
          <w:tcPr>
            <w:tcW w:w="1426" w:type="dxa"/>
            <w:vAlign w:val="center"/>
          </w:tcPr>
          <w:p w14:paraId="656930B4">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100≤Z＜8000</w:t>
            </w:r>
          </w:p>
        </w:tc>
        <w:tc>
          <w:tcPr>
            <w:tcW w:w="992" w:type="dxa"/>
            <w:vAlign w:val="center"/>
          </w:tcPr>
          <w:p w14:paraId="25D1201E">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Z＜100</w:t>
            </w:r>
          </w:p>
        </w:tc>
      </w:tr>
      <w:tr w14:paraId="103E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19F196E1">
            <w:pPr>
              <w:widowControl/>
              <w:spacing w:line="280" w:lineRule="exact"/>
              <w:jc w:val="left"/>
              <w:rPr>
                <w:rFonts w:ascii="宋体" w:cs="宋体"/>
                <w:color w:val="auto"/>
                <w:kern w:val="0"/>
                <w:sz w:val="18"/>
                <w:szCs w:val="18"/>
                <w:highlight w:val="none"/>
              </w:rPr>
            </w:pPr>
            <w:r>
              <w:rPr>
                <w:rFonts w:hint="eastAsia" w:ascii="宋体" w:cs="宋体"/>
                <w:color w:val="auto"/>
                <w:kern w:val="0"/>
                <w:sz w:val="18"/>
                <w:szCs w:val="18"/>
                <w:highlight w:val="none"/>
              </w:rPr>
              <w:t>其他未列明行业 *</w:t>
            </w:r>
          </w:p>
        </w:tc>
        <w:tc>
          <w:tcPr>
            <w:tcW w:w="1369" w:type="dxa"/>
            <w:vAlign w:val="center"/>
          </w:tcPr>
          <w:p w14:paraId="4894CCBF">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从业人员(X)</w:t>
            </w:r>
          </w:p>
        </w:tc>
        <w:tc>
          <w:tcPr>
            <w:tcW w:w="709" w:type="dxa"/>
            <w:vAlign w:val="center"/>
          </w:tcPr>
          <w:p w14:paraId="3BEE209B">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人</w:t>
            </w:r>
          </w:p>
        </w:tc>
        <w:tc>
          <w:tcPr>
            <w:tcW w:w="1125" w:type="dxa"/>
            <w:vAlign w:val="center"/>
          </w:tcPr>
          <w:p w14:paraId="210F0075">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X≥300</w:t>
            </w:r>
          </w:p>
        </w:tc>
        <w:tc>
          <w:tcPr>
            <w:tcW w:w="1701" w:type="dxa"/>
            <w:vAlign w:val="center"/>
          </w:tcPr>
          <w:p w14:paraId="0EBF720D">
            <w:pPr>
              <w:widowControl/>
              <w:spacing w:line="280" w:lineRule="exact"/>
              <w:ind w:left="1" w:leftChars="-51" w:hanging="108" w:hangingChars="60"/>
              <w:jc w:val="center"/>
              <w:rPr>
                <w:rFonts w:ascii="宋体" w:cs="宋体"/>
                <w:color w:val="auto"/>
                <w:kern w:val="0"/>
                <w:sz w:val="18"/>
                <w:szCs w:val="18"/>
                <w:highlight w:val="none"/>
              </w:rPr>
            </w:pPr>
            <w:r>
              <w:rPr>
                <w:rFonts w:hint="eastAsia" w:ascii="宋体" w:cs="宋体"/>
                <w:color w:val="auto"/>
                <w:kern w:val="0"/>
                <w:sz w:val="18"/>
                <w:szCs w:val="18"/>
                <w:highlight w:val="none"/>
              </w:rPr>
              <w:t>100≤X＜300</w:t>
            </w:r>
          </w:p>
        </w:tc>
        <w:tc>
          <w:tcPr>
            <w:tcW w:w="1426" w:type="dxa"/>
            <w:vAlign w:val="center"/>
          </w:tcPr>
          <w:p w14:paraId="5D47CD79">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10≤X＜100</w:t>
            </w:r>
          </w:p>
        </w:tc>
        <w:tc>
          <w:tcPr>
            <w:tcW w:w="992" w:type="dxa"/>
            <w:vAlign w:val="center"/>
          </w:tcPr>
          <w:p w14:paraId="705448D1">
            <w:pPr>
              <w:widowControl/>
              <w:spacing w:line="280" w:lineRule="exact"/>
              <w:jc w:val="center"/>
              <w:rPr>
                <w:rFonts w:ascii="宋体" w:cs="宋体"/>
                <w:color w:val="auto"/>
                <w:kern w:val="0"/>
                <w:sz w:val="18"/>
                <w:szCs w:val="18"/>
                <w:highlight w:val="none"/>
              </w:rPr>
            </w:pPr>
            <w:r>
              <w:rPr>
                <w:rFonts w:hint="eastAsia" w:ascii="宋体" w:cs="宋体"/>
                <w:color w:val="auto"/>
                <w:kern w:val="0"/>
                <w:sz w:val="18"/>
                <w:szCs w:val="18"/>
                <w:highlight w:val="none"/>
              </w:rPr>
              <w:t>X＜10</w:t>
            </w:r>
          </w:p>
        </w:tc>
      </w:tr>
    </w:tbl>
    <w:p w14:paraId="2BBEECD3">
      <w:pPr>
        <w:widowControl/>
        <w:spacing w:line="280" w:lineRule="exact"/>
        <w:rPr>
          <w:rFonts w:ascii="宋体" w:cs="宋体"/>
          <w:color w:val="auto"/>
          <w:spacing w:val="8"/>
          <w:kern w:val="0"/>
          <w:sz w:val="24"/>
          <w:highlight w:val="none"/>
        </w:rPr>
      </w:pPr>
    </w:p>
    <w:p w14:paraId="7A807923">
      <w:pPr>
        <w:widowControl/>
        <w:spacing w:line="360" w:lineRule="auto"/>
        <w:rPr>
          <w:rFonts w:ascii="宋体" w:cs="宋体"/>
          <w:color w:val="auto"/>
          <w:spacing w:val="8"/>
          <w:kern w:val="0"/>
          <w:szCs w:val="21"/>
          <w:highlight w:val="none"/>
        </w:rPr>
      </w:pPr>
    </w:p>
    <w:p w14:paraId="337818DA">
      <w:pPr>
        <w:widowControl/>
        <w:spacing w:line="360" w:lineRule="auto"/>
        <w:rPr>
          <w:rFonts w:ascii="宋体" w:cs="宋体"/>
          <w:color w:val="auto"/>
          <w:spacing w:val="8"/>
          <w:kern w:val="0"/>
          <w:szCs w:val="21"/>
          <w:highlight w:val="none"/>
        </w:rPr>
      </w:pPr>
      <w:r>
        <w:rPr>
          <w:rFonts w:hint="eastAsia" w:ascii="宋体" w:cs="宋体"/>
          <w:color w:val="auto"/>
          <w:spacing w:val="8"/>
          <w:kern w:val="0"/>
          <w:szCs w:val="21"/>
          <w:highlight w:val="none"/>
        </w:rPr>
        <w:t>说明：</w:t>
      </w:r>
    </w:p>
    <w:p w14:paraId="1C95C544">
      <w:pPr>
        <w:pStyle w:val="16"/>
        <w:adjustRightInd w:val="0"/>
        <w:spacing w:line="360" w:lineRule="auto"/>
        <w:ind w:firstLine="452" w:firstLineChars="200"/>
        <w:contextualSpacing/>
        <w:rPr>
          <w:rFonts w:cs="宋体"/>
          <w:color w:val="auto"/>
          <w:spacing w:val="8"/>
          <w:kern w:val="0"/>
          <w:szCs w:val="21"/>
          <w:highlight w:val="none"/>
        </w:rPr>
      </w:pPr>
      <w:r>
        <w:rPr>
          <w:rFonts w:hint="eastAsia" w:cs="宋体"/>
          <w:color w:val="auto"/>
          <w:spacing w:val="8"/>
          <w:kern w:val="0"/>
          <w:szCs w:val="21"/>
          <w:highlight w:val="none"/>
        </w:rPr>
        <w:t>1.大型、中型和小型企业须同时满足所列指标的下限，否则下划一档；微型企业只须满足所列指标中的一项即可。</w:t>
      </w:r>
    </w:p>
    <w:p w14:paraId="2A62E353">
      <w:pPr>
        <w:pStyle w:val="16"/>
        <w:adjustRightInd w:val="0"/>
        <w:spacing w:line="360" w:lineRule="auto"/>
        <w:ind w:firstLine="452" w:firstLineChars="200"/>
        <w:contextualSpacing/>
        <w:rPr>
          <w:rFonts w:cs="宋体"/>
          <w:color w:val="auto"/>
          <w:spacing w:val="8"/>
          <w:kern w:val="0"/>
          <w:szCs w:val="21"/>
          <w:highlight w:val="none"/>
        </w:rPr>
      </w:pPr>
      <w:r>
        <w:rPr>
          <w:rFonts w:hint="eastAsia" w:cs="宋体"/>
          <w:color w:val="auto"/>
          <w:spacing w:val="8"/>
          <w:ker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1CAE33A4">
      <w:pPr>
        <w:pStyle w:val="16"/>
        <w:spacing w:line="360" w:lineRule="auto"/>
        <w:ind w:firstLine="452" w:firstLineChars="200"/>
        <w:rPr>
          <w:rFonts w:hint="eastAsia" w:cs="宋体"/>
          <w:color w:val="auto"/>
          <w:spacing w:val="8"/>
          <w:kern w:val="0"/>
          <w:szCs w:val="21"/>
          <w:highlight w:val="none"/>
        </w:rPr>
      </w:pPr>
      <w:r>
        <w:rPr>
          <w:rFonts w:hint="eastAsia" w:cs="宋体"/>
          <w:color w:val="auto"/>
          <w:spacing w:val="8"/>
          <w:kern w:val="0"/>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2D82DDBD">
      <w:pPr>
        <w:rPr>
          <w:rFonts w:hint="eastAsia" w:cs="宋体"/>
          <w:color w:val="auto"/>
          <w:spacing w:val="8"/>
          <w:kern w:val="0"/>
          <w:szCs w:val="21"/>
          <w:highlight w:val="none"/>
        </w:rPr>
      </w:pPr>
      <w:r>
        <w:rPr>
          <w:rFonts w:hint="eastAsia" w:cs="宋体"/>
          <w:color w:val="auto"/>
          <w:spacing w:val="8"/>
          <w:kern w:val="0"/>
          <w:szCs w:val="21"/>
          <w:highlight w:val="none"/>
        </w:rPr>
        <w:br w:type="page"/>
      </w:r>
    </w:p>
    <w:p w14:paraId="4A787AD4">
      <w:pPr>
        <w:spacing w:line="428" w:lineRule="exact"/>
        <w:rPr>
          <w:rFonts w:hint="eastAsia" w:ascii="宋体" w:hAnsi="Times New Roman" w:eastAsia="宋体" w:cs="宋体"/>
          <w:color w:val="auto"/>
          <w:sz w:val="32"/>
          <w:szCs w:val="32"/>
          <w:highlight w:val="none"/>
          <w:lang w:val="en-US" w:eastAsia="zh-CN"/>
        </w:rPr>
      </w:pPr>
      <w:r>
        <w:rPr>
          <w:rFonts w:hint="eastAsia" w:ascii="宋体" w:hAnsi="Times New Roman" w:eastAsia="宋体" w:cs="宋体"/>
          <w:color w:val="auto"/>
          <w:sz w:val="32"/>
          <w:szCs w:val="32"/>
          <w:highlight w:val="none"/>
          <w:lang w:val="en-US" w:eastAsia="zh-CN"/>
        </w:rPr>
        <w:t>附件3</w:t>
      </w:r>
    </w:p>
    <w:p w14:paraId="254E6671">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0"/>
        <w:jc w:val="center"/>
        <w:rPr>
          <w:rFonts w:hint="eastAsia" w:ascii="宋体" w:hAnsi="宋体" w:eastAsia="宋体" w:cs="宋体"/>
          <w:i w:val="0"/>
          <w:iCs w:val="0"/>
          <w:caps w:val="0"/>
          <w:smallCaps w:val="0"/>
          <w:color w:val="auto"/>
          <w:spacing w:val="0"/>
          <w:kern w:val="2"/>
          <w:sz w:val="24"/>
          <w:szCs w:val="24"/>
          <w:highlight w:val="none"/>
        </w:rPr>
      </w:pPr>
      <w:r>
        <w:rPr>
          <w:rFonts w:hint="eastAsia" w:ascii="宋体" w:hAnsi="宋体" w:eastAsia="宋体" w:cs="宋体"/>
          <w:b/>
          <w:i w:val="0"/>
          <w:iCs w:val="0"/>
          <w:caps w:val="0"/>
          <w:smallCaps w:val="0"/>
          <w:color w:val="auto"/>
          <w:spacing w:val="0"/>
          <w:kern w:val="2"/>
          <w:sz w:val="30"/>
          <w:szCs w:val="30"/>
          <w:highlight w:val="none"/>
          <w:shd w:val="clear" w:color="auto" w:fill="auto"/>
        </w:rPr>
        <w:t>中国境内生产的组件成本核算基本规则</w:t>
      </w:r>
    </w:p>
    <w:p w14:paraId="797EE8E0">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smallCaps w:val="0"/>
          <w:color w:val="auto"/>
          <w:spacing w:val="0"/>
          <w:kern w:val="2"/>
          <w:sz w:val="21"/>
          <w:szCs w:val="21"/>
          <w:highlight w:val="none"/>
        </w:rPr>
      </w:pPr>
      <w:r>
        <w:rPr>
          <w:rFonts w:hint="eastAsia" w:ascii="宋体" w:hAnsi="宋体" w:eastAsia="宋体" w:cs="宋体"/>
          <w:i w:val="0"/>
          <w:iCs w:val="0"/>
          <w:caps w:val="0"/>
          <w:smallCaps w:val="0"/>
          <w:color w:val="auto"/>
          <w:spacing w:val="0"/>
          <w:kern w:val="2"/>
          <w:sz w:val="21"/>
          <w:szCs w:val="21"/>
          <w:highlight w:val="none"/>
          <w:shd w:val="clear" w:color="auto" w:fill="auto"/>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1D6D2B0A">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smallCaps w:val="0"/>
          <w:color w:val="auto"/>
          <w:spacing w:val="0"/>
          <w:kern w:val="2"/>
          <w:sz w:val="21"/>
          <w:szCs w:val="21"/>
          <w:highlight w:val="none"/>
        </w:rPr>
      </w:pPr>
      <w:r>
        <w:rPr>
          <w:rFonts w:hint="eastAsia" w:ascii="宋体" w:hAnsi="宋体" w:eastAsia="宋体" w:cs="宋体"/>
          <w:i w:val="0"/>
          <w:iCs w:val="0"/>
          <w:caps w:val="0"/>
          <w:smallCaps w:val="0"/>
          <w:color w:val="auto"/>
          <w:spacing w:val="0"/>
          <w:kern w:val="2"/>
          <w:sz w:val="21"/>
          <w:szCs w:val="21"/>
          <w:highlight w:val="none"/>
          <w:shd w:val="clear" w:color="auto" w:fill="auto"/>
        </w:rPr>
        <w:t>一、产品的一级组件是指直接组成产品的组件。产品的二级组件是指直接组成产品一级组件的组件。一级组件不可分解的，视同二级组件。</w:t>
      </w:r>
    </w:p>
    <w:p w14:paraId="511B486E">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smallCaps w:val="0"/>
          <w:color w:val="auto"/>
          <w:spacing w:val="0"/>
          <w:kern w:val="2"/>
          <w:sz w:val="21"/>
          <w:szCs w:val="21"/>
          <w:highlight w:val="none"/>
          <w:shd w:val="clear" w:color="auto" w:fill="auto"/>
        </w:rPr>
      </w:pPr>
      <w:r>
        <w:rPr>
          <w:rFonts w:hint="eastAsia" w:ascii="宋体" w:hAnsi="宋体" w:eastAsia="宋体" w:cs="宋体"/>
          <w:i w:val="0"/>
          <w:iCs w:val="0"/>
          <w:caps w:val="0"/>
          <w:smallCaps w:val="0"/>
          <w:color w:val="auto"/>
          <w:spacing w:val="0"/>
          <w:kern w:val="2"/>
          <w:sz w:val="21"/>
          <w:szCs w:val="21"/>
          <w:highlight w:val="none"/>
          <w:shd w:val="clear" w:color="auto" w:fill="auto"/>
        </w:rPr>
        <w:t>二、二级组件在中国境内生产的，其全部成本计入中国境内生产的组件成本；二级组件不在中国境内生产的，其成本不计入中国境内生产的组件成本。</w:t>
      </w:r>
    </w:p>
    <w:p w14:paraId="79CEC86E">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smallCaps w:val="0"/>
          <w:color w:val="auto"/>
          <w:spacing w:val="0"/>
          <w:kern w:val="2"/>
          <w:sz w:val="21"/>
          <w:szCs w:val="21"/>
          <w:highlight w:val="none"/>
          <w:shd w:val="clear" w:color="auto" w:fill="auto"/>
        </w:rPr>
      </w:pPr>
      <w:r>
        <w:rPr>
          <w:rFonts w:hint="eastAsia" w:ascii="宋体" w:hAnsi="宋体" w:eastAsia="宋体" w:cs="宋体"/>
          <w:i w:val="0"/>
          <w:iCs w:val="0"/>
          <w:caps w:val="0"/>
          <w:smallCaps w:val="0"/>
          <w:color w:val="auto"/>
          <w:spacing w:val="0"/>
          <w:kern w:val="2"/>
          <w:sz w:val="21"/>
          <w:szCs w:val="21"/>
          <w:highlight w:val="none"/>
          <w:shd w:val="clear" w:color="auto" w:fill="auto"/>
        </w:rPr>
        <w:t>三、产品总成本和组件成本以相关会计核算数据、采购合同、进货记录等为基础进行计算。</w:t>
      </w:r>
    </w:p>
    <w:p w14:paraId="6591C168">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color w:val="auto"/>
          <w:highlight w:val="none"/>
        </w:rPr>
      </w:pPr>
      <w:r>
        <w:rPr>
          <w:rFonts w:hint="eastAsia" w:ascii="宋体" w:hAnsi="宋体" w:eastAsia="宋体" w:cs="宋体"/>
          <w:i w:val="0"/>
          <w:iCs w:val="0"/>
          <w:caps w:val="0"/>
          <w:smallCaps w:val="0"/>
          <w:color w:val="auto"/>
          <w:spacing w:val="0"/>
          <w:sz w:val="21"/>
          <w:szCs w:val="21"/>
          <w:highlight w:val="none"/>
          <w:shd w:val="clear" w:color="auto" w:fill="auto"/>
        </w:rPr>
        <w:t>四、需要对成本核算规则予以进一步明确的其他有关事项，由财政部会同有关部门另行规定。</w:t>
      </w:r>
      <w:r>
        <w:rPr>
          <w:rFonts w:hint="eastAsia" w:ascii="宋体" w:hAnsi="宋体" w:eastAsia="宋体" w:cs="宋体"/>
          <w:color w:val="auto"/>
          <w:sz w:val="21"/>
          <w:szCs w:val="21"/>
          <w:highlight w:val="none"/>
        </w:rPr>
        <w:br w:type="page"/>
      </w:r>
    </w:p>
    <w:p w14:paraId="54DCA464">
      <w:pPr>
        <w:pStyle w:val="16"/>
        <w:jc w:val="center"/>
        <w:outlineLvl w:val="0"/>
        <w:rPr>
          <w:rFonts w:cs="宋体"/>
          <w:b/>
          <w:color w:val="auto"/>
          <w:sz w:val="36"/>
          <w:szCs w:val="36"/>
          <w:highlight w:val="none"/>
        </w:rPr>
      </w:pPr>
      <w:bookmarkStart w:id="61" w:name="_Toc9505"/>
      <w:bookmarkStart w:id="62" w:name="_Toc2394"/>
      <w:bookmarkStart w:id="63" w:name="_Toc15229"/>
      <w:bookmarkStart w:id="64" w:name="_Toc30618"/>
      <w:bookmarkStart w:id="65" w:name="_Toc5815"/>
      <w:bookmarkStart w:id="66" w:name="_Toc1395"/>
      <w:bookmarkStart w:id="67" w:name="_Toc25180"/>
      <w:bookmarkStart w:id="68" w:name="_Toc8839"/>
      <w:bookmarkStart w:id="69" w:name="_Toc5641"/>
      <w:bookmarkStart w:id="70" w:name="_Toc6743"/>
      <w:bookmarkStart w:id="71" w:name="_Toc532545044"/>
      <w:bookmarkStart w:id="72" w:name="_Toc29575"/>
      <w:r>
        <w:rPr>
          <w:rFonts w:hint="eastAsia" w:cs="宋体"/>
          <w:b/>
          <w:color w:val="auto"/>
          <w:sz w:val="36"/>
          <w:highlight w:val="none"/>
        </w:rPr>
        <w:t>第三章  投标人须知</w:t>
      </w:r>
      <w:bookmarkEnd w:id="61"/>
      <w:bookmarkEnd w:id="62"/>
      <w:bookmarkEnd w:id="63"/>
      <w:bookmarkEnd w:id="64"/>
      <w:bookmarkEnd w:id="65"/>
      <w:bookmarkEnd w:id="66"/>
      <w:bookmarkEnd w:id="67"/>
      <w:bookmarkEnd w:id="68"/>
      <w:bookmarkEnd w:id="69"/>
      <w:bookmarkEnd w:id="70"/>
      <w:bookmarkEnd w:id="71"/>
      <w:bookmarkEnd w:id="72"/>
    </w:p>
    <w:p w14:paraId="509D236D">
      <w:pPr>
        <w:pStyle w:val="16"/>
        <w:spacing w:line="720" w:lineRule="auto"/>
        <w:jc w:val="center"/>
        <w:outlineLvl w:val="1"/>
        <w:rPr>
          <w:rFonts w:cs="宋体"/>
          <w:b/>
          <w:color w:val="auto"/>
          <w:sz w:val="30"/>
          <w:szCs w:val="30"/>
          <w:highlight w:val="none"/>
        </w:rPr>
      </w:pPr>
      <w:bookmarkStart w:id="73" w:name="_Toc20955"/>
      <w:bookmarkStart w:id="74" w:name="_Toc992"/>
      <w:bookmarkStart w:id="75" w:name="_Toc2967"/>
      <w:bookmarkStart w:id="76" w:name="_Toc28990"/>
      <w:bookmarkStart w:id="77" w:name="_Toc12345"/>
      <w:r>
        <w:rPr>
          <w:rFonts w:hint="eastAsia" w:cs="宋体"/>
          <w:b/>
          <w:color w:val="auto"/>
          <w:sz w:val="30"/>
          <w:szCs w:val="30"/>
          <w:highlight w:val="none"/>
        </w:rPr>
        <w:t>第一节 投标人须知前附表</w:t>
      </w:r>
      <w:bookmarkEnd w:id="73"/>
      <w:bookmarkEnd w:id="74"/>
      <w:bookmarkEnd w:id="75"/>
      <w:bookmarkEnd w:id="76"/>
      <w:bookmarkEnd w:id="77"/>
    </w:p>
    <w:tbl>
      <w:tblPr>
        <w:tblStyle w:val="29"/>
        <w:tblW w:w="9964" w:type="dxa"/>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0"/>
        <w:gridCol w:w="2083"/>
        <w:gridCol w:w="7021"/>
      </w:tblGrid>
      <w:tr w14:paraId="40A0B5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860" w:type="dxa"/>
            <w:tcBorders>
              <w:top w:val="single" w:color="auto" w:sz="4" w:space="0"/>
              <w:left w:val="single" w:color="auto" w:sz="4" w:space="0"/>
              <w:bottom w:val="single" w:color="auto" w:sz="4" w:space="0"/>
              <w:right w:val="single" w:color="auto" w:sz="4" w:space="0"/>
            </w:tcBorders>
            <w:vAlign w:val="center"/>
          </w:tcPr>
          <w:p w14:paraId="59D8F129">
            <w:pPr>
              <w:snapToGrid w:val="0"/>
              <w:spacing w:line="400" w:lineRule="exact"/>
              <w:jc w:val="center"/>
              <w:rPr>
                <w:rFonts w:ascii="宋体" w:cs="宋体"/>
                <w:color w:val="auto"/>
                <w:szCs w:val="21"/>
                <w:highlight w:val="none"/>
              </w:rPr>
            </w:pPr>
            <w:r>
              <w:rPr>
                <w:rFonts w:hint="eastAsia" w:ascii="宋体" w:cs="宋体"/>
                <w:color w:val="auto"/>
                <w:szCs w:val="21"/>
                <w:highlight w:val="none"/>
              </w:rPr>
              <w:t>条款号</w:t>
            </w:r>
          </w:p>
        </w:tc>
        <w:tc>
          <w:tcPr>
            <w:tcW w:w="2083" w:type="dxa"/>
            <w:tcBorders>
              <w:top w:val="single" w:color="auto" w:sz="4" w:space="0"/>
              <w:left w:val="single" w:color="auto" w:sz="4" w:space="0"/>
              <w:bottom w:val="single" w:color="auto" w:sz="4" w:space="0"/>
              <w:right w:val="single" w:color="auto" w:sz="4" w:space="0"/>
            </w:tcBorders>
            <w:vAlign w:val="center"/>
          </w:tcPr>
          <w:p w14:paraId="32A5A8A9">
            <w:pPr>
              <w:snapToGrid w:val="0"/>
              <w:spacing w:line="400" w:lineRule="exact"/>
              <w:jc w:val="center"/>
              <w:rPr>
                <w:rFonts w:ascii="宋体" w:cs="宋体"/>
                <w:color w:val="auto"/>
                <w:szCs w:val="21"/>
                <w:highlight w:val="none"/>
              </w:rPr>
            </w:pPr>
            <w:r>
              <w:rPr>
                <w:rFonts w:hint="eastAsia" w:ascii="宋体" w:cs="宋体"/>
                <w:color w:val="auto"/>
                <w:szCs w:val="21"/>
                <w:highlight w:val="none"/>
              </w:rPr>
              <w:t>项目内容</w:t>
            </w:r>
          </w:p>
        </w:tc>
        <w:tc>
          <w:tcPr>
            <w:tcW w:w="7021" w:type="dxa"/>
            <w:tcBorders>
              <w:top w:val="single" w:color="auto" w:sz="4" w:space="0"/>
              <w:left w:val="single" w:color="auto" w:sz="4" w:space="0"/>
              <w:bottom w:val="single" w:color="auto" w:sz="4" w:space="0"/>
              <w:right w:val="single" w:color="auto" w:sz="4" w:space="0"/>
            </w:tcBorders>
            <w:vAlign w:val="center"/>
          </w:tcPr>
          <w:p w14:paraId="3A59A2B4">
            <w:pPr>
              <w:snapToGrid w:val="0"/>
              <w:spacing w:line="400" w:lineRule="exact"/>
              <w:jc w:val="center"/>
              <w:rPr>
                <w:rFonts w:ascii="宋体" w:cs="宋体"/>
                <w:color w:val="auto"/>
                <w:szCs w:val="21"/>
                <w:highlight w:val="none"/>
              </w:rPr>
            </w:pPr>
            <w:r>
              <w:rPr>
                <w:rFonts w:hint="eastAsia" w:ascii="宋体" w:cs="宋体"/>
                <w:color w:val="auto"/>
                <w:szCs w:val="21"/>
                <w:highlight w:val="none"/>
              </w:rPr>
              <w:t>编列内容</w:t>
            </w:r>
          </w:p>
        </w:tc>
      </w:tr>
      <w:tr w14:paraId="6621A4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46BE0EA0">
            <w:pPr>
              <w:snapToGrid w:val="0"/>
              <w:spacing w:line="360" w:lineRule="auto"/>
              <w:jc w:val="center"/>
              <w:rPr>
                <w:rFonts w:ascii="宋体" w:cs="宋体"/>
                <w:color w:val="auto"/>
                <w:szCs w:val="21"/>
                <w:highlight w:val="none"/>
              </w:rPr>
            </w:pPr>
            <w:r>
              <w:rPr>
                <w:rFonts w:hint="eastAsia" w:ascii="宋体" w:hAnsi="宋体" w:cs="宋体"/>
                <w:color w:val="auto"/>
                <w:szCs w:val="21"/>
                <w:highlight w:val="none"/>
                <w:lang w:val="en-US" w:eastAsia="zh-CN"/>
              </w:rPr>
              <w:t>2.8</w:t>
            </w:r>
          </w:p>
        </w:tc>
        <w:tc>
          <w:tcPr>
            <w:tcW w:w="2083" w:type="dxa"/>
            <w:tcBorders>
              <w:top w:val="single" w:color="auto" w:sz="4" w:space="0"/>
              <w:left w:val="single" w:color="auto" w:sz="4" w:space="0"/>
              <w:bottom w:val="single" w:color="auto" w:sz="4" w:space="0"/>
              <w:right w:val="single" w:color="auto" w:sz="4" w:space="0"/>
            </w:tcBorders>
            <w:vAlign w:val="center"/>
          </w:tcPr>
          <w:p w14:paraId="050F6F31">
            <w:pPr>
              <w:snapToGrid w:val="0"/>
              <w:spacing w:line="360" w:lineRule="auto"/>
              <w:jc w:val="both"/>
              <w:rPr>
                <w:rFonts w:ascii="宋体" w:cs="宋体"/>
                <w:color w:val="auto"/>
                <w:szCs w:val="21"/>
                <w:highlight w:val="none"/>
              </w:rPr>
            </w:pPr>
            <w:r>
              <w:rPr>
                <w:rFonts w:hint="eastAsia" w:ascii="宋体" w:hAnsi="宋体" w:cs="宋体"/>
                <w:b w:val="0"/>
                <w:color w:val="auto"/>
                <w:sz w:val="21"/>
                <w:szCs w:val="21"/>
                <w:highlight w:val="none"/>
              </w:rPr>
              <w:t>实质性要求</w:t>
            </w:r>
          </w:p>
        </w:tc>
        <w:tc>
          <w:tcPr>
            <w:tcW w:w="7021" w:type="dxa"/>
            <w:tcBorders>
              <w:top w:val="single" w:color="auto" w:sz="4" w:space="0"/>
              <w:left w:val="single" w:color="auto" w:sz="4" w:space="0"/>
              <w:bottom w:val="single" w:color="auto" w:sz="4" w:space="0"/>
              <w:right w:val="single" w:color="auto" w:sz="4" w:space="0"/>
            </w:tcBorders>
            <w:vAlign w:val="center"/>
          </w:tcPr>
          <w:p w14:paraId="253A808C">
            <w:pPr>
              <w:snapToGrid w:val="0"/>
              <w:spacing w:line="360" w:lineRule="auto"/>
              <w:jc w:val="left"/>
              <w:rPr>
                <w:rFonts w:ascii="宋体" w:cs="宋体"/>
                <w:color w:val="auto"/>
                <w:szCs w:val="21"/>
                <w:highlight w:val="none"/>
              </w:rPr>
            </w:pPr>
            <w:r>
              <w:rPr>
                <w:rFonts w:hint="eastAsia" w:ascii="宋体" w:hAnsi="宋体" w:cs="宋体"/>
                <w:b w:val="0"/>
                <w:color w:val="auto"/>
                <w:sz w:val="21"/>
                <w:szCs w:val="21"/>
                <w:highlight w:val="none"/>
              </w:rPr>
              <w:t>指招标文件中已经指明</w:t>
            </w:r>
            <w:r>
              <w:rPr>
                <w:rFonts w:hint="eastAsia" w:ascii="宋体" w:hAnsi="宋体" w:cs="宋体"/>
                <w:b w:val="0"/>
                <w:color w:val="auto"/>
                <w:sz w:val="21"/>
                <w:szCs w:val="21"/>
                <w:highlight w:val="none"/>
                <w:lang w:val="en-US" w:eastAsia="zh-CN"/>
              </w:rPr>
              <w:t>不提供或</w:t>
            </w:r>
            <w:r>
              <w:rPr>
                <w:rFonts w:hint="eastAsia" w:ascii="宋体" w:hAnsi="宋体" w:cs="宋体"/>
                <w:b w:val="0"/>
                <w:color w:val="auto"/>
                <w:sz w:val="21"/>
                <w:szCs w:val="21"/>
                <w:highlight w:val="none"/>
              </w:rPr>
              <w:t>不满足则投标无效的条款，或者</w:t>
            </w:r>
            <w:r>
              <w:rPr>
                <w:rFonts w:hint="eastAsia" w:ascii="宋体" w:hAnsi="宋体" w:cs="宋体"/>
                <w:b w:val="0"/>
                <w:color w:val="auto"/>
                <w:sz w:val="21"/>
                <w:szCs w:val="21"/>
                <w:highlight w:val="none"/>
                <w:lang w:eastAsia="zh-CN"/>
              </w:rPr>
              <w:t>第二章“采购需求”</w:t>
            </w:r>
            <w:r>
              <w:rPr>
                <w:rFonts w:hint="eastAsia" w:ascii="宋体" w:hAnsi="宋体" w:cs="宋体"/>
                <w:b w:val="0"/>
                <w:color w:val="auto"/>
                <w:sz w:val="21"/>
                <w:szCs w:val="21"/>
                <w:highlight w:val="none"/>
              </w:rPr>
              <w:t>中带“▲”的条款。</w:t>
            </w:r>
          </w:p>
        </w:tc>
      </w:tr>
      <w:tr w14:paraId="6EBF5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2AC84DD5">
            <w:pPr>
              <w:spacing w:line="400" w:lineRule="exact"/>
              <w:jc w:val="center"/>
              <w:rPr>
                <w:rFonts w:hint="eastAsia" w:ascii="宋体" w:hAnsi="Times New Roman" w:eastAsia="宋体" w:cs="宋体"/>
                <w:color w:val="auto"/>
                <w:kern w:val="2"/>
                <w:sz w:val="21"/>
                <w:szCs w:val="21"/>
                <w:highlight w:val="none"/>
                <w:lang w:val="en-US" w:eastAsia="zh-CN" w:bidi="ar-SA"/>
              </w:rPr>
            </w:pPr>
            <w:r>
              <w:rPr>
                <w:rFonts w:hint="eastAsia" w:ascii="宋体" w:cs="宋体"/>
                <w:color w:val="auto"/>
                <w:szCs w:val="21"/>
                <w:highlight w:val="none"/>
              </w:rPr>
              <w:t>3</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480390D2">
            <w:pPr>
              <w:spacing w:line="400" w:lineRule="exact"/>
              <w:rPr>
                <w:rFonts w:hint="eastAsia" w:ascii="宋体" w:hAnsi="Times New Roman" w:eastAsia="宋体" w:cs="宋体"/>
                <w:color w:val="auto"/>
                <w:kern w:val="2"/>
                <w:sz w:val="21"/>
                <w:szCs w:val="21"/>
                <w:highlight w:val="none"/>
                <w:lang w:val="en-US" w:eastAsia="zh-CN" w:bidi="ar-SA"/>
              </w:rPr>
            </w:pPr>
            <w:r>
              <w:rPr>
                <w:rFonts w:hint="eastAsia" w:ascii="宋体" w:cs="宋体"/>
                <w:color w:val="auto"/>
                <w:szCs w:val="21"/>
                <w:highlight w:val="none"/>
              </w:rPr>
              <w:t>投标人的资格要求</w:t>
            </w:r>
          </w:p>
        </w:tc>
        <w:tc>
          <w:tcPr>
            <w:tcW w:w="7021" w:type="dxa"/>
            <w:tcBorders>
              <w:top w:val="single" w:color="auto" w:sz="4" w:space="0"/>
              <w:left w:val="single" w:color="auto" w:sz="4" w:space="0"/>
              <w:bottom w:val="single" w:color="auto" w:sz="4" w:space="0"/>
              <w:right w:val="single" w:color="auto" w:sz="4" w:space="0"/>
            </w:tcBorders>
            <w:shd w:val="clear" w:color="auto" w:fill="auto"/>
            <w:vAlign w:val="center"/>
          </w:tcPr>
          <w:p w14:paraId="3AF72988">
            <w:pPr>
              <w:pStyle w:val="11"/>
              <w:spacing w:line="400" w:lineRule="exact"/>
              <w:jc w:val="both"/>
              <w:rPr>
                <w:rFonts w:hint="eastAsia" w:ascii="宋体" w:hAnsi="Times New Roman" w:eastAsia="宋体" w:cs="宋体"/>
                <w:color w:val="auto"/>
                <w:kern w:val="2"/>
                <w:sz w:val="21"/>
                <w:szCs w:val="21"/>
                <w:highlight w:val="none"/>
                <w:lang w:val="en-US" w:eastAsia="zh-CN" w:bidi="ar-SA"/>
              </w:rPr>
            </w:pPr>
            <w:r>
              <w:rPr>
                <w:rFonts w:hint="eastAsia" w:ascii="宋体" w:cs="宋体"/>
                <w:color w:val="auto"/>
                <w:szCs w:val="21"/>
                <w:highlight w:val="none"/>
              </w:rPr>
              <w:t>详见招标公告。</w:t>
            </w:r>
          </w:p>
        </w:tc>
      </w:tr>
      <w:tr w14:paraId="7B72E9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652272E3">
            <w:pPr>
              <w:spacing w:line="400" w:lineRule="exact"/>
              <w:jc w:val="center"/>
              <w:rPr>
                <w:rFonts w:ascii="宋体" w:cs="宋体"/>
                <w:color w:val="auto"/>
                <w:szCs w:val="21"/>
                <w:highlight w:val="none"/>
              </w:rPr>
            </w:pPr>
            <w:r>
              <w:rPr>
                <w:rFonts w:hint="eastAsia" w:ascii="宋体" w:cs="宋体"/>
                <w:color w:val="auto"/>
                <w:szCs w:val="21"/>
                <w:highlight w:val="none"/>
              </w:rPr>
              <w:t>6.1</w:t>
            </w:r>
          </w:p>
        </w:tc>
        <w:tc>
          <w:tcPr>
            <w:tcW w:w="2083" w:type="dxa"/>
            <w:tcBorders>
              <w:top w:val="single" w:color="auto" w:sz="4" w:space="0"/>
              <w:left w:val="single" w:color="auto" w:sz="4" w:space="0"/>
              <w:bottom w:val="single" w:color="auto" w:sz="4" w:space="0"/>
              <w:right w:val="single" w:color="auto" w:sz="4" w:space="0"/>
            </w:tcBorders>
            <w:vAlign w:val="center"/>
          </w:tcPr>
          <w:p w14:paraId="600B5D95">
            <w:pPr>
              <w:spacing w:line="400" w:lineRule="exact"/>
              <w:rPr>
                <w:rFonts w:ascii="宋体" w:cs="宋体"/>
                <w:color w:val="auto"/>
                <w:szCs w:val="21"/>
                <w:highlight w:val="none"/>
              </w:rPr>
            </w:pPr>
            <w:bookmarkStart w:id="78" w:name="_8.1"/>
            <w:bookmarkEnd w:id="78"/>
            <w:bookmarkStart w:id="79" w:name="_5"/>
            <w:bookmarkEnd w:id="79"/>
            <w:bookmarkStart w:id="80" w:name="_9.2"/>
            <w:bookmarkEnd w:id="80"/>
            <w:r>
              <w:rPr>
                <w:rFonts w:hint="eastAsia" w:ascii="宋体" w:cs="宋体"/>
                <w:color w:val="auto"/>
                <w:szCs w:val="21"/>
                <w:highlight w:val="none"/>
              </w:rPr>
              <w:t>是否接受联合体投标</w:t>
            </w:r>
          </w:p>
        </w:tc>
        <w:tc>
          <w:tcPr>
            <w:tcW w:w="7021" w:type="dxa"/>
            <w:tcBorders>
              <w:top w:val="single" w:color="auto" w:sz="4" w:space="0"/>
              <w:left w:val="single" w:color="auto" w:sz="4" w:space="0"/>
              <w:bottom w:val="single" w:color="auto" w:sz="4" w:space="0"/>
              <w:right w:val="single" w:color="auto" w:sz="4" w:space="0"/>
            </w:tcBorders>
            <w:vAlign w:val="center"/>
          </w:tcPr>
          <w:p w14:paraId="5DC2F6E9">
            <w:pPr>
              <w:pStyle w:val="11"/>
              <w:spacing w:line="400" w:lineRule="exact"/>
              <w:jc w:val="both"/>
              <w:rPr>
                <w:rFonts w:ascii="宋体" w:cs="宋体"/>
                <w:color w:val="auto"/>
                <w:szCs w:val="21"/>
                <w:highlight w:val="none"/>
              </w:rPr>
            </w:pPr>
            <w:bookmarkStart w:id="81" w:name="PO_3000001867_PM007_1"/>
            <w:r>
              <w:rPr>
                <w:rFonts w:hint="eastAsia" w:ascii="宋体" w:cs="宋体"/>
                <w:color w:val="auto"/>
                <w:szCs w:val="21"/>
                <w:highlight w:val="none"/>
              </w:rPr>
              <w:t>详见招标公告</w:t>
            </w:r>
            <w:bookmarkEnd w:id="81"/>
            <w:r>
              <w:rPr>
                <w:rFonts w:hint="eastAsia" w:ascii="宋体" w:cs="宋体"/>
                <w:color w:val="auto"/>
                <w:szCs w:val="21"/>
                <w:highlight w:val="none"/>
              </w:rPr>
              <w:t>。</w:t>
            </w:r>
          </w:p>
        </w:tc>
      </w:tr>
      <w:tr w14:paraId="64133F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5571A60D">
            <w:pPr>
              <w:spacing w:line="400" w:lineRule="exact"/>
              <w:rPr>
                <w:rFonts w:ascii="宋体" w:cs="宋体"/>
                <w:color w:val="auto"/>
                <w:szCs w:val="21"/>
                <w:highlight w:val="none"/>
              </w:rPr>
            </w:pPr>
            <w:r>
              <w:rPr>
                <w:rFonts w:hint="eastAsia" w:ascii="宋体" w:cs="宋体"/>
                <w:color w:val="auto"/>
                <w:szCs w:val="21"/>
                <w:highlight w:val="none"/>
              </w:rPr>
              <w:t>6.2</w:t>
            </w:r>
          </w:p>
        </w:tc>
        <w:tc>
          <w:tcPr>
            <w:tcW w:w="2083" w:type="dxa"/>
            <w:tcBorders>
              <w:top w:val="single" w:color="auto" w:sz="4" w:space="0"/>
              <w:left w:val="single" w:color="auto" w:sz="4" w:space="0"/>
              <w:bottom w:val="single" w:color="auto" w:sz="4" w:space="0"/>
              <w:right w:val="single" w:color="auto" w:sz="4" w:space="0"/>
            </w:tcBorders>
            <w:vAlign w:val="center"/>
          </w:tcPr>
          <w:p w14:paraId="263CA6D5">
            <w:pPr>
              <w:spacing w:line="400" w:lineRule="exact"/>
              <w:rPr>
                <w:rFonts w:ascii="宋体" w:cs="宋体"/>
                <w:color w:val="auto"/>
                <w:szCs w:val="21"/>
                <w:highlight w:val="none"/>
              </w:rPr>
            </w:pPr>
            <w:r>
              <w:rPr>
                <w:rFonts w:hint="eastAsia" w:ascii="宋体" w:cs="宋体"/>
                <w:color w:val="auto"/>
                <w:szCs w:val="21"/>
                <w:highlight w:val="none"/>
              </w:rPr>
              <w:t>联合体投标要求</w:t>
            </w:r>
          </w:p>
        </w:tc>
        <w:tc>
          <w:tcPr>
            <w:tcW w:w="7021" w:type="dxa"/>
            <w:tcBorders>
              <w:top w:val="single" w:color="auto" w:sz="4" w:space="0"/>
              <w:left w:val="single" w:color="auto" w:sz="4" w:space="0"/>
              <w:bottom w:val="single" w:color="auto" w:sz="4" w:space="0"/>
              <w:right w:val="single" w:color="auto" w:sz="4" w:space="0"/>
            </w:tcBorders>
            <w:vAlign w:val="center"/>
          </w:tcPr>
          <w:p w14:paraId="7F1EF3F5">
            <w:pPr>
              <w:pStyle w:val="11"/>
              <w:spacing w:line="380" w:lineRule="exact"/>
              <w:rPr>
                <w:rFonts w:hint="eastAsia" w:ascii="宋体" w:cs="宋体"/>
                <w:color w:val="auto"/>
                <w:szCs w:val="21"/>
                <w:highlight w:val="none"/>
              </w:rPr>
            </w:pPr>
            <w:r>
              <w:rPr>
                <w:rFonts w:hint="eastAsia" w:ascii="宋体" w:hAnsi="宋体" w:eastAsia="宋体" w:cs="宋体"/>
                <w:color w:val="auto"/>
                <w:szCs w:val="21"/>
                <w:highlight w:val="none"/>
                <w:lang w:eastAsia="zh-CN"/>
              </w:rPr>
              <w:t>☑不接受联合体。</w:t>
            </w:r>
          </w:p>
        </w:tc>
      </w:tr>
      <w:tr w14:paraId="62287C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2177EC6B">
            <w:pPr>
              <w:spacing w:line="400" w:lineRule="exact"/>
              <w:rPr>
                <w:rFonts w:ascii="宋体" w:cs="宋体"/>
                <w:color w:val="auto"/>
                <w:szCs w:val="21"/>
                <w:highlight w:val="none"/>
              </w:rPr>
            </w:pPr>
            <w:r>
              <w:rPr>
                <w:rFonts w:hint="eastAsia" w:ascii="宋体" w:cs="宋体"/>
                <w:color w:val="auto"/>
                <w:szCs w:val="21"/>
                <w:highlight w:val="none"/>
              </w:rPr>
              <w:t>7.2</w:t>
            </w:r>
          </w:p>
        </w:tc>
        <w:tc>
          <w:tcPr>
            <w:tcW w:w="2083" w:type="dxa"/>
            <w:tcBorders>
              <w:top w:val="single" w:color="auto" w:sz="4" w:space="0"/>
              <w:left w:val="single" w:color="auto" w:sz="4" w:space="0"/>
              <w:bottom w:val="single" w:color="auto" w:sz="4" w:space="0"/>
              <w:right w:val="single" w:color="auto" w:sz="4" w:space="0"/>
            </w:tcBorders>
            <w:vAlign w:val="center"/>
          </w:tcPr>
          <w:p w14:paraId="5CA83CFA">
            <w:pPr>
              <w:spacing w:line="400" w:lineRule="exact"/>
              <w:rPr>
                <w:rFonts w:ascii="宋体" w:cs="宋体"/>
                <w:color w:val="auto"/>
                <w:szCs w:val="21"/>
                <w:highlight w:val="none"/>
              </w:rPr>
            </w:pPr>
            <w:r>
              <w:rPr>
                <w:rFonts w:hint="eastAsia" w:ascii="宋体" w:cs="宋体"/>
                <w:color w:val="auto"/>
                <w:szCs w:val="21"/>
                <w:highlight w:val="none"/>
              </w:rPr>
              <w:t>是否允许分包</w:t>
            </w:r>
          </w:p>
        </w:tc>
        <w:tc>
          <w:tcPr>
            <w:tcW w:w="7021" w:type="dxa"/>
            <w:tcBorders>
              <w:top w:val="single" w:color="auto" w:sz="4" w:space="0"/>
              <w:left w:val="single" w:color="auto" w:sz="4" w:space="0"/>
              <w:bottom w:val="single" w:color="auto" w:sz="4" w:space="0"/>
              <w:right w:val="single" w:color="auto" w:sz="4" w:space="0"/>
            </w:tcBorders>
            <w:vAlign w:val="center"/>
          </w:tcPr>
          <w:p w14:paraId="1FBE6C2D">
            <w:pPr>
              <w:spacing w:line="400" w:lineRule="exact"/>
              <w:jc w:val="left"/>
              <w:rPr>
                <w:rFonts w:ascii="宋体" w:cs="宋体"/>
                <w:color w:val="auto"/>
                <w:szCs w:val="21"/>
                <w:highlight w:val="none"/>
              </w:rPr>
            </w:pPr>
            <w:bookmarkStart w:id="82" w:name="PO_3000001871_PM044"/>
            <w:bookmarkStart w:id="83" w:name="PO_3000001867_PM044"/>
            <w:r>
              <w:rPr>
                <w:rFonts w:hint="eastAsia" w:ascii="宋体" w:cs="宋体"/>
                <w:color w:val="auto"/>
                <w:szCs w:val="21"/>
                <w:highlight w:val="none"/>
              </w:rPr>
              <w:t>☑ 不允许分包</w:t>
            </w:r>
            <w:bookmarkEnd w:id="82"/>
            <w:r>
              <w:rPr>
                <w:rFonts w:hint="eastAsia" w:ascii="宋体" w:cs="宋体"/>
                <w:color w:val="auto"/>
                <w:szCs w:val="21"/>
                <w:highlight w:val="none"/>
              </w:rPr>
              <w:t>。</w:t>
            </w:r>
          </w:p>
          <w:p w14:paraId="42691B2D">
            <w:pPr>
              <w:pStyle w:val="11"/>
              <w:spacing w:line="400" w:lineRule="exact"/>
              <w:rPr>
                <w:rFonts w:ascii="宋体" w:cs="宋体"/>
                <w:color w:val="auto"/>
                <w:szCs w:val="21"/>
                <w:highlight w:val="none"/>
              </w:rPr>
            </w:pPr>
            <w:r>
              <w:rPr>
                <w:rFonts w:hint="eastAsia" w:ascii="宋体" w:cs="宋体"/>
                <w:color w:val="auto"/>
                <w:szCs w:val="21"/>
                <w:highlight w:val="none"/>
              </w:rPr>
              <w:t>□允许分包：</w:t>
            </w:r>
          </w:p>
          <w:bookmarkEnd w:id="83"/>
          <w:p w14:paraId="47DC8235">
            <w:pPr>
              <w:pStyle w:val="11"/>
              <w:spacing w:line="400" w:lineRule="exact"/>
              <w:rPr>
                <w:rFonts w:ascii="宋体" w:cs="宋体"/>
                <w:color w:val="auto"/>
                <w:szCs w:val="21"/>
                <w:highlight w:val="none"/>
              </w:rPr>
            </w:pPr>
            <w:r>
              <w:rPr>
                <w:rFonts w:hint="eastAsia" w:ascii="宋体" w:cs="宋体"/>
                <w:color w:val="auto"/>
                <w:szCs w:val="21"/>
                <w:highlight w:val="none"/>
              </w:rPr>
              <w:t>分包内容：</w:t>
            </w:r>
            <w:r>
              <w:rPr>
                <w:rFonts w:hint="eastAsia" w:ascii="宋体" w:cs="宋体"/>
                <w:color w:val="auto"/>
                <w:szCs w:val="21"/>
                <w:highlight w:val="none"/>
                <w:u w:val="single"/>
              </w:rPr>
              <w:t xml:space="preserve">                                     。</w:t>
            </w:r>
          </w:p>
          <w:p w14:paraId="3271F574">
            <w:pPr>
              <w:pStyle w:val="11"/>
              <w:spacing w:line="400" w:lineRule="exact"/>
              <w:rPr>
                <w:rFonts w:ascii="宋体" w:cs="宋体"/>
                <w:color w:val="auto"/>
                <w:szCs w:val="21"/>
                <w:highlight w:val="none"/>
              </w:rPr>
            </w:pPr>
            <w:r>
              <w:rPr>
                <w:rFonts w:hint="eastAsia" w:ascii="宋体" w:cs="宋体"/>
                <w:color w:val="auto"/>
                <w:szCs w:val="21"/>
                <w:highlight w:val="none"/>
              </w:rPr>
              <w:t>分包金额或者比例：</w:t>
            </w:r>
            <w:r>
              <w:rPr>
                <w:rFonts w:hint="eastAsia" w:ascii="宋体" w:cs="宋体"/>
                <w:color w:val="auto"/>
                <w:szCs w:val="21"/>
                <w:highlight w:val="none"/>
                <w:u w:val="single"/>
              </w:rPr>
              <w:t xml:space="preserve">                                     。</w:t>
            </w:r>
          </w:p>
        </w:tc>
      </w:tr>
      <w:tr w14:paraId="334E6B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38" w:hRule="atLeast"/>
        </w:trPr>
        <w:tc>
          <w:tcPr>
            <w:tcW w:w="860" w:type="dxa"/>
            <w:tcBorders>
              <w:top w:val="single" w:color="auto" w:sz="4" w:space="0"/>
              <w:left w:val="single" w:color="auto" w:sz="4" w:space="0"/>
              <w:bottom w:val="single" w:color="auto" w:sz="4" w:space="0"/>
              <w:right w:val="single" w:color="auto" w:sz="4" w:space="0"/>
            </w:tcBorders>
            <w:vAlign w:val="center"/>
          </w:tcPr>
          <w:p w14:paraId="6B3E43C2">
            <w:pPr>
              <w:spacing w:line="400" w:lineRule="exact"/>
              <w:rPr>
                <w:rFonts w:ascii="宋体" w:cs="宋体"/>
                <w:color w:val="auto"/>
                <w:szCs w:val="21"/>
                <w:highlight w:val="none"/>
              </w:rPr>
            </w:pPr>
            <w:r>
              <w:rPr>
                <w:rFonts w:hint="eastAsia" w:ascii="宋体" w:cs="宋体"/>
                <w:color w:val="auto"/>
                <w:szCs w:val="21"/>
                <w:highlight w:val="none"/>
              </w:rPr>
              <w:t>8.4</w:t>
            </w:r>
          </w:p>
          <w:p w14:paraId="7958F4DE">
            <w:pPr>
              <w:spacing w:line="400" w:lineRule="exact"/>
              <w:rPr>
                <w:rFonts w:ascii="宋体" w:cs="宋体"/>
                <w:color w:val="auto"/>
                <w:szCs w:val="21"/>
                <w:highlight w:val="none"/>
              </w:rPr>
            </w:pPr>
          </w:p>
        </w:tc>
        <w:tc>
          <w:tcPr>
            <w:tcW w:w="2083" w:type="dxa"/>
            <w:tcBorders>
              <w:top w:val="single" w:color="auto" w:sz="4" w:space="0"/>
              <w:left w:val="single" w:color="auto" w:sz="4" w:space="0"/>
              <w:right w:val="single" w:color="auto" w:sz="4" w:space="0"/>
            </w:tcBorders>
            <w:vAlign w:val="center"/>
          </w:tcPr>
          <w:p w14:paraId="5A5C75A8">
            <w:pPr>
              <w:pStyle w:val="11"/>
              <w:spacing w:line="400" w:lineRule="exact"/>
              <w:rPr>
                <w:rFonts w:ascii="宋体" w:cs="宋体"/>
                <w:color w:val="auto"/>
                <w:szCs w:val="21"/>
                <w:highlight w:val="none"/>
              </w:rPr>
            </w:pPr>
            <w:r>
              <w:rPr>
                <w:rFonts w:hint="eastAsia" w:ascii="宋体" w:cs="宋体"/>
                <w:color w:val="auto"/>
                <w:szCs w:val="21"/>
                <w:highlight w:val="none"/>
              </w:rPr>
              <w:t>提供相同品牌产品且通过资格审查、符合性审查的不同投标人参加同一合同项下投标的获得参加评标资格的投标人或获得中标人推荐资格的确定方式</w:t>
            </w:r>
          </w:p>
        </w:tc>
        <w:tc>
          <w:tcPr>
            <w:tcW w:w="7021" w:type="dxa"/>
            <w:tcBorders>
              <w:top w:val="single" w:color="auto" w:sz="4" w:space="0"/>
              <w:left w:val="single" w:color="auto" w:sz="4" w:space="0"/>
              <w:right w:val="single" w:color="auto" w:sz="4" w:space="0"/>
            </w:tcBorders>
            <w:vAlign w:val="center"/>
          </w:tcPr>
          <w:p w14:paraId="43F5DAFD">
            <w:pPr>
              <w:pStyle w:val="16"/>
              <w:spacing w:line="400" w:lineRule="exact"/>
              <w:rPr>
                <w:rFonts w:cs="宋体"/>
                <w:color w:val="auto"/>
                <w:szCs w:val="21"/>
                <w:highlight w:val="none"/>
              </w:rPr>
            </w:pPr>
            <w:r>
              <w:rPr>
                <w:rFonts w:hint="eastAsia" w:cs="宋体"/>
                <w:color w:val="auto"/>
                <w:szCs w:val="21"/>
                <w:highlight w:val="none"/>
              </w:rPr>
              <w:t>□随机抽取（采用最低评标价法，投标报价相同时；采用综合评分法，评审得分相同时。）</w:t>
            </w:r>
          </w:p>
          <w:p w14:paraId="7E94E77D">
            <w:pPr>
              <w:pStyle w:val="11"/>
              <w:spacing w:line="400" w:lineRule="exact"/>
              <w:rPr>
                <w:rFonts w:ascii="宋体" w:cs="宋体"/>
                <w:color w:val="auto"/>
                <w:szCs w:val="21"/>
                <w:highlight w:val="none"/>
              </w:rPr>
            </w:pPr>
            <w:r>
              <w:rPr>
                <w:rFonts w:hint="eastAsia" w:ascii="宋体" w:cs="宋体"/>
                <w:color w:val="auto"/>
                <w:szCs w:val="21"/>
                <w:highlight w:val="none"/>
              </w:rPr>
              <w:t>☑ 其他方式：</w:t>
            </w:r>
          </w:p>
          <w:p w14:paraId="70232261">
            <w:pPr>
              <w:pStyle w:val="11"/>
              <w:spacing w:line="400" w:lineRule="exact"/>
              <w:rPr>
                <w:rFonts w:ascii="宋体" w:cs="宋体"/>
                <w:color w:val="auto"/>
                <w:szCs w:val="21"/>
                <w:highlight w:val="none"/>
              </w:rPr>
            </w:pPr>
            <w:r>
              <w:rPr>
                <w:rFonts w:hint="eastAsia" w:ascii="宋体" w:cs="宋体"/>
                <w:color w:val="auto"/>
                <w:szCs w:val="21"/>
                <w:highlight w:val="none"/>
              </w:rPr>
              <w:t xml:space="preserve">☑ </w:t>
            </w:r>
            <w:r>
              <w:rPr>
                <w:rFonts w:hint="eastAsia" w:ascii="宋体" w:cs="宋体"/>
                <w:b/>
                <w:bCs/>
                <w:color w:val="auto"/>
                <w:szCs w:val="21"/>
                <w:highlight w:val="none"/>
              </w:rPr>
              <w:t>采用综合评分法，</w:t>
            </w:r>
            <w:r>
              <w:rPr>
                <w:rFonts w:hint="eastAsia" w:ascii="宋体" w:cs="宋体"/>
                <w:color w:val="auto"/>
                <w:szCs w:val="21"/>
                <w:highlight w:val="none"/>
              </w:rPr>
              <w:t>评审得分相同时，投标总报价低的获得推荐资格，评审得分、投标总报价均相同时，由采购人随机抽取。</w:t>
            </w:r>
          </w:p>
          <w:p w14:paraId="4EEB99B2">
            <w:pPr>
              <w:spacing w:line="400" w:lineRule="exact"/>
              <w:rPr>
                <w:rFonts w:ascii="宋体" w:cs="宋体"/>
                <w:color w:val="auto"/>
                <w:szCs w:val="21"/>
                <w:highlight w:val="none"/>
              </w:rPr>
            </w:pPr>
            <w:r>
              <w:rPr>
                <w:rFonts w:hint="eastAsia" w:ascii="宋体" w:cs="宋体"/>
                <w:color w:val="auto"/>
                <w:szCs w:val="21"/>
                <w:highlight w:val="none"/>
              </w:rPr>
              <w:t>□</w:t>
            </w:r>
            <w:r>
              <w:rPr>
                <w:rFonts w:hint="eastAsia" w:ascii="宋体" w:cs="宋体"/>
                <w:b/>
                <w:bCs/>
                <w:color w:val="auto"/>
                <w:szCs w:val="21"/>
                <w:highlight w:val="none"/>
              </w:rPr>
              <w:t>采用最低评标价法，</w:t>
            </w:r>
            <w:r>
              <w:rPr>
                <w:rFonts w:hint="eastAsia" w:ascii="宋体" w:cs="宋体"/>
                <w:color w:val="auto"/>
                <w:szCs w:val="21"/>
                <w:highlight w:val="none"/>
              </w:rPr>
              <w:t>投标总报价相同时，由采购人随机抽取。</w:t>
            </w:r>
          </w:p>
        </w:tc>
      </w:tr>
      <w:tr w14:paraId="426859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728B838C">
            <w:pPr>
              <w:spacing w:line="400" w:lineRule="exact"/>
              <w:rPr>
                <w:rFonts w:ascii="宋体" w:cs="宋体"/>
                <w:color w:val="auto"/>
                <w:szCs w:val="21"/>
                <w:highlight w:val="none"/>
              </w:rPr>
            </w:pPr>
            <w:r>
              <w:rPr>
                <w:rFonts w:hint="eastAsia" w:ascii="宋体" w:cs="宋体"/>
                <w:color w:val="auto"/>
                <w:szCs w:val="21"/>
                <w:highlight w:val="none"/>
              </w:rPr>
              <w:t>11.4</w:t>
            </w:r>
          </w:p>
        </w:tc>
        <w:tc>
          <w:tcPr>
            <w:tcW w:w="2083" w:type="dxa"/>
            <w:tcBorders>
              <w:top w:val="single" w:color="auto" w:sz="4" w:space="0"/>
              <w:left w:val="single" w:color="auto" w:sz="4" w:space="0"/>
              <w:bottom w:val="single" w:color="auto" w:sz="4" w:space="0"/>
              <w:right w:val="single" w:color="auto" w:sz="4" w:space="0"/>
            </w:tcBorders>
            <w:vAlign w:val="center"/>
          </w:tcPr>
          <w:p w14:paraId="64624553">
            <w:pPr>
              <w:spacing w:line="400" w:lineRule="exact"/>
              <w:rPr>
                <w:rFonts w:ascii="宋体" w:cs="宋体"/>
                <w:color w:val="auto"/>
                <w:szCs w:val="21"/>
                <w:highlight w:val="none"/>
              </w:rPr>
            </w:pPr>
            <w:r>
              <w:rPr>
                <w:rFonts w:hint="eastAsia" w:ascii="宋体" w:cs="宋体"/>
                <w:color w:val="auto"/>
                <w:szCs w:val="21"/>
                <w:highlight w:val="none"/>
              </w:rPr>
              <w:t>媒体发布渠道</w:t>
            </w:r>
          </w:p>
        </w:tc>
        <w:tc>
          <w:tcPr>
            <w:tcW w:w="7021" w:type="dxa"/>
            <w:tcBorders>
              <w:top w:val="single" w:color="auto" w:sz="4" w:space="0"/>
              <w:left w:val="single" w:color="auto" w:sz="4" w:space="0"/>
              <w:bottom w:val="single" w:color="auto" w:sz="4" w:space="0"/>
              <w:right w:val="single" w:color="auto" w:sz="4" w:space="0"/>
            </w:tcBorders>
            <w:vAlign w:val="center"/>
          </w:tcPr>
          <w:p w14:paraId="6B2622C2">
            <w:pPr>
              <w:spacing w:line="400" w:lineRule="exact"/>
              <w:rPr>
                <w:rFonts w:ascii="宋体" w:cs="宋体"/>
                <w:color w:val="auto"/>
                <w:szCs w:val="21"/>
                <w:highlight w:val="none"/>
              </w:rPr>
            </w:pPr>
            <w:r>
              <w:rPr>
                <w:rFonts w:hint="eastAsia" w:ascii="宋体" w:cs="宋体"/>
                <w:color w:val="auto"/>
                <w:szCs w:val="21"/>
                <w:highlight w:val="none"/>
              </w:rPr>
              <w:t>与本项目相关的政府采购业务澄清、更正及与之相关的事项将在招标公告中“六、其他补充事宜”中网上查询地址上发布</w:t>
            </w:r>
            <w:r>
              <w:rPr>
                <w:rFonts w:hint="eastAsia" w:ascii="宋体" w:cs="宋体"/>
                <w:color w:val="auto"/>
                <w:kern w:val="0"/>
                <w:szCs w:val="21"/>
                <w:highlight w:val="none"/>
              </w:rPr>
              <w:t>。</w:t>
            </w:r>
          </w:p>
        </w:tc>
      </w:tr>
      <w:tr w14:paraId="164449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3BF9D862">
            <w:pPr>
              <w:spacing w:line="400" w:lineRule="exact"/>
              <w:rPr>
                <w:rFonts w:ascii="宋体" w:cs="宋体"/>
                <w:color w:val="auto"/>
                <w:szCs w:val="21"/>
                <w:highlight w:val="none"/>
              </w:rPr>
            </w:pPr>
            <w:r>
              <w:rPr>
                <w:rFonts w:hint="eastAsia" w:ascii="宋体" w:cs="宋体"/>
                <w:color w:val="auto"/>
                <w:szCs w:val="21"/>
                <w:highlight w:val="none"/>
              </w:rPr>
              <w:t>11.5</w:t>
            </w:r>
          </w:p>
        </w:tc>
        <w:tc>
          <w:tcPr>
            <w:tcW w:w="2083" w:type="dxa"/>
            <w:tcBorders>
              <w:top w:val="single" w:color="auto" w:sz="4" w:space="0"/>
              <w:left w:val="single" w:color="auto" w:sz="4" w:space="0"/>
              <w:bottom w:val="single" w:color="auto" w:sz="4" w:space="0"/>
              <w:right w:val="single" w:color="auto" w:sz="4" w:space="0"/>
            </w:tcBorders>
            <w:vAlign w:val="center"/>
          </w:tcPr>
          <w:p w14:paraId="49D0CC9F">
            <w:pPr>
              <w:spacing w:line="400" w:lineRule="exact"/>
              <w:rPr>
                <w:rFonts w:ascii="宋体" w:cs="宋体"/>
                <w:color w:val="auto"/>
                <w:szCs w:val="21"/>
                <w:highlight w:val="none"/>
              </w:rPr>
            </w:pPr>
            <w:r>
              <w:rPr>
                <w:rFonts w:hint="eastAsia" w:ascii="宋体" w:cs="宋体"/>
                <w:color w:val="auto"/>
                <w:szCs w:val="21"/>
                <w:highlight w:val="none"/>
              </w:rPr>
              <w:t>是否组织标前答疑会</w:t>
            </w:r>
          </w:p>
        </w:tc>
        <w:tc>
          <w:tcPr>
            <w:tcW w:w="7021" w:type="dxa"/>
            <w:tcBorders>
              <w:top w:val="single" w:color="auto" w:sz="4" w:space="0"/>
              <w:left w:val="single" w:color="auto" w:sz="4" w:space="0"/>
              <w:bottom w:val="single" w:color="auto" w:sz="4" w:space="0"/>
              <w:right w:val="single" w:color="auto" w:sz="4" w:space="0"/>
            </w:tcBorders>
            <w:vAlign w:val="center"/>
          </w:tcPr>
          <w:p w14:paraId="6A9AE3AE">
            <w:pPr>
              <w:snapToGrid w:val="0"/>
              <w:spacing w:line="400" w:lineRule="exact"/>
              <w:rPr>
                <w:rFonts w:ascii="宋体" w:cs="宋体"/>
                <w:color w:val="auto"/>
                <w:szCs w:val="21"/>
                <w:highlight w:val="none"/>
                <w:u w:val="single"/>
              </w:rPr>
            </w:pPr>
            <w:r>
              <w:rPr>
                <w:rFonts w:hint="eastAsia" w:ascii="宋体" w:cs="宋体"/>
                <w:color w:val="auto"/>
                <w:szCs w:val="21"/>
                <w:highlight w:val="none"/>
              </w:rPr>
              <w:t>☑ 不组织召开开标前答疑会</w:t>
            </w:r>
          </w:p>
        </w:tc>
      </w:tr>
      <w:tr w14:paraId="70B4D8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nil"/>
              <w:left w:val="single" w:color="auto" w:sz="4" w:space="0"/>
              <w:bottom w:val="nil"/>
              <w:right w:val="single" w:color="auto" w:sz="4" w:space="0"/>
            </w:tcBorders>
            <w:vAlign w:val="center"/>
          </w:tcPr>
          <w:p w14:paraId="245E843E">
            <w:pPr>
              <w:spacing w:line="400" w:lineRule="exact"/>
              <w:rPr>
                <w:rFonts w:ascii="宋体" w:cs="宋体"/>
                <w:color w:val="auto"/>
                <w:szCs w:val="21"/>
                <w:highlight w:val="none"/>
              </w:rPr>
            </w:pPr>
            <w:r>
              <w:rPr>
                <w:rFonts w:hint="eastAsia" w:ascii="宋体" w:cs="宋体"/>
                <w:color w:val="auto"/>
                <w:szCs w:val="21"/>
                <w:highlight w:val="none"/>
              </w:rPr>
              <w:t>13.1</w:t>
            </w:r>
          </w:p>
        </w:tc>
        <w:tc>
          <w:tcPr>
            <w:tcW w:w="2083" w:type="dxa"/>
            <w:tcBorders>
              <w:top w:val="single" w:color="auto" w:sz="4" w:space="0"/>
              <w:left w:val="single" w:color="auto" w:sz="4" w:space="0"/>
              <w:bottom w:val="single" w:color="auto" w:sz="4" w:space="0"/>
              <w:right w:val="single" w:color="auto" w:sz="4" w:space="0"/>
            </w:tcBorders>
            <w:vAlign w:val="center"/>
          </w:tcPr>
          <w:p w14:paraId="7EB6EE93">
            <w:pPr>
              <w:snapToGrid w:val="0"/>
              <w:spacing w:line="400" w:lineRule="exact"/>
              <w:jc w:val="left"/>
              <w:rPr>
                <w:rFonts w:ascii="宋体" w:cs="宋体"/>
                <w:color w:val="auto"/>
                <w:szCs w:val="21"/>
                <w:highlight w:val="none"/>
              </w:rPr>
            </w:pPr>
            <w:bookmarkStart w:id="84" w:name="_13.2"/>
            <w:bookmarkEnd w:id="84"/>
            <w:r>
              <w:rPr>
                <w:rFonts w:hint="eastAsia" w:ascii="宋体" w:cs="宋体"/>
                <w:color w:val="auto"/>
                <w:szCs w:val="21"/>
                <w:highlight w:val="none"/>
              </w:rPr>
              <w:t>资格文件组成</w:t>
            </w:r>
          </w:p>
        </w:tc>
        <w:tc>
          <w:tcPr>
            <w:tcW w:w="7021" w:type="dxa"/>
            <w:tcBorders>
              <w:top w:val="single" w:color="auto" w:sz="4" w:space="0"/>
              <w:left w:val="single" w:color="auto" w:sz="4" w:space="0"/>
              <w:bottom w:val="single" w:color="auto" w:sz="4" w:space="0"/>
              <w:right w:val="single" w:color="auto" w:sz="4" w:space="0"/>
            </w:tcBorders>
            <w:vAlign w:val="center"/>
          </w:tcPr>
          <w:p w14:paraId="749BC07D">
            <w:pPr>
              <w:snapToGrid w:val="0"/>
              <w:spacing w:line="360" w:lineRule="auto"/>
              <w:jc w:val="left"/>
              <w:rPr>
                <w:rFonts w:ascii="宋体" w:cs="宋体"/>
                <w:color w:val="auto"/>
                <w:szCs w:val="21"/>
                <w:highlight w:val="none"/>
              </w:rPr>
            </w:pPr>
            <w:r>
              <w:rPr>
                <w:rFonts w:hint="eastAsia" w:ascii="宋体" w:hAnsi="宋体" w:eastAsia="宋体" w:cs="宋体"/>
                <w:color w:val="auto"/>
                <w:sz w:val="21"/>
                <w:szCs w:val="21"/>
                <w:highlight w:val="none"/>
              </w:rPr>
              <w:t>1.崇左市政府采购供应商信用承诺函（格式后附，供应商应对其承诺内容的真实性、合法性、有效性负责）；（</w:t>
            </w:r>
            <w:r>
              <w:rPr>
                <w:rFonts w:hint="eastAsia" w:ascii="宋体" w:hAnsi="宋体" w:eastAsia="宋体" w:cs="宋体"/>
                <w:b/>
                <w:color w:val="auto"/>
                <w:sz w:val="21"/>
                <w:szCs w:val="21"/>
                <w:highlight w:val="none"/>
              </w:rPr>
              <w:t>必须提供，否则响应文件按无效响应处理</w:t>
            </w:r>
            <w:r>
              <w:rPr>
                <w:rFonts w:hint="eastAsia" w:ascii="宋体" w:hAnsi="宋体" w:eastAsia="宋体" w:cs="宋体"/>
                <w:color w:val="auto"/>
                <w:sz w:val="21"/>
                <w:szCs w:val="21"/>
                <w:highlight w:val="none"/>
              </w:rPr>
              <w:t>）</w:t>
            </w:r>
          </w:p>
          <w:p w14:paraId="56E94679">
            <w:pPr>
              <w:snapToGrid w:val="0"/>
              <w:spacing w:line="400" w:lineRule="exact"/>
              <w:jc w:val="left"/>
              <w:rPr>
                <w:rFonts w:hint="eastAsia" w:ascii="宋体" w:cs="宋体"/>
                <w:color w:val="auto"/>
                <w:szCs w:val="21"/>
                <w:highlight w:val="none"/>
              </w:rPr>
            </w:pPr>
            <w:r>
              <w:rPr>
                <w:rFonts w:hint="eastAsia" w:ascii="宋体" w:cs="宋体"/>
                <w:color w:val="auto"/>
                <w:szCs w:val="21"/>
                <w:highlight w:val="none"/>
                <w:lang w:val="en-US" w:eastAsia="zh-CN"/>
              </w:rPr>
              <w:t>2.</w:t>
            </w:r>
            <w:r>
              <w:rPr>
                <w:rFonts w:hint="eastAsia" w:ascii="宋体" w:cs="宋体"/>
                <w:color w:val="auto"/>
                <w:szCs w:val="21"/>
                <w:highlight w:val="none"/>
              </w:rPr>
              <w:t>本项目的特定资格要求：</w:t>
            </w:r>
          </w:p>
          <w:p w14:paraId="0B6371C5">
            <w:pPr>
              <w:snapToGrid w:val="0"/>
              <w:spacing w:line="400" w:lineRule="exact"/>
              <w:jc w:val="left"/>
              <w:rPr>
                <w:rFonts w:hint="eastAsia"/>
                <w:color w:val="auto"/>
                <w:highlight w:val="none"/>
              </w:rPr>
            </w:pPr>
            <w:r>
              <w:rPr>
                <w:rFonts w:hint="eastAsia"/>
                <w:color w:val="auto"/>
                <w:highlight w:val="none"/>
              </w:rPr>
              <w:t>标项1：投标产品属第二类医疗器械产品的，投标人须承诺供货时按《医疗器械监督管理条例》（国务院令第739号）医疗器械分类管理要求提供有效的医疗器械经营备案凭证，且经营范围必须包含采购标的[符合《医疗器械监督管理条例》第四十一条第二款规定的除外]；投标产品属第三类医疗器械产品的，投标人须在投标文件中提供按《医疗器械监督管理条例》（国务院令第739号）医疗器械分类管理要求具备的有效医疗器械经营许可证，且经营范围必须包含采购标的；投标人提供其为《医疗器械监督管理条例》第四十三条规定的“医疗器械注册人、备案人经营其注册、备案的医疗器械”情形的凭证（则无须提供上述资格证明文件）；</w:t>
            </w:r>
            <w:r>
              <w:rPr>
                <w:rFonts w:hint="eastAsia" w:ascii="宋体" w:cs="宋体"/>
                <w:color w:val="auto"/>
                <w:szCs w:val="21"/>
                <w:highlight w:val="none"/>
              </w:rPr>
              <w:t>（</w:t>
            </w:r>
            <w:r>
              <w:rPr>
                <w:rFonts w:hint="eastAsia" w:ascii="宋体" w:cs="宋体"/>
                <w:b/>
                <w:color w:val="auto"/>
                <w:szCs w:val="21"/>
                <w:highlight w:val="none"/>
              </w:rPr>
              <w:t>必须提供，否则作无效投标处理</w:t>
            </w:r>
            <w:r>
              <w:rPr>
                <w:rFonts w:hint="eastAsia" w:ascii="宋体" w:cs="宋体"/>
                <w:color w:val="auto"/>
                <w:szCs w:val="21"/>
                <w:highlight w:val="none"/>
              </w:rPr>
              <w:t>）</w:t>
            </w:r>
          </w:p>
          <w:p w14:paraId="6224C929">
            <w:pPr>
              <w:snapToGrid w:val="0"/>
              <w:spacing w:line="400" w:lineRule="exact"/>
              <w:jc w:val="left"/>
              <w:rPr>
                <w:rFonts w:ascii="宋体" w:cs="宋体"/>
                <w:color w:val="auto"/>
                <w:szCs w:val="21"/>
                <w:highlight w:val="none"/>
              </w:rPr>
            </w:pPr>
            <w:r>
              <w:rPr>
                <w:rFonts w:hint="eastAsia"/>
                <w:color w:val="auto"/>
                <w:highlight w:val="none"/>
              </w:rPr>
              <w:t>标项2：投标产品属第二类医疗器械产品的，投标人须承诺供货时按《医疗器械监督管理条例》（国务院令第739号）医疗器械分类管理要求提供有效的医疗器械经营备案凭证，且经营范围必须包含采购标的[符合《医疗器械监督管理条例》第四十一条第二款规定的除外]；投标人提供其为《医疗器械监督管理条例》第四十三条规定的“医疗器械注册人、备案人经营其注册、备案的医疗器械”情形的凭证（则无须提供上述资格证明文件）</w:t>
            </w:r>
            <w:r>
              <w:rPr>
                <w:color w:val="auto"/>
                <w:highlight w:val="none"/>
              </w:rPr>
              <w:t>。</w:t>
            </w:r>
            <w:r>
              <w:rPr>
                <w:rFonts w:hint="eastAsia" w:ascii="宋体" w:cs="宋体"/>
                <w:color w:val="auto"/>
                <w:szCs w:val="21"/>
                <w:highlight w:val="none"/>
              </w:rPr>
              <w:t>（</w:t>
            </w:r>
            <w:r>
              <w:rPr>
                <w:rFonts w:hint="eastAsia" w:ascii="宋体" w:cs="宋体"/>
                <w:b/>
                <w:color w:val="auto"/>
                <w:szCs w:val="21"/>
                <w:highlight w:val="none"/>
              </w:rPr>
              <w:t>必须提供，否则作无效投标处理</w:t>
            </w:r>
            <w:r>
              <w:rPr>
                <w:rFonts w:hint="eastAsia" w:ascii="宋体" w:cs="宋体"/>
                <w:color w:val="auto"/>
                <w:szCs w:val="21"/>
                <w:highlight w:val="none"/>
              </w:rPr>
              <w:t>）</w:t>
            </w:r>
          </w:p>
          <w:p w14:paraId="4F88733F">
            <w:pPr>
              <w:snapToGrid w:val="0"/>
              <w:spacing w:line="400" w:lineRule="exact"/>
              <w:jc w:val="left"/>
              <w:rPr>
                <w:rFonts w:hint="eastAsia" w:ascii="宋体" w:cs="宋体"/>
                <w:color w:val="auto"/>
                <w:szCs w:val="21"/>
                <w:highlight w:val="none"/>
              </w:rPr>
            </w:pPr>
            <w:r>
              <w:rPr>
                <w:rFonts w:hint="eastAsia" w:ascii="宋体" w:cs="宋体"/>
                <w:color w:val="auto"/>
                <w:szCs w:val="21"/>
                <w:highlight w:val="none"/>
                <w:lang w:val="en-US" w:eastAsia="zh-CN"/>
              </w:rPr>
              <w:t>3.</w:t>
            </w:r>
            <w:r>
              <w:rPr>
                <w:rFonts w:hint="eastAsia" w:ascii="宋体" w:cs="宋体"/>
                <w:color w:val="auto"/>
                <w:szCs w:val="21"/>
                <w:highlight w:val="none"/>
              </w:rPr>
              <w:t>投标人直接控股股东信息表（格式后附）</w:t>
            </w:r>
            <w:r>
              <w:rPr>
                <w:rFonts w:hint="eastAsia" w:ascii="宋体" w:cs="宋体"/>
                <w:color w:val="auto"/>
                <w:szCs w:val="21"/>
                <w:highlight w:val="none"/>
                <w:lang w:eastAsia="zh-CN"/>
              </w:rPr>
              <w:t>。</w:t>
            </w:r>
            <w:r>
              <w:rPr>
                <w:rFonts w:hint="eastAsia" w:ascii="宋体" w:cs="宋体"/>
                <w:color w:val="auto"/>
                <w:szCs w:val="21"/>
                <w:highlight w:val="none"/>
              </w:rPr>
              <w:t>（</w:t>
            </w:r>
            <w:r>
              <w:rPr>
                <w:rFonts w:hint="eastAsia" w:ascii="宋体" w:cs="宋体"/>
                <w:b/>
                <w:bCs/>
                <w:color w:val="auto"/>
                <w:szCs w:val="21"/>
                <w:highlight w:val="none"/>
              </w:rPr>
              <w:t>必须提供，否则作无效投标处理</w:t>
            </w:r>
            <w:r>
              <w:rPr>
                <w:rFonts w:hint="eastAsia" w:ascii="宋体" w:cs="宋体"/>
                <w:color w:val="auto"/>
                <w:szCs w:val="21"/>
                <w:highlight w:val="none"/>
              </w:rPr>
              <w:t>）</w:t>
            </w:r>
          </w:p>
          <w:p w14:paraId="343B3A27">
            <w:pPr>
              <w:snapToGrid w:val="0"/>
              <w:spacing w:line="400" w:lineRule="exact"/>
              <w:jc w:val="left"/>
              <w:rPr>
                <w:rFonts w:hint="eastAsia" w:ascii="宋体" w:cs="宋体"/>
                <w:color w:val="auto"/>
                <w:szCs w:val="21"/>
                <w:highlight w:val="none"/>
              </w:rPr>
            </w:pPr>
            <w:r>
              <w:rPr>
                <w:rFonts w:hint="eastAsia" w:ascii="宋体" w:cs="宋体"/>
                <w:color w:val="auto"/>
                <w:szCs w:val="21"/>
                <w:highlight w:val="none"/>
                <w:lang w:val="en-US" w:eastAsia="zh-CN"/>
              </w:rPr>
              <w:t>4.</w:t>
            </w:r>
            <w:r>
              <w:rPr>
                <w:rFonts w:hint="eastAsia" w:ascii="宋体" w:cs="宋体"/>
                <w:color w:val="auto"/>
                <w:szCs w:val="21"/>
                <w:highlight w:val="none"/>
              </w:rPr>
              <w:t>投标人直接管理关系信息表（格式后附）</w:t>
            </w:r>
            <w:r>
              <w:rPr>
                <w:rFonts w:hint="eastAsia" w:ascii="宋体" w:cs="宋体"/>
                <w:color w:val="auto"/>
                <w:szCs w:val="21"/>
                <w:highlight w:val="none"/>
                <w:lang w:eastAsia="zh-CN"/>
              </w:rPr>
              <w:t>。</w:t>
            </w:r>
            <w:r>
              <w:rPr>
                <w:rFonts w:hint="eastAsia" w:ascii="宋体" w:cs="宋体"/>
                <w:color w:val="auto"/>
                <w:szCs w:val="21"/>
                <w:highlight w:val="none"/>
              </w:rPr>
              <w:t>（</w:t>
            </w:r>
            <w:r>
              <w:rPr>
                <w:rFonts w:hint="eastAsia" w:ascii="宋体" w:cs="宋体"/>
                <w:b/>
                <w:bCs/>
                <w:color w:val="auto"/>
                <w:szCs w:val="21"/>
                <w:highlight w:val="none"/>
              </w:rPr>
              <w:t>必须提供，否则作无效投标处理</w:t>
            </w:r>
            <w:r>
              <w:rPr>
                <w:rFonts w:hint="eastAsia" w:ascii="宋体" w:cs="宋体"/>
                <w:color w:val="auto"/>
                <w:szCs w:val="21"/>
                <w:highlight w:val="none"/>
              </w:rPr>
              <w:t>）</w:t>
            </w:r>
          </w:p>
          <w:p w14:paraId="04A34F33">
            <w:pPr>
              <w:snapToGrid w:val="0"/>
              <w:spacing w:line="400" w:lineRule="exact"/>
              <w:jc w:val="left"/>
              <w:rPr>
                <w:rFonts w:ascii="宋体" w:cs="宋体"/>
                <w:color w:val="auto"/>
                <w:szCs w:val="21"/>
                <w:highlight w:val="none"/>
              </w:rPr>
            </w:pPr>
            <w:r>
              <w:rPr>
                <w:rFonts w:hint="eastAsia" w:ascii="宋体" w:cs="宋体"/>
                <w:color w:val="auto"/>
                <w:szCs w:val="21"/>
                <w:highlight w:val="none"/>
                <w:lang w:val="en-US" w:eastAsia="zh-CN"/>
              </w:rPr>
              <w:t>5.</w:t>
            </w:r>
            <w:r>
              <w:rPr>
                <w:rFonts w:hint="eastAsia" w:ascii="宋体" w:cs="宋体"/>
                <w:color w:val="auto"/>
                <w:szCs w:val="21"/>
                <w:highlight w:val="none"/>
              </w:rPr>
              <w:t>声明函（格式后附）。（</w:t>
            </w:r>
            <w:r>
              <w:rPr>
                <w:rFonts w:hint="eastAsia" w:ascii="宋体" w:cs="宋体"/>
                <w:b/>
                <w:color w:val="auto"/>
                <w:szCs w:val="21"/>
                <w:highlight w:val="none"/>
              </w:rPr>
              <w:t>必须提供，否则作无效投标处理</w:t>
            </w:r>
            <w:r>
              <w:rPr>
                <w:rFonts w:hint="eastAsia" w:ascii="宋体" w:cs="宋体"/>
                <w:color w:val="auto"/>
                <w:szCs w:val="21"/>
                <w:highlight w:val="none"/>
              </w:rPr>
              <w:t>）</w:t>
            </w:r>
          </w:p>
          <w:p w14:paraId="4AEFF782">
            <w:pPr>
              <w:snapToGrid w:val="0"/>
              <w:spacing w:line="400" w:lineRule="exact"/>
              <w:jc w:val="left"/>
              <w:rPr>
                <w:rFonts w:hint="eastAsia" w:ascii="宋体" w:cs="宋体"/>
                <w:color w:val="auto"/>
                <w:szCs w:val="21"/>
                <w:highlight w:val="none"/>
                <w:lang w:val="en-US" w:eastAsia="zh-CN"/>
              </w:rPr>
            </w:pPr>
            <w:r>
              <w:rPr>
                <w:rFonts w:hint="eastAsia" w:ascii="宋体" w:cs="宋体"/>
                <w:color w:val="auto"/>
                <w:szCs w:val="21"/>
                <w:highlight w:val="none"/>
                <w:lang w:val="en-US" w:eastAsia="zh-CN"/>
              </w:rPr>
              <w:t>6.落实政府采购政策需满足的资格要求：</w:t>
            </w:r>
          </w:p>
          <w:p w14:paraId="5437AE6E">
            <w:pPr>
              <w:snapToGrid w:val="0"/>
              <w:spacing w:line="400" w:lineRule="exact"/>
              <w:jc w:val="left"/>
              <w:rPr>
                <w:rFonts w:hint="eastAsia" w:ascii="宋体" w:cs="宋体"/>
                <w:color w:val="auto"/>
                <w:szCs w:val="21"/>
                <w:highlight w:val="none"/>
                <w:lang w:val="en-US" w:eastAsia="zh-CN"/>
              </w:rPr>
            </w:pPr>
            <w:r>
              <w:rPr>
                <w:rFonts w:hint="eastAsia" w:ascii="宋体" w:cs="宋体"/>
                <w:color w:val="auto"/>
                <w:szCs w:val="21"/>
                <w:highlight w:val="none"/>
                <w:lang w:val="en-US" w:eastAsia="zh-CN"/>
              </w:rPr>
              <w:t>标项1：本标项属于预留采购份额专门面向中小企业采购的项目，预留采购份额：专门面向中小企业份额不低于30%，专门面向小微企业占专门面向中小企业份额不低于60%。投标人必须提供中小企业声明函或者残疾人福利性单位声明函（格式后附）或者供应商属于监狱企业的需提供由省级以上监狱管理局、戒毒管理局（含新疆生产建设兵团）出具的属于监狱企业的证明文件；</w:t>
            </w:r>
            <w:r>
              <w:rPr>
                <w:rFonts w:hint="eastAsia" w:ascii="宋体" w:cs="宋体"/>
                <w:b/>
                <w:bCs/>
                <w:color w:val="auto"/>
                <w:szCs w:val="21"/>
                <w:highlight w:val="none"/>
                <w:lang w:val="en-US" w:eastAsia="zh-CN"/>
              </w:rPr>
              <w:t>（必须提供，否则作无效投标处理）</w:t>
            </w:r>
          </w:p>
          <w:p w14:paraId="2B2245BD">
            <w:pPr>
              <w:snapToGrid w:val="0"/>
              <w:spacing w:line="400" w:lineRule="exact"/>
              <w:jc w:val="left"/>
              <w:rPr>
                <w:rFonts w:hint="eastAsia" w:ascii="宋体" w:cs="宋体"/>
                <w:b/>
                <w:bCs/>
                <w:color w:val="auto"/>
                <w:szCs w:val="21"/>
                <w:highlight w:val="none"/>
                <w:lang w:val="en-US" w:eastAsia="zh-CN"/>
              </w:rPr>
            </w:pPr>
            <w:r>
              <w:rPr>
                <w:rFonts w:hint="eastAsia" w:ascii="宋体" w:cs="宋体"/>
                <w:color w:val="auto"/>
                <w:szCs w:val="21"/>
                <w:highlight w:val="none"/>
                <w:lang w:val="en-US" w:eastAsia="zh-CN"/>
              </w:rPr>
              <w:t>标项2：本标项属于预留采购份额专门面向中小企业采购的项目，预留采购份额：专门面向中小企业份额不低于30%，专门面向小微企业占专门面向中小企业份额不低于60%。投标人必须提供中小企业声明函或者残疾人福利性单位声明函（格式后附）或者供应商属于监狱企业的需提供由省级以上监狱管理局、戒毒管理局（含新疆生产建设兵团）出具的属于监狱企业的证明文件；</w:t>
            </w:r>
            <w:r>
              <w:rPr>
                <w:rFonts w:hint="eastAsia" w:ascii="宋体" w:cs="宋体"/>
                <w:b/>
                <w:bCs/>
                <w:color w:val="auto"/>
                <w:szCs w:val="21"/>
                <w:highlight w:val="none"/>
                <w:lang w:val="en-US" w:eastAsia="zh-CN"/>
              </w:rPr>
              <w:t>（必须提供，否则作无效投标处理）</w:t>
            </w:r>
          </w:p>
          <w:p w14:paraId="3B94DFE0">
            <w:pPr>
              <w:snapToGrid w:val="0"/>
              <w:spacing w:line="400" w:lineRule="exact"/>
              <w:jc w:val="left"/>
              <w:rPr>
                <w:rFonts w:hint="eastAsia" w:ascii="宋体" w:cs="宋体"/>
                <w:color w:val="auto"/>
                <w:szCs w:val="21"/>
                <w:highlight w:val="none"/>
                <w:lang w:val="en-US" w:eastAsia="zh-CN"/>
              </w:rPr>
            </w:pPr>
            <w:r>
              <w:rPr>
                <w:rFonts w:hint="eastAsia" w:ascii="宋体" w:cs="宋体"/>
                <w:color w:val="auto"/>
                <w:szCs w:val="21"/>
                <w:highlight w:val="none"/>
                <w:lang w:val="en-US" w:eastAsia="zh-CN"/>
              </w:rPr>
              <w:t>7.关于采购标的占预留份额比例的承诺函（格式后附）；（必须提供，否则作无效投标处理）</w:t>
            </w:r>
          </w:p>
          <w:p w14:paraId="6F48AA29">
            <w:pPr>
              <w:snapToGrid w:val="0"/>
              <w:spacing w:line="400" w:lineRule="exact"/>
              <w:jc w:val="left"/>
              <w:rPr>
                <w:rFonts w:ascii="宋体" w:cs="宋体"/>
                <w:color w:val="auto"/>
                <w:szCs w:val="21"/>
                <w:highlight w:val="none"/>
              </w:rPr>
            </w:pPr>
            <w:r>
              <w:rPr>
                <w:rFonts w:hint="eastAsia" w:ascii="宋体" w:cs="宋体"/>
                <w:color w:val="auto"/>
                <w:szCs w:val="21"/>
                <w:highlight w:val="none"/>
                <w:lang w:val="en-US" w:eastAsia="zh-CN"/>
              </w:rPr>
              <w:t>8.</w:t>
            </w:r>
            <w:r>
              <w:rPr>
                <w:rFonts w:hint="eastAsia" w:ascii="宋体" w:cs="宋体"/>
                <w:color w:val="auto"/>
                <w:szCs w:val="21"/>
                <w:highlight w:val="none"/>
              </w:rPr>
              <w:t>联合体投标协议书（格式后附）。（</w:t>
            </w:r>
            <w:r>
              <w:rPr>
                <w:rFonts w:hint="eastAsia" w:ascii="宋体" w:cs="宋体"/>
                <w:b/>
                <w:color w:val="auto"/>
                <w:szCs w:val="21"/>
                <w:highlight w:val="none"/>
              </w:rPr>
              <w:t>联合体投标时必须提供，否则作无效投标处理</w:t>
            </w:r>
            <w:r>
              <w:rPr>
                <w:rFonts w:hint="eastAsia" w:ascii="宋体" w:cs="宋体"/>
                <w:color w:val="auto"/>
                <w:szCs w:val="21"/>
                <w:highlight w:val="none"/>
              </w:rPr>
              <w:t>）</w:t>
            </w:r>
          </w:p>
          <w:p w14:paraId="39478D06">
            <w:pPr>
              <w:snapToGrid w:val="0"/>
              <w:spacing w:line="400" w:lineRule="exact"/>
              <w:jc w:val="left"/>
              <w:rPr>
                <w:rFonts w:ascii="宋体" w:cs="宋体"/>
                <w:color w:val="auto"/>
                <w:szCs w:val="21"/>
                <w:highlight w:val="none"/>
              </w:rPr>
            </w:pPr>
            <w:r>
              <w:rPr>
                <w:rFonts w:hint="eastAsia" w:ascii="宋体" w:cs="宋体"/>
                <w:color w:val="auto"/>
                <w:szCs w:val="21"/>
                <w:highlight w:val="none"/>
                <w:lang w:val="en-US" w:eastAsia="zh-CN"/>
              </w:rPr>
              <w:t>9.</w:t>
            </w:r>
            <w:r>
              <w:rPr>
                <w:rFonts w:hint="eastAsia" w:ascii="宋体" w:cs="宋体"/>
                <w:color w:val="auto"/>
                <w:szCs w:val="21"/>
                <w:highlight w:val="none"/>
              </w:rPr>
              <w:t>除招标文件规定必须提供以外，投标人认为需要提供的其他证明材料（</w:t>
            </w:r>
            <w:r>
              <w:rPr>
                <w:rFonts w:hint="eastAsia" w:ascii="宋体" w:cs="宋体"/>
                <w:b/>
                <w:bCs/>
                <w:color w:val="auto"/>
                <w:szCs w:val="21"/>
                <w:highlight w:val="none"/>
              </w:rPr>
              <w:t>格式自拟，如有，请提供</w:t>
            </w:r>
            <w:r>
              <w:rPr>
                <w:rFonts w:hint="eastAsia" w:ascii="宋体" w:cs="宋体"/>
                <w:color w:val="auto"/>
                <w:szCs w:val="21"/>
                <w:highlight w:val="none"/>
              </w:rPr>
              <w:t>）。</w:t>
            </w:r>
          </w:p>
          <w:p w14:paraId="67155AB1">
            <w:pPr>
              <w:snapToGrid w:val="0"/>
              <w:spacing w:line="400" w:lineRule="exact"/>
              <w:jc w:val="left"/>
              <w:rPr>
                <w:rFonts w:ascii="宋体" w:cs="宋体"/>
                <w:b/>
                <w:color w:val="auto"/>
                <w:szCs w:val="21"/>
                <w:highlight w:val="none"/>
              </w:rPr>
            </w:pPr>
            <w:r>
              <w:rPr>
                <w:rFonts w:hint="eastAsia" w:ascii="宋体" w:cs="宋体"/>
                <w:b/>
                <w:bCs/>
                <w:color w:val="auto"/>
                <w:szCs w:val="21"/>
                <w:highlight w:val="none"/>
              </w:rPr>
              <w:t>注：1</w:t>
            </w:r>
            <w:r>
              <w:rPr>
                <w:rFonts w:hint="eastAsia" w:ascii="宋体" w:cs="宋体"/>
                <w:b/>
                <w:bCs/>
                <w:color w:val="auto"/>
                <w:szCs w:val="21"/>
                <w:highlight w:val="none"/>
                <w:lang w:val="en-US" w:eastAsia="zh-CN"/>
              </w:rPr>
              <w:t>.</w:t>
            </w:r>
            <w:r>
              <w:rPr>
                <w:rFonts w:hint="eastAsia" w:ascii="宋体" w:cs="宋体"/>
                <w:b/>
                <w:bCs/>
                <w:color w:val="auto"/>
                <w:szCs w:val="21"/>
                <w:highlight w:val="none"/>
              </w:rPr>
              <w:t>以上标明“必须提供”的材料</w:t>
            </w:r>
            <w:r>
              <w:rPr>
                <w:rFonts w:hint="eastAsia" w:ascii="宋体" w:cs="宋体"/>
                <w:b/>
                <w:color w:val="auto"/>
                <w:szCs w:val="21"/>
                <w:highlight w:val="none"/>
              </w:rPr>
              <w:t>属于复印件的扫描件的</w:t>
            </w:r>
            <w:r>
              <w:rPr>
                <w:rFonts w:hint="eastAsia" w:ascii="宋体" w:cs="宋体"/>
                <w:b/>
                <w:bCs/>
                <w:color w:val="auto"/>
                <w:szCs w:val="21"/>
                <w:highlight w:val="none"/>
              </w:rPr>
              <w:t>，必须加盖投标人公章，否则</w:t>
            </w:r>
            <w:r>
              <w:rPr>
                <w:rFonts w:hint="eastAsia" w:ascii="宋体" w:cs="宋体"/>
                <w:b/>
                <w:color w:val="auto"/>
                <w:szCs w:val="21"/>
                <w:highlight w:val="none"/>
              </w:rPr>
              <w:t>作无效投标处理。</w:t>
            </w:r>
          </w:p>
          <w:p w14:paraId="37CBC106">
            <w:pPr>
              <w:snapToGrid w:val="0"/>
              <w:spacing w:line="400" w:lineRule="exact"/>
              <w:ind w:firstLine="422" w:firstLineChars="200"/>
              <w:jc w:val="left"/>
              <w:rPr>
                <w:rFonts w:ascii="宋体" w:cs="宋体"/>
                <w:b/>
                <w:bCs/>
                <w:color w:val="auto"/>
                <w:szCs w:val="21"/>
                <w:highlight w:val="none"/>
              </w:rPr>
            </w:pPr>
            <w:r>
              <w:rPr>
                <w:rFonts w:hint="eastAsia" w:ascii="宋体" w:cs="宋体"/>
                <w:b/>
                <w:color w:val="auto"/>
                <w:szCs w:val="21"/>
                <w:highlight w:val="none"/>
              </w:rPr>
              <w:t>2</w:t>
            </w:r>
            <w:r>
              <w:rPr>
                <w:rFonts w:hint="eastAsia" w:ascii="宋体" w:cs="宋体"/>
                <w:b/>
                <w:bCs/>
                <w:color w:val="auto"/>
                <w:szCs w:val="21"/>
                <w:highlight w:val="none"/>
                <w:lang w:val="en-US" w:eastAsia="zh-CN"/>
              </w:rPr>
              <w:t>.</w:t>
            </w:r>
            <w:r>
              <w:rPr>
                <w:rFonts w:hint="eastAsia" w:ascii="宋体" w:cs="宋体"/>
                <w:b/>
                <w:bCs/>
                <w:color w:val="auto"/>
                <w:szCs w:val="21"/>
                <w:highlight w:val="none"/>
              </w:rPr>
              <w:t>联合体投标时，第1-</w:t>
            </w:r>
            <w:r>
              <w:rPr>
                <w:rFonts w:hint="eastAsia" w:ascii="宋体" w:cs="宋体"/>
                <w:b/>
                <w:bCs/>
                <w:color w:val="auto"/>
                <w:szCs w:val="21"/>
                <w:highlight w:val="none"/>
                <w:lang w:val="en-US" w:eastAsia="zh-CN"/>
              </w:rPr>
              <w:t>7</w:t>
            </w:r>
            <w:r>
              <w:rPr>
                <w:rFonts w:hint="eastAsia" w:ascii="宋体" w:cs="宋体"/>
                <w:b/>
                <w:bCs/>
                <w:color w:val="auto"/>
                <w:szCs w:val="21"/>
                <w:highlight w:val="none"/>
              </w:rPr>
              <w:t>项资格证明文件联合体各方均必须分别提供，联合体各方分别盖章，否则投标文件作无效投标处理。</w:t>
            </w:r>
          </w:p>
        </w:tc>
      </w:tr>
      <w:tr w14:paraId="326DE1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nil"/>
              <w:left w:val="single" w:color="auto" w:sz="4" w:space="0"/>
              <w:bottom w:val="nil"/>
              <w:right w:val="single" w:color="auto" w:sz="4" w:space="0"/>
            </w:tcBorders>
            <w:vAlign w:val="center"/>
          </w:tcPr>
          <w:p w14:paraId="1DDB34D1">
            <w:pPr>
              <w:spacing w:line="400" w:lineRule="exact"/>
              <w:rPr>
                <w:rFonts w:asci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14:paraId="38C024DE">
            <w:pPr>
              <w:snapToGrid w:val="0"/>
              <w:spacing w:line="400" w:lineRule="exact"/>
              <w:jc w:val="left"/>
              <w:rPr>
                <w:rFonts w:ascii="宋体" w:cs="宋体"/>
                <w:color w:val="auto"/>
                <w:szCs w:val="21"/>
                <w:highlight w:val="none"/>
              </w:rPr>
            </w:pPr>
            <w:bookmarkStart w:id="85" w:name="_13.3"/>
            <w:bookmarkEnd w:id="85"/>
            <w:r>
              <w:rPr>
                <w:rFonts w:hint="eastAsia" w:ascii="宋体" w:cs="宋体"/>
                <w:color w:val="auto"/>
                <w:szCs w:val="21"/>
                <w:highlight w:val="none"/>
              </w:rPr>
              <w:t>商务文件组成</w:t>
            </w:r>
          </w:p>
        </w:tc>
        <w:tc>
          <w:tcPr>
            <w:tcW w:w="7021" w:type="dxa"/>
            <w:tcBorders>
              <w:top w:val="single" w:color="auto" w:sz="4" w:space="0"/>
              <w:left w:val="single" w:color="auto" w:sz="4" w:space="0"/>
              <w:bottom w:val="single" w:color="auto" w:sz="4" w:space="0"/>
              <w:right w:val="single" w:color="auto" w:sz="4" w:space="0"/>
            </w:tcBorders>
            <w:vAlign w:val="center"/>
          </w:tcPr>
          <w:p w14:paraId="54E6A6C3">
            <w:pPr>
              <w:snapToGrid w:val="0"/>
              <w:spacing w:line="400" w:lineRule="exact"/>
              <w:jc w:val="left"/>
              <w:rPr>
                <w:rFonts w:ascii="宋体" w:cs="宋体"/>
                <w:color w:val="auto"/>
                <w:szCs w:val="21"/>
                <w:highlight w:val="none"/>
              </w:rPr>
            </w:pPr>
            <w:r>
              <w:rPr>
                <w:rFonts w:hint="eastAsia" w:ascii="宋体" w:cs="宋体"/>
                <w:color w:val="auto"/>
                <w:szCs w:val="21"/>
                <w:highlight w:val="none"/>
              </w:rPr>
              <w:t>1</w:t>
            </w:r>
            <w:r>
              <w:rPr>
                <w:rFonts w:hint="eastAsia" w:ascii="宋体" w:cs="宋体"/>
                <w:color w:val="auto"/>
                <w:szCs w:val="21"/>
                <w:highlight w:val="none"/>
                <w:lang w:val="en-US" w:eastAsia="zh-CN"/>
              </w:rPr>
              <w:t>.</w:t>
            </w:r>
            <w:r>
              <w:rPr>
                <w:rFonts w:hint="eastAsia" w:ascii="宋体" w:cs="宋体"/>
                <w:color w:val="auto"/>
                <w:szCs w:val="21"/>
                <w:highlight w:val="none"/>
              </w:rPr>
              <w:t>无串通投标行为的承诺函（格式后附）；（</w:t>
            </w:r>
            <w:r>
              <w:rPr>
                <w:rFonts w:hint="eastAsia" w:ascii="宋体" w:cs="宋体"/>
                <w:b/>
                <w:color w:val="auto"/>
                <w:szCs w:val="21"/>
                <w:highlight w:val="none"/>
              </w:rPr>
              <w:t>必须提供，否则作无效投标处理</w:t>
            </w:r>
            <w:r>
              <w:rPr>
                <w:rFonts w:hint="eastAsia" w:ascii="宋体" w:cs="宋体"/>
                <w:color w:val="auto"/>
                <w:szCs w:val="21"/>
                <w:highlight w:val="none"/>
              </w:rPr>
              <w:t>）</w:t>
            </w:r>
          </w:p>
          <w:p w14:paraId="2E25E678">
            <w:pPr>
              <w:snapToGrid w:val="0"/>
              <w:spacing w:line="400" w:lineRule="exact"/>
              <w:jc w:val="left"/>
              <w:rPr>
                <w:rFonts w:ascii="宋体" w:cs="宋体"/>
                <w:color w:val="auto"/>
                <w:szCs w:val="21"/>
                <w:highlight w:val="none"/>
              </w:rPr>
            </w:pPr>
            <w:r>
              <w:rPr>
                <w:rFonts w:hint="eastAsia" w:ascii="宋体" w:cs="宋体"/>
                <w:color w:val="auto"/>
                <w:szCs w:val="21"/>
                <w:highlight w:val="none"/>
              </w:rPr>
              <w:t>2</w:t>
            </w:r>
            <w:r>
              <w:rPr>
                <w:rFonts w:hint="eastAsia" w:ascii="宋体" w:cs="宋体"/>
                <w:color w:val="auto"/>
                <w:szCs w:val="21"/>
                <w:highlight w:val="none"/>
                <w:lang w:val="en-US" w:eastAsia="zh-CN"/>
              </w:rPr>
              <w:t>.</w:t>
            </w:r>
            <w:r>
              <w:rPr>
                <w:rFonts w:hint="eastAsia" w:ascii="宋体" w:cs="宋体"/>
                <w:color w:val="auto"/>
                <w:szCs w:val="21"/>
                <w:highlight w:val="none"/>
              </w:rPr>
              <w:t>法定代表人身份证明及法定代表人有效身份证正反面复印件（格式后附）；（</w:t>
            </w:r>
            <w:r>
              <w:rPr>
                <w:rFonts w:hint="eastAsia" w:ascii="宋体" w:cs="宋体"/>
                <w:b/>
                <w:bCs/>
                <w:color w:val="auto"/>
                <w:szCs w:val="21"/>
                <w:highlight w:val="none"/>
              </w:rPr>
              <w:t>除自然人投标外</w:t>
            </w:r>
            <w:r>
              <w:rPr>
                <w:rFonts w:hint="eastAsia" w:ascii="宋体" w:cs="宋体"/>
                <w:b/>
                <w:color w:val="auto"/>
                <w:szCs w:val="21"/>
                <w:highlight w:val="none"/>
              </w:rPr>
              <w:t>必须提供，否则作无效投标处理</w:t>
            </w:r>
            <w:r>
              <w:rPr>
                <w:rFonts w:hint="eastAsia" w:ascii="宋体" w:cs="宋体"/>
                <w:color w:val="auto"/>
                <w:szCs w:val="21"/>
                <w:highlight w:val="none"/>
              </w:rPr>
              <w:t>）</w:t>
            </w:r>
          </w:p>
          <w:p w14:paraId="5AFA4126">
            <w:pPr>
              <w:snapToGrid w:val="0"/>
              <w:spacing w:line="400" w:lineRule="exact"/>
              <w:jc w:val="left"/>
              <w:rPr>
                <w:rFonts w:ascii="宋体" w:cs="宋体"/>
                <w:color w:val="auto"/>
                <w:szCs w:val="21"/>
                <w:highlight w:val="none"/>
              </w:rPr>
            </w:pPr>
            <w:r>
              <w:rPr>
                <w:rFonts w:hint="eastAsia" w:ascii="宋体" w:cs="宋体"/>
                <w:color w:val="auto"/>
                <w:szCs w:val="21"/>
                <w:highlight w:val="none"/>
              </w:rPr>
              <w:t>3</w:t>
            </w:r>
            <w:r>
              <w:rPr>
                <w:rFonts w:hint="eastAsia" w:ascii="宋体" w:cs="宋体"/>
                <w:color w:val="auto"/>
                <w:szCs w:val="21"/>
                <w:highlight w:val="none"/>
                <w:lang w:val="en-US" w:eastAsia="zh-CN"/>
              </w:rPr>
              <w:t>.</w:t>
            </w:r>
            <w:r>
              <w:rPr>
                <w:rFonts w:hint="eastAsia" w:ascii="宋体" w:cs="宋体"/>
                <w:color w:val="auto"/>
                <w:szCs w:val="21"/>
                <w:highlight w:val="none"/>
              </w:rPr>
              <w:t>法定代表人授权委托书及委托代理人有效身份证正反面复印件（格式后附）；（</w:t>
            </w:r>
            <w:r>
              <w:rPr>
                <w:rFonts w:hint="eastAsia" w:ascii="宋体" w:cs="宋体"/>
                <w:b/>
                <w:color w:val="auto"/>
                <w:szCs w:val="21"/>
                <w:highlight w:val="none"/>
              </w:rPr>
              <w:t>委托时必须提供，否则作无效投标处理</w:t>
            </w:r>
            <w:r>
              <w:rPr>
                <w:rFonts w:hint="eastAsia" w:ascii="宋体" w:cs="宋体"/>
                <w:color w:val="auto"/>
                <w:szCs w:val="21"/>
                <w:highlight w:val="none"/>
              </w:rPr>
              <w:t>）</w:t>
            </w:r>
          </w:p>
          <w:p w14:paraId="5647799E">
            <w:pPr>
              <w:snapToGrid w:val="0"/>
              <w:spacing w:line="400" w:lineRule="exact"/>
              <w:jc w:val="left"/>
              <w:rPr>
                <w:rFonts w:ascii="宋体" w:cs="宋体"/>
                <w:color w:val="auto"/>
                <w:szCs w:val="21"/>
                <w:highlight w:val="none"/>
              </w:rPr>
            </w:pPr>
            <w:r>
              <w:rPr>
                <w:rFonts w:hint="eastAsia" w:ascii="宋体" w:cs="宋体"/>
                <w:color w:val="auto"/>
                <w:szCs w:val="21"/>
                <w:highlight w:val="none"/>
                <w:lang w:val="en-US" w:eastAsia="zh-CN"/>
              </w:rPr>
              <w:t>4.</w:t>
            </w:r>
            <w:r>
              <w:rPr>
                <w:rFonts w:hint="eastAsia" w:ascii="宋体" w:cs="宋体"/>
                <w:color w:val="auto"/>
                <w:szCs w:val="21"/>
                <w:highlight w:val="none"/>
              </w:rPr>
              <w:t>商务条款偏离表（格式后附）；（</w:t>
            </w:r>
            <w:r>
              <w:rPr>
                <w:rFonts w:hint="eastAsia" w:ascii="宋体" w:cs="宋体"/>
                <w:b/>
                <w:color w:val="auto"/>
                <w:szCs w:val="21"/>
                <w:highlight w:val="none"/>
              </w:rPr>
              <w:t>必须提供，否则作无效投标处理</w:t>
            </w:r>
            <w:r>
              <w:rPr>
                <w:rFonts w:hint="eastAsia" w:ascii="宋体" w:cs="宋体"/>
                <w:color w:val="auto"/>
                <w:szCs w:val="21"/>
                <w:highlight w:val="none"/>
              </w:rPr>
              <w:t>）</w:t>
            </w:r>
          </w:p>
          <w:p w14:paraId="63796FD9">
            <w:pPr>
              <w:snapToGrid w:val="0"/>
              <w:spacing w:line="400" w:lineRule="exact"/>
              <w:jc w:val="left"/>
              <w:rPr>
                <w:rFonts w:ascii="宋体" w:cs="宋体"/>
                <w:color w:val="auto"/>
                <w:szCs w:val="21"/>
                <w:highlight w:val="none"/>
              </w:rPr>
            </w:pPr>
            <w:r>
              <w:rPr>
                <w:rFonts w:hint="eastAsia" w:ascii="宋体" w:cs="宋体"/>
                <w:color w:val="auto"/>
                <w:szCs w:val="21"/>
                <w:highlight w:val="none"/>
                <w:lang w:val="en-US" w:eastAsia="zh-CN"/>
              </w:rPr>
              <w:t>5.</w:t>
            </w:r>
            <w:r>
              <w:rPr>
                <w:rFonts w:hint="eastAsia" w:ascii="宋体" w:cs="宋体"/>
                <w:color w:val="auto"/>
                <w:szCs w:val="21"/>
                <w:highlight w:val="none"/>
              </w:rPr>
              <w:t>投标人情况介绍（</w:t>
            </w:r>
            <w:r>
              <w:rPr>
                <w:rFonts w:hint="eastAsia" w:ascii="宋体" w:cs="宋体"/>
                <w:b/>
                <w:bCs/>
                <w:color w:val="auto"/>
                <w:szCs w:val="21"/>
                <w:highlight w:val="none"/>
              </w:rPr>
              <w:t>格式自拟，如有，请提供</w:t>
            </w:r>
            <w:r>
              <w:rPr>
                <w:rFonts w:hint="eastAsia" w:ascii="宋体" w:cs="宋体"/>
                <w:color w:val="auto"/>
                <w:szCs w:val="21"/>
                <w:highlight w:val="none"/>
              </w:rPr>
              <w:t>）；</w:t>
            </w:r>
          </w:p>
          <w:p w14:paraId="1A640BC8">
            <w:pPr>
              <w:snapToGrid w:val="0"/>
              <w:spacing w:line="400" w:lineRule="exact"/>
              <w:jc w:val="left"/>
              <w:rPr>
                <w:rFonts w:ascii="宋体" w:cs="宋体"/>
                <w:color w:val="auto"/>
                <w:szCs w:val="21"/>
                <w:highlight w:val="none"/>
              </w:rPr>
            </w:pPr>
            <w:r>
              <w:rPr>
                <w:rFonts w:hint="eastAsia" w:ascii="宋体" w:cs="宋体"/>
                <w:color w:val="auto"/>
                <w:szCs w:val="21"/>
                <w:highlight w:val="none"/>
                <w:lang w:val="en-US" w:eastAsia="zh-CN"/>
              </w:rPr>
              <w:t>6.</w:t>
            </w:r>
            <w:r>
              <w:rPr>
                <w:rFonts w:hint="eastAsia" w:ascii="宋体" w:cs="宋体"/>
                <w:color w:val="auto"/>
                <w:szCs w:val="21"/>
                <w:highlight w:val="none"/>
              </w:rPr>
              <w:t>除招标文件规定必须提供以外，投标人认为需要提供的其他证明材料（</w:t>
            </w:r>
            <w:r>
              <w:rPr>
                <w:rFonts w:hint="eastAsia" w:ascii="宋体" w:cs="宋体"/>
                <w:b/>
                <w:bCs/>
                <w:color w:val="auto"/>
                <w:szCs w:val="21"/>
                <w:highlight w:val="none"/>
              </w:rPr>
              <w:t>格式自拟，如有，请提供</w:t>
            </w:r>
            <w:r>
              <w:rPr>
                <w:rFonts w:hint="eastAsia" w:ascii="宋体" w:cs="宋体"/>
                <w:color w:val="auto"/>
                <w:szCs w:val="21"/>
                <w:highlight w:val="none"/>
              </w:rPr>
              <w:t>）。（投标人根据“第二章 采购需求”及“第四章 评标方法和评标标准”提供有关证明材料）。</w:t>
            </w:r>
          </w:p>
          <w:p w14:paraId="15DB855B">
            <w:pPr>
              <w:snapToGrid w:val="0"/>
              <w:spacing w:line="400" w:lineRule="exact"/>
              <w:jc w:val="left"/>
              <w:rPr>
                <w:rFonts w:ascii="宋体" w:cs="宋体"/>
                <w:b/>
                <w:bCs/>
                <w:color w:val="auto"/>
                <w:szCs w:val="21"/>
                <w:highlight w:val="none"/>
              </w:rPr>
            </w:pPr>
            <w:r>
              <w:rPr>
                <w:rFonts w:hint="eastAsia" w:ascii="宋体" w:cs="宋体"/>
                <w:b/>
                <w:bCs/>
                <w:color w:val="auto"/>
                <w:szCs w:val="21"/>
                <w:highlight w:val="none"/>
              </w:rPr>
              <w:t>注：1</w:t>
            </w:r>
            <w:r>
              <w:rPr>
                <w:rFonts w:hint="eastAsia" w:ascii="宋体" w:cs="宋体"/>
                <w:b/>
                <w:bCs/>
                <w:color w:val="auto"/>
                <w:szCs w:val="21"/>
                <w:highlight w:val="none"/>
                <w:lang w:val="en-US" w:eastAsia="zh-CN"/>
              </w:rPr>
              <w:t>.</w:t>
            </w:r>
            <w:r>
              <w:rPr>
                <w:rFonts w:hint="eastAsia" w:ascii="宋体" w:cs="宋体"/>
                <w:b/>
                <w:bCs/>
                <w:color w:val="auto"/>
                <w:szCs w:val="21"/>
                <w:highlight w:val="none"/>
              </w:rPr>
              <w:t>法定代表人授权委托书必须由法定代表人及委托代理人签字，并加盖投标人公章，否则作无效投标处理。</w:t>
            </w:r>
          </w:p>
          <w:p w14:paraId="44AB74AA">
            <w:pPr>
              <w:snapToGrid w:val="0"/>
              <w:spacing w:line="400" w:lineRule="exact"/>
              <w:ind w:firstLine="422" w:firstLineChars="200"/>
              <w:jc w:val="left"/>
              <w:rPr>
                <w:rFonts w:ascii="宋体" w:cs="宋体"/>
                <w:b/>
                <w:color w:val="auto"/>
                <w:szCs w:val="21"/>
                <w:highlight w:val="none"/>
              </w:rPr>
            </w:pPr>
            <w:r>
              <w:rPr>
                <w:rFonts w:hint="eastAsia" w:ascii="宋体" w:cs="宋体"/>
                <w:b/>
                <w:bCs/>
                <w:color w:val="auto"/>
                <w:szCs w:val="21"/>
                <w:highlight w:val="none"/>
              </w:rPr>
              <w:t>2</w:t>
            </w:r>
            <w:r>
              <w:rPr>
                <w:rFonts w:hint="eastAsia" w:ascii="宋体" w:cs="宋体"/>
                <w:b/>
                <w:bCs/>
                <w:color w:val="auto"/>
                <w:szCs w:val="21"/>
                <w:highlight w:val="none"/>
                <w:lang w:val="en-US" w:eastAsia="zh-CN"/>
              </w:rPr>
              <w:t>.</w:t>
            </w:r>
            <w:r>
              <w:rPr>
                <w:rFonts w:hint="eastAsia" w:ascii="宋体" w:cs="宋体"/>
                <w:b/>
                <w:bCs/>
                <w:color w:val="auto"/>
                <w:szCs w:val="21"/>
                <w:highlight w:val="none"/>
              </w:rPr>
              <w:t>以上标明“必须提供”的材料</w:t>
            </w:r>
            <w:r>
              <w:rPr>
                <w:rFonts w:hint="eastAsia" w:ascii="宋体" w:cs="宋体"/>
                <w:b/>
                <w:color w:val="auto"/>
                <w:szCs w:val="21"/>
                <w:highlight w:val="none"/>
              </w:rPr>
              <w:t>属于复印件的扫描件的</w:t>
            </w:r>
            <w:r>
              <w:rPr>
                <w:rFonts w:hint="eastAsia" w:ascii="宋体" w:cs="宋体"/>
                <w:b/>
                <w:bCs/>
                <w:color w:val="auto"/>
                <w:szCs w:val="21"/>
                <w:highlight w:val="none"/>
              </w:rPr>
              <w:t>，必须加盖投标人公章，否则</w:t>
            </w:r>
            <w:r>
              <w:rPr>
                <w:rFonts w:hint="eastAsia" w:ascii="宋体" w:cs="宋体"/>
                <w:b/>
                <w:color w:val="auto"/>
                <w:szCs w:val="21"/>
                <w:highlight w:val="none"/>
              </w:rPr>
              <w:t>作无效投标处理</w:t>
            </w:r>
            <w:r>
              <w:rPr>
                <w:rFonts w:hint="eastAsia" w:ascii="宋体" w:cs="宋体"/>
                <w:b/>
                <w:bCs/>
                <w:color w:val="auto"/>
                <w:szCs w:val="21"/>
                <w:highlight w:val="none"/>
              </w:rPr>
              <w:t>。</w:t>
            </w:r>
          </w:p>
        </w:tc>
      </w:tr>
      <w:tr w14:paraId="4E6193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vMerge w:val="restart"/>
            <w:tcBorders>
              <w:top w:val="nil"/>
              <w:left w:val="single" w:color="auto" w:sz="4" w:space="0"/>
              <w:bottom w:val="single" w:color="auto" w:sz="4" w:space="0"/>
              <w:right w:val="single" w:color="auto" w:sz="4" w:space="0"/>
            </w:tcBorders>
            <w:vAlign w:val="center"/>
          </w:tcPr>
          <w:p w14:paraId="108FF531">
            <w:pPr>
              <w:spacing w:line="400" w:lineRule="exact"/>
              <w:rPr>
                <w:rFonts w:asci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14:paraId="2C18EDFB">
            <w:pPr>
              <w:snapToGrid w:val="0"/>
              <w:spacing w:line="400" w:lineRule="exact"/>
              <w:jc w:val="left"/>
              <w:rPr>
                <w:rFonts w:ascii="宋体" w:cs="宋体"/>
                <w:color w:val="auto"/>
                <w:szCs w:val="21"/>
                <w:highlight w:val="none"/>
              </w:rPr>
            </w:pPr>
            <w:bookmarkStart w:id="86" w:name="_13.4"/>
            <w:bookmarkEnd w:id="86"/>
            <w:r>
              <w:rPr>
                <w:rFonts w:hint="eastAsia" w:ascii="宋体" w:cs="宋体"/>
                <w:color w:val="auto"/>
                <w:szCs w:val="21"/>
                <w:highlight w:val="none"/>
              </w:rPr>
              <w:t>技术文件组成</w:t>
            </w:r>
          </w:p>
          <w:p w14:paraId="12AF08B6">
            <w:pPr>
              <w:spacing w:line="400" w:lineRule="exact"/>
              <w:rPr>
                <w:rFonts w:ascii="宋体" w:cs="宋体"/>
                <w:color w:val="auto"/>
                <w:szCs w:val="21"/>
                <w:highlight w:val="none"/>
              </w:rPr>
            </w:pPr>
          </w:p>
        </w:tc>
        <w:tc>
          <w:tcPr>
            <w:tcW w:w="7021" w:type="dxa"/>
            <w:tcBorders>
              <w:top w:val="single" w:color="auto" w:sz="4" w:space="0"/>
              <w:left w:val="single" w:color="auto" w:sz="4" w:space="0"/>
              <w:bottom w:val="single" w:color="auto" w:sz="4" w:space="0"/>
              <w:right w:val="single" w:color="auto" w:sz="4" w:space="0"/>
            </w:tcBorders>
            <w:vAlign w:val="center"/>
          </w:tcPr>
          <w:p w14:paraId="6F0CD620">
            <w:pPr>
              <w:snapToGrid w:val="0"/>
              <w:spacing w:line="400" w:lineRule="exact"/>
              <w:jc w:val="left"/>
              <w:rPr>
                <w:rFonts w:ascii="宋体" w:cs="宋体"/>
                <w:color w:val="auto"/>
                <w:szCs w:val="21"/>
                <w:highlight w:val="none"/>
              </w:rPr>
            </w:pPr>
            <w:r>
              <w:rPr>
                <w:rFonts w:hint="eastAsia" w:ascii="宋体" w:cs="宋体"/>
                <w:color w:val="auto"/>
                <w:szCs w:val="21"/>
                <w:highlight w:val="none"/>
              </w:rPr>
              <w:t>1</w:t>
            </w:r>
            <w:r>
              <w:rPr>
                <w:rFonts w:hint="eastAsia" w:ascii="宋体" w:cs="宋体"/>
                <w:color w:val="auto"/>
                <w:szCs w:val="21"/>
                <w:highlight w:val="none"/>
                <w:lang w:val="en-US" w:eastAsia="zh-CN"/>
              </w:rPr>
              <w:t>.</w:t>
            </w:r>
            <w:r>
              <w:rPr>
                <w:rFonts w:hint="eastAsia" w:ascii="宋体" w:cs="宋体"/>
                <w:color w:val="auto"/>
                <w:szCs w:val="21"/>
                <w:highlight w:val="none"/>
              </w:rPr>
              <w:t>技术需求偏离表（格式后附）；（</w:t>
            </w:r>
            <w:r>
              <w:rPr>
                <w:rFonts w:hint="eastAsia" w:ascii="宋体" w:cs="宋体"/>
                <w:b/>
                <w:color w:val="auto"/>
                <w:szCs w:val="21"/>
                <w:highlight w:val="none"/>
              </w:rPr>
              <w:t>必须提供，否则作无效投标处理</w:t>
            </w:r>
            <w:r>
              <w:rPr>
                <w:rFonts w:hint="eastAsia" w:ascii="宋体" w:cs="宋体"/>
                <w:color w:val="auto"/>
                <w:szCs w:val="21"/>
                <w:highlight w:val="none"/>
              </w:rPr>
              <w:t>）</w:t>
            </w:r>
          </w:p>
          <w:p w14:paraId="27A12A87">
            <w:pPr>
              <w:snapToGrid w:val="0"/>
              <w:spacing w:line="400" w:lineRule="exact"/>
              <w:jc w:val="left"/>
              <w:rPr>
                <w:rFonts w:ascii="宋体" w:cs="宋体"/>
                <w:b/>
                <w:i/>
                <w:iCs/>
                <w:color w:val="auto"/>
                <w:szCs w:val="21"/>
                <w:highlight w:val="none"/>
              </w:rPr>
            </w:pPr>
            <w:r>
              <w:rPr>
                <w:rFonts w:hint="eastAsia" w:ascii="宋体" w:cs="宋体"/>
                <w:color w:val="auto"/>
                <w:szCs w:val="21"/>
                <w:highlight w:val="none"/>
              </w:rPr>
              <w:t>2</w:t>
            </w:r>
            <w:r>
              <w:rPr>
                <w:rFonts w:hint="eastAsia" w:ascii="宋体" w:cs="宋体"/>
                <w:color w:val="auto"/>
                <w:szCs w:val="21"/>
                <w:highlight w:val="none"/>
                <w:lang w:val="en-US" w:eastAsia="zh-CN"/>
              </w:rPr>
              <w:t>.</w:t>
            </w:r>
            <w:r>
              <w:rPr>
                <w:rFonts w:hint="eastAsia" w:ascii="宋体" w:cs="宋体"/>
                <w:color w:val="auto"/>
                <w:szCs w:val="21"/>
                <w:highlight w:val="none"/>
              </w:rPr>
              <w:t>项目实施方案（包括但不限于拟投入实施人员、售后服务承诺、技术培训等）（</w:t>
            </w:r>
            <w:r>
              <w:rPr>
                <w:rFonts w:hint="eastAsia" w:ascii="宋体" w:cs="宋体"/>
                <w:b/>
                <w:bCs/>
                <w:color w:val="auto"/>
                <w:szCs w:val="21"/>
                <w:highlight w:val="none"/>
              </w:rPr>
              <w:t>格式自拟，如有，请提供</w:t>
            </w:r>
            <w:r>
              <w:rPr>
                <w:rFonts w:hint="eastAsia" w:ascii="宋体" w:cs="宋体"/>
                <w:color w:val="auto"/>
                <w:szCs w:val="21"/>
                <w:highlight w:val="none"/>
              </w:rPr>
              <w:t>）；</w:t>
            </w:r>
          </w:p>
          <w:p w14:paraId="5BC85450">
            <w:pPr>
              <w:snapToGrid w:val="0"/>
              <w:spacing w:line="400" w:lineRule="exact"/>
              <w:jc w:val="left"/>
              <w:rPr>
                <w:rFonts w:ascii="宋体" w:cs="宋体"/>
                <w:color w:val="auto"/>
                <w:szCs w:val="21"/>
                <w:highlight w:val="none"/>
              </w:rPr>
            </w:pPr>
            <w:r>
              <w:rPr>
                <w:rFonts w:hint="eastAsia" w:ascii="宋体" w:cs="宋体"/>
                <w:color w:val="auto"/>
                <w:szCs w:val="21"/>
                <w:highlight w:val="none"/>
              </w:rPr>
              <w:t>3</w:t>
            </w:r>
            <w:r>
              <w:rPr>
                <w:rFonts w:hint="eastAsia" w:ascii="宋体" w:cs="宋体"/>
                <w:color w:val="auto"/>
                <w:szCs w:val="21"/>
                <w:highlight w:val="none"/>
                <w:lang w:val="en-US" w:eastAsia="zh-CN"/>
              </w:rPr>
              <w:t>.</w:t>
            </w:r>
            <w:r>
              <w:rPr>
                <w:rFonts w:hint="eastAsia" w:ascii="宋体" w:cs="宋体"/>
                <w:color w:val="auto"/>
                <w:szCs w:val="21"/>
                <w:highlight w:val="none"/>
              </w:rPr>
              <w:t>投标产品技术证明资料（包括但不限于投标产品说明书、出厂标准、质量检测报告等）（</w:t>
            </w:r>
            <w:r>
              <w:rPr>
                <w:rFonts w:hint="eastAsia" w:ascii="宋体" w:cs="宋体"/>
                <w:b/>
                <w:bCs/>
                <w:color w:val="auto"/>
                <w:szCs w:val="21"/>
                <w:highlight w:val="none"/>
              </w:rPr>
              <w:t>格式自拟，如有，请提供</w:t>
            </w:r>
            <w:r>
              <w:rPr>
                <w:rFonts w:hint="eastAsia" w:ascii="宋体" w:cs="宋体"/>
                <w:color w:val="auto"/>
                <w:szCs w:val="21"/>
                <w:highlight w:val="none"/>
              </w:rPr>
              <w:t>）；</w:t>
            </w:r>
          </w:p>
          <w:p w14:paraId="632138A6">
            <w:pPr>
              <w:tabs>
                <w:tab w:val="center" w:pos="4153"/>
                <w:tab w:val="right" w:pos="8306"/>
              </w:tabs>
              <w:spacing w:line="400" w:lineRule="exact"/>
              <w:rPr>
                <w:rFonts w:ascii="宋体" w:cs="宋体"/>
                <w:color w:val="auto"/>
                <w:szCs w:val="21"/>
                <w:highlight w:val="none"/>
              </w:rPr>
            </w:pPr>
            <w:r>
              <w:rPr>
                <w:rFonts w:hint="eastAsia" w:ascii="宋体" w:cs="宋体"/>
                <w:color w:val="auto"/>
                <w:szCs w:val="21"/>
                <w:highlight w:val="none"/>
              </w:rPr>
              <w:t>4</w:t>
            </w:r>
            <w:r>
              <w:rPr>
                <w:rFonts w:hint="eastAsia" w:ascii="宋体" w:cs="宋体"/>
                <w:color w:val="auto"/>
                <w:szCs w:val="21"/>
                <w:highlight w:val="none"/>
                <w:lang w:val="en-US" w:eastAsia="zh-CN"/>
              </w:rPr>
              <w:t>.</w:t>
            </w:r>
            <w:r>
              <w:rPr>
                <w:rFonts w:hint="eastAsia" w:ascii="宋体" w:cs="宋体"/>
                <w:color w:val="auto"/>
                <w:szCs w:val="21"/>
                <w:highlight w:val="none"/>
              </w:rPr>
              <w:t>投标产品销售业绩或使用情况及证明资料（</w:t>
            </w:r>
            <w:r>
              <w:rPr>
                <w:rFonts w:hint="eastAsia" w:ascii="宋体" w:cs="宋体"/>
                <w:b/>
                <w:bCs/>
                <w:color w:val="auto"/>
                <w:szCs w:val="21"/>
                <w:highlight w:val="none"/>
              </w:rPr>
              <w:t>格式自拟，如有，请提供</w:t>
            </w:r>
            <w:r>
              <w:rPr>
                <w:rFonts w:hint="eastAsia" w:ascii="宋体" w:cs="宋体"/>
                <w:color w:val="auto"/>
                <w:szCs w:val="21"/>
                <w:highlight w:val="none"/>
              </w:rPr>
              <w:t>）；</w:t>
            </w:r>
          </w:p>
          <w:p w14:paraId="69E9B25B">
            <w:pPr>
              <w:snapToGrid w:val="0"/>
              <w:spacing w:line="400" w:lineRule="exact"/>
              <w:jc w:val="left"/>
              <w:rPr>
                <w:rFonts w:ascii="宋体" w:cs="宋体"/>
                <w:color w:val="auto"/>
                <w:szCs w:val="21"/>
                <w:highlight w:val="none"/>
              </w:rPr>
            </w:pPr>
            <w:r>
              <w:rPr>
                <w:rFonts w:hint="eastAsia" w:ascii="宋体" w:cs="宋体"/>
                <w:color w:val="auto"/>
                <w:szCs w:val="21"/>
                <w:highlight w:val="none"/>
              </w:rPr>
              <w:t>5</w:t>
            </w:r>
            <w:r>
              <w:rPr>
                <w:rFonts w:hint="eastAsia" w:ascii="宋体" w:cs="宋体"/>
                <w:color w:val="auto"/>
                <w:szCs w:val="21"/>
                <w:highlight w:val="none"/>
                <w:lang w:val="en-US" w:eastAsia="zh-CN"/>
              </w:rPr>
              <w:t>.</w:t>
            </w:r>
            <w:r>
              <w:rPr>
                <w:rFonts w:hint="eastAsia" w:ascii="宋体" w:cs="宋体"/>
                <w:color w:val="auto"/>
                <w:szCs w:val="21"/>
                <w:highlight w:val="none"/>
              </w:rPr>
              <w:t>优惠条件：投标人承诺给予采购人的各种优惠条件，包括售后服务、备品备件、专用耗材等方面的优惠；投标人不得给予赠品或者与采购无关的其他商品、服务（</w:t>
            </w:r>
            <w:r>
              <w:rPr>
                <w:rFonts w:hint="eastAsia" w:ascii="宋体" w:cs="宋体"/>
                <w:b/>
                <w:bCs/>
                <w:color w:val="auto"/>
                <w:szCs w:val="21"/>
                <w:highlight w:val="none"/>
              </w:rPr>
              <w:t>格式自拟，如有，请提供</w:t>
            </w:r>
            <w:r>
              <w:rPr>
                <w:rFonts w:hint="eastAsia" w:ascii="宋体" w:cs="宋体"/>
                <w:color w:val="auto"/>
                <w:szCs w:val="21"/>
                <w:highlight w:val="none"/>
              </w:rPr>
              <w:t>）；</w:t>
            </w:r>
          </w:p>
          <w:p w14:paraId="74DBE3AB">
            <w:pPr>
              <w:snapToGrid w:val="0"/>
              <w:spacing w:line="400" w:lineRule="exact"/>
              <w:jc w:val="left"/>
              <w:rPr>
                <w:rFonts w:ascii="宋体" w:cs="宋体"/>
                <w:color w:val="auto"/>
                <w:szCs w:val="21"/>
                <w:highlight w:val="none"/>
              </w:rPr>
            </w:pPr>
            <w:r>
              <w:rPr>
                <w:rFonts w:hint="eastAsia" w:ascii="宋体" w:cs="宋体"/>
                <w:color w:val="auto"/>
                <w:szCs w:val="21"/>
                <w:highlight w:val="none"/>
              </w:rPr>
              <w:t>6</w:t>
            </w:r>
            <w:r>
              <w:rPr>
                <w:rFonts w:hint="eastAsia" w:ascii="宋体" w:cs="宋体"/>
                <w:color w:val="auto"/>
                <w:szCs w:val="21"/>
                <w:highlight w:val="none"/>
                <w:lang w:val="en-US" w:eastAsia="zh-CN"/>
              </w:rPr>
              <w:t>.</w:t>
            </w:r>
            <w:r>
              <w:rPr>
                <w:rFonts w:hint="eastAsia" w:ascii="宋体" w:cs="宋体"/>
                <w:color w:val="auto"/>
                <w:szCs w:val="21"/>
                <w:highlight w:val="none"/>
              </w:rPr>
              <w:t>投标人对本项目的合理化建议（</w:t>
            </w:r>
            <w:r>
              <w:rPr>
                <w:rFonts w:hint="eastAsia" w:ascii="宋体" w:cs="宋体"/>
                <w:b/>
                <w:bCs/>
                <w:color w:val="auto"/>
                <w:szCs w:val="21"/>
                <w:highlight w:val="none"/>
              </w:rPr>
              <w:t>格式自拟，如有，请提供</w:t>
            </w:r>
            <w:r>
              <w:rPr>
                <w:rFonts w:hint="eastAsia" w:ascii="宋体" w:cs="宋体"/>
                <w:color w:val="auto"/>
                <w:szCs w:val="21"/>
                <w:highlight w:val="none"/>
              </w:rPr>
              <w:t>）；</w:t>
            </w:r>
          </w:p>
          <w:p w14:paraId="7AC82366">
            <w:pPr>
              <w:snapToGrid w:val="0"/>
              <w:spacing w:line="400" w:lineRule="exact"/>
              <w:jc w:val="left"/>
              <w:rPr>
                <w:rFonts w:ascii="宋体" w:cs="宋体"/>
                <w:bCs/>
                <w:color w:val="auto"/>
                <w:szCs w:val="21"/>
                <w:highlight w:val="none"/>
              </w:rPr>
            </w:pPr>
            <w:r>
              <w:rPr>
                <w:rFonts w:hint="eastAsia" w:ascii="宋体" w:cs="宋体"/>
                <w:color w:val="auto"/>
                <w:szCs w:val="21"/>
                <w:highlight w:val="none"/>
              </w:rPr>
              <w:t>7</w:t>
            </w:r>
            <w:r>
              <w:rPr>
                <w:rFonts w:hint="eastAsia" w:ascii="宋体" w:cs="宋体"/>
                <w:color w:val="auto"/>
                <w:szCs w:val="21"/>
                <w:highlight w:val="none"/>
                <w:lang w:val="en-US" w:eastAsia="zh-CN"/>
              </w:rPr>
              <w:t>.</w:t>
            </w:r>
            <w:r>
              <w:rPr>
                <w:rFonts w:hint="eastAsia" w:ascii="宋体" w:cs="宋体"/>
                <w:color w:val="auto"/>
                <w:szCs w:val="21"/>
                <w:highlight w:val="none"/>
              </w:rPr>
              <w:t>除招标文件规定必须提供以外，投标人需要说明的其他文件和说明（</w:t>
            </w:r>
            <w:r>
              <w:rPr>
                <w:rFonts w:hint="eastAsia" w:ascii="宋体" w:cs="宋体"/>
                <w:b/>
                <w:bCs/>
                <w:color w:val="auto"/>
                <w:szCs w:val="21"/>
                <w:highlight w:val="none"/>
              </w:rPr>
              <w:t>格式自拟，如有，请提供</w:t>
            </w:r>
            <w:r>
              <w:rPr>
                <w:rFonts w:hint="eastAsia" w:ascii="宋体" w:cs="宋体"/>
                <w:color w:val="auto"/>
                <w:szCs w:val="21"/>
                <w:highlight w:val="none"/>
              </w:rPr>
              <w:t>）。</w:t>
            </w:r>
          </w:p>
          <w:p w14:paraId="60A2025F">
            <w:pPr>
              <w:snapToGrid w:val="0"/>
              <w:spacing w:line="400" w:lineRule="exact"/>
              <w:jc w:val="left"/>
              <w:rPr>
                <w:rFonts w:ascii="宋体" w:cs="宋体"/>
                <w:b/>
                <w:bCs/>
                <w:color w:val="auto"/>
                <w:szCs w:val="21"/>
                <w:highlight w:val="none"/>
              </w:rPr>
            </w:pPr>
            <w:r>
              <w:rPr>
                <w:rFonts w:hint="eastAsia" w:ascii="宋体" w:cs="宋体"/>
                <w:b/>
                <w:bCs/>
                <w:color w:val="auto"/>
                <w:szCs w:val="21"/>
                <w:highlight w:val="none"/>
              </w:rPr>
              <w:t>注：以上标明“必须提供”的材料</w:t>
            </w:r>
            <w:r>
              <w:rPr>
                <w:rFonts w:hint="eastAsia" w:ascii="宋体" w:cs="宋体"/>
                <w:b/>
                <w:color w:val="auto"/>
                <w:szCs w:val="21"/>
                <w:highlight w:val="none"/>
              </w:rPr>
              <w:t>属于复印件的扫描件的</w:t>
            </w:r>
            <w:r>
              <w:rPr>
                <w:rFonts w:hint="eastAsia" w:ascii="宋体" w:cs="宋体"/>
                <w:b/>
                <w:bCs/>
                <w:color w:val="auto"/>
                <w:szCs w:val="21"/>
                <w:highlight w:val="none"/>
              </w:rPr>
              <w:t>，必须加盖投标人公章，否则</w:t>
            </w:r>
            <w:r>
              <w:rPr>
                <w:rFonts w:hint="eastAsia" w:ascii="宋体" w:cs="宋体"/>
                <w:b/>
                <w:color w:val="auto"/>
                <w:szCs w:val="21"/>
                <w:highlight w:val="none"/>
              </w:rPr>
              <w:t>作无效投标处理</w:t>
            </w:r>
            <w:r>
              <w:rPr>
                <w:rFonts w:hint="eastAsia" w:ascii="宋体" w:cs="宋体"/>
                <w:b/>
                <w:bCs/>
                <w:color w:val="auto"/>
                <w:szCs w:val="21"/>
                <w:highlight w:val="none"/>
              </w:rPr>
              <w:t>。</w:t>
            </w:r>
          </w:p>
        </w:tc>
      </w:tr>
      <w:tr w14:paraId="39B8F0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vMerge w:val="continue"/>
            <w:tcBorders>
              <w:top w:val="nil"/>
              <w:left w:val="single" w:color="auto" w:sz="4" w:space="0"/>
              <w:bottom w:val="single" w:color="auto" w:sz="4" w:space="0"/>
              <w:right w:val="single" w:color="auto" w:sz="4" w:space="0"/>
            </w:tcBorders>
            <w:vAlign w:val="center"/>
          </w:tcPr>
          <w:p w14:paraId="1421093D"/>
        </w:tc>
        <w:tc>
          <w:tcPr>
            <w:tcW w:w="2083" w:type="dxa"/>
            <w:tcBorders>
              <w:top w:val="single" w:color="auto" w:sz="4" w:space="0"/>
              <w:left w:val="single" w:color="auto" w:sz="4" w:space="0"/>
              <w:bottom w:val="single" w:color="auto" w:sz="4" w:space="0"/>
              <w:right w:val="single" w:color="auto" w:sz="4" w:space="0"/>
            </w:tcBorders>
            <w:vAlign w:val="center"/>
          </w:tcPr>
          <w:p w14:paraId="565F345F">
            <w:pPr>
              <w:snapToGrid w:val="0"/>
              <w:spacing w:line="400" w:lineRule="exact"/>
              <w:jc w:val="left"/>
              <w:rPr>
                <w:rFonts w:ascii="宋体" w:cs="宋体"/>
                <w:color w:val="auto"/>
                <w:szCs w:val="21"/>
                <w:highlight w:val="none"/>
              </w:rPr>
            </w:pPr>
            <w:r>
              <w:rPr>
                <w:rFonts w:hint="eastAsia" w:ascii="宋体" w:cs="宋体"/>
                <w:color w:val="auto"/>
                <w:szCs w:val="21"/>
                <w:highlight w:val="none"/>
              </w:rPr>
              <w:t>报价文件组成</w:t>
            </w:r>
          </w:p>
        </w:tc>
        <w:tc>
          <w:tcPr>
            <w:tcW w:w="7021" w:type="dxa"/>
            <w:tcBorders>
              <w:top w:val="single" w:color="auto" w:sz="4" w:space="0"/>
              <w:left w:val="single" w:color="auto" w:sz="4" w:space="0"/>
              <w:bottom w:val="single" w:color="auto" w:sz="4" w:space="0"/>
              <w:right w:val="single" w:color="auto" w:sz="4" w:space="0"/>
            </w:tcBorders>
            <w:vAlign w:val="center"/>
          </w:tcPr>
          <w:p w14:paraId="2FCF6B3C">
            <w:pPr>
              <w:tabs>
                <w:tab w:val="left" w:pos="459"/>
              </w:tabs>
              <w:snapToGrid w:val="0"/>
              <w:spacing w:line="400" w:lineRule="exact"/>
              <w:jc w:val="left"/>
              <w:rPr>
                <w:rFonts w:ascii="宋体" w:cs="宋体"/>
                <w:color w:val="auto"/>
                <w:szCs w:val="21"/>
                <w:highlight w:val="none"/>
              </w:rPr>
            </w:pPr>
            <w:r>
              <w:rPr>
                <w:rFonts w:hint="eastAsia" w:ascii="宋体" w:cs="宋体"/>
                <w:color w:val="auto"/>
                <w:szCs w:val="21"/>
                <w:highlight w:val="none"/>
              </w:rPr>
              <w:t>1</w:t>
            </w:r>
            <w:r>
              <w:rPr>
                <w:rFonts w:hint="eastAsia" w:ascii="宋体" w:cs="宋体"/>
                <w:color w:val="auto"/>
                <w:szCs w:val="21"/>
                <w:highlight w:val="none"/>
                <w:lang w:val="en-US" w:eastAsia="zh-CN"/>
              </w:rPr>
              <w:t>.</w:t>
            </w:r>
            <w:r>
              <w:rPr>
                <w:rFonts w:hint="eastAsia" w:ascii="宋体" w:cs="宋体"/>
                <w:color w:val="auto"/>
                <w:szCs w:val="21"/>
                <w:highlight w:val="none"/>
              </w:rPr>
              <w:t>投标函（格式后附）；</w:t>
            </w:r>
            <w:r>
              <w:rPr>
                <w:rFonts w:hint="eastAsia" w:ascii="宋体" w:cs="宋体"/>
                <w:b/>
                <w:color w:val="auto"/>
                <w:szCs w:val="21"/>
                <w:highlight w:val="none"/>
              </w:rPr>
              <w:t>（必须提供，否则作无效投标处理）</w:t>
            </w:r>
          </w:p>
          <w:p w14:paraId="75A6E04A">
            <w:pPr>
              <w:tabs>
                <w:tab w:val="left" w:pos="459"/>
              </w:tabs>
              <w:snapToGrid w:val="0"/>
              <w:spacing w:line="400" w:lineRule="exact"/>
              <w:jc w:val="left"/>
              <w:rPr>
                <w:rFonts w:ascii="宋体" w:cs="宋体"/>
                <w:color w:val="auto"/>
                <w:szCs w:val="21"/>
                <w:highlight w:val="none"/>
              </w:rPr>
            </w:pPr>
            <w:r>
              <w:rPr>
                <w:rFonts w:hint="eastAsia" w:ascii="宋体" w:cs="宋体"/>
                <w:color w:val="auto"/>
                <w:szCs w:val="21"/>
                <w:highlight w:val="none"/>
              </w:rPr>
              <w:t>2</w:t>
            </w:r>
            <w:r>
              <w:rPr>
                <w:rFonts w:hint="eastAsia" w:ascii="宋体" w:cs="宋体"/>
                <w:color w:val="auto"/>
                <w:szCs w:val="21"/>
                <w:highlight w:val="none"/>
                <w:lang w:val="en-US" w:eastAsia="zh-CN"/>
              </w:rPr>
              <w:t>.</w:t>
            </w:r>
            <w:r>
              <w:rPr>
                <w:rFonts w:hint="eastAsia" w:ascii="宋体" w:cs="宋体"/>
                <w:color w:val="auto"/>
                <w:szCs w:val="21"/>
                <w:highlight w:val="none"/>
              </w:rPr>
              <w:t>开标一览表（格式后附）；（</w:t>
            </w:r>
            <w:r>
              <w:rPr>
                <w:rFonts w:hint="eastAsia" w:ascii="宋体" w:cs="宋体"/>
                <w:b/>
                <w:color w:val="auto"/>
                <w:szCs w:val="21"/>
                <w:highlight w:val="none"/>
              </w:rPr>
              <w:t>必须提供，否则作无效投标处理</w:t>
            </w:r>
            <w:r>
              <w:rPr>
                <w:rFonts w:hint="eastAsia" w:ascii="宋体" w:cs="宋体"/>
                <w:color w:val="auto"/>
                <w:szCs w:val="21"/>
                <w:highlight w:val="none"/>
              </w:rPr>
              <w:t>）</w:t>
            </w:r>
          </w:p>
          <w:p w14:paraId="3B54108D">
            <w:pPr>
              <w:tabs>
                <w:tab w:val="left" w:pos="459"/>
              </w:tabs>
              <w:snapToGrid w:val="0"/>
              <w:spacing w:line="400" w:lineRule="exact"/>
              <w:jc w:val="left"/>
              <w:rPr>
                <w:rFonts w:hint="eastAsia" w:ascii="宋体" w:cs="宋体"/>
                <w:color w:val="auto"/>
                <w:szCs w:val="21"/>
                <w:highlight w:val="none"/>
                <w:lang w:val="en-US" w:eastAsia="zh-CN"/>
              </w:rPr>
            </w:pPr>
            <w:r>
              <w:rPr>
                <w:rFonts w:hint="eastAsia" w:ascii="宋体" w:cs="宋体"/>
                <w:color w:val="auto"/>
                <w:szCs w:val="21"/>
                <w:highlight w:val="none"/>
                <w:lang w:val="en-US" w:eastAsia="zh-CN"/>
              </w:rPr>
              <w:t>3.关于符合本国产品标准的声明函（格式后附）或财政部会同有关部门规定的有关证明文件；（</w:t>
            </w:r>
            <w:r>
              <w:rPr>
                <w:rFonts w:hint="eastAsia" w:ascii="宋体" w:cs="宋体"/>
                <w:b/>
                <w:bCs/>
                <w:color w:val="auto"/>
                <w:szCs w:val="21"/>
                <w:highlight w:val="none"/>
                <w:lang w:val="en-US" w:eastAsia="zh-CN"/>
              </w:rPr>
              <w:t>如有，请提供</w:t>
            </w:r>
            <w:r>
              <w:rPr>
                <w:rFonts w:hint="eastAsia" w:ascii="宋体" w:cs="宋体"/>
                <w:color w:val="auto"/>
                <w:szCs w:val="21"/>
                <w:highlight w:val="none"/>
                <w:lang w:val="en-US" w:eastAsia="zh-CN"/>
              </w:rPr>
              <w:t>）</w:t>
            </w:r>
          </w:p>
          <w:p w14:paraId="2617EB2A">
            <w:pPr>
              <w:tabs>
                <w:tab w:val="left" w:pos="459"/>
              </w:tabs>
              <w:snapToGrid w:val="0"/>
              <w:spacing w:line="400" w:lineRule="exact"/>
              <w:jc w:val="left"/>
              <w:rPr>
                <w:rFonts w:hint="eastAsia" w:ascii="宋体" w:cs="宋体"/>
                <w:color w:val="auto"/>
                <w:szCs w:val="21"/>
                <w:highlight w:val="none"/>
              </w:rPr>
            </w:pPr>
            <w:r>
              <w:rPr>
                <w:rFonts w:hint="eastAsia" w:ascii="宋体" w:cs="宋体"/>
                <w:color w:val="auto"/>
                <w:szCs w:val="21"/>
                <w:highlight w:val="none"/>
                <w:lang w:val="en-US" w:eastAsia="zh-CN"/>
              </w:rPr>
              <w:t>4.</w:t>
            </w:r>
            <w:r>
              <w:rPr>
                <w:rFonts w:hint="eastAsia" w:ascii="宋体" w:cs="宋体"/>
                <w:color w:val="auto"/>
                <w:szCs w:val="21"/>
                <w:highlight w:val="none"/>
              </w:rPr>
              <w:t>投标人针对报价需要说明的其他文件和说明（</w:t>
            </w:r>
            <w:r>
              <w:rPr>
                <w:rFonts w:hint="eastAsia" w:ascii="宋体" w:cs="宋体"/>
                <w:b/>
                <w:bCs/>
                <w:color w:val="auto"/>
                <w:szCs w:val="21"/>
                <w:highlight w:val="none"/>
              </w:rPr>
              <w:t>格式自拟，如有，请提供</w:t>
            </w:r>
            <w:r>
              <w:rPr>
                <w:rFonts w:hint="eastAsia" w:ascii="宋体" w:cs="宋体"/>
                <w:color w:val="auto"/>
                <w:szCs w:val="21"/>
                <w:highlight w:val="none"/>
              </w:rPr>
              <w:t>）。</w:t>
            </w:r>
          </w:p>
          <w:p w14:paraId="206FECE2">
            <w:pPr>
              <w:tabs>
                <w:tab w:val="left" w:pos="459"/>
              </w:tabs>
              <w:snapToGrid w:val="0"/>
              <w:spacing w:line="400" w:lineRule="exact"/>
              <w:jc w:val="left"/>
              <w:rPr>
                <w:rFonts w:hint="eastAsia" w:ascii="宋体" w:cs="宋体"/>
                <w:color w:val="auto"/>
                <w:szCs w:val="21"/>
                <w:highlight w:val="none"/>
              </w:rPr>
            </w:pPr>
            <w:r>
              <w:rPr>
                <w:rFonts w:hint="eastAsia" w:ascii="宋体" w:cs="宋体"/>
                <w:b/>
                <w:bCs/>
                <w:color w:val="auto"/>
                <w:szCs w:val="21"/>
                <w:highlight w:val="none"/>
              </w:rPr>
              <w:t>注：以上标明“必须提供”的材料属于复印件的扫描件的，必须加盖投标人公章，否则作无效投标处理。</w:t>
            </w:r>
          </w:p>
        </w:tc>
      </w:tr>
      <w:tr w14:paraId="0ADA09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6C8E7BA4">
            <w:pPr>
              <w:spacing w:line="400" w:lineRule="exact"/>
              <w:rPr>
                <w:rFonts w:ascii="宋体" w:cs="宋体"/>
                <w:color w:val="auto"/>
                <w:szCs w:val="21"/>
                <w:highlight w:val="none"/>
              </w:rPr>
            </w:pPr>
            <w:r>
              <w:rPr>
                <w:rFonts w:hint="eastAsia" w:ascii="宋体" w:cs="宋体"/>
                <w:color w:val="auto"/>
                <w:szCs w:val="21"/>
                <w:highlight w:val="none"/>
              </w:rPr>
              <w:t>16.2</w:t>
            </w:r>
          </w:p>
        </w:tc>
        <w:tc>
          <w:tcPr>
            <w:tcW w:w="2083" w:type="dxa"/>
            <w:tcBorders>
              <w:top w:val="single" w:color="auto" w:sz="4" w:space="0"/>
              <w:left w:val="single" w:color="auto" w:sz="4" w:space="0"/>
              <w:bottom w:val="single" w:color="auto" w:sz="4" w:space="0"/>
              <w:right w:val="single" w:color="auto" w:sz="4" w:space="0"/>
            </w:tcBorders>
            <w:vAlign w:val="center"/>
          </w:tcPr>
          <w:p w14:paraId="0ED844D3">
            <w:pPr>
              <w:spacing w:line="400" w:lineRule="exact"/>
              <w:rPr>
                <w:rFonts w:ascii="宋体" w:cs="宋体"/>
                <w:color w:val="auto"/>
                <w:szCs w:val="21"/>
                <w:highlight w:val="none"/>
              </w:rPr>
            </w:pPr>
            <w:bookmarkStart w:id="87" w:name="_16.2"/>
            <w:bookmarkEnd w:id="87"/>
            <w:r>
              <w:rPr>
                <w:rFonts w:hint="eastAsia" w:ascii="宋体" w:cs="宋体"/>
                <w:color w:val="auto"/>
                <w:szCs w:val="21"/>
                <w:highlight w:val="none"/>
              </w:rPr>
              <w:t>投标报价要求</w:t>
            </w:r>
          </w:p>
        </w:tc>
        <w:tc>
          <w:tcPr>
            <w:tcW w:w="7021" w:type="dxa"/>
            <w:tcBorders>
              <w:top w:val="single" w:color="auto" w:sz="4" w:space="0"/>
              <w:left w:val="single" w:color="auto" w:sz="4" w:space="0"/>
              <w:bottom w:val="single" w:color="auto" w:sz="4" w:space="0"/>
              <w:right w:val="single" w:color="auto" w:sz="4" w:space="0"/>
            </w:tcBorders>
            <w:vAlign w:val="center"/>
          </w:tcPr>
          <w:p w14:paraId="0145FA62">
            <w:pPr>
              <w:keepNext w:val="0"/>
              <w:keepLines w:val="0"/>
              <w:pageBreakBefore w:val="0"/>
              <w:widowControl/>
              <w:numPr>
                <w:ilvl w:val="0"/>
                <w:numId w:val="0"/>
              </w:numPr>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auto"/>
                <w:kern w:val="0"/>
                <w:sz w:val="21"/>
                <w:szCs w:val="21"/>
                <w:highlight w:val="none"/>
                <w:u w:val="single"/>
                <w:lang w:val="en-US" w:eastAsia="zh-CN"/>
              </w:rPr>
            </w:pPr>
            <w:r>
              <w:rPr>
                <w:rFonts w:hint="eastAsia" w:ascii="宋体" w:cs="宋体"/>
                <w:color w:val="auto"/>
                <w:szCs w:val="21"/>
                <w:highlight w:val="none"/>
              </w:rPr>
              <w:t>投标报价是履行合同的最终价格，必须包含投标货物（包括备品备件、专用工具等）的价格（包括已在中国境内的进口货物完税后的仓库交货价、展室交货价或者货架交货价）及其运输（含保险）、安装（如有）、调试、检验、技术服务、培训和招标文件要求提供的所有伴随服务、工程等费用和税费。（采购需求另有约定的，从其约定）</w:t>
            </w:r>
            <w:r>
              <w:rPr>
                <w:rFonts w:hint="eastAsia" w:ascii="宋体" w:hAnsi="宋体" w:eastAsia="宋体" w:cs="宋体"/>
                <w:color w:val="auto"/>
                <w:kern w:val="0"/>
                <w:sz w:val="21"/>
                <w:szCs w:val="21"/>
                <w:highlight w:val="none"/>
                <w:lang w:val="en-US" w:eastAsia="zh-CN"/>
              </w:rPr>
              <w:t>。</w:t>
            </w:r>
          </w:p>
          <w:p w14:paraId="526F3597">
            <w:pPr>
              <w:snapToGrid w:val="0"/>
              <w:spacing w:line="400" w:lineRule="exact"/>
              <w:rPr>
                <w:rFonts w:ascii="宋体" w:cs="宋体"/>
                <w:b/>
                <w:color w:val="auto"/>
                <w:szCs w:val="21"/>
                <w:highlight w:val="none"/>
              </w:rPr>
            </w:pPr>
            <w:r>
              <w:rPr>
                <w:rFonts w:hint="eastAsia" w:ascii="宋体" w:cs="宋体"/>
                <w:b/>
                <w:color w:val="auto"/>
                <w:szCs w:val="21"/>
                <w:highlight w:val="none"/>
              </w:rPr>
              <w:t>☑ 投标报价包含验收费用</w:t>
            </w:r>
          </w:p>
          <w:p w14:paraId="29A0BE84">
            <w:pPr>
              <w:pStyle w:val="20"/>
              <w:spacing w:line="400" w:lineRule="exact"/>
              <w:rPr>
                <w:rFonts w:ascii="宋体" w:cs="宋体"/>
                <w:color w:val="auto"/>
                <w:sz w:val="21"/>
                <w:szCs w:val="21"/>
                <w:highlight w:val="none"/>
              </w:rPr>
            </w:pPr>
            <w:r>
              <w:rPr>
                <w:rFonts w:hint="eastAsia" w:ascii="宋体" w:cs="宋体"/>
                <w:b/>
                <w:color w:val="auto"/>
                <w:sz w:val="21"/>
                <w:szCs w:val="21"/>
                <w:highlight w:val="none"/>
              </w:rPr>
              <w:t>□</w:t>
            </w:r>
            <w:r>
              <w:rPr>
                <w:rFonts w:hint="eastAsia" w:ascii="宋体" w:cs="宋体"/>
                <w:b/>
                <w:color w:val="auto"/>
                <w:sz w:val="21"/>
                <w:szCs w:val="21"/>
                <w:highlight w:val="none"/>
                <w:lang w:val="en-US" w:eastAsia="zh-CN"/>
              </w:rPr>
              <w:t xml:space="preserve"> </w:t>
            </w:r>
            <w:r>
              <w:rPr>
                <w:rFonts w:hint="eastAsia" w:ascii="宋体" w:cs="宋体"/>
                <w:b/>
                <w:color w:val="auto"/>
                <w:sz w:val="21"/>
                <w:szCs w:val="21"/>
                <w:highlight w:val="none"/>
              </w:rPr>
              <w:t>投标报价不包含验收费用</w:t>
            </w:r>
          </w:p>
        </w:tc>
      </w:tr>
      <w:tr w14:paraId="5E6C88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2743BB55">
            <w:pPr>
              <w:spacing w:line="400" w:lineRule="exact"/>
              <w:rPr>
                <w:rFonts w:ascii="宋体" w:cs="宋体"/>
                <w:color w:val="auto"/>
                <w:szCs w:val="21"/>
                <w:highlight w:val="none"/>
              </w:rPr>
            </w:pPr>
            <w:r>
              <w:rPr>
                <w:rFonts w:hint="eastAsia" w:ascii="宋体" w:cs="宋体"/>
                <w:color w:val="auto"/>
                <w:szCs w:val="21"/>
                <w:highlight w:val="none"/>
              </w:rPr>
              <w:t>17.2</w:t>
            </w:r>
          </w:p>
        </w:tc>
        <w:tc>
          <w:tcPr>
            <w:tcW w:w="2083" w:type="dxa"/>
            <w:tcBorders>
              <w:top w:val="single" w:color="auto" w:sz="4" w:space="0"/>
              <w:left w:val="single" w:color="auto" w:sz="4" w:space="0"/>
              <w:bottom w:val="single" w:color="auto" w:sz="4" w:space="0"/>
              <w:right w:val="single" w:color="auto" w:sz="4" w:space="0"/>
            </w:tcBorders>
            <w:vAlign w:val="center"/>
          </w:tcPr>
          <w:p w14:paraId="07746E01">
            <w:pPr>
              <w:spacing w:line="400" w:lineRule="exact"/>
              <w:rPr>
                <w:rFonts w:ascii="宋体" w:cs="宋体"/>
                <w:color w:val="auto"/>
                <w:szCs w:val="21"/>
                <w:highlight w:val="none"/>
              </w:rPr>
            </w:pPr>
            <w:bookmarkStart w:id="88" w:name="_17.1"/>
            <w:bookmarkEnd w:id="88"/>
            <w:r>
              <w:rPr>
                <w:rFonts w:hint="eastAsia" w:ascii="宋体" w:cs="宋体"/>
                <w:color w:val="auto"/>
                <w:szCs w:val="21"/>
                <w:highlight w:val="none"/>
              </w:rPr>
              <w:t>投标有效期</w:t>
            </w:r>
          </w:p>
        </w:tc>
        <w:tc>
          <w:tcPr>
            <w:tcW w:w="7021" w:type="dxa"/>
            <w:tcBorders>
              <w:top w:val="single" w:color="auto" w:sz="4" w:space="0"/>
              <w:left w:val="single" w:color="auto" w:sz="4" w:space="0"/>
              <w:bottom w:val="single" w:color="auto" w:sz="4" w:space="0"/>
              <w:right w:val="single" w:color="auto" w:sz="4" w:space="0"/>
            </w:tcBorders>
            <w:vAlign w:val="center"/>
          </w:tcPr>
          <w:p w14:paraId="43999990">
            <w:pPr>
              <w:snapToGrid w:val="0"/>
              <w:spacing w:line="400" w:lineRule="exact"/>
              <w:rPr>
                <w:rFonts w:ascii="宋体" w:cs="宋体"/>
                <w:color w:val="auto"/>
                <w:szCs w:val="21"/>
                <w:highlight w:val="none"/>
              </w:rPr>
            </w:pPr>
            <w:r>
              <w:rPr>
                <w:rFonts w:hint="eastAsia" w:ascii="宋体" w:cs="宋体"/>
                <w:color w:val="auto"/>
                <w:szCs w:val="21"/>
                <w:highlight w:val="none"/>
              </w:rPr>
              <w:t>自投标截止之日起</w:t>
            </w:r>
            <w:r>
              <w:rPr>
                <w:rFonts w:hint="eastAsia" w:ascii="宋体" w:cs="宋体"/>
                <w:color w:val="auto"/>
                <w:szCs w:val="21"/>
                <w:highlight w:val="none"/>
                <w:u w:val="single"/>
              </w:rPr>
              <w:t>90</w:t>
            </w:r>
            <w:r>
              <w:rPr>
                <w:rFonts w:hint="eastAsia" w:ascii="宋体" w:cs="宋体"/>
                <w:color w:val="auto"/>
                <w:szCs w:val="21"/>
                <w:highlight w:val="none"/>
              </w:rPr>
              <w:t>日。</w:t>
            </w:r>
          </w:p>
        </w:tc>
      </w:tr>
      <w:tr w14:paraId="167206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7E2395C0">
            <w:pPr>
              <w:spacing w:line="400" w:lineRule="exact"/>
              <w:rPr>
                <w:rFonts w:ascii="宋体" w:cs="宋体"/>
                <w:color w:val="auto"/>
                <w:szCs w:val="21"/>
                <w:highlight w:val="none"/>
              </w:rPr>
            </w:pPr>
            <w:r>
              <w:rPr>
                <w:rFonts w:hint="eastAsia" w:ascii="宋体" w:cs="宋体"/>
                <w:color w:val="auto"/>
                <w:szCs w:val="21"/>
                <w:highlight w:val="none"/>
              </w:rPr>
              <w:t>18</w:t>
            </w:r>
          </w:p>
        </w:tc>
        <w:tc>
          <w:tcPr>
            <w:tcW w:w="2083" w:type="dxa"/>
            <w:tcBorders>
              <w:top w:val="single" w:color="auto" w:sz="4" w:space="0"/>
              <w:left w:val="single" w:color="auto" w:sz="4" w:space="0"/>
              <w:bottom w:val="single" w:color="auto" w:sz="4" w:space="0"/>
              <w:right w:val="single" w:color="auto" w:sz="4" w:space="0"/>
            </w:tcBorders>
            <w:vAlign w:val="center"/>
          </w:tcPr>
          <w:p w14:paraId="493E69EE">
            <w:pPr>
              <w:spacing w:line="400" w:lineRule="exact"/>
              <w:rPr>
                <w:rFonts w:ascii="宋体" w:cs="宋体"/>
                <w:color w:val="auto"/>
                <w:szCs w:val="21"/>
                <w:highlight w:val="none"/>
              </w:rPr>
            </w:pPr>
            <w:bookmarkStart w:id="89" w:name="_18"/>
            <w:bookmarkEnd w:id="89"/>
            <w:r>
              <w:rPr>
                <w:rFonts w:hint="eastAsia" w:ascii="宋体" w:cs="宋体"/>
                <w:color w:val="auto"/>
                <w:szCs w:val="21"/>
                <w:highlight w:val="none"/>
              </w:rPr>
              <w:t>投标保证金金额</w:t>
            </w:r>
          </w:p>
        </w:tc>
        <w:tc>
          <w:tcPr>
            <w:tcW w:w="7021" w:type="dxa"/>
            <w:tcBorders>
              <w:top w:val="single" w:color="auto" w:sz="4" w:space="0"/>
              <w:left w:val="single" w:color="auto" w:sz="4" w:space="0"/>
              <w:bottom w:val="single" w:color="auto" w:sz="4" w:space="0"/>
              <w:right w:val="single" w:color="auto" w:sz="4" w:space="0"/>
            </w:tcBorders>
            <w:vAlign w:val="center"/>
          </w:tcPr>
          <w:p w14:paraId="728123DA">
            <w:pPr>
              <w:autoSpaceDE w:val="0"/>
              <w:autoSpaceDN w:val="0"/>
              <w:snapToGrid w:val="0"/>
              <w:spacing w:line="400" w:lineRule="exact"/>
              <w:textAlignment w:val="bottom"/>
              <w:rPr>
                <w:rFonts w:ascii="宋体" w:cs="宋体"/>
                <w:color w:val="auto"/>
                <w:szCs w:val="21"/>
                <w:highlight w:val="none"/>
              </w:rPr>
            </w:pPr>
            <w:r>
              <w:rPr>
                <w:rFonts w:hint="eastAsia" w:ascii="宋体" w:cs="宋体"/>
                <w:b/>
                <w:bCs/>
                <w:color w:val="auto"/>
                <w:szCs w:val="21"/>
                <w:highlight w:val="none"/>
                <w:lang w:eastAsia="zh-CN"/>
              </w:rPr>
              <w:t>☑</w:t>
            </w:r>
            <w:r>
              <w:rPr>
                <w:rFonts w:hint="eastAsia" w:ascii="宋体" w:cs="宋体"/>
                <w:b/>
                <w:bCs/>
                <w:color w:val="auto"/>
                <w:szCs w:val="21"/>
                <w:highlight w:val="none"/>
                <w:lang w:val="en-US" w:eastAsia="zh-CN"/>
              </w:rPr>
              <w:t xml:space="preserve"> </w:t>
            </w:r>
            <w:r>
              <w:rPr>
                <w:rFonts w:hint="eastAsia" w:ascii="宋体" w:cs="宋体"/>
                <w:b/>
                <w:bCs/>
                <w:color w:val="auto"/>
                <w:szCs w:val="21"/>
                <w:highlight w:val="none"/>
              </w:rPr>
              <w:t>本项目不需要缴纳投标保证金。</w:t>
            </w:r>
          </w:p>
        </w:tc>
      </w:tr>
      <w:tr w14:paraId="675DBF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7C34D71B">
            <w:pPr>
              <w:spacing w:line="400" w:lineRule="exact"/>
              <w:rPr>
                <w:rFonts w:ascii="宋体" w:cs="宋体"/>
                <w:color w:val="auto"/>
                <w:szCs w:val="21"/>
                <w:highlight w:val="none"/>
              </w:rPr>
            </w:pPr>
            <w:r>
              <w:rPr>
                <w:rFonts w:hint="eastAsia" w:ascii="宋体" w:cs="宋体"/>
                <w:color w:val="auto"/>
                <w:szCs w:val="21"/>
                <w:highlight w:val="none"/>
              </w:rPr>
              <w:t>19.1</w:t>
            </w:r>
          </w:p>
        </w:tc>
        <w:tc>
          <w:tcPr>
            <w:tcW w:w="2083" w:type="dxa"/>
            <w:tcBorders>
              <w:top w:val="single" w:color="auto" w:sz="4" w:space="0"/>
              <w:left w:val="single" w:color="auto" w:sz="4" w:space="0"/>
              <w:bottom w:val="single" w:color="auto" w:sz="4" w:space="0"/>
              <w:right w:val="single" w:color="auto" w:sz="4" w:space="0"/>
            </w:tcBorders>
            <w:vAlign w:val="center"/>
          </w:tcPr>
          <w:p w14:paraId="09B0EB03">
            <w:pPr>
              <w:spacing w:line="400" w:lineRule="exact"/>
              <w:rPr>
                <w:rFonts w:ascii="宋体" w:cs="宋体"/>
                <w:color w:val="auto"/>
                <w:szCs w:val="21"/>
                <w:highlight w:val="none"/>
              </w:rPr>
            </w:pPr>
            <w:r>
              <w:rPr>
                <w:rFonts w:hint="eastAsia" w:ascii="宋体" w:cs="宋体"/>
                <w:color w:val="auto"/>
                <w:szCs w:val="21"/>
                <w:highlight w:val="none"/>
              </w:rPr>
              <w:t>投标文件编制要求</w:t>
            </w:r>
          </w:p>
        </w:tc>
        <w:tc>
          <w:tcPr>
            <w:tcW w:w="7021" w:type="dxa"/>
            <w:tcBorders>
              <w:top w:val="single" w:color="auto" w:sz="4" w:space="0"/>
              <w:left w:val="single" w:color="auto" w:sz="4" w:space="0"/>
              <w:bottom w:val="single" w:color="auto" w:sz="4" w:space="0"/>
              <w:right w:val="single" w:color="auto" w:sz="4" w:space="0"/>
            </w:tcBorders>
            <w:vAlign w:val="center"/>
          </w:tcPr>
          <w:p w14:paraId="347626D4">
            <w:pPr>
              <w:spacing w:line="400" w:lineRule="exact"/>
              <w:rPr>
                <w:rFonts w:ascii="宋体" w:cs="宋体"/>
                <w:b/>
                <w:color w:val="auto"/>
                <w:szCs w:val="21"/>
                <w:highlight w:val="none"/>
                <w:u w:val="single"/>
              </w:rPr>
            </w:pPr>
            <w:r>
              <w:rPr>
                <w:rFonts w:hint="eastAsia" w:ascii="宋体" w:cs="宋体"/>
                <w:color w:val="auto"/>
                <w:szCs w:val="21"/>
                <w:highlight w:val="none"/>
              </w:rPr>
              <w:t>投标文件应按报价文件、资格文件、商务文件、技术文件分别编制，报价文件、资格文件分别生成电子文件，商务文件和技术文件按顺序合并生成电子文件。</w:t>
            </w:r>
            <w:r>
              <w:rPr>
                <w:rFonts w:hint="eastAsia" w:ascii="宋体" w:cs="宋体"/>
                <w:b/>
                <w:bCs/>
                <w:color w:val="auto"/>
                <w:szCs w:val="21"/>
                <w:highlight w:val="none"/>
              </w:rPr>
              <w:t>（注：按照本招标文件“第六章 投标文件格式”编写，第六章未附格式的，由投标人自行拟定。）</w:t>
            </w:r>
          </w:p>
        </w:tc>
      </w:tr>
      <w:tr w14:paraId="2E5911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4D52DDD0">
            <w:pPr>
              <w:spacing w:line="400" w:lineRule="exact"/>
              <w:rPr>
                <w:rFonts w:ascii="宋体" w:cs="宋体"/>
                <w:color w:val="auto"/>
                <w:szCs w:val="21"/>
                <w:highlight w:val="none"/>
              </w:rPr>
            </w:pPr>
            <w:r>
              <w:rPr>
                <w:rFonts w:hint="eastAsia" w:ascii="宋体" w:cs="宋体"/>
                <w:color w:val="auto"/>
                <w:szCs w:val="21"/>
                <w:highlight w:val="none"/>
              </w:rPr>
              <w:t>20</w:t>
            </w:r>
          </w:p>
        </w:tc>
        <w:tc>
          <w:tcPr>
            <w:tcW w:w="2083" w:type="dxa"/>
            <w:tcBorders>
              <w:top w:val="single" w:color="auto" w:sz="4" w:space="0"/>
              <w:left w:val="single" w:color="auto" w:sz="4" w:space="0"/>
              <w:bottom w:val="single" w:color="auto" w:sz="4" w:space="0"/>
              <w:right w:val="single" w:color="auto" w:sz="4" w:space="0"/>
            </w:tcBorders>
            <w:vAlign w:val="center"/>
          </w:tcPr>
          <w:p w14:paraId="435DD257">
            <w:pPr>
              <w:spacing w:line="400" w:lineRule="exact"/>
              <w:rPr>
                <w:rFonts w:ascii="宋体" w:cs="宋体"/>
                <w:color w:val="auto"/>
                <w:szCs w:val="21"/>
                <w:highlight w:val="none"/>
              </w:rPr>
            </w:pPr>
            <w:r>
              <w:rPr>
                <w:rFonts w:hint="eastAsia" w:ascii="宋体" w:cs="宋体"/>
                <w:color w:val="auto"/>
                <w:szCs w:val="21"/>
                <w:highlight w:val="none"/>
              </w:rPr>
              <w:t>备份投标文件</w:t>
            </w:r>
          </w:p>
        </w:tc>
        <w:tc>
          <w:tcPr>
            <w:tcW w:w="7021" w:type="dxa"/>
            <w:tcBorders>
              <w:top w:val="single" w:color="auto" w:sz="4" w:space="0"/>
              <w:left w:val="single" w:color="auto" w:sz="4" w:space="0"/>
              <w:bottom w:val="single" w:color="auto" w:sz="4" w:space="0"/>
              <w:right w:val="single" w:color="auto" w:sz="4" w:space="0"/>
            </w:tcBorders>
            <w:vAlign w:val="center"/>
          </w:tcPr>
          <w:p w14:paraId="5FD046A7">
            <w:pPr>
              <w:autoSpaceDE w:val="0"/>
              <w:autoSpaceDN w:val="0"/>
              <w:snapToGrid w:val="0"/>
              <w:spacing w:line="400" w:lineRule="exact"/>
              <w:textAlignment w:val="bottom"/>
              <w:rPr>
                <w:rFonts w:ascii="宋体" w:cs="宋体"/>
                <w:color w:val="auto"/>
                <w:szCs w:val="21"/>
                <w:highlight w:val="none"/>
              </w:rPr>
            </w:pPr>
            <w:r>
              <w:rPr>
                <w:rFonts w:hint="eastAsia" w:ascii="宋体" w:cs="宋体"/>
                <w:color w:val="auto"/>
                <w:szCs w:val="21"/>
                <w:highlight w:val="none"/>
              </w:rPr>
              <w:t>本项目不接受备份投标文件。</w:t>
            </w:r>
          </w:p>
        </w:tc>
      </w:tr>
      <w:tr w14:paraId="2ADF50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60" w:type="dxa"/>
            <w:vMerge w:val="restart"/>
            <w:tcBorders>
              <w:top w:val="single" w:color="auto" w:sz="4" w:space="0"/>
              <w:left w:val="single" w:color="auto" w:sz="4" w:space="0"/>
              <w:bottom w:val="nil"/>
              <w:right w:val="single" w:color="auto" w:sz="4" w:space="0"/>
            </w:tcBorders>
            <w:vAlign w:val="center"/>
          </w:tcPr>
          <w:p w14:paraId="2BDE1792">
            <w:pPr>
              <w:spacing w:line="400" w:lineRule="exact"/>
              <w:rPr>
                <w:rFonts w:ascii="宋体" w:cs="宋体"/>
                <w:color w:val="auto"/>
                <w:szCs w:val="21"/>
                <w:highlight w:val="none"/>
              </w:rPr>
            </w:pPr>
            <w:r>
              <w:rPr>
                <w:rFonts w:hint="eastAsia" w:ascii="宋体" w:cs="宋体"/>
                <w:color w:val="auto"/>
                <w:szCs w:val="21"/>
                <w:highlight w:val="none"/>
              </w:rPr>
              <w:t>21.1</w:t>
            </w:r>
          </w:p>
        </w:tc>
        <w:tc>
          <w:tcPr>
            <w:tcW w:w="2083" w:type="dxa"/>
            <w:tcBorders>
              <w:top w:val="single" w:color="auto" w:sz="4" w:space="0"/>
              <w:left w:val="single" w:color="auto" w:sz="4" w:space="0"/>
              <w:bottom w:val="single" w:color="auto" w:sz="4" w:space="0"/>
              <w:right w:val="single" w:color="auto" w:sz="4" w:space="0"/>
            </w:tcBorders>
            <w:vAlign w:val="center"/>
          </w:tcPr>
          <w:p w14:paraId="3C36BD7F">
            <w:pPr>
              <w:spacing w:line="400" w:lineRule="exact"/>
              <w:rPr>
                <w:rFonts w:ascii="宋体" w:cs="宋体"/>
                <w:color w:val="auto"/>
                <w:szCs w:val="21"/>
                <w:highlight w:val="none"/>
              </w:rPr>
            </w:pPr>
            <w:bookmarkStart w:id="90" w:name="_21.1"/>
            <w:bookmarkEnd w:id="90"/>
            <w:r>
              <w:rPr>
                <w:rFonts w:hint="eastAsia" w:ascii="宋体" w:cs="宋体"/>
                <w:color w:val="auto"/>
                <w:szCs w:val="21"/>
                <w:highlight w:val="none"/>
              </w:rPr>
              <w:t>投标截止时间</w:t>
            </w:r>
          </w:p>
        </w:tc>
        <w:tc>
          <w:tcPr>
            <w:tcW w:w="7021" w:type="dxa"/>
            <w:tcBorders>
              <w:top w:val="single" w:color="auto" w:sz="4" w:space="0"/>
              <w:left w:val="single" w:color="auto" w:sz="4" w:space="0"/>
              <w:bottom w:val="single" w:color="auto" w:sz="4" w:space="0"/>
              <w:right w:val="single" w:color="auto" w:sz="4" w:space="0"/>
            </w:tcBorders>
            <w:vAlign w:val="center"/>
          </w:tcPr>
          <w:p w14:paraId="31213783">
            <w:pPr>
              <w:snapToGrid w:val="0"/>
              <w:spacing w:line="400" w:lineRule="exact"/>
              <w:rPr>
                <w:rFonts w:ascii="宋体" w:cs="宋体"/>
                <w:color w:val="auto"/>
                <w:szCs w:val="21"/>
                <w:highlight w:val="none"/>
                <w:u w:val="single"/>
              </w:rPr>
            </w:pPr>
            <w:r>
              <w:rPr>
                <w:rFonts w:hint="eastAsia" w:ascii="宋体" w:cs="宋体"/>
                <w:color w:val="auto"/>
                <w:szCs w:val="21"/>
                <w:highlight w:val="none"/>
              </w:rPr>
              <w:t>详见招标公告</w:t>
            </w:r>
          </w:p>
        </w:tc>
      </w:tr>
      <w:tr w14:paraId="63B729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60" w:type="dxa"/>
            <w:vMerge w:val="continue"/>
            <w:tcBorders>
              <w:top w:val="single" w:color="auto" w:sz="4" w:space="0"/>
              <w:left w:val="single" w:color="auto" w:sz="4" w:space="0"/>
              <w:bottom w:val="nil"/>
              <w:right w:val="single" w:color="auto" w:sz="4" w:space="0"/>
            </w:tcBorders>
            <w:vAlign w:val="center"/>
          </w:tcPr>
          <w:p w14:paraId="3FB383FC"/>
        </w:tc>
        <w:tc>
          <w:tcPr>
            <w:tcW w:w="2083" w:type="dxa"/>
            <w:tcBorders>
              <w:top w:val="single" w:color="auto" w:sz="4" w:space="0"/>
              <w:left w:val="single" w:color="auto" w:sz="4" w:space="0"/>
              <w:bottom w:val="single" w:color="auto" w:sz="4" w:space="0"/>
              <w:right w:val="single" w:color="auto" w:sz="4" w:space="0"/>
            </w:tcBorders>
            <w:vAlign w:val="center"/>
          </w:tcPr>
          <w:p w14:paraId="4115341F">
            <w:pPr>
              <w:spacing w:line="400" w:lineRule="exact"/>
              <w:rPr>
                <w:rFonts w:ascii="宋体" w:cs="宋体"/>
                <w:color w:val="auto"/>
                <w:szCs w:val="21"/>
                <w:highlight w:val="none"/>
              </w:rPr>
            </w:pPr>
            <w:r>
              <w:rPr>
                <w:rFonts w:hint="eastAsia" w:ascii="宋体" w:cs="宋体"/>
                <w:color w:val="auto"/>
                <w:szCs w:val="21"/>
                <w:highlight w:val="none"/>
              </w:rPr>
              <w:t>投标地点</w:t>
            </w:r>
          </w:p>
        </w:tc>
        <w:tc>
          <w:tcPr>
            <w:tcW w:w="7021" w:type="dxa"/>
            <w:tcBorders>
              <w:top w:val="single" w:color="auto" w:sz="4" w:space="0"/>
              <w:left w:val="single" w:color="auto" w:sz="4" w:space="0"/>
              <w:bottom w:val="single" w:color="auto" w:sz="4" w:space="0"/>
              <w:right w:val="single" w:color="auto" w:sz="4" w:space="0"/>
            </w:tcBorders>
            <w:vAlign w:val="center"/>
          </w:tcPr>
          <w:p w14:paraId="141CCC17">
            <w:pPr>
              <w:snapToGrid w:val="0"/>
              <w:spacing w:line="400" w:lineRule="exact"/>
              <w:rPr>
                <w:rFonts w:ascii="宋体" w:cs="宋体"/>
                <w:color w:val="auto"/>
                <w:szCs w:val="21"/>
                <w:highlight w:val="none"/>
              </w:rPr>
            </w:pPr>
            <w:r>
              <w:rPr>
                <w:rFonts w:hint="eastAsia" w:ascii="宋体" w:cs="宋体"/>
                <w:color w:val="auto"/>
                <w:szCs w:val="21"/>
                <w:highlight w:val="none"/>
              </w:rPr>
              <w:t>详见招标公告</w:t>
            </w:r>
          </w:p>
        </w:tc>
      </w:tr>
      <w:tr w14:paraId="5276EB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60" w:type="dxa"/>
            <w:vMerge w:val="continue"/>
            <w:tcBorders>
              <w:top w:val="single" w:color="auto" w:sz="4" w:space="0"/>
              <w:left w:val="single" w:color="auto" w:sz="4" w:space="0"/>
              <w:bottom w:val="nil"/>
              <w:right w:val="single" w:color="auto" w:sz="4" w:space="0"/>
            </w:tcBorders>
            <w:vAlign w:val="center"/>
          </w:tcPr>
          <w:p w14:paraId="4E2CA087"/>
        </w:tc>
        <w:tc>
          <w:tcPr>
            <w:tcW w:w="2083" w:type="dxa"/>
            <w:tcBorders>
              <w:top w:val="single" w:color="auto" w:sz="4" w:space="0"/>
              <w:left w:val="single" w:color="auto" w:sz="4" w:space="0"/>
              <w:bottom w:val="single" w:color="auto" w:sz="4" w:space="0"/>
              <w:right w:val="single" w:color="auto" w:sz="4" w:space="0"/>
            </w:tcBorders>
            <w:vAlign w:val="center"/>
          </w:tcPr>
          <w:p w14:paraId="5B1B47CF">
            <w:pPr>
              <w:spacing w:line="400" w:lineRule="exact"/>
              <w:rPr>
                <w:rFonts w:ascii="宋体" w:cs="宋体"/>
                <w:color w:val="auto"/>
                <w:szCs w:val="21"/>
                <w:highlight w:val="none"/>
              </w:rPr>
            </w:pPr>
            <w:r>
              <w:rPr>
                <w:rFonts w:hint="eastAsia" w:ascii="宋体" w:cs="宋体"/>
                <w:color w:val="auto"/>
                <w:szCs w:val="21"/>
                <w:highlight w:val="none"/>
              </w:rPr>
              <w:t>投标人递交投标样品截止时间及地点</w:t>
            </w:r>
          </w:p>
        </w:tc>
        <w:tc>
          <w:tcPr>
            <w:tcW w:w="7021" w:type="dxa"/>
            <w:tcBorders>
              <w:top w:val="single" w:color="auto" w:sz="4" w:space="0"/>
              <w:left w:val="single" w:color="auto" w:sz="4" w:space="0"/>
              <w:bottom w:val="single" w:color="auto" w:sz="4" w:space="0"/>
              <w:right w:val="single" w:color="auto" w:sz="4" w:space="0"/>
            </w:tcBorders>
            <w:vAlign w:val="center"/>
          </w:tcPr>
          <w:p w14:paraId="5E15B31B">
            <w:pPr>
              <w:snapToGrid w:val="0"/>
              <w:spacing w:line="400" w:lineRule="exact"/>
              <w:rPr>
                <w:rFonts w:ascii="宋体" w:cs="宋体"/>
                <w:color w:val="auto"/>
                <w:szCs w:val="21"/>
                <w:highlight w:val="none"/>
              </w:rPr>
            </w:pPr>
            <w:r>
              <w:rPr>
                <w:rFonts w:hint="eastAsia" w:ascii="宋体" w:cs="宋体"/>
                <w:bCs/>
                <w:color w:val="auto"/>
                <w:szCs w:val="21"/>
                <w:highlight w:val="none"/>
              </w:rPr>
              <w:t>无</w:t>
            </w:r>
          </w:p>
        </w:tc>
      </w:tr>
      <w:tr w14:paraId="7F517A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7B42B897">
            <w:pPr>
              <w:spacing w:line="400" w:lineRule="exact"/>
              <w:rPr>
                <w:rFonts w:ascii="宋体" w:cs="宋体"/>
                <w:color w:val="auto"/>
                <w:szCs w:val="21"/>
                <w:highlight w:val="none"/>
              </w:rPr>
            </w:pPr>
            <w:r>
              <w:rPr>
                <w:rFonts w:hint="eastAsia" w:ascii="宋体" w:cs="宋体"/>
                <w:color w:val="auto"/>
                <w:szCs w:val="21"/>
                <w:highlight w:val="none"/>
              </w:rPr>
              <w:t>23</w:t>
            </w:r>
          </w:p>
        </w:tc>
        <w:tc>
          <w:tcPr>
            <w:tcW w:w="2083" w:type="dxa"/>
            <w:tcBorders>
              <w:top w:val="single" w:color="auto" w:sz="4" w:space="0"/>
              <w:left w:val="single" w:color="auto" w:sz="4" w:space="0"/>
              <w:bottom w:val="single" w:color="auto" w:sz="4" w:space="0"/>
              <w:right w:val="single" w:color="auto" w:sz="4" w:space="0"/>
            </w:tcBorders>
            <w:vAlign w:val="center"/>
          </w:tcPr>
          <w:p w14:paraId="7CF4B7A2">
            <w:pPr>
              <w:spacing w:line="400" w:lineRule="exact"/>
              <w:rPr>
                <w:rFonts w:ascii="宋体" w:cs="宋体"/>
                <w:color w:val="auto"/>
                <w:szCs w:val="21"/>
                <w:highlight w:val="none"/>
              </w:rPr>
            </w:pPr>
            <w:bookmarkStart w:id="91" w:name="_23"/>
            <w:bookmarkEnd w:id="91"/>
            <w:r>
              <w:rPr>
                <w:rFonts w:hint="eastAsia" w:ascii="宋体" w:cs="宋体"/>
                <w:color w:val="auto"/>
                <w:szCs w:val="21"/>
                <w:highlight w:val="none"/>
              </w:rPr>
              <w:t>开标时间、地点</w:t>
            </w:r>
          </w:p>
        </w:tc>
        <w:tc>
          <w:tcPr>
            <w:tcW w:w="7021" w:type="dxa"/>
            <w:tcBorders>
              <w:top w:val="single" w:color="auto" w:sz="4" w:space="0"/>
              <w:left w:val="single" w:color="auto" w:sz="4" w:space="0"/>
              <w:bottom w:val="single" w:color="auto" w:sz="4" w:space="0"/>
              <w:right w:val="single" w:color="auto" w:sz="4" w:space="0"/>
            </w:tcBorders>
            <w:vAlign w:val="center"/>
          </w:tcPr>
          <w:p w14:paraId="055BE620">
            <w:pPr>
              <w:snapToGrid w:val="0"/>
              <w:spacing w:line="400" w:lineRule="exact"/>
              <w:rPr>
                <w:rFonts w:ascii="宋体" w:cs="宋体"/>
                <w:color w:val="auto"/>
                <w:szCs w:val="21"/>
                <w:highlight w:val="none"/>
              </w:rPr>
            </w:pPr>
            <w:r>
              <w:rPr>
                <w:rFonts w:hint="eastAsia" w:ascii="宋体" w:cs="宋体"/>
                <w:color w:val="auto"/>
                <w:szCs w:val="21"/>
                <w:highlight w:val="none"/>
              </w:rPr>
              <w:t xml:space="preserve">详见招标公告 </w:t>
            </w:r>
          </w:p>
        </w:tc>
      </w:tr>
      <w:tr w14:paraId="3C7459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60" w:type="dxa"/>
            <w:vMerge w:val="restart"/>
            <w:tcBorders>
              <w:top w:val="single" w:color="auto" w:sz="4" w:space="0"/>
              <w:left w:val="single" w:color="auto" w:sz="4" w:space="0"/>
              <w:bottom w:val="single" w:color="auto" w:sz="4" w:space="0"/>
              <w:right w:val="single" w:color="auto" w:sz="4" w:space="0"/>
            </w:tcBorders>
            <w:vAlign w:val="center"/>
          </w:tcPr>
          <w:p w14:paraId="67AFF5E2">
            <w:pPr>
              <w:spacing w:line="400" w:lineRule="exact"/>
              <w:rPr>
                <w:rFonts w:ascii="宋体" w:cs="宋体"/>
                <w:color w:val="auto"/>
                <w:szCs w:val="21"/>
                <w:highlight w:val="none"/>
              </w:rPr>
            </w:pPr>
            <w:r>
              <w:rPr>
                <w:rFonts w:hint="eastAsia" w:ascii="宋体" w:cs="宋体"/>
                <w:color w:val="auto"/>
                <w:szCs w:val="21"/>
                <w:highlight w:val="none"/>
              </w:rPr>
              <w:t>25.3（</w:t>
            </w:r>
            <w:r>
              <w:rPr>
                <w:rFonts w:hint="eastAsia" w:ascii="宋体" w:cs="宋体"/>
                <w:color w:val="auto"/>
                <w:szCs w:val="21"/>
                <w:highlight w:val="none"/>
                <w:lang w:val="en-US" w:eastAsia="zh-CN"/>
              </w:rPr>
              <w:t>1</w:t>
            </w:r>
            <w:r>
              <w:rPr>
                <w:rFonts w:hint="eastAsia" w:ascii="宋体" w:cs="宋体"/>
                <w:color w:val="auto"/>
                <w:szCs w:val="21"/>
                <w:highlight w:val="none"/>
              </w:rPr>
              <w:t>）</w:t>
            </w:r>
          </w:p>
        </w:tc>
        <w:tc>
          <w:tcPr>
            <w:tcW w:w="2083" w:type="dxa"/>
            <w:tcBorders>
              <w:top w:val="single" w:color="auto" w:sz="4" w:space="0"/>
              <w:left w:val="single" w:color="auto" w:sz="4" w:space="0"/>
              <w:bottom w:val="single" w:color="auto" w:sz="4" w:space="0"/>
              <w:right w:val="single" w:color="auto" w:sz="4" w:space="0"/>
            </w:tcBorders>
            <w:vAlign w:val="center"/>
          </w:tcPr>
          <w:p w14:paraId="026DCE07">
            <w:pPr>
              <w:spacing w:line="400" w:lineRule="exact"/>
              <w:rPr>
                <w:rFonts w:ascii="宋体" w:cs="宋体"/>
                <w:color w:val="auto"/>
                <w:szCs w:val="21"/>
                <w:highlight w:val="none"/>
              </w:rPr>
            </w:pPr>
            <w:bookmarkStart w:id="92" w:name="_25.3"/>
            <w:bookmarkEnd w:id="92"/>
            <w:r>
              <w:rPr>
                <w:rFonts w:hint="eastAsia" w:ascii="宋体" w:cs="宋体"/>
                <w:color w:val="auto"/>
                <w:szCs w:val="21"/>
                <w:highlight w:val="none"/>
              </w:rPr>
              <w:t>投标人信用查询渠道</w:t>
            </w:r>
          </w:p>
        </w:tc>
        <w:tc>
          <w:tcPr>
            <w:tcW w:w="7021" w:type="dxa"/>
            <w:tcBorders>
              <w:top w:val="single" w:color="auto" w:sz="4" w:space="0"/>
              <w:left w:val="single" w:color="auto" w:sz="4" w:space="0"/>
              <w:bottom w:val="single" w:color="auto" w:sz="4" w:space="0"/>
              <w:right w:val="single" w:color="auto" w:sz="4" w:space="0"/>
            </w:tcBorders>
            <w:vAlign w:val="center"/>
          </w:tcPr>
          <w:p w14:paraId="206CF45B">
            <w:pPr>
              <w:snapToGrid w:val="0"/>
              <w:spacing w:line="400" w:lineRule="exact"/>
              <w:rPr>
                <w:rFonts w:ascii="宋体" w:cs="宋体"/>
                <w:color w:val="auto"/>
                <w:szCs w:val="21"/>
                <w:highlight w:val="none"/>
              </w:rPr>
            </w:pPr>
            <w:r>
              <w:rPr>
                <w:rFonts w:hint="eastAsia" w:ascii="宋体" w:cs="宋体"/>
                <w:color w:val="auto"/>
                <w:szCs w:val="21"/>
                <w:highlight w:val="none"/>
              </w:rPr>
              <w:t>采购人或者采购代理机构在资格审查结束前，对投标人进行信用查询。</w:t>
            </w:r>
          </w:p>
          <w:p w14:paraId="452E2D87">
            <w:pPr>
              <w:snapToGrid w:val="0"/>
              <w:spacing w:line="400" w:lineRule="exact"/>
              <w:rPr>
                <w:rFonts w:ascii="宋体" w:cs="宋体"/>
                <w:color w:val="auto"/>
                <w:szCs w:val="21"/>
                <w:highlight w:val="none"/>
              </w:rPr>
            </w:pPr>
            <w:r>
              <w:rPr>
                <w:rFonts w:hint="eastAsia" w:ascii="宋体" w:cs="宋体"/>
                <w:color w:val="auto"/>
                <w:szCs w:val="21"/>
                <w:highlight w:val="none"/>
              </w:rPr>
              <w:t>查询渠道：“信用中国”网站(www.creditchina.gov.cn) 、中国政府采购网(www.ccgp.gov.cn)。</w:t>
            </w:r>
          </w:p>
        </w:tc>
      </w:tr>
      <w:tr w14:paraId="1D6C84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14:paraId="141E1916"/>
        </w:tc>
        <w:tc>
          <w:tcPr>
            <w:tcW w:w="2083" w:type="dxa"/>
            <w:tcBorders>
              <w:top w:val="single" w:color="auto" w:sz="4" w:space="0"/>
              <w:left w:val="single" w:color="auto" w:sz="4" w:space="0"/>
              <w:bottom w:val="single" w:color="auto" w:sz="4" w:space="0"/>
              <w:right w:val="single" w:color="auto" w:sz="4" w:space="0"/>
            </w:tcBorders>
            <w:vAlign w:val="center"/>
          </w:tcPr>
          <w:p w14:paraId="67B320E4">
            <w:pPr>
              <w:spacing w:line="400" w:lineRule="exact"/>
              <w:rPr>
                <w:rFonts w:ascii="宋体" w:cs="宋体"/>
                <w:color w:val="auto"/>
                <w:szCs w:val="21"/>
                <w:highlight w:val="none"/>
              </w:rPr>
            </w:pPr>
            <w:r>
              <w:rPr>
                <w:rFonts w:hint="eastAsia" w:ascii="宋体" w:cs="宋体"/>
                <w:color w:val="auto"/>
                <w:szCs w:val="21"/>
                <w:highlight w:val="none"/>
              </w:rPr>
              <w:t>信用查询截止时点</w:t>
            </w:r>
          </w:p>
        </w:tc>
        <w:tc>
          <w:tcPr>
            <w:tcW w:w="7021" w:type="dxa"/>
            <w:tcBorders>
              <w:top w:val="single" w:color="auto" w:sz="4" w:space="0"/>
              <w:left w:val="single" w:color="auto" w:sz="4" w:space="0"/>
              <w:bottom w:val="single" w:color="auto" w:sz="4" w:space="0"/>
              <w:right w:val="single" w:color="auto" w:sz="4" w:space="0"/>
            </w:tcBorders>
            <w:vAlign w:val="center"/>
          </w:tcPr>
          <w:p w14:paraId="7E6CD419">
            <w:pPr>
              <w:snapToGrid w:val="0"/>
              <w:spacing w:line="400" w:lineRule="exact"/>
              <w:rPr>
                <w:rFonts w:ascii="宋体" w:cs="宋体"/>
                <w:color w:val="auto"/>
                <w:szCs w:val="21"/>
                <w:highlight w:val="none"/>
              </w:rPr>
            </w:pPr>
            <w:r>
              <w:rPr>
                <w:rFonts w:hint="eastAsia" w:ascii="宋体" w:cs="宋体"/>
                <w:color w:val="auto"/>
                <w:szCs w:val="21"/>
                <w:highlight w:val="none"/>
              </w:rPr>
              <w:t>资格审查结束前</w:t>
            </w:r>
          </w:p>
        </w:tc>
      </w:tr>
      <w:tr w14:paraId="7F71BA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14:paraId="25A2FF79"/>
        </w:tc>
        <w:tc>
          <w:tcPr>
            <w:tcW w:w="2083" w:type="dxa"/>
            <w:tcBorders>
              <w:top w:val="single" w:color="auto" w:sz="4" w:space="0"/>
              <w:left w:val="single" w:color="auto" w:sz="4" w:space="0"/>
              <w:bottom w:val="single" w:color="auto" w:sz="4" w:space="0"/>
              <w:right w:val="single" w:color="auto" w:sz="4" w:space="0"/>
            </w:tcBorders>
            <w:vAlign w:val="center"/>
          </w:tcPr>
          <w:p w14:paraId="272C89C9">
            <w:pPr>
              <w:spacing w:line="400" w:lineRule="exact"/>
              <w:rPr>
                <w:rFonts w:ascii="宋体" w:cs="宋体"/>
                <w:color w:val="auto"/>
                <w:szCs w:val="21"/>
                <w:highlight w:val="none"/>
              </w:rPr>
            </w:pPr>
            <w:r>
              <w:rPr>
                <w:rFonts w:hint="eastAsia" w:ascii="宋体" w:cs="宋体"/>
                <w:color w:val="auto"/>
                <w:szCs w:val="21"/>
                <w:highlight w:val="none"/>
              </w:rPr>
              <w:t>查询记录和证据留存方式</w:t>
            </w:r>
          </w:p>
        </w:tc>
        <w:tc>
          <w:tcPr>
            <w:tcW w:w="7021" w:type="dxa"/>
            <w:tcBorders>
              <w:top w:val="single" w:color="auto" w:sz="4" w:space="0"/>
              <w:left w:val="single" w:color="auto" w:sz="4" w:space="0"/>
              <w:bottom w:val="single" w:color="auto" w:sz="4" w:space="0"/>
              <w:right w:val="single" w:color="auto" w:sz="4" w:space="0"/>
            </w:tcBorders>
            <w:vAlign w:val="center"/>
          </w:tcPr>
          <w:p w14:paraId="24451D71">
            <w:pPr>
              <w:snapToGrid w:val="0"/>
              <w:spacing w:line="400" w:lineRule="exact"/>
              <w:rPr>
                <w:rFonts w:hint="eastAsia" w:ascii="宋体" w:eastAsia="宋体" w:cs="宋体"/>
                <w:color w:val="auto"/>
                <w:szCs w:val="21"/>
                <w:highlight w:val="none"/>
                <w:lang w:val="en-US" w:eastAsia="zh-CN"/>
              </w:rPr>
            </w:pPr>
            <w:r>
              <w:rPr>
                <w:rFonts w:hint="eastAsia" w:ascii="宋体" w:hAnsi="宋体" w:eastAsia="宋体" w:cs="宋体"/>
                <w:i w:val="0"/>
                <w:iCs w:val="0"/>
                <w:caps w:val="0"/>
                <w:smallCaps w:val="0"/>
                <w:color w:val="auto"/>
                <w:spacing w:val="0"/>
                <w:sz w:val="21"/>
                <w:szCs w:val="21"/>
                <w:highlight w:val="none"/>
                <w:shd w:val="clear" w:color="auto" w:fill="auto"/>
              </w:rPr>
              <w:t>在查询网站中直接查询，并将查询结果存为电子文档，作为评审资料保存</w:t>
            </w:r>
            <w:r>
              <w:rPr>
                <w:rFonts w:hint="eastAsia"/>
                <w:color w:val="auto"/>
                <w:highlight w:val="none"/>
                <w:lang w:val="en-US" w:eastAsia="zh-CN"/>
              </w:rPr>
              <w:t>.。</w:t>
            </w:r>
          </w:p>
        </w:tc>
      </w:tr>
      <w:tr w14:paraId="282A1F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14:paraId="45361761"/>
        </w:tc>
        <w:tc>
          <w:tcPr>
            <w:tcW w:w="2083" w:type="dxa"/>
            <w:tcBorders>
              <w:top w:val="single" w:color="auto" w:sz="4" w:space="0"/>
              <w:left w:val="single" w:color="auto" w:sz="4" w:space="0"/>
              <w:bottom w:val="single" w:color="auto" w:sz="4" w:space="0"/>
              <w:right w:val="single" w:color="auto" w:sz="4" w:space="0"/>
            </w:tcBorders>
            <w:vAlign w:val="center"/>
          </w:tcPr>
          <w:p w14:paraId="07018BC8">
            <w:pPr>
              <w:spacing w:line="400" w:lineRule="exact"/>
              <w:rPr>
                <w:rFonts w:ascii="宋体" w:cs="宋体"/>
                <w:color w:val="auto"/>
                <w:szCs w:val="21"/>
                <w:highlight w:val="none"/>
              </w:rPr>
            </w:pPr>
            <w:r>
              <w:rPr>
                <w:rFonts w:hint="eastAsia" w:ascii="宋体" w:cs="宋体"/>
                <w:color w:val="auto"/>
                <w:szCs w:val="21"/>
                <w:highlight w:val="none"/>
              </w:rPr>
              <w:t>信用信息使用规则</w:t>
            </w:r>
          </w:p>
        </w:tc>
        <w:tc>
          <w:tcPr>
            <w:tcW w:w="7021" w:type="dxa"/>
            <w:tcBorders>
              <w:top w:val="single" w:color="auto" w:sz="4" w:space="0"/>
              <w:left w:val="single" w:color="auto" w:sz="4" w:space="0"/>
              <w:bottom w:val="single" w:color="auto" w:sz="4" w:space="0"/>
              <w:right w:val="single" w:color="auto" w:sz="4" w:space="0"/>
            </w:tcBorders>
            <w:vAlign w:val="center"/>
          </w:tcPr>
          <w:p w14:paraId="0D1C5AD8">
            <w:pPr>
              <w:snapToGrid w:val="0"/>
              <w:spacing w:line="400" w:lineRule="exact"/>
              <w:rPr>
                <w:rFonts w:ascii="宋体" w:cs="宋体"/>
                <w:color w:val="auto"/>
                <w:szCs w:val="21"/>
                <w:highlight w:val="none"/>
              </w:rPr>
            </w:pPr>
            <w:r>
              <w:rPr>
                <w:rFonts w:hint="eastAsia" w:ascii="宋体" w:cs="宋体"/>
                <w:color w:val="auto"/>
                <w:szCs w:val="21"/>
                <w:highlight w:val="none"/>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D8B69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3CB947F9">
            <w:pPr>
              <w:spacing w:line="400" w:lineRule="exact"/>
              <w:rPr>
                <w:rFonts w:ascii="宋体" w:cs="宋体"/>
                <w:color w:val="auto"/>
                <w:szCs w:val="21"/>
                <w:highlight w:val="none"/>
              </w:rPr>
            </w:pPr>
            <w:r>
              <w:rPr>
                <w:rFonts w:hint="eastAsia" w:ascii="宋体" w:cs="宋体"/>
                <w:color w:val="auto"/>
                <w:szCs w:val="21"/>
                <w:highlight w:val="none"/>
              </w:rPr>
              <w:t>29.1</w:t>
            </w:r>
          </w:p>
        </w:tc>
        <w:tc>
          <w:tcPr>
            <w:tcW w:w="2083" w:type="dxa"/>
            <w:tcBorders>
              <w:top w:val="single" w:color="auto" w:sz="4" w:space="0"/>
              <w:left w:val="single" w:color="auto" w:sz="4" w:space="0"/>
              <w:bottom w:val="single" w:color="auto" w:sz="4" w:space="0"/>
              <w:right w:val="single" w:color="auto" w:sz="4" w:space="0"/>
            </w:tcBorders>
            <w:vAlign w:val="center"/>
          </w:tcPr>
          <w:p w14:paraId="2641461E">
            <w:pPr>
              <w:spacing w:line="400" w:lineRule="exact"/>
              <w:rPr>
                <w:rFonts w:ascii="宋体" w:cs="宋体"/>
                <w:color w:val="auto"/>
                <w:szCs w:val="21"/>
                <w:highlight w:val="none"/>
              </w:rPr>
            </w:pPr>
            <w:bookmarkStart w:id="93" w:name="_26"/>
            <w:bookmarkEnd w:id="93"/>
            <w:bookmarkStart w:id="94" w:name="_28.3"/>
            <w:bookmarkEnd w:id="94"/>
            <w:r>
              <w:rPr>
                <w:rFonts w:hint="eastAsia" w:ascii="宋体" w:cs="宋体"/>
                <w:color w:val="auto"/>
                <w:szCs w:val="21"/>
                <w:highlight w:val="none"/>
              </w:rPr>
              <w:t>评标方法</w:t>
            </w:r>
          </w:p>
        </w:tc>
        <w:tc>
          <w:tcPr>
            <w:tcW w:w="7021" w:type="dxa"/>
            <w:tcBorders>
              <w:top w:val="single" w:color="auto" w:sz="4" w:space="0"/>
              <w:left w:val="single" w:color="auto" w:sz="4" w:space="0"/>
              <w:bottom w:val="single" w:color="auto" w:sz="4" w:space="0"/>
              <w:right w:val="single" w:color="auto" w:sz="4" w:space="0"/>
            </w:tcBorders>
            <w:vAlign w:val="center"/>
          </w:tcPr>
          <w:p w14:paraId="073D86CD">
            <w:pPr>
              <w:autoSpaceDE w:val="0"/>
              <w:autoSpaceDN w:val="0"/>
              <w:snapToGrid w:val="0"/>
              <w:spacing w:line="400" w:lineRule="exact"/>
              <w:textAlignment w:val="bottom"/>
              <w:rPr>
                <w:rFonts w:ascii="宋体" w:cs="宋体"/>
                <w:color w:val="auto"/>
                <w:szCs w:val="21"/>
                <w:highlight w:val="none"/>
              </w:rPr>
            </w:pPr>
            <w:r>
              <w:rPr>
                <w:rFonts w:hint="eastAsia" w:ascii="宋体" w:cs="宋体"/>
                <w:color w:val="auto"/>
                <w:szCs w:val="21"/>
                <w:highlight w:val="none"/>
              </w:rPr>
              <w:t>☑ 综合评分法</w:t>
            </w:r>
          </w:p>
          <w:p w14:paraId="66A2C55D">
            <w:pPr>
              <w:autoSpaceDE w:val="0"/>
              <w:autoSpaceDN w:val="0"/>
              <w:snapToGrid w:val="0"/>
              <w:spacing w:line="400" w:lineRule="exact"/>
              <w:textAlignment w:val="bottom"/>
              <w:rPr>
                <w:rFonts w:ascii="宋体" w:cs="宋体"/>
                <w:color w:val="auto"/>
                <w:szCs w:val="21"/>
                <w:highlight w:val="none"/>
              </w:rPr>
            </w:pPr>
            <w:r>
              <w:rPr>
                <w:rFonts w:hint="eastAsia" w:ascii="宋体" w:cs="宋体"/>
                <w:color w:val="auto"/>
                <w:szCs w:val="21"/>
                <w:highlight w:val="none"/>
              </w:rPr>
              <w:t>□最低评标价法</w:t>
            </w:r>
          </w:p>
        </w:tc>
      </w:tr>
      <w:tr w14:paraId="5F2CE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60DF296C">
            <w:pPr>
              <w:spacing w:line="400" w:lineRule="exact"/>
              <w:rPr>
                <w:rFonts w:ascii="宋体" w:cs="宋体"/>
                <w:color w:val="auto"/>
                <w:szCs w:val="21"/>
                <w:highlight w:val="none"/>
              </w:rPr>
            </w:pPr>
            <w:r>
              <w:rPr>
                <w:rFonts w:hint="eastAsia" w:ascii="宋体" w:cs="宋体"/>
                <w:color w:val="auto"/>
                <w:szCs w:val="21"/>
                <w:highlight w:val="none"/>
              </w:rPr>
              <w:t>30.1</w:t>
            </w:r>
          </w:p>
        </w:tc>
        <w:tc>
          <w:tcPr>
            <w:tcW w:w="2083" w:type="dxa"/>
            <w:tcBorders>
              <w:top w:val="single" w:color="auto" w:sz="4" w:space="0"/>
              <w:left w:val="single" w:color="auto" w:sz="4" w:space="0"/>
              <w:bottom w:val="single" w:color="auto" w:sz="4" w:space="0"/>
              <w:right w:val="single" w:color="auto" w:sz="4" w:space="0"/>
            </w:tcBorders>
            <w:vAlign w:val="center"/>
          </w:tcPr>
          <w:p w14:paraId="59C121DB">
            <w:pPr>
              <w:autoSpaceDE w:val="0"/>
              <w:autoSpaceDN w:val="0"/>
              <w:snapToGrid w:val="0"/>
              <w:spacing w:line="400" w:lineRule="exact"/>
              <w:textAlignment w:val="bottom"/>
              <w:rPr>
                <w:rFonts w:ascii="宋体" w:cs="宋体"/>
                <w:color w:val="auto"/>
                <w:szCs w:val="21"/>
                <w:highlight w:val="none"/>
              </w:rPr>
            </w:pPr>
            <w:r>
              <w:rPr>
                <w:rFonts w:hint="eastAsia" w:ascii="宋体" w:cs="宋体"/>
                <w:color w:val="auto"/>
                <w:szCs w:val="21"/>
                <w:highlight w:val="none"/>
              </w:rPr>
              <w:t xml:space="preserve">中标候选人排名并列时，确定中标人的方式 </w:t>
            </w:r>
          </w:p>
        </w:tc>
        <w:tc>
          <w:tcPr>
            <w:tcW w:w="7021" w:type="dxa"/>
            <w:tcBorders>
              <w:top w:val="single" w:color="auto" w:sz="4" w:space="0"/>
              <w:left w:val="single" w:color="auto" w:sz="4" w:space="0"/>
              <w:bottom w:val="single" w:color="auto" w:sz="4" w:space="0"/>
              <w:right w:val="single" w:color="auto" w:sz="4" w:space="0"/>
            </w:tcBorders>
            <w:vAlign w:val="center"/>
          </w:tcPr>
          <w:p w14:paraId="405B4401">
            <w:pPr>
              <w:autoSpaceDE w:val="0"/>
              <w:autoSpaceDN w:val="0"/>
              <w:snapToGrid w:val="0"/>
              <w:spacing w:line="400" w:lineRule="exact"/>
              <w:textAlignment w:val="bottom"/>
              <w:rPr>
                <w:rFonts w:hint="eastAsia" w:ascii="宋体" w:cs="宋体"/>
                <w:color w:val="auto"/>
                <w:szCs w:val="21"/>
                <w:highlight w:val="none"/>
              </w:rPr>
            </w:pPr>
            <w:r>
              <w:rPr>
                <w:rFonts w:hint="eastAsia" w:ascii="宋体" w:cs="宋体"/>
                <w:color w:val="auto"/>
                <w:szCs w:val="21"/>
                <w:highlight w:val="none"/>
              </w:rPr>
              <w:t>中标候选人并列的，采购人按以下方式确定中标人：</w:t>
            </w:r>
          </w:p>
          <w:p w14:paraId="34E3B34E">
            <w:pPr>
              <w:autoSpaceDE w:val="0"/>
              <w:autoSpaceDN w:val="0"/>
              <w:snapToGrid w:val="0"/>
              <w:spacing w:line="400" w:lineRule="exact"/>
              <w:textAlignment w:val="bottom"/>
              <w:rPr>
                <w:rFonts w:hint="eastAsia" w:ascii="宋体" w:cs="宋体"/>
                <w:color w:val="auto"/>
                <w:szCs w:val="21"/>
                <w:highlight w:val="none"/>
              </w:rPr>
            </w:pPr>
            <w:r>
              <w:rPr>
                <w:rFonts w:hint="eastAsia" w:ascii="宋体" w:cs="宋体"/>
                <w:color w:val="auto"/>
                <w:szCs w:val="21"/>
                <w:highlight w:val="none"/>
              </w:rPr>
              <w:t>1.综合评分法</w:t>
            </w:r>
          </w:p>
          <w:p w14:paraId="582D2B01">
            <w:pPr>
              <w:autoSpaceDE w:val="0"/>
              <w:autoSpaceDN w:val="0"/>
              <w:snapToGrid w:val="0"/>
              <w:spacing w:line="400" w:lineRule="exact"/>
              <w:textAlignment w:val="bottom"/>
              <w:rPr>
                <w:rFonts w:hint="eastAsia" w:ascii="宋体" w:cs="宋体"/>
                <w:color w:val="auto"/>
                <w:szCs w:val="21"/>
                <w:highlight w:val="none"/>
              </w:rPr>
            </w:pPr>
            <w:r>
              <w:rPr>
                <w:rFonts w:hint="eastAsia" w:ascii="宋体" w:cs="宋体"/>
                <w:color w:val="auto"/>
                <w:szCs w:val="21"/>
                <w:highlight w:val="none"/>
                <w:lang w:eastAsia="zh-CN"/>
              </w:rPr>
              <w:t>☑</w:t>
            </w:r>
            <w:r>
              <w:rPr>
                <w:rFonts w:hint="eastAsia" w:ascii="宋体" w:cs="宋体"/>
                <w:color w:val="auto"/>
                <w:szCs w:val="21"/>
                <w:highlight w:val="none"/>
              </w:rPr>
              <w:t>以技术分得分由高到低顺序确定中标人。</w:t>
            </w:r>
          </w:p>
          <w:p w14:paraId="0E7A4B18">
            <w:pPr>
              <w:autoSpaceDE w:val="0"/>
              <w:autoSpaceDN w:val="0"/>
              <w:snapToGrid w:val="0"/>
              <w:spacing w:line="400" w:lineRule="exact"/>
              <w:textAlignment w:val="bottom"/>
              <w:rPr>
                <w:rFonts w:hint="eastAsia" w:ascii="宋体" w:cs="宋体"/>
                <w:color w:val="auto"/>
                <w:szCs w:val="21"/>
                <w:highlight w:val="none"/>
              </w:rPr>
            </w:pPr>
            <w:r>
              <w:rPr>
                <w:rFonts w:hint="eastAsia" w:ascii="宋体" w:cs="宋体"/>
                <w:color w:val="auto"/>
                <w:szCs w:val="21"/>
                <w:highlight w:val="none"/>
              </w:rPr>
              <w:t>□采取随机抽取的方式确定。</w:t>
            </w:r>
          </w:p>
          <w:p w14:paraId="68935B91">
            <w:pPr>
              <w:autoSpaceDE w:val="0"/>
              <w:autoSpaceDN w:val="0"/>
              <w:snapToGrid w:val="0"/>
              <w:spacing w:line="400" w:lineRule="exact"/>
              <w:textAlignment w:val="bottom"/>
              <w:rPr>
                <w:rFonts w:hint="eastAsia" w:ascii="宋体" w:cs="宋体"/>
                <w:color w:val="auto"/>
                <w:szCs w:val="21"/>
                <w:highlight w:val="none"/>
              </w:rPr>
            </w:pPr>
            <w:r>
              <w:rPr>
                <w:rFonts w:hint="eastAsia" w:ascii="宋体" w:cs="宋体"/>
                <w:color w:val="auto"/>
                <w:szCs w:val="21"/>
                <w:highlight w:val="none"/>
              </w:rPr>
              <w:t>2.最低评标价法</w:t>
            </w:r>
          </w:p>
          <w:p w14:paraId="691735F4">
            <w:pPr>
              <w:autoSpaceDE w:val="0"/>
              <w:autoSpaceDN w:val="0"/>
              <w:snapToGrid w:val="0"/>
              <w:spacing w:line="400" w:lineRule="exact"/>
              <w:textAlignment w:val="bottom"/>
              <w:rPr>
                <w:rFonts w:hint="eastAsia" w:ascii="宋体" w:cs="宋体"/>
                <w:color w:val="auto"/>
                <w:szCs w:val="21"/>
                <w:highlight w:val="none"/>
              </w:rPr>
            </w:pPr>
            <w:r>
              <w:rPr>
                <w:rFonts w:hint="eastAsia" w:ascii="宋体" w:cs="宋体"/>
                <w:color w:val="auto"/>
                <w:szCs w:val="21"/>
                <w:highlight w:val="none"/>
              </w:rPr>
              <w:t>□以投标报价由低到高顺序确定中标人。</w:t>
            </w:r>
          </w:p>
          <w:p w14:paraId="3963F614">
            <w:pPr>
              <w:autoSpaceDE w:val="0"/>
              <w:autoSpaceDN w:val="0"/>
              <w:snapToGrid w:val="0"/>
              <w:spacing w:line="400" w:lineRule="exact"/>
              <w:textAlignment w:val="bottom"/>
              <w:rPr>
                <w:rFonts w:ascii="宋体" w:cs="宋体"/>
                <w:b/>
                <w:color w:val="auto"/>
                <w:szCs w:val="21"/>
                <w:highlight w:val="none"/>
              </w:rPr>
            </w:pPr>
            <w:r>
              <w:rPr>
                <w:rFonts w:hint="eastAsia" w:ascii="宋体" w:cs="宋体"/>
                <w:color w:val="auto"/>
                <w:szCs w:val="21"/>
                <w:highlight w:val="none"/>
              </w:rPr>
              <w:t>□采取随机抽取的方式确定。</w:t>
            </w:r>
          </w:p>
        </w:tc>
      </w:tr>
      <w:tr w14:paraId="50E56D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0" w:type="dxa"/>
            <w:tcBorders>
              <w:top w:val="single" w:color="auto" w:sz="4" w:space="0"/>
              <w:left w:val="single" w:color="auto" w:sz="4" w:space="0"/>
              <w:bottom w:val="single" w:color="auto" w:sz="4" w:space="0"/>
              <w:right w:val="single" w:color="auto" w:sz="4" w:space="0"/>
            </w:tcBorders>
            <w:vAlign w:val="center"/>
          </w:tcPr>
          <w:p w14:paraId="7495BF31">
            <w:pPr>
              <w:spacing w:line="400" w:lineRule="exact"/>
              <w:rPr>
                <w:rFonts w:ascii="宋体" w:eastAsia="宋体" w:cs="宋体"/>
                <w:color w:val="auto"/>
                <w:szCs w:val="21"/>
                <w:highlight w:val="none"/>
                <w:lang w:val="en-US" w:eastAsia="zh-CN"/>
              </w:rPr>
            </w:pPr>
            <w:r>
              <w:rPr>
                <w:rFonts w:hint="eastAsia" w:ascii="宋体" w:cs="宋体"/>
                <w:color w:val="auto"/>
                <w:szCs w:val="21"/>
                <w:highlight w:val="none"/>
              </w:rPr>
              <w:t>35</w:t>
            </w:r>
            <w:r>
              <w:rPr>
                <w:rFonts w:hint="eastAsia" w:ascii="宋体" w:cs="宋体"/>
                <w:color w:val="auto"/>
                <w:szCs w:val="21"/>
                <w:highlight w:val="none"/>
                <w:lang w:val="en-US" w:eastAsia="zh-CN"/>
              </w:rPr>
              <w:t>.1</w:t>
            </w:r>
          </w:p>
        </w:tc>
        <w:tc>
          <w:tcPr>
            <w:tcW w:w="2083" w:type="dxa"/>
            <w:tcBorders>
              <w:top w:val="single" w:color="auto" w:sz="4" w:space="0"/>
              <w:left w:val="single" w:color="auto" w:sz="4" w:space="0"/>
              <w:bottom w:val="single" w:color="auto" w:sz="4" w:space="0"/>
              <w:right w:val="single" w:color="auto" w:sz="4" w:space="0"/>
            </w:tcBorders>
            <w:vAlign w:val="center"/>
          </w:tcPr>
          <w:p w14:paraId="7F2991E5">
            <w:pPr>
              <w:spacing w:line="400" w:lineRule="exact"/>
              <w:rPr>
                <w:rFonts w:ascii="宋体" w:cs="宋体"/>
                <w:color w:val="auto"/>
                <w:szCs w:val="21"/>
                <w:highlight w:val="none"/>
              </w:rPr>
            </w:pPr>
            <w:bookmarkStart w:id="95" w:name="_39.1"/>
            <w:bookmarkEnd w:id="95"/>
            <w:r>
              <w:rPr>
                <w:rFonts w:hint="eastAsia" w:ascii="宋体" w:cs="宋体"/>
                <w:color w:val="auto"/>
                <w:szCs w:val="21"/>
                <w:highlight w:val="none"/>
              </w:rPr>
              <w:t>履约保证金金额</w:t>
            </w:r>
          </w:p>
        </w:tc>
        <w:tc>
          <w:tcPr>
            <w:tcW w:w="7021" w:type="dxa"/>
            <w:tcBorders>
              <w:top w:val="single" w:color="auto" w:sz="4" w:space="0"/>
              <w:left w:val="single" w:color="auto" w:sz="4" w:space="0"/>
              <w:bottom w:val="single" w:color="auto" w:sz="4" w:space="0"/>
              <w:right w:val="single" w:color="auto" w:sz="4" w:space="0"/>
            </w:tcBorders>
            <w:vAlign w:val="bottom"/>
          </w:tcPr>
          <w:p w14:paraId="4F15C12A">
            <w:pPr>
              <w:spacing w:line="400" w:lineRule="exact"/>
              <w:rPr>
                <w:rFonts w:ascii="宋体" w:cs="宋体"/>
                <w:b/>
                <w:bCs/>
                <w:color w:val="auto"/>
                <w:szCs w:val="21"/>
                <w:highlight w:val="none"/>
              </w:rPr>
            </w:pPr>
            <w:r>
              <w:rPr>
                <w:rFonts w:hint="eastAsia" w:ascii="宋体" w:cs="宋体"/>
                <w:color w:val="auto"/>
                <w:szCs w:val="21"/>
                <w:highlight w:val="none"/>
                <w:lang w:eastAsia="zh-CN"/>
              </w:rPr>
              <w:t>☑</w:t>
            </w:r>
            <w:r>
              <w:rPr>
                <w:rFonts w:hint="eastAsia" w:ascii="宋体" w:cs="宋体"/>
                <w:b/>
                <w:bCs/>
                <w:color w:val="auto"/>
                <w:szCs w:val="21"/>
                <w:highlight w:val="none"/>
              </w:rPr>
              <w:t>本项目不需要缴</w:t>
            </w:r>
            <w:r>
              <w:rPr>
                <w:rFonts w:hint="eastAsia" w:ascii="宋体" w:cs="宋体"/>
                <w:b/>
                <w:bCs/>
                <w:color w:val="auto"/>
                <w:kern w:val="0"/>
                <w:szCs w:val="21"/>
                <w:highlight w:val="none"/>
              </w:rPr>
              <w:t>纳</w:t>
            </w:r>
            <w:r>
              <w:rPr>
                <w:rFonts w:hint="eastAsia" w:ascii="宋体" w:cs="宋体"/>
                <w:b/>
                <w:bCs/>
                <w:color w:val="auto"/>
                <w:szCs w:val="21"/>
                <w:highlight w:val="none"/>
              </w:rPr>
              <w:t>履约保证金。</w:t>
            </w:r>
          </w:p>
          <w:p w14:paraId="71E0108F">
            <w:pPr>
              <w:spacing w:line="400" w:lineRule="exact"/>
              <w:rPr>
                <w:rFonts w:ascii="宋体" w:cs="宋体"/>
                <w:b/>
                <w:bCs/>
                <w:color w:val="auto"/>
                <w:szCs w:val="21"/>
                <w:highlight w:val="none"/>
              </w:rPr>
            </w:pPr>
            <w:r>
              <w:rPr>
                <w:rFonts w:hint="eastAsia" w:ascii="宋体" w:cs="宋体"/>
                <w:b/>
                <w:bCs/>
                <w:color w:val="auto"/>
                <w:szCs w:val="21"/>
                <w:highlight w:val="none"/>
                <w:lang w:eastAsia="zh-CN"/>
              </w:rPr>
              <w:t>□</w:t>
            </w:r>
            <w:r>
              <w:rPr>
                <w:rFonts w:hint="eastAsia" w:ascii="宋体" w:cs="宋体"/>
                <w:b/>
                <w:bCs/>
                <w:color w:val="auto"/>
                <w:szCs w:val="21"/>
                <w:highlight w:val="none"/>
              </w:rPr>
              <w:t>本项目需要缴</w:t>
            </w:r>
            <w:r>
              <w:rPr>
                <w:rFonts w:hint="eastAsia" w:ascii="宋体" w:cs="宋体"/>
                <w:b/>
                <w:bCs/>
                <w:color w:val="auto"/>
                <w:kern w:val="0"/>
                <w:szCs w:val="21"/>
                <w:highlight w:val="none"/>
              </w:rPr>
              <w:t>纳</w:t>
            </w:r>
            <w:r>
              <w:rPr>
                <w:rFonts w:hint="eastAsia" w:ascii="宋体" w:cs="宋体"/>
                <w:b/>
                <w:bCs/>
                <w:color w:val="auto"/>
                <w:szCs w:val="21"/>
                <w:highlight w:val="none"/>
              </w:rPr>
              <w:t>履约保证金，相关要求如下：</w:t>
            </w:r>
          </w:p>
          <w:p w14:paraId="031DA401">
            <w:pPr>
              <w:autoSpaceDE w:val="0"/>
              <w:autoSpaceDN w:val="0"/>
              <w:snapToGrid w:val="0"/>
              <w:spacing w:line="400" w:lineRule="exact"/>
              <w:textAlignment w:val="bottom"/>
              <w:rPr>
                <w:rFonts w:ascii="宋体" w:cs="宋体"/>
                <w:color w:val="auto"/>
                <w:szCs w:val="21"/>
                <w:highlight w:val="none"/>
              </w:rPr>
            </w:pPr>
            <w:r>
              <w:rPr>
                <w:rFonts w:ascii="宋体" w:cs="宋体"/>
                <w:color w:val="auto"/>
                <w:szCs w:val="21"/>
                <w:highlight w:val="none"/>
              </w:rPr>
              <w:t>1.</w:t>
            </w:r>
            <w:r>
              <w:rPr>
                <w:rFonts w:hint="eastAsia" w:ascii="宋体" w:cs="宋体"/>
                <w:color w:val="auto"/>
                <w:szCs w:val="21"/>
                <w:highlight w:val="none"/>
              </w:rPr>
              <w:t>履约保证金金额：中标人为中小微企业的，履约保证金为合同金额的2%，大型企业的履约保证金为合同金额的5%（以投标文件中提交的中小企业声明函为依据）；签订合同前交至指定账户，否则不予签订合同。</w:t>
            </w:r>
          </w:p>
          <w:p w14:paraId="05A115A9">
            <w:pPr>
              <w:autoSpaceDE w:val="0"/>
              <w:autoSpaceDN w:val="0"/>
              <w:snapToGrid w:val="0"/>
              <w:spacing w:line="400" w:lineRule="exact"/>
              <w:textAlignment w:val="bottom"/>
              <w:rPr>
                <w:rFonts w:ascii="宋体" w:cs="宋体"/>
                <w:color w:val="auto"/>
                <w:szCs w:val="21"/>
                <w:highlight w:val="none"/>
              </w:rPr>
            </w:pPr>
            <w:r>
              <w:rPr>
                <w:rFonts w:hint="eastAsia" w:ascii="宋体" w:cs="宋体"/>
                <w:color w:val="auto"/>
                <w:szCs w:val="21"/>
                <w:highlight w:val="none"/>
              </w:rPr>
              <w:t>2.履约保证金递交方式：中标人在</w:t>
            </w:r>
            <w:r>
              <w:rPr>
                <w:rFonts w:hint="eastAsia" w:ascii="宋体" w:cs="宋体"/>
                <w:color w:val="auto"/>
                <w:kern w:val="0"/>
                <w:szCs w:val="21"/>
                <w:highlight w:val="none"/>
                <w:u w:val="single"/>
              </w:rPr>
              <w:t>签订合同</w:t>
            </w:r>
            <w:r>
              <w:rPr>
                <w:rFonts w:hint="eastAsia" w:ascii="宋体" w:cs="宋体"/>
                <w:color w:val="auto"/>
                <w:szCs w:val="21"/>
                <w:highlight w:val="none"/>
                <w:u w:val="single"/>
              </w:rPr>
              <w:t>前</w:t>
            </w:r>
            <w:r>
              <w:rPr>
                <w:rFonts w:hint="eastAsia" w:ascii="宋体" w:cs="宋体"/>
                <w:color w:val="auto"/>
                <w:szCs w:val="21"/>
                <w:highlight w:val="none"/>
              </w:rPr>
              <w:t>以银行转账、支票、汇票、本票或者金融机构、担保机构出具的保函等非现金方式向</w:t>
            </w:r>
            <w:r>
              <w:rPr>
                <w:rFonts w:hint="eastAsia" w:ascii="宋体" w:cs="宋体"/>
                <w:color w:val="auto"/>
                <w:szCs w:val="21"/>
                <w:highlight w:val="none"/>
                <w:u w:val="single"/>
              </w:rPr>
              <w:t>采购人</w:t>
            </w:r>
            <w:r>
              <w:rPr>
                <w:rFonts w:hint="eastAsia" w:ascii="宋体" w:cs="宋体"/>
                <w:color w:val="auto"/>
                <w:szCs w:val="21"/>
                <w:highlight w:val="none"/>
              </w:rPr>
              <w:t>提交。</w:t>
            </w:r>
          </w:p>
          <w:p w14:paraId="7D3055A2">
            <w:pPr>
              <w:autoSpaceDE w:val="0"/>
              <w:autoSpaceDN w:val="0"/>
              <w:snapToGrid w:val="0"/>
              <w:spacing w:line="400" w:lineRule="exact"/>
              <w:textAlignment w:val="bottom"/>
              <w:rPr>
                <w:rFonts w:ascii="宋体" w:cs="宋体"/>
                <w:color w:val="auto"/>
                <w:szCs w:val="21"/>
                <w:highlight w:val="none"/>
                <w:u w:val="single"/>
              </w:rPr>
            </w:pPr>
            <w:r>
              <w:rPr>
                <w:rFonts w:hint="eastAsia" w:ascii="宋体" w:cs="宋体"/>
                <w:color w:val="auto"/>
                <w:szCs w:val="21"/>
                <w:highlight w:val="none"/>
              </w:rPr>
              <w:t>3.履约保证金退付方式、时间及条件：项目验收合格后，中标人提供《政府采购项目履约保证金退付意见书》及《政府采购项目合同验收报告》，向采购人提出书面申请退还，采购人在5个工作日内办理履约保证金退还手续（不计利息）。</w:t>
            </w:r>
          </w:p>
          <w:p w14:paraId="7D003E53">
            <w:pPr>
              <w:autoSpaceDE w:val="0"/>
              <w:autoSpaceDN w:val="0"/>
              <w:snapToGrid w:val="0"/>
              <w:spacing w:line="400" w:lineRule="exact"/>
              <w:textAlignment w:val="bottom"/>
              <w:rPr>
                <w:rFonts w:ascii="宋体" w:cs="宋体"/>
                <w:color w:val="auto"/>
                <w:szCs w:val="21"/>
                <w:highlight w:val="none"/>
              </w:rPr>
            </w:pPr>
            <w:r>
              <w:rPr>
                <w:rFonts w:hint="eastAsia" w:ascii="宋体" w:cs="宋体"/>
                <w:color w:val="auto"/>
                <w:szCs w:val="21"/>
                <w:highlight w:val="none"/>
              </w:rPr>
              <w:t>4.缴纳履约保证金的指定账户：</w:t>
            </w:r>
          </w:p>
          <w:p w14:paraId="36FBEFDB">
            <w:pPr>
              <w:autoSpaceDE w:val="0"/>
              <w:autoSpaceDN w:val="0"/>
              <w:snapToGrid w:val="0"/>
              <w:spacing w:line="400" w:lineRule="exact"/>
              <w:textAlignment w:val="bottom"/>
              <w:rPr>
                <w:rFonts w:hint="eastAsia" w:ascii="宋体" w:hAnsi="宋体" w:eastAsia="宋体" w:cs="宋体"/>
                <w:color w:val="auto"/>
                <w:highlight w:val="none"/>
                <w:lang w:eastAsia="zh-CN"/>
              </w:rPr>
            </w:pPr>
            <w:r>
              <w:rPr>
                <w:rFonts w:hint="eastAsia" w:ascii="宋体" w:cs="宋体"/>
                <w:color w:val="auto"/>
                <w:szCs w:val="21"/>
                <w:highlight w:val="none"/>
              </w:rPr>
              <w:t>开户名称：</w:t>
            </w:r>
          </w:p>
          <w:p w14:paraId="7CFED4CE">
            <w:pPr>
              <w:autoSpaceDE w:val="0"/>
              <w:autoSpaceDN w:val="0"/>
              <w:snapToGrid w:val="0"/>
              <w:spacing w:line="400" w:lineRule="exact"/>
              <w:jc w:val="left"/>
              <w:textAlignment w:val="bottom"/>
              <w:rPr>
                <w:rFonts w:hint="eastAsia" w:ascii="宋体" w:hAnsi="宋体" w:cs="宋体"/>
                <w:color w:val="auto"/>
                <w:highlight w:val="none"/>
              </w:rPr>
            </w:pPr>
            <w:r>
              <w:rPr>
                <w:rFonts w:hint="eastAsia" w:ascii="宋体" w:hAnsi="宋体" w:cs="宋体"/>
                <w:color w:val="auto"/>
                <w:highlight w:val="none"/>
              </w:rPr>
              <w:t>开户银行：</w:t>
            </w:r>
          </w:p>
          <w:p w14:paraId="7BF690B8">
            <w:pPr>
              <w:autoSpaceDE w:val="0"/>
              <w:autoSpaceDN w:val="0"/>
              <w:snapToGrid w:val="0"/>
              <w:spacing w:line="400" w:lineRule="exact"/>
              <w:jc w:val="left"/>
              <w:textAlignment w:val="bottom"/>
              <w:rPr>
                <w:rFonts w:ascii="宋体" w:cs="宋体"/>
                <w:color w:val="auto"/>
                <w:szCs w:val="21"/>
                <w:highlight w:val="none"/>
              </w:rPr>
            </w:pPr>
            <w:r>
              <w:rPr>
                <w:rFonts w:hint="eastAsia" w:ascii="宋体" w:hAnsi="宋体" w:cs="宋体"/>
                <w:color w:val="auto"/>
                <w:highlight w:val="none"/>
              </w:rPr>
              <w:t>银行账号：</w:t>
            </w:r>
          </w:p>
          <w:p w14:paraId="04385989">
            <w:pPr>
              <w:spacing w:line="400" w:lineRule="exact"/>
              <w:jc w:val="left"/>
              <w:rPr>
                <w:rFonts w:ascii="宋体" w:cs="宋体"/>
                <w:color w:val="auto"/>
                <w:szCs w:val="21"/>
                <w:highlight w:val="none"/>
              </w:rPr>
            </w:pPr>
            <w:r>
              <w:rPr>
                <w:rFonts w:hint="eastAsia" w:ascii="宋体" w:cs="宋体"/>
                <w:color w:val="auto"/>
                <w:szCs w:val="21"/>
                <w:highlight w:val="none"/>
              </w:rPr>
              <w:t>备注：</w:t>
            </w:r>
          </w:p>
          <w:p w14:paraId="3D007524">
            <w:pPr>
              <w:spacing w:line="400" w:lineRule="exact"/>
              <w:jc w:val="left"/>
              <w:rPr>
                <w:rFonts w:ascii="宋体" w:cs="宋体"/>
                <w:b/>
                <w:color w:val="auto"/>
                <w:szCs w:val="21"/>
                <w:highlight w:val="none"/>
              </w:rPr>
            </w:pPr>
            <w:r>
              <w:rPr>
                <w:rFonts w:hint="eastAsia" w:ascii="宋体" w:cs="宋体"/>
                <w:b/>
                <w:color w:val="auto"/>
                <w:szCs w:val="21"/>
                <w:highlight w:val="none"/>
              </w:rPr>
              <w:t>1</w:t>
            </w:r>
            <w:bookmarkStart w:id="96" w:name="_Hlk54170335"/>
            <w:r>
              <w:rPr>
                <w:rFonts w:hint="eastAsia" w:ascii="宋体" w:cs="宋体"/>
                <w:b/>
                <w:color w:val="auto"/>
                <w:szCs w:val="21"/>
                <w:highlight w:val="none"/>
              </w:rPr>
              <w:t>、</w:t>
            </w:r>
            <w:bookmarkEnd w:id="96"/>
            <w:r>
              <w:rPr>
                <w:rFonts w:hint="eastAsia" w:ascii="宋体" w:cs="宋体"/>
                <w:b/>
                <w:color w:val="auto"/>
                <w:szCs w:val="21"/>
                <w:highlight w:val="none"/>
              </w:rPr>
              <w:t>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0A25F4AF">
            <w:pPr>
              <w:spacing w:line="400" w:lineRule="exact"/>
              <w:jc w:val="left"/>
              <w:rPr>
                <w:rFonts w:ascii="宋体" w:cs="宋体"/>
                <w:b/>
                <w:color w:val="auto"/>
                <w:szCs w:val="21"/>
                <w:highlight w:val="none"/>
              </w:rPr>
            </w:pPr>
            <w:r>
              <w:rPr>
                <w:rFonts w:hint="eastAsia" w:ascii="宋体" w:cs="宋体"/>
                <w:b/>
                <w:color w:val="auto"/>
                <w:szCs w:val="21"/>
                <w:highlight w:val="none"/>
                <w:lang w:val="en-US" w:eastAsia="zh-CN"/>
              </w:rPr>
              <w:t>2</w:t>
            </w:r>
            <w:r>
              <w:rPr>
                <w:rFonts w:hint="eastAsia" w:ascii="宋体" w:cs="宋体"/>
                <w:b/>
                <w:color w:val="auto"/>
                <w:szCs w:val="21"/>
                <w:highlight w:val="none"/>
              </w:rPr>
              <w:t>、采用金融、担保机构出具的保函的，必须为无条件保函，否则不予签订合同。</w:t>
            </w:r>
          </w:p>
          <w:p w14:paraId="51BFE4D5">
            <w:pPr>
              <w:autoSpaceDE w:val="0"/>
              <w:autoSpaceDN w:val="0"/>
              <w:snapToGrid w:val="0"/>
              <w:spacing w:line="400" w:lineRule="exact"/>
              <w:jc w:val="left"/>
              <w:textAlignment w:val="bottom"/>
              <w:rPr>
                <w:rFonts w:ascii="宋体" w:cs="宋体"/>
                <w:color w:val="auto"/>
                <w:szCs w:val="21"/>
                <w:highlight w:val="none"/>
              </w:rPr>
            </w:pPr>
            <w:r>
              <w:rPr>
                <w:rFonts w:hint="eastAsia" w:ascii="宋体" w:cs="宋体"/>
                <w:b/>
                <w:color w:val="auto"/>
                <w:szCs w:val="21"/>
                <w:highlight w:val="none"/>
                <w:lang w:val="en-US" w:eastAsia="zh-CN"/>
              </w:rPr>
              <w:t>3</w:t>
            </w:r>
            <w:r>
              <w:rPr>
                <w:rFonts w:hint="eastAsia" w:ascii="宋体" w:cs="宋体"/>
                <w:b/>
                <w:color w:val="auto"/>
                <w:szCs w:val="21"/>
                <w:highlight w:val="none"/>
              </w:rPr>
              <w:t>、投标人为联合体的，由联合体其中一方按规定提交的履约保证金，视为有效履约保证金。</w:t>
            </w:r>
          </w:p>
        </w:tc>
      </w:tr>
      <w:tr w14:paraId="543525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01D9C960">
            <w:pPr>
              <w:spacing w:line="400" w:lineRule="exact"/>
              <w:rPr>
                <w:rFonts w:ascii="宋体" w:cs="宋体"/>
                <w:color w:val="auto"/>
                <w:szCs w:val="21"/>
                <w:highlight w:val="none"/>
              </w:rPr>
            </w:pPr>
            <w:r>
              <w:rPr>
                <w:rFonts w:hint="eastAsia" w:ascii="宋体" w:cs="宋体"/>
                <w:color w:val="auto"/>
                <w:szCs w:val="21"/>
                <w:highlight w:val="none"/>
              </w:rPr>
              <w:t>36.1</w:t>
            </w:r>
          </w:p>
        </w:tc>
        <w:tc>
          <w:tcPr>
            <w:tcW w:w="2083" w:type="dxa"/>
            <w:tcBorders>
              <w:top w:val="single" w:color="auto" w:sz="4" w:space="0"/>
              <w:left w:val="single" w:color="auto" w:sz="4" w:space="0"/>
              <w:bottom w:val="single" w:color="auto" w:sz="4" w:space="0"/>
              <w:right w:val="single" w:color="auto" w:sz="4" w:space="0"/>
            </w:tcBorders>
            <w:vAlign w:val="center"/>
          </w:tcPr>
          <w:p w14:paraId="0301BA28">
            <w:pPr>
              <w:spacing w:line="400" w:lineRule="exact"/>
              <w:rPr>
                <w:rFonts w:ascii="宋体" w:cs="宋体"/>
                <w:color w:val="auto"/>
                <w:szCs w:val="21"/>
                <w:highlight w:val="none"/>
              </w:rPr>
            </w:pPr>
            <w:bookmarkStart w:id="97" w:name="_40.1"/>
            <w:bookmarkEnd w:id="97"/>
            <w:r>
              <w:rPr>
                <w:rFonts w:hint="eastAsia" w:ascii="宋体" w:cs="宋体"/>
                <w:color w:val="auto"/>
                <w:szCs w:val="21"/>
                <w:highlight w:val="none"/>
              </w:rPr>
              <w:t>签订合同携带的材料</w:t>
            </w:r>
          </w:p>
        </w:tc>
        <w:tc>
          <w:tcPr>
            <w:tcW w:w="7021" w:type="dxa"/>
            <w:tcBorders>
              <w:top w:val="single" w:color="auto" w:sz="4" w:space="0"/>
              <w:left w:val="single" w:color="auto" w:sz="4" w:space="0"/>
              <w:bottom w:val="single" w:color="auto" w:sz="4" w:space="0"/>
              <w:right w:val="single" w:color="auto" w:sz="4" w:space="0"/>
            </w:tcBorders>
            <w:vAlign w:val="center"/>
          </w:tcPr>
          <w:p w14:paraId="4807A32C">
            <w:pPr>
              <w:autoSpaceDE w:val="0"/>
              <w:autoSpaceDN w:val="0"/>
              <w:snapToGrid w:val="0"/>
              <w:spacing w:line="400" w:lineRule="exact"/>
              <w:textAlignment w:val="bottom"/>
              <w:rPr>
                <w:rFonts w:ascii="宋体" w:cs="宋体"/>
                <w:color w:val="auto"/>
                <w:szCs w:val="21"/>
                <w:highlight w:val="none"/>
              </w:rPr>
            </w:pPr>
            <w:r>
              <w:rPr>
                <w:rFonts w:hint="eastAsia" w:ascii="宋体" w:cs="宋体"/>
                <w:color w:val="auto"/>
                <w:szCs w:val="21"/>
                <w:highlight w:val="none"/>
              </w:rPr>
              <w:t>委托代理人负责签订合同的，须携带有效的法定代表人授权委托书及其委托代理人身份证原件等其他资格证件。</w:t>
            </w:r>
          </w:p>
          <w:p w14:paraId="6B3F237E">
            <w:pPr>
              <w:pStyle w:val="20"/>
              <w:spacing w:line="400" w:lineRule="exact"/>
              <w:rPr>
                <w:rFonts w:ascii="宋体" w:cs="宋体"/>
                <w:color w:val="auto"/>
                <w:sz w:val="21"/>
                <w:szCs w:val="21"/>
                <w:highlight w:val="none"/>
              </w:rPr>
            </w:pPr>
            <w:r>
              <w:rPr>
                <w:rFonts w:hint="eastAsia" w:ascii="宋体" w:cs="宋体"/>
                <w:color w:val="auto"/>
                <w:sz w:val="21"/>
                <w:szCs w:val="21"/>
                <w:highlight w:val="none"/>
              </w:rPr>
              <w:t>法定代表人负责签订合同的，须携带法定代表人身份证明原件及身份证原件等其他证明材料。</w:t>
            </w:r>
          </w:p>
        </w:tc>
      </w:tr>
      <w:tr w14:paraId="0BC4C8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860" w:type="dxa"/>
            <w:vMerge w:val="restart"/>
            <w:tcBorders>
              <w:top w:val="single" w:color="auto" w:sz="4" w:space="0"/>
              <w:left w:val="single" w:color="auto" w:sz="4" w:space="0"/>
              <w:bottom w:val="single" w:color="auto" w:sz="4" w:space="0"/>
              <w:right w:val="single" w:color="auto" w:sz="4" w:space="0"/>
            </w:tcBorders>
            <w:vAlign w:val="center"/>
          </w:tcPr>
          <w:p w14:paraId="3E78A934">
            <w:pPr>
              <w:spacing w:line="400" w:lineRule="exact"/>
              <w:rPr>
                <w:rFonts w:ascii="宋体" w:cs="宋体"/>
                <w:color w:val="auto"/>
                <w:szCs w:val="21"/>
                <w:highlight w:val="none"/>
              </w:rPr>
            </w:pPr>
            <w:r>
              <w:rPr>
                <w:rFonts w:hint="eastAsia" w:ascii="宋体" w:cs="宋体"/>
                <w:color w:val="auto"/>
                <w:szCs w:val="21"/>
                <w:highlight w:val="none"/>
              </w:rPr>
              <w:t>38.2.1</w:t>
            </w:r>
          </w:p>
        </w:tc>
        <w:tc>
          <w:tcPr>
            <w:tcW w:w="2083" w:type="dxa"/>
            <w:tcBorders>
              <w:top w:val="single" w:color="auto" w:sz="4" w:space="0"/>
              <w:left w:val="single" w:color="auto" w:sz="4" w:space="0"/>
              <w:bottom w:val="single" w:color="auto" w:sz="4" w:space="0"/>
              <w:right w:val="single" w:color="auto" w:sz="4" w:space="0"/>
            </w:tcBorders>
            <w:vAlign w:val="center"/>
          </w:tcPr>
          <w:p w14:paraId="54F3E188">
            <w:pPr>
              <w:spacing w:line="400" w:lineRule="exact"/>
              <w:rPr>
                <w:rFonts w:ascii="宋体" w:cs="宋体"/>
                <w:color w:val="auto"/>
                <w:szCs w:val="21"/>
                <w:highlight w:val="none"/>
              </w:rPr>
            </w:pPr>
            <w:r>
              <w:rPr>
                <w:rFonts w:hint="eastAsia" w:ascii="宋体" w:cs="宋体"/>
                <w:color w:val="auto"/>
                <w:szCs w:val="21"/>
                <w:highlight w:val="none"/>
              </w:rPr>
              <w:t>接收质疑函方式</w:t>
            </w:r>
          </w:p>
        </w:tc>
        <w:tc>
          <w:tcPr>
            <w:tcW w:w="7021" w:type="dxa"/>
            <w:tcBorders>
              <w:top w:val="single" w:color="auto" w:sz="4" w:space="0"/>
              <w:left w:val="single" w:color="auto" w:sz="4" w:space="0"/>
              <w:bottom w:val="single" w:color="auto" w:sz="4" w:space="0"/>
              <w:right w:val="single" w:color="auto" w:sz="4" w:space="0"/>
            </w:tcBorders>
            <w:vAlign w:val="center"/>
          </w:tcPr>
          <w:p w14:paraId="4B10D6C6">
            <w:pPr>
              <w:snapToGrid w:val="0"/>
              <w:spacing w:line="400" w:lineRule="exact"/>
              <w:rPr>
                <w:rFonts w:ascii="宋体" w:cs="宋体"/>
                <w:color w:val="auto"/>
                <w:szCs w:val="21"/>
                <w:highlight w:val="none"/>
              </w:rPr>
            </w:pPr>
            <w:r>
              <w:rPr>
                <w:rFonts w:hint="eastAsia" w:ascii="宋体" w:cs="宋体"/>
                <w:color w:val="auto"/>
                <w:szCs w:val="21"/>
                <w:highlight w:val="none"/>
              </w:rPr>
              <w:t>以书面形式</w:t>
            </w:r>
          </w:p>
        </w:tc>
      </w:tr>
      <w:tr w14:paraId="729C4B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14:paraId="64950C39"/>
        </w:tc>
        <w:tc>
          <w:tcPr>
            <w:tcW w:w="2083" w:type="dxa"/>
            <w:tcBorders>
              <w:top w:val="single" w:color="auto" w:sz="4" w:space="0"/>
              <w:left w:val="single" w:color="auto" w:sz="4" w:space="0"/>
              <w:bottom w:val="single" w:color="auto" w:sz="4" w:space="0"/>
              <w:right w:val="single" w:color="auto" w:sz="4" w:space="0"/>
            </w:tcBorders>
            <w:vAlign w:val="center"/>
          </w:tcPr>
          <w:p w14:paraId="657F0DEA">
            <w:pPr>
              <w:spacing w:line="400" w:lineRule="exact"/>
              <w:rPr>
                <w:rFonts w:ascii="宋体" w:cs="宋体"/>
                <w:color w:val="auto"/>
                <w:szCs w:val="21"/>
                <w:highlight w:val="none"/>
              </w:rPr>
            </w:pPr>
            <w:r>
              <w:rPr>
                <w:rFonts w:hint="eastAsia" w:ascii="宋体" w:cs="宋体"/>
                <w:color w:val="auto"/>
                <w:szCs w:val="21"/>
                <w:highlight w:val="none"/>
              </w:rPr>
              <w:t>质疑联系部门及联系方式</w:t>
            </w:r>
          </w:p>
        </w:tc>
        <w:tc>
          <w:tcPr>
            <w:tcW w:w="7021" w:type="dxa"/>
            <w:tcBorders>
              <w:top w:val="single" w:color="auto" w:sz="4" w:space="0"/>
              <w:left w:val="single" w:color="auto" w:sz="4" w:space="0"/>
              <w:bottom w:val="single" w:color="auto" w:sz="4" w:space="0"/>
              <w:right w:val="single" w:color="auto" w:sz="4" w:space="0"/>
            </w:tcBorders>
            <w:vAlign w:val="center"/>
          </w:tcPr>
          <w:p w14:paraId="6097F8A4">
            <w:pPr>
              <w:snapToGrid w:val="0"/>
              <w:spacing w:line="400" w:lineRule="exact"/>
              <w:rPr>
                <w:rFonts w:hint="eastAsia" w:ascii="宋体" w:eastAsia="宋体" w:cs="宋体"/>
                <w:color w:val="auto"/>
                <w:szCs w:val="21"/>
                <w:highlight w:val="none"/>
                <w:lang w:eastAsia="zh-CN"/>
              </w:rPr>
            </w:pPr>
            <w:r>
              <w:rPr>
                <w:rFonts w:hint="eastAsia" w:ascii="宋体" w:cs="宋体"/>
                <w:color w:val="auto"/>
                <w:szCs w:val="21"/>
                <w:highlight w:val="none"/>
              </w:rPr>
              <w:t>（1）名称：</w:t>
            </w:r>
            <w:r>
              <w:rPr>
                <w:rFonts w:hint="eastAsia" w:ascii="宋体" w:cs="宋体"/>
                <w:color w:val="auto"/>
                <w:szCs w:val="21"/>
                <w:highlight w:val="none"/>
                <w:lang w:eastAsia="zh-CN"/>
              </w:rPr>
              <w:t>天等县卫生健康局</w:t>
            </w:r>
          </w:p>
          <w:p w14:paraId="0578D1A9">
            <w:pPr>
              <w:snapToGrid w:val="0"/>
              <w:spacing w:line="400" w:lineRule="exact"/>
              <w:rPr>
                <w:rFonts w:hint="eastAsia" w:ascii="宋体" w:cs="宋体"/>
                <w:color w:val="auto"/>
                <w:szCs w:val="21"/>
                <w:highlight w:val="none"/>
              </w:rPr>
            </w:pPr>
            <w:r>
              <w:rPr>
                <w:rFonts w:hint="eastAsia" w:ascii="宋体" w:cs="宋体"/>
                <w:color w:val="auto"/>
                <w:szCs w:val="21"/>
                <w:highlight w:val="none"/>
              </w:rPr>
              <w:t>联系电话：0771-3532248</w:t>
            </w:r>
          </w:p>
          <w:p w14:paraId="2961C5F3">
            <w:pPr>
              <w:snapToGrid w:val="0"/>
              <w:spacing w:line="400" w:lineRule="exact"/>
              <w:rPr>
                <w:rFonts w:ascii="宋体" w:cs="宋体"/>
                <w:color w:val="auto"/>
                <w:szCs w:val="21"/>
                <w:highlight w:val="none"/>
              </w:rPr>
            </w:pPr>
            <w:r>
              <w:rPr>
                <w:rFonts w:hint="eastAsia" w:ascii="宋体" w:cs="宋体"/>
                <w:color w:val="auto"/>
                <w:szCs w:val="21"/>
                <w:highlight w:val="none"/>
              </w:rPr>
              <w:t>接收质疑材料地址：</w:t>
            </w:r>
            <w:r>
              <w:rPr>
                <w:rFonts w:hint="eastAsia" w:ascii="宋体" w:hAnsi="宋体" w:eastAsia="宋体" w:cs="宋体"/>
                <w:color w:val="auto"/>
                <w:kern w:val="0"/>
                <w:sz w:val="21"/>
                <w:szCs w:val="21"/>
                <w:highlight w:val="none"/>
              </w:rPr>
              <w:t>天等县政府城南办公区5栋</w:t>
            </w:r>
          </w:p>
          <w:p w14:paraId="54D8CB03">
            <w:pPr>
              <w:snapToGrid w:val="0"/>
              <w:spacing w:line="400" w:lineRule="exact"/>
              <w:rPr>
                <w:rFonts w:ascii="宋体" w:cs="宋体"/>
                <w:color w:val="auto"/>
                <w:szCs w:val="21"/>
                <w:highlight w:val="none"/>
              </w:rPr>
            </w:pPr>
            <w:r>
              <w:rPr>
                <w:rFonts w:hint="eastAsia" w:ascii="宋体" w:cs="宋体"/>
                <w:color w:val="auto"/>
                <w:szCs w:val="21"/>
                <w:highlight w:val="none"/>
              </w:rPr>
              <w:t>（2）名称：广西科联招标中心有限公司</w:t>
            </w:r>
          </w:p>
          <w:p w14:paraId="6C603042">
            <w:pPr>
              <w:snapToGrid w:val="0"/>
              <w:spacing w:line="400" w:lineRule="exact"/>
              <w:rPr>
                <w:rFonts w:ascii="宋体" w:eastAsia="宋体" w:cs="宋体"/>
                <w:color w:val="auto"/>
                <w:szCs w:val="21"/>
                <w:highlight w:val="none"/>
                <w:lang w:val="en-US" w:eastAsia="zh-CN"/>
              </w:rPr>
            </w:pPr>
            <w:r>
              <w:rPr>
                <w:rFonts w:hint="eastAsia" w:ascii="宋体" w:cs="宋体"/>
                <w:color w:val="auto"/>
                <w:szCs w:val="21"/>
                <w:highlight w:val="none"/>
              </w:rPr>
              <w:t>联系电话：</w:t>
            </w:r>
            <w:r>
              <w:rPr>
                <w:rFonts w:hint="eastAsia" w:ascii="宋体" w:hAnsi="宋体" w:eastAsia="宋体" w:cs="宋体"/>
                <w:color w:val="auto"/>
                <w:kern w:val="0"/>
                <w:sz w:val="21"/>
                <w:szCs w:val="21"/>
                <w:highlight w:val="none"/>
              </w:rPr>
              <w:t>0771-</w:t>
            </w:r>
            <w:r>
              <w:rPr>
                <w:rFonts w:hint="eastAsia" w:ascii="宋体" w:hAnsi="宋体" w:cs="宋体"/>
                <w:color w:val="auto"/>
                <w:kern w:val="0"/>
                <w:sz w:val="21"/>
                <w:szCs w:val="21"/>
                <w:highlight w:val="none"/>
                <w:lang w:val="en-US" w:eastAsia="zh-CN"/>
              </w:rPr>
              <w:t>3482237</w:t>
            </w:r>
          </w:p>
          <w:p w14:paraId="05658DF5">
            <w:pPr>
              <w:snapToGrid w:val="0"/>
              <w:spacing w:line="400" w:lineRule="exact"/>
              <w:rPr>
                <w:rFonts w:ascii="宋体" w:cs="宋体"/>
                <w:color w:val="auto"/>
                <w:szCs w:val="21"/>
                <w:highlight w:val="none"/>
              </w:rPr>
            </w:pPr>
            <w:r>
              <w:rPr>
                <w:rFonts w:hint="eastAsia" w:ascii="宋体" w:cs="宋体"/>
                <w:color w:val="auto"/>
                <w:szCs w:val="21"/>
                <w:highlight w:val="none"/>
              </w:rPr>
              <w:t>通讯地址：</w:t>
            </w:r>
            <w:r>
              <w:rPr>
                <w:rFonts w:hint="eastAsia" w:ascii="宋体" w:hAnsi="宋体" w:eastAsia="宋体" w:cs="宋体"/>
                <w:color w:val="auto"/>
                <w:sz w:val="21"/>
                <w:szCs w:val="21"/>
                <w:highlight w:val="none"/>
                <w:lang w:val="en-US" w:eastAsia="zh-CN"/>
              </w:rPr>
              <w:t>崇左市新城区新城路2号阳光名邸C#5栋204号</w:t>
            </w:r>
          </w:p>
        </w:tc>
      </w:tr>
      <w:tr w14:paraId="45C067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14:paraId="2227A802"/>
        </w:tc>
        <w:tc>
          <w:tcPr>
            <w:tcW w:w="2083" w:type="dxa"/>
            <w:tcBorders>
              <w:top w:val="single" w:color="auto" w:sz="4" w:space="0"/>
              <w:left w:val="single" w:color="auto" w:sz="4" w:space="0"/>
              <w:bottom w:val="single" w:color="auto" w:sz="4" w:space="0"/>
              <w:right w:val="single" w:color="auto" w:sz="4" w:space="0"/>
            </w:tcBorders>
            <w:vAlign w:val="center"/>
          </w:tcPr>
          <w:p w14:paraId="7C399C44">
            <w:pPr>
              <w:spacing w:line="400" w:lineRule="exact"/>
              <w:rPr>
                <w:rFonts w:ascii="宋体" w:cs="宋体"/>
                <w:color w:val="auto"/>
                <w:szCs w:val="21"/>
                <w:highlight w:val="none"/>
              </w:rPr>
            </w:pPr>
            <w:r>
              <w:rPr>
                <w:rFonts w:hint="eastAsia" w:ascii="宋体" w:cs="宋体"/>
                <w:color w:val="auto"/>
                <w:szCs w:val="21"/>
                <w:highlight w:val="none"/>
              </w:rPr>
              <w:t>现场提交质疑办理业务时间</w:t>
            </w:r>
          </w:p>
        </w:tc>
        <w:tc>
          <w:tcPr>
            <w:tcW w:w="7021" w:type="dxa"/>
            <w:tcBorders>
              <w:top w:val="single" w:color="auto" w:sz="4" w:space="0"/>
              <w:left w:val="single" w:color="auto" w:sz="4" w:space="0"/>
              <w:bottom w:val="single" w:color="auto" w:sz="4" w:space="0"/>
              <w:right w:val="single" w:color="auto" w:sz="4" w:space="0"/>
            </w:tcBorders>
            <w:vAlign w:val="center"/>
          </w:tcPr>
          <w:p w14:paraId="7D6D0A50">
            <w:pPr>
              <w:snapToGrid w:val="0"/>
              <w:spacing w:line="400" w:lineRule="exact"/>
              <w:rPr>
                <w:rFonts w:ascii="宋体" w:cs="宋体"/>
                <w:color w:val="auto"/>
                <w:szCs w:val="21"/>
                <w:highlight w:val="none"/>
              </w:rPr>
            </w:pPr>
            <w:r>
              <w:rPr>
                <w:rFonts w:hint="eastAsia" w:ascii="宋体" w:cs="宋体"/>
                <w:color w:val="auto"/>
                <w:szCs w:val="21"/>
                <w:highlight w:val="none"/>
              </w:rPr>
              <w:t>质疑期内每个工作日（北京时间）上午</w:t>
            </w:r>
            <w:r>
              <w:rPr>
                <w:rFonts w:hint="eastAsia" w:ascii="宋体" w:cs="宋体"/>
                <w:color w:val="auto"/>
                <w:szCs w:val="21"/>
                <w:highlight w:val="none"/>
                <w:u w:val="single"/>
              </w:rPr>
              <w:t>8</w:t>
            </w:r>
            <w:r>
              <w:rPr>
                <w:rFonts w:hint="eastAsia" w:ascii="宋体" w:cs="宋体"/>
                <w:color w:val="auto"/>
                <w:szCs w:val="21"/>
                <w:highlight w:val="none"/>
              </w:rPr>
              <w:t>时</w:t>
            </w:r>
            <w:r>
              <w:rPr>
                <w:rFonts w:hint="eastAsia" w:ascii="宋体" w:cs="宋体"/>
                <w:color w:val="auto"/>
                <w:szCs w:val="21"/>
                <w:highlight w:val="none"/>
                <w:u w:val="single"/>
              </w:rPr>
              <w:t>00</w:t>
            </w:r>
            <w:r>
              <w:rPr>
                <w:rFonts w:hint="eastAsia" w:ascii="宋体" w:cs="宋体"/>
                <w:color w:val="auto"/>
                <w:szCs w:val="21"/>
                <w:highlight w:val="none"/>
              </w:rPr>
              <w:t>分到</w:t>
            </w:r>
            <w:r>
              <w:rPr>
                <w:rFonts w:hint="eastAsia" w:ascii="宋体" w:cs="宋体"/>
                <w:color w:val="auto"/>
                <w:szCs w:val="21"/>
                <w:highlight w:val="none"/>
                <w:u w:val="single"/>
              </w:rPr>
              <w:t>12</w:t>
            </w:r>
            <w:r>
              <w:rPr>
                <w:rFonts w:hint="eastAsia" w:ascii="宋体" w:cs="宋体"/>
                <w:color w:val="auto"/>
                <w:szCs w:val="21"/>
                <w:highlight w:val="none"/>
              </w:rPr>
              <w:t>时</w:t>
            </w:r>
            <w:r>
              <w:rPr>
                <w:rFonts w:hint="eastAsia" w:ascii="宋体" w:cs="宋体"/>
                <w:color w:val="auto"/>
                <w:szCs w:val="21"/>
                <w:highlight w:val="none"/>
                <w:u w:val="single"/>
              </w:rPr>
              <w:t>00</w:t>
            </w:r>
            <w:r>
              <w:rPr>
                <w:rFonts w:hint="eastAsia" w:ascii="宋体" w:cs="宋体"/>
                <w:color w:val="auto"/>
                <w:szCs w:val="21"/>
                <w:highlight w:val="none"/>
              </w:rPr>
              <w:t>分，下午</w:t>
            </w:r>
            <w:r>
              <w:rPr>
                <w:rFonts w:hint="eastAsia" w:ascii="宋体" w:cs="宋体"/>
                <w:color w:val="auto"/>
                <w:szCs w:val="21"/>
                <w:highlight w:val="none"/>
                <w:u w:val="single"/>
              </w:rPr>
              <w:t>15</w:t>
            </w:r>
            <w:r>
              <w:rPr>
                <w:rFonts w:hint="eastAsia" w:ascii="宋体" w:cs="宋体"/>
                <w:color w:val="auto"/>
                <w:szCs w:val="21"/>
                <w:highlight w:val="none"/>
              </w:rPr>
              <w:t>时</w:t>
            </w:r>
            <w:r>
              <w:rPr>
                <w:rFonts w:hint="eastAsia" w:ascii="宋体" w:cs="宋体"/>
                <w:color w:val="auto"/>
                <w:szCs w:val="21"/>
                <w:highlight w:val="none"/>
                <w:u w:val="single"/>
              </w:rPr>
              <w:t>00</w:t>
            </w:r>
            <w:r>
              <w:rPr>
                <w:rFonts w:hint="eastAsia" w:ascii="宋体" w:cs="宋体"/>
                <w:color w:val="auto"/>
                <w:szCs w:val="21"/>
                <w:highlight w:val="none"/>
              </w:rPr>
              <w:t>分到</w:t>
            </w:r>
            <w:r>
              <w:rPr>
                <w:rFonts w:hint="eastAsia" w:ascii="宋体" w:cs="宋体"/>
                <w:color w:val="auto"/>
                <w:szCs w:val="21"/>
                <w:highlight w:val="none"/>
                <w:u w:val="single"/>
              </w:rPr>
              <w:t>18</w:t>
            </w:r>
            <w:r>
              <w:rPr>
                <w:rFonts w:hint="eastAsia" w:ascii="宋体" w:cs="宋体"/>
                <w:color w:val="auto"/>
                <w:szCs w:val="21"/>
                <w:highlight w:val="none"/>
              </w:rPr>
              <w:t>时</w:t>
            </w:r>
            <w:r>
              <w:rPr>
                <w:rFonts w:hint="eastAsia" w:ascii="宋体" w:cs="宋体"/>
                <w:color w:val="auto"/>
                <w:szCs w:val="21"/>
                <w:highlight w:val="none"/>
                <w:u w:val="single"/>
              </w:rPr>
              <w:t>00</w:t>
            </w:r>
            <w:r>
              <w:rPr>
                <w:rFonts w:hint="eastAsia" w:ascii="宋体" w:cs="宋体"/>
                <w:color w:val="auto"/>
                <w:szCs w:val="21"/>
                <w:highlight w:val="none"/>
              </w:rPr>
              <w:t>分。</w:t>
            </w:r>
          </w:p>
        </w:tc>
      </w:tr>
      <w:tr w14:paraId="697BFA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60" w:type="dxa"/>
            <w:tcBorders>
              <w:top w:val="nil"/>
              <w:left w:val="single" w:color="auto" w:sz="4" w:space="0"/>
              <w:bottom w:val="single" w:color="auto" w:sz="4" w:space="0"/>
              <w:right w:val="single" w:color="auto" w:sz="4" w:space="0"/>
            </w:tcBorders>
            <w:vAlign w:val="center"/>
          </w:tcPr>
          <w:p w14:paraId="7AA6102A">
            <w:pPr>
              <w:spacing w:line="400" w:lineRule="exact"/>
              <w:rPr>
                <w:rFonts w:ascii="宋体" w:cs="宋体"/>
                <w:color w:val="auto"/>
                <w:szCs w:val="21"/>
                <w:highlight w:val="none"/>
              </w:rPr>
            </w:pPr>
            <w:r>
              <w:rPr>
                <w:rFonts w:hint="eastAsia" w:ascii="宋体" w:cs="宋体"/>
                <w:color w:val="auto"/>
                <w:szCs w:val="21"/>
                <w:highlight w:val="none"/>
              </w:rPr>
              <w:t>38.3.1</w:t>
            </w:r>
          </w:p>
        </w:tc>
        <w:tc>
          <w:tcPr>
            <w:tcW w:w="2083" w:type="dxa"/>
            <w:tcBorders>
              <w:top w:val="single" w:color="auto" w:sz="4" w:space="0"/>
              <w:left w:val="single" w:color="auto" w:sz="4" w:space="0"/>
              <w:bottom w:val="single" w:color="auto" w:sz="4" w:space="0"/>
              <w:right w:val="single" w:color="auto" w:sz="4" w:space="0"/>
            </w:tcBorders>
            <w:vAlign w:val="center"/>
          </w:tcPr>
          <w:p w14:paraId="699D9244">
            <w:pPr>
              <w:spacing w:line="400" w:lineRule="exact"/>
              <w:rPr>
                <w:rFonts w:ascii="宋体" w:cs="宋体"/>
                <w:color w:val="auto"/>
                <w:szCs w:val="21"/>
                <w:highlight w:val="none"/>
              </w:rPr>
            </w:pPr>
            <w:r>
              <w:rPr>
                <w:rFonts w:hint="eastAsia" w:ascii="宋体" w:cs="宋体"/>
                <w:color w:val="auto"/>
                <w:szCs w:val="21"/>
                <w:highlight w:val="none"/>
              </w:rPr>
              <w:t>投诉受理方式</w:t>
            </w:r>
          </w:p>
        </w:tc>
        <w:tc>
          <w:tcPr>
            <w:tcW w:w="7021" w:type="dxa"/>
            <w:tcBorders>
              <w:top w:val="single" w:color="auto" w:sz="4" w:space="0"/>
              <w:left w:val="single" w:color="auto" w:sz="4" w:space="0"/>
              <w:bottom w:val="single" w:color="auto" w:sz="4" w:space="0"/>
              <w:right w:val="single" w:color="auto" w:sz="4" w:space="0"/>
            </w:tcBorders>
            <w:vAlign w:val="center"/>
          </w:tcPr>
          <w:p w14:paraId="3B7BCF98">
            <w:pPr>
              <w:snapToGrid w:val="0"/>
              <w:spacing w:line="400" w:lineRule="exact"/>
              <w:rPr>
                <w:rFonts w:ascii="宋体" w:cs="宋体"/>
                <w:color w:val="auto"/>
                <w:szCs w:val="21"/>
                <w:highlight w:val="none"/>
              </w:rPr>
            </w:pPr>
            <w:r>
              <w:rPr>
                <w:rFonts w:hint="eastAsia" w:ascii="宋体" w:cs="宋体"/>
                <w:color w:val="auto"/>
                <w:szCs w:val="21"/>
                <w:highlight w:val="none"/>
              </w:rPr>
              <w:t>1、受理方式：纸质方式受理，投诉书正、副本（经过质疑的事项才可投诉）。</w:t>
            </w:r>
          </w:p>
          <w:p w14:paraId="7922FD91">
            <w:pPr>
              <w:snapToGrid w:val="0"/>
              <w:spacing w:line="400" w:lineRule="exact"/>
              <w:rPr>
                <w:rFonts w:ascii="宋体" w:cs="宋体"/>
                <w:color w:val="auto"/>
                <w:szCs w:val="21"/>
                <w:highlight w:val="none"/>
              </w:rPr>
            </w:pPr>
            <w:r>
              <w:rPr>
                <w:rFonts w:hint="eastAsia" w:ascii="宋体" w:cs="宋体"/>
                <w:color w:val="auto"/>
                <w:szCs w:val="21"/>
                <w:highlight w:val="none"/>
              </w:rPr>
              <w:t>2、通讯方式</w:t>
            </w:r>
          </w:p>
          <w:p w14:paraId="0704C3ED">
            <w:pPr>
              <w:keepNext w:val="0"/>
              <w:keepLines w:val="0"/>
              <w:pageBreakBefore w:val="0"/>
              <w:kinsoku/>
              <w:wordWrap/>
              <w:overflowPunct/>
              <w:topLinePunct w:val="0"/>
              <w:bidi w:val="0"/>
              <w:adjustRightInd/>
              <w:snapToGrid w:val="0"/>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名称：天等县财政局政府采购监督管理股</w:t>
            </w:r>
          </w:p>
          <w:p w14:paraId="7430C018">
            <w:pPr>
              <w:keepNext w:val="0"/>
              <w:keepLines w:val="0"/>
              <w:pageBreakBefore w:val="0"/>
              <w:kinsoku/>
              <w:wordWrap/>
              <w:overflowPunct/>
              <w:topLinePunct w:val="0"/>
              <w:bidi w:val="0"/>
              <w:adjustRightInd/>
              <w:snapToGrid w:val="0"/>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地址：天等县天宝北路398号</w:t>
            </w:r>
          </w:p>
          <w:p w14:paraId="0D08D5EB">
            <w:pPr>
              <w:snapToGrid w:val="0"/>
              <w:spacing w:line="400" w:lineRule="exact"/>
              <w:rPr>
                <w:rFonts w:ascii="宋体" w:cs="宋体"/>
                <w:color w:val="auto"/>
                <w:szCs w:val="21"/>
                <w:highlight w:val="none"/>
              </w:rPr>
            </w:pPr>
            <w:r>
              <w:rPr>
                <w:rFonts w:hint="eastAsia" w:ascii="宋体" w:hAnsi="宋体" w:eastAsia="宋体" w:cs="宋体"/>
                <w:color w:val="auto"/>
                <w:sz w:val="21"/>
                <w:szCs w:val="21"/>
                <w:highlight w:val="none"/>
              </w:rPr>
              <w:t xml:space="preserve">联系电话：0771-3530890 </w:t>
            </w:r>
          </w:p>
        </w:tc>
      </w:tr>
      <w:tr w14:paraId="50CB71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860" w:type="dxa"/>
            <w:vMerge w:val="restart"/>
            <w:tcBorders>
              <w:top w:val="single" w:color="auto" w:sz="4" w:space="0"/>
              <w:left w:val="single" w:color="auto" w:sz="4" w:space="0"/>
              <w:bottom w:val="single" w:color="auto" w:sz="4" w:space="0"/>
              <w:right w:val="single" w:color="auto" w:sz="4" w:space="0"/>
            </w:tcBorders>
            <w:vAlign w:val="center"/>
          </w:tcPr>
          <w:p w14:paraId="4F25DC4E">
            <w:pPr>
              <w:spacing w:line="400" w:lineRule="exact"/>
              <w:rPr>
                <w:rFonts w:ascii="宋体" w:cs="宋体"/>
                <w:color w:val="auto"/>
                <w:szCs w:val="21"/>
                <w:highlight w:val="none"/>
              </w:rPr>
            </w:pPr>
            <w:r>
              <w:rPr>
                <w:rFonts w:hint="eastAsia" w:ascii="宋体" w:cs="宋体"/>
                <w:color w:val="auto"/>
                <w:szCs w:val="21"/>
                <w:highlight w:val="none"/>
              </w:rPr>
              <w:t>40</w:t>
            </w:r>
          </w:p>
        </w:tc>
        <w:tc>
          <w:tcPr>
            <w:tcW w:w="2083" w:type="dxa"/>
            <w:tcBorders>
              <w:top w:val="single" w:color="auto" w:sz="4" w:space="0"/>
              <w:left w:val="single" w:color="auto" w:sz="4" w:space="0"/>
              <w:bottom w:val="single" w:color="auto" w:sz="4" w:space="0"/>
              <w:right w:val="single" w:color="auto" w:sz="4" w:space="0"/>
            </w:tcBorders>
            <w:vAlign w:val="center"/>
          </w:tcPr>
          <w:p w14:paraId="24661A18">
            <w:pPr>
              <w:spacing w:line="400" w:lineRule="exact"/>
              <w:rPr>
                <w:rFonts w:ascii="宋体" w:cs="宋体"/>
                <w:color w:val="auto"/>
                <w:szCs w:val="21"/>
                <w:highlight w:val="none"/>
              </w:rPr>
            </w:pPr>
            <w:bookmarkStart w:id="98" w:name="_42"/>
            <w:bookmarkEnd w:id="98"/>
            <w:bookmarkStart w:id="99" w:name="_41"/>
            <w:bookmarkEnd w:id="99"/>
            <w:r>
              <w:rPr>
                <w:rFonts w:hint="eastAsia" w:ascii="宋体" w:cs="宋体"/>
                <w:color w:val="auto"/>
                <w:szCs w:val="21"/>
                <w:highlight w:val="none"/>
              </w:rPr>
              <w:t>采购代理服务费支付方式</w:t>
            </w:r>
          </w:p>
        </w:tc>
        <w:tc>
          <w:tcPr>
            <w:tcW w:w="7021" w:type="dxa"/>
            <w:tcBorders>
              <w:top w:val="single" w:color="auto" w:sz="4" w:space="0"/>
              <w:left w:val="single" w:color="auto" w:sz="4" w:space="0"/>
              <w:bottom w:val="single" w:color="auto" w:sz="4" w:space="0"/>
              <w:right w:val="single" w:color="auto" w:sz="4" w:space="0"/>
            </w:tcBorders>
            <w:vAlign w:val="center"/>
          </w:tcPr>
          <w:p w14:paraId="2F0A4120">
            <w:pPr>
              <w:pStyle w:val="16"/>
              <w:snapToGrid w:val="0"/>
              <w:spacing w:line="400" w:lineRule="exact"/>
              <w:rPr>
                <w:rFonts w:cs="宋体"/>
                <w:color w:val="auto"/>
                <w:szCs w:val="21"/>
                <w:highlight w:val="none"/>
              </w:rPr>
            </w:pPr>
            <w:r>
              <w:rPr>
                <w:rFonts w:hint="eastAsia" w:cs="宋体"/>
                <w:color w:val="auto"/>
                <w:szCs w:val="21"/>
                <w:highlight w:val="none"/>
              </w:rPr>
              <w:t>☑ 本项目采购代理服务费由</w:t>
            </w:r>
            <w:r>
              <w:rPr>
                <w:rFonts w:hint="eastAsia" w:cs="宋体"/>
                <w:color w:val="auto"/>
                <w:szCs w:val="21"/>
                <w:highlight w:val="none"/>
                <w:u w:val="single"/>
              </w:rPr>
              <w:t>中标人</w:t>
            </w:r>
            <w:r>
              <w:rPr>
                <w:rFonts w:hint="eastAsia" w:cs="宋体"/>
                <w:color w:val="auto"/>
                <w:szCs w:val="21"/>
                <w:highlight w:val="none"/>
              </w:rPr>
              <w:t>在签订合同前，以银行转账、电汇等方式一次性向采购代理机构支付。</w:t>
            </w:r>
          </w:p>
          <w:p w14:paraId="293BB54B">
            <w:pPr>
              <w:pStyle w:val="16"/>
              <w:snapToGrid w:val="0"/>
              <w:spacing w:line="400" w:lineRule="exact"/>
              <w:rPr>
                <w:rFonts w:cs="宋体"/>
                <w:color w:val="auto"/>
                <w:szCs w:val="21"/>
                <w:highlight w:val="none"/>
                <w:u w:val="single"/>
              </w:rPr>
            </w:pPr>
            <w:r>
              <w:rPr>
                <w:rFonts w:hint="eastAsia" w:cs="宋体"/>
                <w:color w:val="auto"/>
                <w:szCs w:val="21"/>
                <w:highlight w:val="none"/>
              </w:rPr>
              <w:t>□采购人支付：</w:t>
            </w:r>
            <w:r>
              <w:rPr>
                <w:rFonts w:hint="eastAsia" w:cs="宋体"/>
                <w:i/>
                <w:iCs/>
                <w:color w:val="auto"/>
                <w:szCs w:val="21"/>
                <w:highlight w:val="none"/>
                <w:u w:val="single"/>
              </w:rPr>
              <w:t xml:space="preserve">          </w:t>
            </w:r>
          </w:p>
          <w:p w14:paraId="05D6C8D6">
            <w:pPr>
              <w:pStyle w:val="16"/>
              <w:snapToGrid w:val="0"/>
              <w:spacing w:line="400" w:lineRule="exact"/>
              <w:rPr>
                <w:rFonts w:cs="宋体"/>
                <w:color w:val="auto"/>
                <w:szCs w:val="21"/>
                <w:highlight w:val="none"/>
              </w:rPr>
            </w:pPr>
            <w:r>
              <w:rPr>
                <w:rFonts w:hint="eastAsia" w:cs="宋体"/>
                <w:color w:val="auto"/>
                <w:szCs w:val="21"/>
                <w:highlight w:val="none"/>
              </w:rPr>
              <w:t>□本项目不收取采购代理服务费。</w:t>
            </w:r>
          </w:p>
        </w:tc>
      </w:tr>
      <w:tr w14:paraId="4A2214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21"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14:paraId="4D202C61"/>
        </w:tc>
        <w:tc>
          <w:tcPr>
            <w:tcW w:w="2083" w:type="dxa"/>
            <w:tcBorders>
              <w:top w:val="single" w:color="auto" w:sz="4" w:space="0"/>
              <w:left w:val="single" w:color="auto" w:sz="4" w:space="0"/>
              <w:bottom w:val="single" w:color="auto" w:sz="4" w:space="0"/>
              <w:right w:val="single" w:color="auto" w:sz="4" w:space="0"/>
            </w:tcBorders>
            <w:vAlign w:val="center"/>
          </w:tcPr>
          <w:p w14:paraId="4B297E81">
            <w:pPr>
              <w:spacing w:line="400" w:lineRule="exact"/>
              <w:rPr>
                <w:rFonts w:ascii="宋体" w:cs="宋体"/>
                <w:color w:val="auto"/>
                <w:szCs w:val="21"/>
                <w:highlight w:val="none"/>
              </w:rPr>
            </w:pPr>
            <w:r>
              <w:rPr>
                <w:rFonts w:hint="eastAsia" w:ascii="宋体" w:cs="宋体"/>
                <w:color w:val="auto"/>
                <w:szCs w:val="21"/>
                <w:highlight w:val="none"/>
              </w:rPr>
              <w:t>采购代理服务费收取标准</w:t>
            </w:r>
          </w:p>
        </w:tc>
        <w:tc>
          <w:tcPr>
            <w:tcW w:w="7021" w:type="dxa"/>
            <w:tcBorders>
              <w:top w:val="single" w:color="auto" w:sz="4" w:space="0"/>
              <w:left w:val="single" w:color="auto" w:sz="4" w:space="0"/>
              <w:bottom w:val="single" w:color="auto" w:sz="4" w:space="0"/>
              <w:right w:val="single" w:color="auto" w:sz="4" w:space="0"/>
            </w:tcBorders>
            <w:vAlign w:val="center"/>
          </w:tcPr>
          <w:p w14:paraId="15E83959">
            <w:pPr>
              <w:pStyle w:val="16"/>
              <w:snapToGrid w:val="0"/>
              <w:spacing w:line="400" w:lineRule="exact"/>
              <w:rPr>
                <w:rFonts w:cs="宋体"/>
                <w:color w:val="auto"/>
                <w:szCs w:val="21"/>
                <w:highlight w:val="none"/>
              </w:rPr>
            </w:pPr>
            <w:bookmarkStart w:id="100" w:name="PO_3000001867_PM025"/>
            <w:r>
              <w:rPr>
                <w:rFonts w:hint="eastAsia" w:cs="宋体"/>
                <w:color w:val="auto"/>
                <w:szCs w:val="21"/>
                <w:highlight w:val="none"/>
              </w:rPr>
              <w:t>☑ 以</w:t>
            </w:r>
            <w:r>
              <w:rPr>
                <w:rFonts w:hint="eastAsia" w:cs="宋体"/>
                <w:color w:val="auto"/>
                <w:kern w:val="0"/>
                <w:szCs w:val="21"/>
                <w:highlight w:val="none"/>
              </w:rPr>
              <w:t>项目</w:t>
            </w:r>
            <w:r>
              <w:rPr>
                <w:rFonts w:hint="eastAsia" w:cs="宋体"/>
                <w:color w:val="auto"/>
                <w:szCs w:val="21"/>
                <w:highlight w:val="none"/>
              </w:rPr>
              <w:t>（☑ 中标金额/□采购预算/□暂定中标金额/□其他</w:t>
            </w:r>
            <w:r>
              <w:rPr>
                <w:rFonts w:hint="eastAsia" w:cs="宋体"/>
                <w:color w:val="auto"/>
                <w:szCs w:val="21"/>
                <w:highlight w:val="none"/>
                <w:u w:val="single"/>
              </w:rPr>
              <w:t xml:space="preserve">   </w:t>
            </w:r>
            <w:r>
              <w:rPr>
                <w:rFonts w:hint="eastAsia" w:cs="宋体"/>
                <w:color w:val="auto"/>
                <w:szCs w:val="21"/>
                <w:highlight w:val="none"/>
              </w:rPr>
              <w:t>）为计费额，按本须知正文第40.2条规定的收费计算标准（</w:t>
            </w:r>
            <w:r>
              <w:rPr>
                <w:rFonts w:hint="eastAsia" w:cs="宋体"/>
                <w:b/>
                <w:bCs/>
                <w:color w:val="auto"/>
                <w:szCs w:val="21"/>
                <w:highlight w:val="none"/>
              </w:rPr>
              <w:t>货物类</w:t>
            </w:r>
            <w:r>
              <w:rPr>
                <w:rFonts w:hint="eastAsia" w:cs="宋体"/>
                <w:color w:val="auto"/>
                <w:szCs w:val="21"/>
                <w:highlight w:val="none"/>
              </w:rPr>
              <w:t>）采用差额定率累进法计算出收费基准价格，采购代理收费以（</w:t>
            </w:r>
            <w:r>
              <w:rPr>
                <w:rFonts w:hint="eastAsia" w:cs="宋体"/>
                <w:color w:val="auto"/>
                <w:szCs w:val="21"/>
                <w:highlight w:val="none"/>
                <w:lang w:eastAsia="zh-CN"/>
              </w:rPr>
              <w:t>□</w:t>
            </w:r>
            <w:r>
              <w:rPr>
                <w:rFonts w:hint="eastAsia" w:cs="宋体"/>
                <w:color w:val="auto"/>
                <w:szCs w:val="21"/>
                <w:highlight w:val="none"/>
              </w:rPr>
              <w:t xml:space="preserve"> 收费基准价格/</w:t>
            </w:r>
            <w:r>
              <w:rPr>
                <w:rFonts w:hint="eastAsia" w:cs="宋体"/>
                <w:color w:val="auto"/>
                <w:szCs w:val="21"/>
                <w:highlight w:val="none"/>
                <w:lang w:eastAsia="zh-CN"/>
              </w:rPr>
              <w:t>☑</w:t>
            </w:r>
            <w:r>
              <w:rPr>
                <w:rFonts w:hint="eastAsia" w:cs="宋体"/>
                <w:color w:val="auto"/>
                <w:szCs w:val="21"/>
                <w:highlight w:val="none"/>
              </w:rPr>
              <w:t>收费基准价格下浮</w:t>
            </w:r>
            <w:r>
              <w:rPr>
                <w:rFonts w:hint="eastAsia" w:cs="宋体"/>
                <w:color w:val="auto"/>
                <w:szCs w:val="21"/>
                <w:highlight w:val="none"/>
                <w:u w:val="single"/>
              </w:rPr>
              <w:t xml:space="preserve"> </w:t>
            </w:r>
            <w:r>
              <w:rPr>
                <w:rFonts w:hint="eastAsia" w:cs="宋体"/>
                <w:color w:val="auto"/>
                <w:szCs w:val="21"/>
                <w:highlight w:val="none"/>
                <w:u w:val="single"/>
                <w:lang w:val="en-US" w:eastAsia="zh-CN"/>
              </w:rPr>
              <w:t>20</w:t>
            </w:r>
            <w:r>
              <w:rPr>
                <w:rFonts w:hint="eastAsia" w:cs="宋体"/>
                <w:color w:val="auto"/>
                <w:szCs w:val="21"/>
                <w:highlight w:val="none"/>
                <w:u w:val="single"/>
              </w:rPr>
              <w:t xml:space="preserve"> %</w:t>
            </w:r>
            <w:r>
              <w:rPr>
                <w:rFonts w:hint="eastAsia" w:cs="宋体"/>
                <w:color w:val="auto"/>
                <w:szCs w:val="21"/>
                <w:highlight w:val="none"/>
              </w:rPr>
              <w:t>/□收费基准价格上浮</w:t>
            </w:r>
            <w:r>
              <w:rPr>
                <w:rFonts w:hint="eastAsia" w:cs="宋体"/>
                <w:color w:val="auto"/>
                <w:szCs w:val="21"/>
                <w:highlight w:val="none"/>
                <w:u w:val="single"/>
              </w:rPr>
              <w:t xml:space="preserve"> </w:t>
            </w:r>
            <w:r>
              <w:rPr>
                <w:rFonts w:hint="eastAsia" w:cs="宋体"/>
                <w:color w:val="auto"/>
                <w:szCs w:val="21"/>
                <w:highlight w:val="none"/>
                <w:u w:val="single"/>
                <w:lang w:val="en-US" w:eastAsia="zh-CN"/>
              </w:rPr>
              <w:t xml:space="preserve">  </w:t>
            </w:r>
            <w:r>
              <w:rPr>
                <w:rFonts w:hint="eastAsia" w:cs="宋体"/>
                <w:color w:val="auto"/>
                <w:szCs w:val="21"/>
                <w:highlight w:val="none"/>
                <w:u w:val="single"/>
              </w:rPr>
              <w:t xml:space="preserve">  %</w:t>
            </w:r>
            <w:r>
              <w:rPr>
                <w:rFonts w:hint="eastAsia" w:cs="宋体"/>
                <w:color w:val="auto"/>
                <w:szCs w:val="21"/>
                <w:highlight w:val="none"/>
              </w:rPr>
              <w:t>）收取。</w:t>
            </w:r>
          </w:p>
          <w:p w14:paraId="7B007EB7">
            <w:pPr>
              <w:pStyle w:val="16"/>
              <w:snapToGrid w:val="0"/>
              <w:spacing w:line="400" w:lineRule="exact"/>
              <w:rPr>
                <w:rFonts w:cs="宋体"/>
                <w:color w:val="auto"/>
                <w:szCs w:val="21"/>
                <w:highlight w:val="none"/>
                <w:u w:val="single"/>
              </w:rPr>
            </w:pPr>
            <w:r>
              <w:rPr>
                <w:rFonts w:hint="eastAsia" w:cs="宋体"/>
                <w:color w:val="auto"/>
                <w:szCs w:val="21"/>
                <w:highlight w:val="none"/>
              </w:rPr>
              <w:t>□固定采购代理收费：</w:t>
            </w:r>
            <w:r>
              <w:rPr>
                <w:rFonts w:hint="eastAsia" w:cs="宋体"/>
                <w:color w:val="auto"/>
                <w:szCs w:val="21"/>
                <w:highlight w:val="none"/>
                <w:u w:val="single"/>
              </w:rPr>
              <w:t xml:space="preserve">              。</w:t>
            </w:r>
            <w:bookmarkEnd w:id="100"/>
          </w:p>
        </w:tc>
      </w:tr>
      <w:tr w14:paraId="198DBD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9"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14:paraId="6CE90B12"/>
        </w:tc>
        <w:tc>
          <w:tcPr>
            <w:tcW w:w="2083" w:type="dxa"/>
            <w:tcBorders>
              <w:top w:val="single" w:color="auto" w:sz="4" w:space="0"/>
              <w:left w:val="single" w:color="auto" w:sz="4" w:space="0"/>
              <w:bottom w:val="single" w:color="auto" w:sz="4" w:space="0"/>
              <w:right w:val="single" w:color="auto" w:sz="4" w:space="0"/>
            </w:tcBorders>
            <w:vAlign w:val="center"/>
          </w:tcPr>
          <w:p w14:paraId="1270B94E">
            <w:pPr>
              <w:spacing w:line="400" w:lineRule="exact"/>
              <w:rPr>
                <w:rFonts w:ascii="宋体" w:cs="宋体"/>
                <w:color w:val="auto"/>
                <w:szCs w:val="21"/>
                <w:highlight w:val="none"/>
              </w:rPr>
            </w:pPr>
            <w:r>
              <w:rPr>
                <w:rFonts w:hint="eastAsia" w:ascii="宋体" w:cs="宋体"/>
                <w:color w:val="auto"/>
                <w:szCs w:val="21"/>
                <w:highlight w:val="none"/>
              </w:rPr>
              <w:t>采购代理服务费收款账户信息</w:t>
            </w:r>
          </w:p>
        </w:tc>
        <w:tc>
          <w:tcPr>
            <w:tcW w:w="7021" w:type="dxa"/>
            <w:tcBorders>
              <w:top w:val="single" w:color="auto" w:sz="4" w:space="0"/>
              <w:left w:val="single" w:color="auto" w:sz="4" w:space="0"/>
              <w:bottom w:val="single" w:color="auto" w:sz="4" w:space="0"/>
              <w:right w:val="single" w:color="auto" w:sz="4" w:space="0"/>
            </w:tcBorders>
            <w:vAlign w:val="center"/>
          </w:tcPr>
          <w:p w14:paraId="20F6DB9F">
            <w:pPr>
              <w:pStyle w:val="16"/>
              <w:snapToGrid w:val="0"/>
              <w:spacing w:line="400" w:lineRule="exact"/>
              <w:rPr>
                <w:rFonts w:hint="eastAsia" w:cs="宋体"/>
                <w:color w:val="auto"/>
                <w:szCs w:val="21"/>
                <w:highlight w:val="none"/>
              </w:rPr>
            </w:pPr>
            <w:r>
              <w:rPr>
                <w:rFonts w:hint="eastAsia" w:cs="宋体"/>
                <w:color w:val="auto"/>
                <w:szCs w:val="21"/>
                <w:highlight w:val="none"/>
              </w:rPr>
              <w:t>账户名称：广西科联招标中心有限公司</w:t>
            </w:r>
          </w:p>
          <w:p w14:paraId="674A397C">
            <w:pPr>
              <w:pStyle w:val="16"/>
              <w:snapToGrid w:val="0"/>
              <w:spacing w:line="400" w:lineRule="exact"/>
              <w:rPr>
                <w:rFonts w:hint="eastAsia" w:cs="宋体"/>
                <w:color w:val="auto"/>
                <w:szCs w:val="21"/>
                <w:highlight w:val="none"/>
              </w:rPr>
            </w:pPr>
            <w:r>
              <w:rPr>
                <w:rFonts w:hint="eastAsia" w:cs="宋体"/>
                <w:color w:val="auto"/>
                <w:szCs w:val="21"/>
                <w:highlight w:val="none"/>
              </w:rPr>
              <w:t>开户银行：中国工商银行南宁市高新科技支行</w:t>
            </w:r>
          </w:p>
          <w:p w14:paraId="237EDC4E">
            <w:pPr>
              <w:pStyle w:val="16"/>
              <w:snapToGrid w:val="0"/>
              <w:spacing w:line="400" w:lineRule="exact"/>
              <w:rPr>
                <w:rFonts w:hint="eastAsia" w:cs="宋体"/>
                <w:color w:val="auto"/>
                <w:szCs w:val="21"/>
                <w:highlight w:val="none"/>
              </w:rPr>
            </w:pPr>
            <w:r>
              <w:rPr>
                <w:rFonts w:hint="eastAsia" w:cs="宋体"/>
                <w:color w:val="auto"/>
                <w:szCs w:val="21"/>
                <w:highlight w:val="none"/>
              </w:rPr>
              <w:t>银行账号：2102111229300032105</w:t>
            </w:r>
          </w:p>
          <w:p w14:paraId="71086F37">
            <w:pPr>
              <w:pStyle w:val="16"/>
              <w:snapToGrid w:val="0"/>
              <w:spacing w:line="400" w:lineRule="exact"/>
              <w:rPr>
                <w:rFonts w:hint="eastAsia" w:eastAsia="宋体" w:cs="宋体"/>
                <w:color w:val="auto"/>
                <w:szCs w:val="21"/>
                <w:highlight w:val="none"/>
                <w:lang w:eastAsia="zh-CN"/>
              </w:rPr>
            </w:pPr>
            <w:r>
              <w:rPr>
                <w:rFonts w:hint="eastAsia" w:cs="宋体"/>
                <w:color w:val="auto"/>
                <w:szCs w:val="21"/>
                <w:highlight w:val="none"/>
              </w:rPr>
              <w:t>开户行行号：102611011101</w:t>
            </w:r>
          </w:p>
        </w:tc>
      </w:tr>
      <w:tr w14:paraId="348E5D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71943027">
            <w:pPr>
              <w:snapToGrid w:val="0"/>
              <w:spacing w:line="400" w:lineRule="exact"/>
              <w:jc w:val="center"/>
              <w:rPr>
                <w:rFonts w:ascii="宋体" w:cs="宋体"/>
                <w:color w:val="auto"/>
                <w:szCs w:val="21"/>
                <w:highlight w:val="none"/>
              </w:rPr>
            </w:pPr>
            <w:r>
              <w:rPr>
                <w:rFonts w:hint="eastAsia" w:ascii="宋体" w:cs="宋体"/>
                <w:color w:val="auto"/>
                <w:szCs w:val="21"/>
                <w:highlight w:val="none"/>
              </w:rPr>
              <w:t>41.1</w:t>
            </w:r>
          </w:p>
        </w:tc>
        <w:tc>
          <w:tcPr>
            <w:tcW w:w="2083" w:type="dxa"/>
            <w:tcBorders>
              <w:top w:val="single" w:color="auto" w:sz="4" w:space="0"/>
              <w:left w:val="single" w:color="auto" w:sz="4" w:space="0"/>
              <w:bottom w:val="single" w:color="auto" w:sz="4" w:space="0"/>
              <w:right w:val="single" w:color="auto" w:sz="4" w:space="0"/>
            </w:tcBorders>
            <w:vAlign w:val="center"/>
          </w:tcPr>
          <w:p w14:paraId="67AC598B">
            <w:pPr>
              <w:snapToGrid w:val="0"/>
              <w:spacing w:line="400" w:lineRule="exact"/>
              <w:rPr>
                <w:rFonts w:ascii="宋体" w:cs="宋体"/>
                <w:color w:val="auto"/>
                <w:szCs w:val="21"/>
                <w:highlight w:val="none"/>
              </w:rPr>
            </w:pPr>
            <w:r>
              <w:rPr>
                <w:rFonts w:hint="eastAsia" w:ascii="宋体" w:cs="宋体"/>
                <w:color w:val="auto"/>
                <w:szCs w:val="21"/>
                <w:highlight w:val="none"/>
              </w:rPr>
              <w:t>解释</w:t>
            </w:r>
          </w:p>
        </w:tc>
        <w:tc>
          <w:tcPr>
            <w:tcW w:w="7021" w:type="dxa"/>
            <w:tcBorders>
              <w:top w:val="single" w:color="auto" w:sz="4" w:space="0"/>
              <w:left w:val="single" w:color="auto" w:sz="4" w:space="0"/>
              <w:bottom w:val="single" w:color="auto" w:sz="4" w:space="0"/>
              <w:right w:val="single" w:color="auto" w:sz="4" w:space="0"/>
            </w:tcBorders>
            <w:vAlign w:val="center"/>
          </w:tcPr>
          <w:p w14:paraId="28DDD61E">
            <w:pPr>
              <w:snapToGrid w:val="0"/>
              <w:spacing w:line="400" w:lineRule="exact"/>
              <w:rPr>
                <w:rFonts w:ascii="宋体" w:cs="宋体"/>
                <w:b/>
                <w:color w:val="auto"/>
                <w:szCs w:val="21"/>
                <w:highlight w:val="none"/>
              </w:rPr>
            </w:pPr>
            <w:r>
              <w:rPr>
                <w:rFonts w:hint="eastAsia" w:ascii="宋体" w:cs="宋体"/>
                <w:b/>
                <w:color w:val="auto"/>
                <w:szCs w:val="21"/>
                <w:highlight w:val="none"/>
              </w:rPr>
              <w:t>解释：</w:t>
            </w:r>
            <w:r>
              <w:rPr>
                <w:rFonts w:hint="eastAsia" w:ascii="宋体" w:cs="宋体"/>
                <w:color w:val="auto"/>
                <w:szCs w:val="21"/>
                <w:highlight w:val="none"/>
              </w:rPr>
              <w:t>构成本招标文件的各个组成文件应互为解释，互为说明；除招标文件中有特别规定外，仅适用于招标投标阶段的规定，按更正公告（澄清公告）、招标公告、采购需求、投标人须知、评标方法和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cs="宋体"/>
                <w:b/>
                <w:color w:val="auto"/>
                <w:szCs w:val="21"/>
                <w:highlight w:val="none"/>
              </w:rPr>
              <w:t>，由采购人或者采购代理机构负责解释。</w:t>
            </w:r>
          </w:p>
          <w:p w14:paraId="463A2341">
            <w:pPr>
              <w:snapToGrid w:val="0"/>
              <w:spacing w:line="400" w:lineRule="exact"/>
              <w:rPr>
                <w:rFonts w:ascii="宋体" w:cs="宋体"/>
                <w:b/>
                <w:color w:val="auto"/>
                <w:szCs w:val="21"/>
                <w:highlight w:val="none"/>
              </w:rPr>
            </w:pPr>
            <w:r>
              <w:rPr>
                <w:rFonts w:hint="eastAsia" w:ascii="宋体" w:cs="宋体"/>
                <w:b/>
                <w:color w:val="auto"/>
                <w:szCs w:val="21"/>
                <w:highlight w:val="none"/>
              </w:rPr>
              <w:t>法律责任：</w:t>
            </w:r>
          </w:p>
          <w:p w14:paraId="6D04DE52">
            <w:pPr>
              <w:snapToGrid w:val="0"/>
              <w:spacing w:line="400" w:lineRule="exact"/>
              <w:rPr>
                <w:rFonts w:ascii="宋体" w:cs="宋体"/>
                <w:color w:val="auto"/>
                <w:szCs w:val="21"/>
                <w:highlight w:val="none"/>
              </w:rPr>
            </w:pPr>
            <w:r>
              <w:rPr>
                <w:rFonts w:hint="eastAsia" w:ascii="宋体" w:cs="宋体"/>
                <w:color w:val="auto"/>
                <w:szCs w:val="21"/>
                <w:highlight w:val="none"/>
              </w:rPr>
              <w:t>本采购文件根据《中华人民共和国政府采购法》、《中华人民共和国民法典》、《中华人民共和国政府采购法实施条例》、《政府采购货物和服务招标投标管理办法》等有关法律、法规编制，参与本项目的各政府采购当事人依法享有上述法律法规所赋予的权利与义务。</w:t>
            </w:r>
          </w:p>
        </w:tc>
      </w:tr>
      <w:tr w14:paraId="11DF0A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6E8B9FA8">
            <w:pPr>
              <w:snapToGrid w:val="0"/>
              <w:spacing w:line="400" w:lineRule="exact"/>
              <w:jc w:val="center"/>
              <w:rPr>
                <w:rFonts w:ascii="宋体" w:cs="宋体"/>
                <w:color w:val="auto"/>
                <w:szCs w:val="21"/>
                <w:highlight w:val="none"/>
              </w:rPr>
            </w:pPr>
            <w:r>
              <w:rPr>
                <w:rFonts w:hint="eastAsia" w:ascii="宋体" w:cs="宋体"/>
                <w:color w:val="auto"/>
                <w:szCs w:val="21"/>
                <w:highlight w:val="none"/>
              </w:rPr>
              <w:t>41.2</w:t>
            </w:r>
          </w:p>
        </w:tc>
        <w:tc>
          <w:tcPr>
            <w:tcW w:w="2083" w:type="dxa"/>
            <w:tcBorders>
              <w:top w:val="single" w:color="auto" w:sz="4" w:space="0"/>
              <w:left w:val="single" w:color="auto" w:sz="4" w:space="0"/>
              <w:bottom w:val="single" w:color="auto" w:sz="4" w:space="0"/>
              <w:right w:val="single" w:color="auto" w:sz="4" w:space="0"/>
            </w:tcBorders>
            <w:vAlign w:val="center"/>
          </w:tcPr>
          <w:p w14:paraId="18990072">
            <w:pPr>
              <w:snapToGrid w:val="0"/>
              <w:spacing w:line="400" w:lineRule="exact"/>
              <w:rPr>
                <w:rFonts w:ascii="宋体" w:cs="宋体"/>
                <w:color w:val="auto"/>
                <w:szCs w:val="21"/>
                <w:highlight w:val="none"/>
              </w:rPr>
            </w:pPr>
            <w:r>
              <w:rPr>
                <w:rFonts w:hint="eastAsia" w:ascii="宋体" w:cs="宋体"/>
                <w:color w:val="auto"/>
                <w:szCs w:val="21"/>
                <w:highlight w:val="none"/>
              </w:rPr>
              <w:t>其他释义</w:t>
            </w:r>
          </w:p>
        </w:tc>
        <w:tc>
          <w:tcPr>
            <w:tcW w:w="7021" w:type="dxa"/>
            <w:tcBorders>
              <w:top w:val="single" w:color="auto" w:sz="4" w:space="0"/>
              <w:left w:val="single" w:color="auto" w:sz="4" w:space="0"/>
              <w:bottom w:val="single" w:color="auto" w:sz="4" w:space="0"/>
              <w:right w:val="single" w:color="auto" w:sz="4" w:space="0"/>
            </w:tcBorders>
            <w:vAlign w:val="center"/>
          </w:tcPr>
          <w:p w14:paraId="24411351">
            <w:pPr>
              <w:pStyle w:val="11"/>
              <w:spacing w:line="400" w:lineRule="exact"/>
              <w:ind w:firstLine="420" w:firstLineChars="200"/>
              <w:rPr>
                <w:rFonts w:ascii="宋体" w:cs="宋体"/>
                <w:color w:val="auto"/>
                <w:szCs w:val="21"/>
                <w:highlight w:val="none"/>
              </w:rPr>
            </w:pPr>
            <w:r>
              <w:rPr>
                <w:rFonts w:hint="eastAsia" w:ascii="宋体" w:cs="宋体"/>
                <w:color w:val="auto"/>
                <w:szCs w:val="21"/>
                <w:highlight w:val="none"/>
              </w:rPr>
              <w:t>1、本招标文件中描述投标人的“公章”是指根据我国对公章的管理规定，用投标人法定主体行为名称制作的实物印章或投标人通过指定电子化政府采购平台办理数字证书（CA认证）获得的以法定主体行为名称制作的电子印章。除本招标文件有特殊规定外，投标人的财务章、部门章、分公司章、工会章、合同章、投标专用章、业务专用章及银行的转账章、现金收讫章、现金付讫章等其他形式印章均不能代替公章。</w:t>
            </w:r>
          </w:p>
          <w:p w14:paraId="4C557E2E">
            <w:pPr>
              <w:pStyle w:val="11"/>
              <w:spacing w:line="400" w:lineRule="exact"/>
              <w:ind w:firstLine="420" w:firstLineChars="200"/>
              <w:rPr>
                <w:rFonts w:ascii="宋体" w:cs="宋体"/>
                <w:color w:val="auto"/>
                <w:szCs w:val="21"/>
                <w:highlight w:val="none"/>
              </w:rPr>
            </w:pPr>
            <w:r>
              <w:rPr>
                <w:rFonts w:hint="eastAsia" w:ascii="宋体" w:cs="宋体"/>
                <w:color w:val="auto"/>
                <w:szCs w:val="21"/>
                <w:highlight w:val="none"/>
              </w:rPr>
              <w:t>2、本招标文件中描述投标人的“签字”是指投标人通过指定电子化政府采购平台办理数字证书（CA认证）获得的以投标人法定代表人或者委托代理人姓名制作的电子印章或手写签字。</w:t>
            </w:r>
          </w:p>
          <w:p w14:paraId="00E4041D">
            <w:pPr>
              <w:pStyle w:val="11"/>
              <w:tabs>
                <w:tab w:val="center" w:pos="4153"/>
                <w:tab w:val="right" w:pos="8306"/>
              </w:tabs>
              <w:spacing w:line="400" w:lineRule="exact"/>
              <w:ind w:firstLine="420" w:firstLineChars="200"/>
              <w:rPr>
                <w:rFonts w:ascii="宋体" w:cs="宋体"/>
                <w:color w:val="auto"/>
                <w:szCs w:val="21"/>
                <w:highlight w:val="none"/>
              </w:rPr>
            </w:pPr>
            <w:r>
              <w:rPr>
                <w:rFonts w:hint="eastAsia" w:ascii="宋体" w:cs="宋体"/>
                <w:color w:val="auto"/>
                <w:szCs w:val="21"/>
                <w:highlight w:val="none"/>
              </w:rPr>
              <w:t>3、本招标文件所称的“电子签章”“电子签名”，是指经广西政府采购云平台认可的CA认证的电子签名数据为表现形式的印章，可用于签署电子投标文件，电子印章与实物印章具有同等法律效力，不因其采用电子化表现形式而否定其法律效力。</w:t>
            </w:r>
          </w:p>
          <w:p w14:paraId="33398349">
            <w:pPr>
              <w:pStyle w:val="11"/>
              <w:spacing w:line="400" w:lineRule="exact"/>
              <w:ind w:firstLine="420" w:firstLineChars="200"/>
              <w:rPr>
                <w:rFonts w:ascii="宋体" w:cs="宋体"/>
                <w:color w:val="auto"/>
                <w:szCs w:val="21"/>
                <w:highlight w:val="none"/>
              </w:rPr>
            </w:pPr>
            <w:r>
              <w:rPr>
                <w:rFonts w:hint="eastAsia" w:ascii="宋体" w:cs="宋体"/>
                <w:color w:val="auto"/>
                <w:szCs w:val="21"/>
                <w:highlight w:val="none"/>
              </w:rPr>
              <w:t>4、投标人为其他组织或者自然人时，本招标文件规定的法定代表人指负责人或者自然人。本招标文件所称负责人是指参加投标的其他组织营业执照上的负责人，本招标文件所称自然人指参与投标的自然人本人。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19EFDF6E">
            <w:pPr>
              <w:pStyle w:val="11"/>
              <w:spacing w:line="400" w:lineRule="exact"/>
              <w:ind w:firstLine="420" w:firstLineChars="200"/>
              <w:rPr>
                <w:rFonts w:ascii="宋体" w:cs="宋体"/>
                <w:color w:val="auto"/>
                <w:szCs w:val="21"/>
                <w:highlight w:val="none"/>
              </w:rPr>
            </w:pPr>
            <w:r>
              <w:rPr>
                <w:rFonts w:hint="eastAsia" w:ascii="宋体" w:cs="宋体"/>
                <w:color w:val="auto"/>
                <w:szCs w:val="21"/>
                <w:highlight w:val="none"/>
              </w:rPr>
              <w:t>5、自然人投标的，招标文件规定盖公章处由自然人摁手指指印。</w:t>
            </w:r>
          </w:p>
          <w:p w14:paraId="17633CFD">
            <w:pPr>
              <w:pStyle w:val="11"/>
              <w:spacing w:line="400" w:lineRule="exact"/>
              <w:rPr>
                <w:rFonts w:ascii="宋体" w:cs="宋体"/>
                <w:color w:val="auto"/>
                <w:szCs w:val="21"/>
                <w:highlight w:val="none"/>
              </w:rPr>
            </w:pPr>
            <w:r>
              <w:rPr>
                <w:rFonts w:hint="eastAsia" w:ascii="宋体" w:cs="宋体"/>
                <w:color w:val="auto"/>
                <w:szCs w:val="21"/>
                <w:highlight w:val="none"/>
              </w:rPr>
              <w:t xml:space="preserve">    6、本招标文件所称的“以上”“以下”“以内”“届满”，包括本数；所称的“不满”“超过”“以外”，不包括本数。</w:t>
            </w:r>
          </w:p>
        </w:tc>
      </w:tr>
    </w:tbl>
    <w:p w14:paraId="4932E033">
      <w:pPr>
        <w:widowControl/>
        <w:spacing w:line="413" w:lineRule="auto"/>
        <w:jc w:val="left"/>
        <w:rPr>
          <w:rFonts w:ascii="宋体" w:cs="宋体"/>
          <w:b/>
          <w:bCs/>
          <w:color w:val="auto"/>
          <w:sz w:val="32"/>
          <w:szCs w:val="32"/>
          <w:highlight w:val="none"/>
        </w:rPr>
        <w:sectPr>
          <w:footerReference r:id="rId4" w:type="default"/>
          <w:pgSz w:w="11906" w:h="16838"/>
          <w:pgMar w:top="1134" w:right="1134" w:bottom="1134" w:left="1134" w:header="720" w:footer="720" w:gutter="0"/>
          <w:pgNumType w:start="1"/>
          <w:cols w:space="720" w:num="1"/>
          <w:docGrid w:type="lines" w:linePitch="331" w:charSpace="0"/>
        </w:sectPr>
      </w:pPr>
    </w:p>
    <w:p w14:paraId="536C1B5C">
      <w:pPr>
        <w:pStyle w:val="3"/>
        <w:jc w:val="center"/>
        <w:rPr>
          <w:rFonts w:ascii="宋体" w:eastAsia="宋体" w:cs="宋体"/>
          <w:color w:val="auto"/>
          <w:highlight w:val="none"/>
        </w:rPr>
      </w:pPr>
      <w:bookmarkStart w:id="101" w:name="_Toc21704"/>
      <w:bookmarkStart w:id="102" w:name="_Toc21899"/>
      <w:bookmarkStart w:id="103" w:name="_Toc9224"/>
      <w:bookmarkStart w:id="104" w:name="_Toc29181"/>
      <w:bookmarkStart w:id="105" w:name="_Toc32224"/>
      <w:r>
        <w:rPr>
          <w:rFonts w:hint="eastAsia" w:ascii="宋体" w:eastAsia="宋体" w:cs="宋体"/>
          <w:color w:val="auto"/>
          <w:highlight w:val="none"/>
        </w:rPr>
        <w:t>第二节 投标人须知正文</w:t>
      </w:r>
      <w:bookmarkEnd w:id="101"/>
      <w:bookmarkEnd w:id="102"/>
      <w:bookmarkEnd w:id="103"/>
      <w:bookmarkEnd w:id="104"/>
      <w:bookmarkEnd w:id="105"/>
    </w:p>
    <w:p w14:paraId="73225631">
      <w:pPr>
        <w:pStyle w:val="4"/>
        <w:rPr>
          <w:color w:val="auto"/>
          <w:highlight w:val="none"/>
        </w:rPr>
      </w:pPr>
      <w:bookmarkStart w:id="106" w:name="_Toc5656"/>
      <w:bookmarkStart w:id="107" w:name="_Toc9192"/>
      <w:bookmarkStart w:id="108" w:name="_Toc7223"/>
      <w:bookmarkStart w:id="109" w:name="_Toc13703"/>
      <w:bookmarkStart w:id="110" w:name="_Toc2156"/>
      <w:r>
        <w:rPr>
          <w:rFonts w:hint="eastAsia"/>
          <w:color w:val="auto"/>
          <w:highlight w:val="none"/>
        </w:rPr>
        <w:t>一、总  则</w:t>
      </w:r>
      <w:bookmarkEnd w:id="106"/>
      <w:bookmarkEnd w:id="107"/>
      <w:bookmarkEnd w:id="108"/>
      <w:bookmarkEnd w:id="109"/>
      <w:bookmarkEnd w:id="110"/>
    </w:p>
    <w:p w14:paraId="31D4AE4C">
      <w:pPr>
        <w:spacing w:line="360" w:lineRule="auto"/>
        <w:ind w:firstLine="480" w:firstLineChars="200"/>
        <w:rPr>
          <w:rFonts w:ascii="宋体" w:cs="宋体"/>
          <w:color w:val="auto"/>
          <w:sz w:val="24"/>
          <w:highlight w:val="none"/>
        </w:rPr>
      </w:pPr>
      <w:bookmarkStart w:id="111" w:name="_Toc254970668"/>
      <w:bookmarkStart w:id="112" w:name="_Toc254970527"/>
      <w:r>
        <w:rPr>
          <w:rFonts w:hint="eastAsia" w:ascii="宋体" w:cs="宋体"/>
          <w:color w:val="auto"/>
          <w:sz w:val="24"/>
          <w:highlight w:val="none"/>
        </w:rPr>
        <w:t>1.适用范围</w:t>
      </w:r>
      <w:bookmarkEnd w:id="111"/>
      <w:bookmarkEnd w:id="112"/>
    </w:p>
    <w:p w14:paraId="10499C73">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1.1适用法律：本项目采购人、采购代理机构、投标人、评标委员会的相关行为均受《中华人民共和国政府采购法》、《中华人民共和国政府采购法实施条例》、《</w:t>
      </w:r>
      <w:r>
        <w:rPr>
          <w:rFonts w:ascii="宋体" w:cs="宋体"/>
          <w:color w:val="auto"/>
          <w:kern w:val="0"/>
          <w:szCs w:val="21"/>
          <w:highlight w:val="none"/>
        </w:rPr>
        <w:t>政府采购货物和服务招标投标管理办法</w:t>
      </w:r>
      <w:r>
        <w:rPr>
          <w:rFonts w:hint="eastAsia" w:ascii="宋体" w:cs="宋体"/>
          <w:color w:val="auto"/>
          <w:szCs w:val="21"/>
          <w:highlight w:val="none"/>
        </w:rPr>
        <w:t>》及本项目本级和上级财政部门政府采购有关规定的约束和保护。</w:t>
      </w:r>
    </w:p>
    <w:p w14:paraId="11577344">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1.2本招标文件</w:t>
      </w:r>
      <w:r>
        <w:rPr>
          <w:rFonts w:hint="eastAsia" w:ascii="宋体" w:cs="宋体"/>
          <w:color w:val="auto"/>
          <w:spacing w:val="-6"/>
          <w:szCs w:val="21"/>
          <w:highlight w:val="none"/>
        </w:rPr>
        <w:t>适用于本项目的所有采购程序和环节（法律、法规另有规定的，从其规定）。</w:t>
      </w:r>
    </w:p>
    <w:p w14:paraId="300F7423">
      <w:pPr>
        <w:spacing w:line="360" w:lineRule="auto"/>
        <w:ind w:firstLine="480" w:firstLineChars="200"/>
        <w:rPr>
          <w:rFonts w:ascii="宋体" w:cs="宋体"/>
          <w:color w:val="auto"/>
          <w:sz w:val="24"/>
          <w:highlight w:val="none"/>
        </w:rPr>
      </w:pPr>
      <w:bookmarkStart w:id="113" w:name="_Toc254970528"/>
      <w:bookmarkStart w:id="114" w:name="_Toc254970669"/>
      <w:r>
        <w:rPr>
          <w:rFonts w:hint="eastAsia" w:ascii="宋体" w:cs="宋体"/>
          <w:color w:val="auto"/>
          <w:sz w:val="24"/>
          <w:highlight w:val="none"/>
        </w:rPr>
        <w:t>2.定义</w:t>
      </w:r>
      <w:bookmarkEnd w:id="113"/>
      <w:bookmarkEnd w:id="114"/>
    </w:p>
    <w:p w14:paraId="6E645C7E">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2.1“采购人”是指依法进行政府采购的国家机关、事业单位、团体组织。</w:t>
      </w:r>
    </w:p>
    <w:p w14:paraId="4132763D">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2.2“采购代理机构” 指政府采购集中采购机构和集中采购机构以外的采购代理机构。</w:t>
      </w:r>
    </w:p>
    <w:p w14:paraId="382F494F">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2.3“供应商”是指向采购人提供货物、工程或者服务的法人、其他组织或者自然人。</w:t>
      </w:r>
    </w:p>
    <w:p w14:paraId="4E73E922">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2.4“投标人”是指响应招标、参加投标竞争的法人、非法人组织或者自然人。</w:t>
      </w:r>
    </w:p>
    <w:p w14:paraId="4C94D515">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2.5“货物”是指各种形态和种类的物品，包括原材料、燃料、设备、产品等。</w:t>
      </w:r>
    </w:p>
    <w:p w14:paraId="1F48AF63">
      <w:pPr>
        <w:keepNext w:val="0"/>
        <w:keepLines w:val="0"/>
        <w:spacing w:before="0" w:after="0" w:line="360" w:lineRule="auto"/>
        <w:ind w:firstLine="420" w:firstLineChars="200"/>
        <w:outlineLvl w:val="9"/>
        <w:rPr>
          <w:rFonts w:ascii="宋体" w:cs="宋体"/>
          <w:b w:val="0"/>
          <w:color w:val="auto"/>
          <w:sz w:val="21"/>
          <w:szCs w:val="21"/>
          <w:highlight w:val="none"/>
        </w:rPr>
      </w:pPr>
      <w:r>
        <w:rPr>
          <w:rFonts w:hint="eastAsia" w:ascii="宋体" w:cs="宋体"/>
          <w:b w:val="0"/>
          <w:color w:val="auto"/>
          <w:sz w:val="21"/>
          <w:szCs w:val="21"/>
          <w:highlight w:val="none"/>
        </w:rPr>
        <w:t>2.6“售后服务” 是指商品出售以后所提供的各种服务，包含但不限于投标人须承担的备品备件、包装、运输、装卸、保险、货到就位以及安装、调试、培训、保修以及其他各种服务。</w:t>
      </w:r>
    </w:p>
    <w:p w14:paraId="33A99D55">
      <w:pPr>
        <w:keepNext w:val="0"/>
        <w:keepLines w:val="0"/>
        <w:spacing w:before="0" w:after="0" w:line="360" w:lineRule="auto"/>
        <w:outlineLvl w:val="9"/>
        <w:rPr>
          <w:rFonts w:ascii="宋体" w:cs="宋体"/>
          <w:b w:val="0"/>
          <w:color w:val="auto"/>
          <w:sz w:val="21"/>
          <w:szCs w:val="21"/>
          <w:highlight w:val="none"/>
        </w:rPr>
      </w:pPr>
      <w:r>
        <w:rPr>
          <w:rFonts w:hint="eastAsia" w:ascii="宋体" w:cs="宋体"/>
          <w:b w:val="0"/>
          <w:color w:val="auto"/>
          <w:sz w:val="21"/>
          <w:szCs w:val="21"/>
          <w:highlight w:val="none"/>
        </w:rPr>
        <w:t xml:space="preserve">    2.7“书面形式”是指合同书、信件和数据电文（包括电报、电传、传真、电子数据交换和电子邮件）等可以有形地表现所载内容的形式。</w:t>
      </w:r>
    </w:p>
    <w:p w14:paraId="1BCF3D67">
      <w:pPr>
        <w:keepNext w:val="0"/>
        <w:keepLines w:val="0"/>
        <w:spacing w:before="0" w:after="0" w:line="360" w:lineRule="auto"/>
        <w:ind w:firstLine="420" w:firstLineChars="200"/>
        <w:outlineLvl w:val="9"/>
        <w:rPr>
          <w:rFonts w:ascii="宋体" w:cs="宋体"/>
          <w:b w:val="0"/>
          <w:color w:val="auto"/>
          <w:sz w:val="21"/>
          <w:szCs w:val="21"/>
          <w:highlight w:val="none"/>
        </w:rPr>
      </w:pPr>
      <w:r>
        <w:rPr>
          <w:rFonts w:hint="eastAsia" w:ascii="宋体" w:cs="宋体"/>
          <w:b w:val="0"/>
          <w:color w:val="auto"/>
          <w:sz w:val="21"/>
          <w:szCs w:val="21"/>
          <w:highlight w:val="none"/>
        </w:rPr>
        <w:t>2.8“实质性要求”详见“投标人须知前附表”。</w:t>
      </w:r>
    </w:p>
    <w:p w14:paraId="7F777E83">
      <w:pPr>
        <w:snapToGrid w:val="0"/>
        <w:spacing w:line="360" w:lineRule="auto"/>
        <w:ind w:firstLine="420" w:firstLineChars="200"/>
        <w:jc w:val="left"/>
        <w:rPr>
          <w:rFonts w:ascii="宋体" w:cs="宋体"/>
          <w:color w:val="auto"/>
          <w:szCs w:val="21"/>
          <w:highlight w:val="none"/>
        </w:rPr>
      </w:pPr>
      <w:r>
        <w:rPr>
          <w:rFonts w:hint="eastAsia" w:ascii="宋体" w:cs="宋体"/>
          <w:color w:val="auto"/>
          <w:szCs w:val="21"/>
          <w:highlight w:val="none"/>
        </w:rPr>
        <w:t>2.9 “正偏离”是指投标文件对招标文件“采购需求”中有关条款作出的响应优于条款要求并有利于采购人的情形。</w:t>
      </w:r>
    </w:p>
    <w:p w14:paraId="15CE498A">
      <w:pPr>
        <w:snapToGrid w:val="0"/>
        <w:spacing w:line="360" w:lineRule="auto"/>
        <w:ind w:firstLine="420" w:firstLineChars="200"/>
        <w:jc w:val="left"/>
        <w:rPr>
          <w:rFonts w:ascii="宋体" w:cs="宋体"/>
          <w:color w:val="auto"/>
          <w:szCs w:val="21"/>
          <w:highlight w:val="none"/>
        </w:rPr>
      </w:pPr>
      <w:r>
        <w:rPr>
          <w:rFonts w:hint="eastAsia" w:ascii="宋体" w:cs="宋体"/>
          <w:color w:val="auto"/>
          <w:szCs w:val="21"/>
          <w:highlight w:val="none"/>
        </w:rPr>
        <w:t>2.10“负偏离”是指投标文件对招标文件“采购需求”中有关条款作出的响应不满足条款要求，导致采购人要求不能得到满足的情形。</w:t>
      </w:r>
    </w:p>
    <w:p w14:paraId="09FE530D">
      <w:pPr>
        <w:snapToGrid w:val="0"/>
        <w:spacing w:line="360" w:lineRule="auto"/>
        <w:ind w:firstLine="420" w:firstLineChars="200"/>
        <w:jc w:val="left"/>
        <w:rPr>
          <w:rFonts w:ascii="宋体" w:cs="宋体"/>
          <w:color w:val="auto"/>
          <w:szCs w:val="21"/>
          <w:highlight w:val="none"/>
        </w:rPr>
      </w:pPr>
      <w:r>
        <w:rPr>
          <w:rFonts w:hint="eastAsia" w:ascii="宋体" w:cs="宋体"/>
          <w:color w:val="auto"/>
          <w:szCs w:val="21"/>
          <w:highlight w:val="none"/>
        </w:rPr>
        <w:t>2.11“允许负偏离的条款”是指采购需求中的不属于“实质性要求”的条款。</w:t>
      </w:r>
    </w:p>
    <w:p w14:paraId="6DD732C5">
      <w:pPr>
        <w:spacing w:line="360" w:lineRule="auto"/>
        <w:ind w:firstLine="480" w:firstLineChars="200"/>
        <w:rPr>
          <w:rFonts w:ascii="宋体" w:cs="宋体"/>
          <w:color w:val="auto"/>
          <w:sz w:val="24"/>
          <w:highlight w:val="none"/>
        </w:rPr>
      </w:pPr>
      <w:bookmarkStart w:id="115" w:name="_Toc254970529"/>
      <w:bookmarkStart w:id="116" w:name="_Toc254970670"/>
      <w:r>
        <w:rPr>
          <w:rFonts w:hint="eastAsia" w:ascii="宋体" w:cs="宋体"/>
          <w:color w:val="auto"/>
          <w:sz w:val="24"/>
          <w:highlight w:val="none"/>
        </w:rPr>
        <w:t>3.</w:t>
      </w:r>
      <w:bookmarkEnd w:id="115"/>
      <w:bookmarkEnd w:id="116"/>
      <w:r>
        <w:rPr>
          <w:rFonts w:hint="eastAsia" w:ascii="宋体" w:cs="宋体"/>
          <w:color w:val="auto"/>
          <w:sz w:val="24"/>
          <w:highlight w:val="none"/>
        </w:rPr>
        <w:t>投标人的资格要求</w:t>
      </w:r>
    </w:p>
    <w:p w14:paraId="34A35B65">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投标人的资格要求详见“招标公告”。</w:t>
      </w:r>
    </w:p>
    <w:p w14:paraId="588FD3E1">
      <w:pPr>
        <w:spacing w:line="360" w:lineRule="auto"/>
        <w:ind w:firstLine="480" w:firstLineChars="200"/>
        <w:rPr>
          <w:rFonts w:ascii="宋体" w:cs="宋体"/>
          <w:color w:val="auto"/>
          <w:sz w:val="24"/>
          <w:highlight w:val="none"/>
        </w:rPr>
      </w:pPr>
      <w:bookmarkStart w:id="117" w:name="_Toc254970530"/>
      <w:bookmarkStart w:id="118" w:name="_Toc254970671"/>
      <w:r>
        <w:rPr>
          <w:rFonts w:hint="eastAsia" w:ascii="宋体" w:cs="宋体"/>
          <w:color w:val="auto"/>
          <w:sz w:val="24"/>
          <w:highlight w:val="none"/>
        </w:rPr>
        <w:t>4.投标委托</w:t>
      </w:r>
      <w:bookmarkEnd w:id="117"/>
      <w:bookmarkEnd w:id="118"/>
    </w:p>
    <w:p w14:paraId="05F7F022">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投标人代表参加投标活动过程中必须携带个人有效身份证件。如投标人代表不是法定代表人，须持有法定代表人授权委托书（按第六章要求格式填写）。</w:t>
      </w:r>
    </w:p>
    <w:p w14:paraId="35718571">
      <w:pPr>
        <w:spacing w:line="360" w:lineRule="auto"/>
        <w:ind w:firstLine="480" w:firstLineChars="200"/>
        <w:rPr>
          <w:rFonts w:ascii="宋体" w:cs="宋体"/>
          <w:color w:val="auto"/>
          <w:sz w:val="24"/>
          <w:highlight w:val="none"/>
        </w:rPr>
      </w:pPr>
      <w:bookmarkStart w:id="119" w:name="_5.投标费用"/>
      <w:bookmarkEnd w:id="119"/>
      <w:bookmarkStart w:id="120" w:name="_Toc254970531"/>
      <w:bookmarkStart w:id="121" w:name="_Toc254970672"/>
      <w:r>
        <w:rPr>
          <w:rFonts w:hint="eastAsia" w:ascii="宋体" w:cs="宋体"/>
          <w:color w:val="auto"/>
          <w:sz w:val="24"/>
          <w:highlight w:val="none"/>
        </w:rPr>
        <w:t>5.投标费用</w:t>
      </w:r>
      <w:bookmarkEnd w:id="120"/>
      <w:bookmarkEnd w:id="121"/>
    </w:p>
    <w:p w14:paraId="0899AE14">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投标费用：投标人应承担参与本次采购活动有关的所有费用，包括但不限于勘查现场、编制投标文件、参加澄清说明、签订合同等，不论投标结果如何，均应自行承担。</w:t>
      </w:r>
    </w:p>
    <w:p w14:paraId="326D8399">
      <w:pPr>
        <w:spacing w:line="360" w:lineRule="auto"/>
        <w:ind w:firstLine="480" w:firstLineChars="200"/>
        <w:rPr>
          <w:rFonts w:ascii="宋体" w:cs="宋体"/>
          <w:color w:val="auto"/>
          <w:sz w:val="24"/>
          <w:highlight w:val="none"/>
        </w:rPr>
      </w:pPr>
      <w:r>
        <w:rPr>
          <w:rFonts w:hint="eastAsia" w:ascii="宋体" w:cs="宋体"/>
          <w:color w:val="auto"/>
          <w:sz w:val="24"/>
          <w:highlight w:val="none"/>
        </w:rPr>
        <w:t>6.联合体投标</w:t>
      </w:r>
    </w:p>
    <w:p w14:paraId="3DE7634A">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6.1本项目是否接受联合体投标，详见“投标人须知前附表”。</w:t>
      </w:r>
    </w:p>
    <w:p w14:paraId="4A21BA70">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6.2如接受联合体投标，联合体投标要求详见“投标人须知前附表”。</w:t>
      </w:r>
    </w:p>
    <w:p w14:paraId="1FF06B8C">
      <w:pPr>
        <w:spacing w:line="360" w:lineRule="auto"/>
        <w:ind w:firstLine="480" w:firstLineChars="200"/>
        <w:rPr>
          <w:rFonts w:ascii="宋体" w:cs="宋体"/>
          <w:color w:val="auto"/>
          <w:sz w:val="24"/>
          <w:highlight w:val="none"/>
        </w:rPr>
      </w:pPr>
      <w:r>
        <w:rPr>
          <w:rFonts w:hint="eastAsia" w:ascii="宋体" w:cs="宋体"/>
          <w:color w:val="auto"/>
          <w:sz w:val="24"/>
          <w:highlight w:val="none"/>
        </w:rPr>
        <w:t xml:space="preserve">7.转包与分包             </w:t>
      </w:r>
    </w:p>
    <w:p w14:paraId="61E52D1E">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7.1 本项目不允许转包。</w:t>
      </w:r>
    </w:p>
    <w:p w14:paraId="6AD100B0">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7.2本项目是否允许分包详见“投标人须知前附表”，本项目不允许违法分包。</w:t>
      </w:r>
    </w:p>
    <w:p w14:paraId="6506F8BA">
      <w:pPr>
        <w:spacing w:line="360" w:lineRule="auto"/>
        <w:ind w:firstLine="480" w:firstLineChars="200"/>
        <w:rPr>
          <w:rFonts w:ascii="宋体" w:cs="宋体"/>
          <w:color w:val="auto"/>
          <w:sz w:val="24"/>
          <w:highlight w:val="none"/>
        </w:rPr>
      </w:pPr>
      <w:bookmarkStart w:id="122" w:name="_Toc254970532"/>
      <w:bookmarkStart w:id="123" w:name="_Toc254970673"/>
      <w:r>
        <w:rPr>
          <w:rFonts w:hint="eastAsia" w:ascii="宋体" w:cs="宋体"/>
          <w:color w:val="auto"/>
          <w:sz w:val="24"/>
          <w:highlight w:val="none"/>
        </w:rPr>
        <w:t>8.特别说明：</w:t>
      </w:r>
      <w:bookmarkEnd w:id="122"/>
      <w:bookmarkEnd w:id="123"/>
      <w:bookmarkStart w:id="124" w:name="_8.1提供相同品牌产品且通过资格审查、符合性审查的不同投标人参加同一合"/>
      <w:bookmarkEnd w:id="124"/>
    </w:p>
    <w:p w14:paraId="733425ED">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8.1如果本招标文件要求投标人提供资格、信誉、荣誉、业绩与企业认证等材料的，则投标人所提供的以上材料必须为该投标人所拥有。</w:t>
      </w:r>
    </w:p>
    <w:p w14:paraId="572A57B4">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8.2投标人应仔细阅读招标文件的所有内容，按照招标文件的要求提交投标文件，并对所提供的全部资料的真实性承担法律责任。</w:t>
      </w:r>
    </w:p>
    <w:p w14:paraId="06BFE102">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8.3投标人在投标活动中提供任何虚假材料，将报监管部门查处；中标后发现的，中标人须依照《中华人民共和国</w:t>
      </w:r>
      <w:r>
        <w:rPr>
          <w:rFonts w:hint="eastAsia" w:ascii="宋体" w:cs="宋体"/>
          <w:b/>
          <w:color w:val="auto"/>
          <w:szCs w:val="21"/>
          <w:highlight w:val="none"/>
          <w:lang w:val="en-US" w:eastAsia="zh-CN"/>
        </w:rPr>
        <w:t>民法典</w:t>
      </w:r>
      <w:r>
        <w:rPr>
          <w:rFonts w:hint="eastAsia" w:ascii="宋体" w:cs="宋体"/>
          <w:b/>
          <w:color w:val="auto"/>
          <w:szCs w:val="21"/>
          <w:highlight w:val="none"/>
        </w:rPr>
        <w:t>》规定赔偿采购人，且民事赔偿并不免除违法投标人的行政与刑事责任。</w:t>
      </w:r>
    </w:p>
    <w:p w14:paraId="44094C91">
      <w:pPr>
        <w:widowControl/>
        <w:spacing w:line="360" w:lineRule="auto"/>
        <w:ind w:firstLine="422" w:firstLineChars="200"/>
        <w:jc w:val="left"/>
        <w:rPr>
          <w:rFonts w:ascii="宋体" w:cs="宋体"/>
          <w:b/>
          <w:color w:val="auto"/>
          <w:szCs w:val="21"/>
          <w:highlight w:val="none"/>
        </w:rPr>
      </w:pPr>
      <w:r>
        <w:rPr>
          <w:rFonts w:hint="eastAsia" w:ascii="宋体" w:cs="宋体"/>
          <w:b/>
          <w:color w:val="auto"/>
          <w:szCs w:val="21"/>
          <w:highlight w:val="none"/>
        </w:rPr>
        <w:t>8.4采用最低评标价法的采购项目，提供相同品牌产品的不同投标人参加同一合同项下投标的，以其中通过资格审查、符合性审查且报价最低的参加评标；报价相同的，由采购人或者采购人委托评标委员会按照招标文件“投标人须知前附表”规定的方式确定一个参加评标的投标人，招标文件未规定的采取随机抽取方式确定，其他投标无效。</w:t>
      </w:r>
    </w:p>
    <w:p w14:paraId="48AC4B3F">
      <w:pPr>
        <w:widowControl/>
        <w:spacing w:line="360" w:lineRule="auto"/>
        <w:ind w:firstLine="422" w:firstLineChars="200"/>
        <w:jc w:val="left"/>
        <w:rPr>
          <w:rFonts w:ascii="宋体" w:cs="宋体"/>
          <w:b/>
          <w:color w:val="auto"/>
          <w:szCs w:val="21"/>
          <w:highlight w:val="none"/>
        </w:rPr>
      </w:pPr>
      <w:r>
        <w:rPr>
          <w:rFonts w:hint="eastAsia" w:ascii="宋体" w:cs="宋体"/>
          <w:b/>
          <w:color w:val="auto"/>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投标人须知前附表”规定的方式确定一个投标人获得中标人推荐资格，招标文件未规定的采取随机抽取方式确定，其他同品牌投标人不作为中标候选人。</w:t>
      </w:r>
    </w:p>
    <w:p w14:paraId="08FAE4DB">
      <w:pPr>
        <w:widowControl/>
        <w:spacing w:line="360" w:lineRule="auto"/>
        <w:ind w:firstLine="422" w:firstLineChars="200"/>
        <w:jc w:val="left"/>
        <w:rPr>
          <w:rFonts w:ascii="宋体" w:cs="宋体"/>
          <w:b/>
          <w:color w:val="auto"/>
          <w:szCs w:val="21"/>
          <w:highlight w:val="none"/>
        </w:rPr>
      </w:pPr>
      <w:r>
        <w:rPr>
          <w:rFonts w:hint="eastAsia" w:ascii="宋体" w:cs="宋体"/>
          <w:b/>
          <w:color w:val="auto"/>
          <w:szCs w:val="21"/>
          <w:highlight w:val="none"/>
        </w:rPr>
        <w:t>非单一产品采购项目，采购人应当根据采购项目技术构成、产品价格比重等合理确定核心产品，并在招标文件中载明。多家投标人提供的核心产品品牌相同的，按前两款规定处理。</w:t>
      </w:r>
    </w:p>
    <w:p w14:paraId="383A46C3">
      <w:pPr>
        <w:spacing w:line="360" w:lineRule="auto"/>
        <w:ind w:firstLine="480" w:firstLineChars="200"/>
        <w:rPr>
          <w:rFonts w:ascii="宋体" w:cs="宋体"/>
          <w:color w:val="auto"/>
          <w:sz w:val="24"/>
          <w:highlight w:val="none"/>
        </w:rPr>
      </w:pPr>
      <w:r>
        <w:rPr>
          <w:rFonts w:hint="eastAsia" w:ascii="宋体" w:cs="宋体"/>
          <w:color w:val="auto"/>
          <w:sz w:val="24"/>
          <w:highlight w:val="none"/>
        </w:rPr>
        <w:t>9.回避与串通投标</w:t>
      </w:r>
    </w:p>
    <w:p w14:paraId="52102219">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9.1在政府采购活动中，采购人员及相关人员与供应商有下列利害关系之一的，应当回避：</w:t>
      </w:r>
    </w:p>
    <w:p w14:paraId="375ACBF4">
      <w:pPr>
        <w:spacing w:line="360" w:lineRule="auto"/>
        <w:ind w:firstLine="422" w:firstLineChars="200"/>
        <w:rPr>
          <w:rFonts w:ascii="宋体" w:cs="宋体"/>
          <w:b/>
          <w:bCs/>
          <w:color w:val="auto"/>
          <w:highlight w:val="none"/>
        </w:rPr>
      </w:pPr>
      <w:r>
        <w:rPr>
          <w:rFonts w:hint="eastAsia" w:ascii="宋体" w:cs="宋体"/>
          <w:b/>
          <w:bCs/>
          <w:color w:val="auto"/>
          <w:highlight w:val="none"/>
        </w:rPr>
        <w:t>（1）参加采购活动前3年内与供应商存在劳动关系；</w:t>
      </w:r>
    </w:p>
    <w:p w14:paraId="4058E47D">
      <w:pPr>
        <w:spacing w:line="360" w:lineRule="auto"/>
        <w:ind w:firstLine="422" w:firstLineChars="200"/>
        <w:rPr>
          <w:rFonts w:ascii="宋体" w:cs="宋体"/>
          <w:b/>
          <w:bCs/>
          <w:color w:val="auto"/>
          <w:highlight w:val="none"/>
        </w:rPr>
      </w:pPr>
      <w:r>
        <w:rPr>
          <w:rFonts w:hint="eastAsia" w:ascii="宋体" w:cs="宋体"/>
          <w:b/>
          <w:bCs/>
          <w:color w:val="auto"/>
          <w:highlight w:val="none"/>
        </w:rPr>
        <w:t>（2）参加采购活动前3年内担任供应商的董事、监事；</w:t>
      </w:r>
    </w:p>
    <w:p w14:paraId="672556C3">
      <w:pPr>
        <w:spacing w:line="360" w:lineRule="auto"/>
        <w:ind w:firstLine="422" w:firstLineChars="200"/>
        <w:rPr>
          <w:rFonts w:ascii="宋体" w:cs="宋体"/>
          <w:b/>
          <w:bCs/>
          <w:color w:val="auto"/>
          <w:highlight w:val="none"/>
        </w:rPr>
      </w:pPr>
      <w:r>
        <w:rPr>
          <w:rFonts w:hint="eastAsia" w:ascii="宋体" w:cs="宋体"/>
          <w:b/>
          <w:bCs/>
          <w:color w:val="auto"/>
          <w:highlight w:val="none"/>
        </w:rPr>
        <w:t>（3）参加采购活动前3年内是供应商的控股股东或者实际控制人；</w:t>
      </w:r>
    </w:p>
    <w:p w14:paraId="1F074B0C">
      <w:pPr>
        <w:spacing w:line="360" w:lineRule="auto"/>
        <w:ind w:firstLine="422" w:firstLineChars="200"/>
        <w:rPr>
          <w:rFonts w:ascii="宋体" w:cs="宋体"/>
          <w:b/>
          <w:bCs/>
          <w:color w:val="auto"/>
          <w:highlight w:val="none"/>
        </w:rPr>
      </w:pPr>
      <w:r>
        <w:rPr>
          <w:rFonts w:hint="eastAsia" w:ascii="宋体" w:cs="宋体"/>
          <w:b/>
          <w:bCs/>
          <w:color w:val="auto"/>
          <w:highlight w:val="none"/>
        </w:rPr>
        <w:t>（4）与供应商的法定代表人或者负责人有夫妻、直系血亲、三代以内旁系血亲或者近姻亲关系；</w:t>
      </w:r>
    </w:p>
    <w:p w14:paraId="1B825070">
      <w:pPr>
        <w:spacing w:line="360" w:lineRule="auto"/>
        <w:ind w:firstLine="422" w:firstLineChars="200"/>
        <w:rPr>
          <w:rFonts w:ascii="宋体" w:cs="宋体"/>
          <w:b/>
          <w:bCs/>
          <w:color w:val="auto"/>
          <w:highlight w:val="none"/>
        </w:rPr>
      </w:pPr>
      <w:r>
        <w:rPr>
          <w:rFonts w:hint="eastAsia" w:ascii="宋体" w:cs="宋体"/>
          <w:b/>
          <w:bCs/>
          <w:color w:val="auto"/>
          <w:highlight w:val="none"/>
        </w:rPr>
        <w:t>（5）与供应商有其他可能影响政府采购活动公平、公正进行的关系。</w:t>
      </w:r>
    </w:p>
    <w:p w14:paraId="6D043D14">
      <w:pPr>
        <w:spacing w:line="360" w:lineRule="auto"/>
        <w:ind w:firstLine="422" w:firstLineChars="200"/>
        <w:rPr>
          <w:rFonts w:ascii="宋体" w:cs="宋体"/>
          <w:b/>
          <w:bCs/>
          <w:color w:val="auto"/>
          <w:highlight w:val="none"/>
        </w:rPr>
      </w:pPr>
      <w:r>
        <w:rPr>
          <w:rFonts w:hint="eastAsia" w:ascii="宋体" w:cs="宋体"/>
          <w:b/>
          <w:bCs/>
          <w:color w:val="auto"/>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ABB8893">
      <w:pPr>
        <w:spacing w:line="360" w:lineRule="auto"/>
        <w:ind w:firstLine="422" w:firstLineChars="200"/>
        <w:rPr>
          <w:rFonts w:ascii="宋体" w:cs="宋体"/>
          <w:b/>
          <w:bCs/>
          <w:color w:val="auto"/>
          <w:szCs w:val="21"/>
          <w:highlight w:val="none"/>
        </w:rPr>
      </w:pPr>
      <w:r>
        <w:rPr>
          <w:rFonts w:hint="eastAsia" w:ascii="宋体" w:cs="宋体"/>
          <w:b/>
          <w:bCs/>
          <w:color w:val="auto"/>
          <w:szCs w:val="21"/>
          <w:highlight w:val="none"/>
        </w:rPr>
        <w:t>9.2有下列情形之一的视为投标人相互串通投标，投标文件将被视为无效：</w:t>
      </w:r>
    </w:p>
    <w:p w14:paraId="1AFF8FD4">
      <w:pPr>
        <w:spacing w:line="360" w:lineRule="auto"/>
        <w:ind w:firstLine="422" w:firstLineChars="200"/>
        <w:rPr>
          <w:rFonts w:ascii="宋体" w:cs="宋体"/>
          <w:b/>
          <w:color w:val="auto"/>
          <w:highlight w:val="none"/>
        </w:rPr>
      </w:pPr>
      <w:r>
        <w:rPr>
          <w:rFonts w:hint="eastAsia" w:ascii="宋体" w:cs="宋体"/>
          <w:b/>
          <w:color w:val="auto"/>
          <w:highlight w:val="none"/>
        </w:rPr>
        <w:t>（1）不同投标人的投标文件由同一单位或者个人编制；或者不同投标人报名的IP地址一致的；</w:t>
      </w:r>
    </w:p>
    <w:p w14:paraId="254A8B73">
      <w:pPr>
        <w:spacing w:line="360" w:lineRule="auto"/>
        <w:ind w:firstLine="422" w:firstLineChars="200"/>
        <w:rPr>
          <w:rFonts w:ascii="宋体" w:cs="宋体"/>
          <w:b/>
          <w:color w:val="auto"/>
          <w:highlight w:val="none"/>
        </w:rPr>
      </w:pPr>
      <w:r>
        <w:rPr>
          <w:rFonts w:hint="eastAsia" w:ascii="宋体" w:cs="宋体"/>
          <w:b/>
          <w:color w:val="auto"/>
          <w:highlight w:val="none"/>
        </w:rPr>
        <w:t>（2）不同投标人委托同一单位或者个人办理投标事宜；</w:t>
      </w:r>
    </w:p>
    <w:p w14:paraId="1DE16046">
      <w:pPr>
        <w:spacing w:line="360" w:lineRule="auto"/>
        <w:ind w:firstLine="422" w:firstLineChars="200"/>
        <w:rPr>
          <w:rFonts w:ascii="宋体" w:cs="宋体"/>
          <w:b/>
          <w:color w:val="auto"/>
          <w:highlight w:val="none"/>
        </w:rPr>
      </w:pPr>
      <w:r>
        <w:rPr>
          <w:rFonts w:hint="eastAsia" w:ascii="宋体" w:cs="宋体"/>
          <w:b/>
          <w:color w:val="auto"/>
          <w:highlight w:val="none"/>
        </w:rPr>
        <w:t>（3）不同的投标人的投标文件载明的项目管理员为同一个人；</w:t>
      </w:r>
    </w:p>
    <w:p w14:paraId="49A1908C">
      <w:pPr>
        <w:spacing w:line="360" w:lineRule="auto"/>
        <w:ind w:firstLine="422" w:firstLineChars="200"/>
        <w:rPr>
          <w:rFonts w:ascii="宋体" w:cs="宋体"/>
          <w:b/>
          <w:color w:val="auto"/>
          <w:highlight w:val="none"/>
        </w:rPr>
      </w:pPr>
      <w:r>
        <w:rPr>
          <w:rFonts w:hint="eastAsia" w:ascii="宋体" w:cs="宋体"/>
          <w:b/>
          <w:color w:val="auto"/>
          <w:highlight w:val="none"/>
        </w:rPr>
        <w:t>（4）不同投标人的电子投标文件异常一致或者投标报价呈规律性差异；</w:t>
      </w:r>
    </w:p>
    <w:p w14:paraId="4A6030F4">
      <w:pPr>
        <w:spacing w:line="360" w:lineRule="auto"/>
        <w:ind w:firstLine="422" w:firstLineChars="200"/>
        <w:rPr>
          <w:color w:val="auto"/>
          <w:highlight w:val="none"/>
        </w:rPr>
      </w:pPr>
      <w:r>
        <w:rPr>
          <w:rFonts w:hint="eastAsia" w:ascii="宋体" w:cs="宋体"/>
          <w:b/>
          <w:color w:val="auto"/>
          <w:szCs w:val="21"/>
          <w:highlight w:val="none"/>
        </w:rPr>
        <w:t>（5）</w:t>
      </w:r>
      <w:r>
        <w:rPr>
          <w:rFonts w:hint="eastAsia" w:ascii="宋体" w:cs="宋体"/>
          <w:b/>
          <w:color w:val="auto"/>
          <w:highlight w:val="none"/>
        </w:rPr>
        <w:t>不同投标人的投标文件相互混装；</w:t>
      </w:r>
    </w:p>
    <w:p w14:paraId="66EDD555">
      <w:pPr>
        <w:tabs>
          <w:tab w:val="center" w:pos="4153"/>
          <w:tab w:val="right" w:pos="8306"/>
        </w:tabs>
        <w:spacing w:line="360" w:lineRule="auto"/>
        <w:ind w:firstLine="422" w:firstLineChars="200"/>
        <w:rPr>
          <w:rFonts w:ascii="宋体" w:cs="宋体"/>
          <w:b/>
          <w:color w:val="auto"/>
          <w:highlight w:val="none"/>
        </w:rPr>
      </w:pPr>
      <w:r>
        <w:rPr>
          <w:rFonts w:hint="eastAsia" w:ascii="宋体" w:cs="宋体"/>
          <w:b/>
          <w:color w:val="auto"/>
          <w:highlight w:val="none"/>
        </w:rPr>
        <w:t>（6）不同投标人的投标保证金从同一单位或者个人账户转出。</w:t>
      </w:r>
    </w:p>
    <w:p w14:paraId="6A7621E4">
      <w:pPr>
        <w:spacing w:line="360" w:lineRule="auto"/>
        <w:ind w:firstLine="422" w:firstLineChars="200"/>
        <w:rPr>
          <w:rFonts w:ascii="宋体" w:cs="宋体"/>
          <w:b/>
          <w:bCs/>
          <w:color w:val="auto"/>
          <w:szCs w:val="21"/>
          <w:highlight w:val="none"/>
        </w:rPr>
      </w:pPr>
      <w:r>
        <w:rPr>
          <w:rFonts w:hint="eastAsia" w:ascii="宋体" w:cs="宋体"/>
          <w:b/>
          <w:color w:val="auto"/>
          <w:highlight w:val="none"/>
        </w:rPr>
        <w:t>9.3供应商有下列情形之一的，属于恶意串通</w:t>
      </w:r>
      <w:r>
        <w:rPr>
          <w:rFonts w:hint="eastAsia" w:ascii="宋体" w:cs="宋体"/>
          <w:b/>
          <w:bCs/>
          <w:color w:val="auto"/>
          <w:szCs w:val="21"/>
          <w:highlight w:val="none"/>
        </w:rPr>
        <w:t>行为，将报同级监督管理部门：</w:t>
      </w:r>
    </w:p>
    <w:p w14:paraId="4855E1C8">
      <w:pPr>
        <w:spacing w:line="360" w:lineRule="auto"/>
        <w:ind w:firstLine="422" w:firstLineChars="200"/>
        <w:rPr>
          <w:rFonts w:ascii="宋体" w:cs="宋体"/>
          <w:b/>
          <w:bCs/>
          <w:color w:val="auto"/>
          <w:highlight w:val="none"/>
        </w:rPr>
      </w:pPr>
      <w:r>
        <w:rPr>
          <w:rFonts w:hint="eastAsia" w:ascii="宋体" w:cs="宋体"/>
          <w:b/>
          <w:bCs/>
          <w:color w:val="auto"/>
          <w:highlight w:val="none"/>
        </w:rPr>
        <w:t>（1）供应商直接或者间接从采购人或者采购代理机构处获得其他供应商的相关信息并修改其投标文件；</w:t>
      </w:r>
    </w:p>
    <w:p w14:paraId="27A6D529">
      <w:pPr>
        <w:spacing w:line="360" w:lineRule="auto"/>
        <w:ind w:firstLine="422" w:firstLineChars="200"/>
        <w:rPr>
          <w:rFonts w:ascii="宋体" w:cs="宋体"/>
          <w:b/>
          <w:bCs/>
          <w:color w:val="auto"/>
          <w:highlight w:val="none"/>
        </w:rPr>
      </w:pPr>
      <w:r>
        <w:rPr>
          <w:rFonts w:hint="eastAsia" w:ascii="宋体" w:cs="宋体"/>
          <w:b/>
          <w:bCs/>
          <w:color w:val="auto"/>
          <w:highlight w:val="none"/>
        </w:rPr>
        <w:t>（2）供应商按照采购人或者采购代理机构的授意撤换、修改投标文件；</w:t>
      </w:r>
    </w:p>
    <w:p w14:paraId="7B45B8BD">
      <w:pPr>
        <w:spacing w:line="360" w:lineRule="auto"/>
        <w:ind w:firstLine="422" w:firstLineChars="200"/>
        <w:rPr>
          <w:rFonts w:ascii="宋体" w:cs="宋体"/>
          <w:b/>
          <w:bCs/>
          <w:color w:val="auto"/>
          <w:highlight w:val="none"/>
        </w:rPr>
      </w:pPr>
      <w:r>
        <w:rPr>
          <w:rFonts w:hint="eastAsia" w:ascii="宋体" w:cs="宋体"/>
          <w:b/>
          <w:bCs/>
          <w:color w:val="auto"/>
          <w:highlight w:val="none"/>
        </w:rPr>
        <w:t>（3）供应商之间协商报价、技术方案等投标文件的实质性内容；</w:t>
      </w:r>
    </w:p>
    <w:p w14:paraId="6A780B96">
      <w:pPr>
        <w:spacing w:line="360" w:lineRule="auto"/>
        <w:ind w:firstLine="422" w:firstLineChars="200"/>
        <w:rPr>
          <w:rFonts w:ascii="宋体" w:cs="宋体"/>
          <w:b/>
          <w:bCs/>
          <w:color w:val="auto"/>
          <w:highlight w:val="none"/>
        </w:rPr>
      </w:pPr>
      <w:r>
        <w:rPr>
          <w:rFonts w:hint="eastAsia" w:ascii="宋体" w:cs="宋体"/>
          <w:b/>
          <w:bCs/>
          <w:color w:val="auto"/>
          <w:highlight w:val="none"/>
        </w:rPr>
        <w:t>（4）属于同一集团、协会、商会等组织成员的供应商按照该组织要求协同参加政府采购活动；</w:t>
      </w:r>
    </w:p>
    <w:p w14:paraId="13B5D171">
      <w:pPr>
        <w:spacing w:line="360" w:lineRule="auto"/>
        <w:ind w:firstLine="422" w:firstLineChars="200"/>
        <w:rPr>
          <w:rFonts w:ascii="宋体" w:cs="宋体"/>
          <w:b/>
          <w:bCs/>
          <w:color w:val="auto"/>
          <w:highlight w:val="none"/>
        </w:rPr>
      </w:pPr>
      <w:r>
        <w:rPr>
          <w:rFonts w:hint="eastAsia" w:ascii="宋体" w:cs="宋体"/>
          <w:b/>
          <w:bCs/>
          <w:color w:val="auto"/>
          <w:highlight w:val="none"/>
        </w:rPr>
        <w:t>（5）供应商之间事先约定一致抬高或者压低投标报价，或者在招标项目中事先约定轮流以高价位或者低价位中标，或者事先约定由某一特定供应商中标，然后再参加投标；</w:t>
      </w:r>
    </w:p>
    <w:p w14:paraId="38BEEDB7">
      <w:pPr>
        <w:spacing w:line="360" w:lineRule="auto"/>
        <w:ind w:firstLine="422" w:firstLineChars="200"/>
        <w:rPr>
          <w:rFonts w:ascii="宋体" w:cs="宋体"/>
          <w:b/>
          <w:bCs/>
          <w:color w:val="auto"/>
          <w:highlight w:val="none"/>
        </w:rPr>
      </w:pPr>
      <w:r>
        <w:rPr>
          <w:rFonts w:hint="eastAsia" w:ascii="宋体" w:cs="宋体"/>
          <w:b/>
          <w:bCs/>
          <w:color w:val="auto"/>
          <w:highlight w:val="none"/>
        </w:rPr>
        <w:t>（6）供应商之间商定部分供应商放弃参加政府采购活动或者放弃中标；</w:t>
      </w:r>
    </w:p>
    <w:p w14:paraId="3B8E51FB">
      <w:pPr>
        <w:spacing w:line="360" w:lineRule="auto"/>
        <w:ind w:firstLine="422" w:firstLineChars="200"/>
        <w:rPr>
          <w:rFonts w:ascii="宋体" w:cs="宋体"/>
          <w:b/>
          <w:bCs/>
          <w:color w:val="auto"/>
          <w:highlight w:val="none"/>
        </w:rPr>
      </w:pPr>
      <w:r>
        <w:rPr>
          <w:rFonts w:hint="eastAsia" w:ascii="宋体" w:cs="宋体"/>
          <w:b/>
          <w:bCs/>
          <w:color w:val="auto"/>
          <w:highlight w:val="none"/>
        </w:rPr>
        <w:t>（7）供应商与采购人或者采购代理机构之间、供应商相互之间，为谋求特定供应商中标或者排斥其他供应商的其他串通行为。</w:t>
      </w:r>
    </w:p>
    <w:p w14:paraId="0FFD6DBB">
      <w:pPr>
        <w:pStyle w:val="16"/>
        <w:snapToGrid w:val="0"/>
        <w:spacing w:line="360" w:lineRule="auto"/>
        <w:ind w:left="2" w:leftChars="1" w:firstLine="422" w:firstLineChars="200"/>
        <w:rPr>
          <w:rFonts w:cs="宋体"/>
          <w:b/>
          <w:color w:val="auto"/>
          <w:highlight w:val="none"/>
        </w:rPr>
      </w:pPr>
    </w:p>
    <w:p w14:paraId="24BCBE0A">
      <w:pPr>
        <w:pStyle w:val="4"/>
        <w:rPr>
          <w:color w:val="auto"/>
          <w:highlight w:val="none"/>
        </w:rPr>
      </w:pPr>
      <w:bookmarkStart w:id="125" w:name="_Toc25441"/>
      <w:bookmarkStart w:id="126" w:name="_Toc254970675"/>
      <w:bookmarkStart w:id="127" w:name="_Toc22070"/>
      <w:bookmarkStart w:id="128" w:name="_Toc22960"/>
      <w:bookmarkStart w:id="129" w:name="_Toc254970534"/>
      <w:bookmarkStart w:id="130" w:name="_Toc19385"/>
      <w:bookmarkStart w:id="131" w:name="_Toc4100"/>
      <w:r>
        <w:rPr>
          <w:rFonts w:hint="eastAsia"/>
          <w:color w:val="auto"/>
          <w:highlight w:val="none"/>
        </w:rPr>
        <w:t>二、招标文件</w:t>
      </w:r>
      <w:bookmarkEnd w:id="125"/>
      <w:bookmarkEnd w:id="126"/>
      <w:bookmarkEnd w:id="127"/>
      <w:bookmarkEnd w:id="128"/>
      <w:bookmarkEnd w:id="129"/>
      <w:bookmarkEnd w:id="130"/>
      <w:bookmarkEnd w:id="131"/>
    </w:p>
    <w:p w14:paraId="61D09C10">
      <w:pPr>
        <w:spacing w:line="360" w:lineRule="auto"/>
        <w:ind w:firstLine="480" w:firstLineChars="200"/>
        <w:rPr>
          <w:rFonts w:ascii="宋体" w:cs="宋体"/>
          <w:color w:val="auto"/>
          <w:sz w:val="24"/>
          <w:highlight w:val="none"/>
        </w:rPr>
      </w:pPr>
      <w:r>
        <w:rPr>
          <w:rFonts w:hint="eastAsia" w:ascii="宋体" w:cs="宋体"/>
          <w:color w:val="auto"/>
          <w:sz w:val="24"/>
          <w:highlight w:val="none"/>
        </w:rPr>
        <w:t>10.招标文件的组成</w:t>
      </w:r>
    </w:p>
    <w:p w14:paraId="7968B872">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第一章 招标公告；</w:t>
      </w:r>
    </w:p>
    <w:p w14:paraId="65FEEA6C">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 xml:space="preserve">第二章 采购需求； </w:t>
      </w:r>
    </w:p>
    <w:p w14:paraId="4830246C">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第三章 投标人须知；</w:t>
      </w:r>
    </w:p>
    <w:p w14:paraId="480D2B37">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第四章 评标方法和评标标准；</w:t>
      </w:r>
    </w:p>
    <w:p w14:paraId="4E52BEFF">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第五章 拟签订的合同文本；</w:t>
      </w:r>
    </w:p>
    <w:p w14:paraId="2277260D">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第六章 投标文件格式；</w:t>
      </w:r>
    </w:p>
    <w:p w14:paraId="5D59E785">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第七章 质疑、投诉材料格式</w:t>
      </w:r>
    </w:p>
    <w:p w14:paraId="0F585DBB">
      <w:pPr>
        <w:spacing w:line="360" w:lineRule="auto"/>
        <w:ind w:firstLine="420" w:firstLineChars="200"/>
        <w:rPr>
          <w:rFonts w:ascii="宋体" w:cs="宋体"/>
          <w:color w:val="auto"/>
          <w:highlight w:val="none"/>
        </w:rPr>
      </w:pPr>
      <w:r>
        <w:rPr>
          <w:rFonts w:hint="eastAsia" w:ascii="宋体" w:cs="宋体"/>
          <w:color w:val="auto"/>
          <w:highlight w:val="none"/>
        </w:rPr>
        <w:t>根据本章第11.1项的规定对招标文件所做的澄清、修改，构成招标文件的组成部分。当招标文件与招标文件的澄清和修改就同一内容的表述不一致时，以最后澄清或修改公告为准。</w:t>
      </w:r>
    </w:p>
    <w:p w14:paraId="2B8BA81C">
      <w:pPr>
        <w:spacing w:line="360" w:lineRule="auto"/>
        <w:ind w:firstLine="480" w:firstLineChars="200"/>
        <w:rPr>
          <w:rFonts w:ascii="宋体" w:cs="宋体"/>
          <w:color w:val="auto"/>
          <w:sz w:val="24"/>
          <w:highlight w:val="none"/>
        </w:rPr>
      </w:pPr>
      <w:r>
        <w:rPr>
          <w:rFonts w:hint="eastAsia" w:ascii="宋体" w:cs="宋体"/>
          <w:color w:val="auto"/>
          <w:sz w:val="24"/>
          <w:highlight w:val="none"/>
        </w:rPr>
        <w:t>11.招标文件的澄清、修改 、现场考察和答疑会</w:t>
      </w:r>
    </w:p>
    <w:p w14:paraId="1B594EEC">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 xml:space="preserve"> 11.1采购人或者采购代理机构可以对已发出的招标文件进行必要的澄清或者修改，但不得改变采购标的和资格条件。澄清或者修改应当在原招标公告发布媒体上发布澄清公告。澄清或者修改的内容为招标文件的组成部分。</w:t>
      </w:r>
    </w:p>
    <w:p w14:paraId="6866F1D3">
      <w:pPr>
        <w:spacing w:line="360" w:lineRule="auto"/>
        <w:ind w:firstLine="420" w:firstLineChars="200"/>
        <w:rPr>
          <w:rFonts w:ascii="宋体" w:cs="宋体"/>
          <w:color w:val="auto"/>
          <w:highlight w:val="none"/>
        </w:rPr>
      </w:pPr>
      <w:r>
        <w:rPr>
          <w:rFonts w:hint="eastAsia" w:ascii="宋体" w:cs="宋体"/>
          <w:color w:val="auto"/>
          <w:highlight w:val="none"/>
        </w:rPr>
        <w:t>11.2 投标人应认真审阅本招标文件，如有疑问，或发现其中有误或有要求不合理的，应在投标人须知前附表规定的</w:t>
      </w:r>
      <w:r>
        <w:rPr>
          <w:rFonts w:hint="eastAsia" w:ascii="宋体" w:cs="宋体"/>
          <w:color w:val="auto"/>
          <w:kern w:val="0"/>
          <w:szCs w:val="21"/>
          <w:highlight w:val="none"/>
        </w:rPr>
        <w:t>投标截止时间</w:t>
      </w:r>
      <w:r>
        <w:rPr>
          <w:rFonts w:hint="eastAsia" w:ascii="宋体" w:cs="宋体"/>
          <w:color w:val="auto"/>
          <w:highlight w:val="none"/>
        </w:rPr>
        <w:t>前以书面形式要求采购人或采购代理机构对招标文件予以澄清；否则，由此产生的后果由投标人自行负责。</w:t>
      </w:r>
    </w:p>
    <w:p w14:paraId="43921642">
      <w:pPr>
        <w:spacing w:line="360" w:lineRule="auto"/>
        <w:ind w:firstLine="420" w:firstLineChars="200"/>
        <w:rPr>
          <w:rFonts w:ascii="宋体" w:cs="宋体"/>
          <w:color w:val="auto"/>
          <w:highlight w:val="none"/>
        </w:rPr>
      </w:pPr>
      <w:r>
        <w:rPr>
          <w:rFonts w:hint="eastAsia" w:ascii="宋体" w:cs="宋体"/>
          <w:color w:val="auto"/>
          <w:highlight w:val="none"/>
        </w:rPr>
        <w:t>11.3 采购人或者采购代理机构可以对已发出的招标文件进行必要的澄清或者修改。澄清或者修改的内容可能影响投标文件编制的，采购人或者采购代理机构应当在投标截止时间至少15日前，以书面形式通知(在“</w:t>
      </w:r>
      <w:r>
        <w:rPr>
          <w:rFonts w:hint="eastAsia" w:ascii="宋体" w:cs="宋体"/>
          <w:color w:val="auto"/>
          <w:szCs w:val="21"/>
          <w:highlight w:val="none"/>
        </w:rPr>
        <w:t>投标人须知前附表”</w:t>
      </w:r>
      <w:r>
        <w:rPr>
          <w:rFonts w:hint="eastAsia" w:ascii="宋体" w:cs="宋体"/>
          <w:color w:val="auto"/>
          <w:highlight w:val="none"/>
        </w:rPr>
        <w:t>规定的政府采购信息发布媒体上发布更正公告及平台短信通知)所有获取招标文件的潜在投标人；不足15日的，采购人或者采购代理机构应当顺延提交投标文件的截止时间。</w:t>
      </w:r>
    </w:p>
    <w:p w14:paraId="1FA50021">
      <w:pPr>
        <w:spacing w:line="360" w:lineRule="auto"/>
        <w:ind w:firstLine="420" w:firstLineChars="200"/>
        <w:rPr>
          <w:rFonts w:ascii="宋体" w:cs="宋体"/>
          <w:color w:val="auto"/>
          <w:highlight w:val="none"/>
        </w:rPr>
      </w:pPr>
      <w:r>
        <w:rPr>
          <w:rFonts w:hint="eastAsia" w:ascii="宋体" w:cs="宋体"/>
          <w:color w:val="auto"/>
          <w:highlight w:val="none"/>
        </w:rPr>
        <w:t>澄清或者更正公告在招标公告发布媒体上发布，一经发布，视作已以书面形式通知所有获取招标文件的潜在投标人，不再另行通知，所有潜在投标人应密切关注招标公告发布媒体，因未能及时获知，由此产生的后果均应自行承担。</w:t>
      </w:r>
    </w:p>
    <w:p w14:paraId="305D0166">
      <w:pPr>
        <w:spacing w:line="360" w:lineRule="auto"/>
        <w:ind w:firstLine="420" w:firstLineChars="200"/>
        <w:rPr>
          <w:rFonts w:ascii="宋体" w:cs="宋体"/>
          <w:color w:val="auto"/>
          <w:highlight w:val="none"/>
        </w:rPr>
      </w:pPr>
      <w:r>
        <w:rPr>
          <w:rFonts w:hint="eastAsia" w:ascii="宋体" w:cs="宋体"/>
          <w:color w:val="auto"/>
          <w:highlight w:val="none"/>
        </w:rPr>
        <w:t>11.4 采购人和采购代理机构可以视采购具体情况，变更投标截止时间和开标时间，将变更时间将在“</w:t>
      </w:r>
      <w:r>
        <w:rPr>
          <w:rFonts w:hint="eastAsia" w:ascii="宋体" w:cs="宋体"/>
          <w:color w:val="auto"/>
          <w:szCs w:val="21"/>
          <w:highlight w:val="none"/>
        </w:rPr>
        <w:t>投标人须知前附表”</w:t>
      </w:r>
      <w:r>
        <w:rPr>
          <w:rFonts w:hint="eastAsia" w:ascii="宋体" w:cs="宋体"/>
          <w:color w:val="auto"/>
          <w:kern w:val="0"/>
          <w:szCs w:val="21"/>
          <w:highlight w:val="none"/>
        </w:rPr>
        <w:t>规定的政府采购信息发布媒体上</w:t>
      </w:r>
      <w:r>
        <w:rPr>
          <w:rFonts w:hint="eastAsia" w:ascii="宋体" w:cs="宋体"/>
          <w:color w:val="auto"/>
          <w:highlight w:val="none"/>
        </w:rPr>
        <w:t>发布更正公告。</w:t>
      </w:r>
    </w:p>
    <w:p w14:paraId="1950A2DB">
      <w:pPr>
        <w:spacing w:line="360" w:lineRule="auto"/>
        <w:ind w:firstLine="420" w:firstLineChars="200"/>
        <w:rPr>
          <w:rFonts w:ascii="宋体" w:cs="宋体"/>
          <w:color w:val="auto"/>
          <w:highlight w:val="none"/>
        </w:rPr>
      </w:pPr>
      <w:r>
        <w:rPr>
          <w:rFonts w:hint="eastAsia" w:ascii="宋体" w:cs="宋体"/>
          <w:color w:val="auto"/>
          <w:highlight w:val="none"/>
        </w:rPr>
        <w:t>11.</w:t>
      </w:r>
      <w:bookmarkStart w:id="132" w:name="_Hlk53134511"/>
      <w:r>
        <w:rPr>
          <w:rFonts w:hint="eastAsia" w:ascii="宋体" w:cs="宋体"/>
          <w:color w:val="auto"/>
          <w:highlight w:val="none"/>
        </w:rPr>
        <w:t>5采购人或者采购代理机构可以在招标文件提供期限截止后，组织已获取招标文件的潜在投标人现场考察或者召开开标前答疑会，具体详见“投标人须知前附表”。</w:t>
      </w:r>
    </w:p>
    <w:bookmarkEnd w:id="132"/>
    <w:p w14:paraId="05F4471C">
      <w:pPr>
        <w:outlineLvl w:val="9"/>
        <w:rPr>
          <w:color w:val="auto"/>
          <w:highlight w:val="none"/>
        </w:rPr>
      </w:pPr>
      <w:bookmarkStart w:id="133" w:name="_Toc254970676"/>
      <w:bookmarkStart w:id="134" w:name="_Toc254970535"/>
      <w:bookmarkStart w:id="135" w:name="_Toc32490"/>
      <w:bookmarkStart w:id="136" w:name="_Toc23467"/>
    </w:p>
    <w:p w14:paraId="1395A4DE">
      <w:pPr>
        <w:pStyle w:val="4"/>
        <w:rPr>
          <w:color w:val="auto"/>
          <w:highlight w:val="none"/>
        </w:rPr>
      </w:pPr>
      <w:bookmarkStart w:id="137" w:name="_Toc7612"/>
      <w:bookmarkStart w:id="138" w:name="_Toc31820"/>
      <w:bookmarkStart w:id="139" w:name="_Toc13166"/>
      <w:r>
        <w:rPr>
          <w:rFonts w:hint="eastAsia"/>
          <w:color w:val="auto"/>
          <w:highlight w:val="none"/>
        </w:rPr>
        <w:t>三、投标文件的编制</w:t>
      </w:r>
      <w:bookmarkEnd w:id="133"/>
      <w:bookmarkEnd w:id="134"/>
      <w:bookmarkEnd w:id="135"/>
      <w:bookmarkEnd w:id="136"/>
      <w:bookmarkEnd w:id="137"/>
      <w:bookmarkEnd w:id="138"/>
      <w:bookmarkEnd w:id="139"/>
    </w:p>
    <w:p w14:paraId="2077234D">
      <w:pPr>
        <w:spacing w:line="360" w:lineRule="auto"/>
        <w:ind w:firstLine="480" w:firstLineChars="200"/>
        <w:rPr>
          <w:rFonts w:ascii="宋体" w:cs="宋体"/>
          <w:color w:val="auto"/>
          <w:sz w:val="24"/>
          <w:highlight w:val="none"/>
        </w:rPr>
      </w:pPr>
      <w:bookmarkStart w:id="140" w:name="_Toc254970677"/>
      <w:bookmarkStart w:id="141" w:name="_Toc254970536"/>
      <w:r>
        <w:rPr>
          <w:rFonts w:hint="eastAsia" w:ascii="宋体" w:cs="宋体"/>
          <w:color w:val="auto"/>
          <w:sz w:val="24"/>
          <w:highlight w:val="none"/>
        </w:rPr>
        <w:t>12.投标文件的编制原则</w:t>
      </w:r>
    </w:p>
    <w:p w14:paraId="59FA6C7D">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投标人必须按照招标文件的要求编制投标文件。投标文件必须对招标文件提出的要求和条件作出明确响应。</w:t>
      </w:r>
    </w:p>
    <w:p w14:paraId="574D726F">
      <w:pPr>
        <w:spacing w:line="360" w:lineRule="auto"/>
        <w:ind w:firstLine="480" w:firstLineChars="200"/>
        <w:rPr>
          <w:rFonts w:ascii="宋体" w:cs="宋体"/>
          <w:color w:val="auto"/>
          <w:sz w:val="24"/>
          <w:highlight w:val="none"/>
        </w:rPr>
      </w:pPr>
      <w:r>
        <w:rPr>
          <w:rFonts w:hint="eastAsia" w:ascii="宋体" w:cs="宋体"/>
          <w:color w:val="auto"/>
          <w:sz w:val="24"/>
          <w:highlight w:val="none"/>
        </w:rPr>
        <w:t>13.投标文件的组成</w:t>
      </w:r>
      <w:bookmarkEnd w:id="140"/>
      <w:bookmarkEnd w:id="141"/>
    </w:p>
    <w:p w14:paraId="7C9AB2E7">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13.1投标文件由报价文件、资格文件、商务技术文件</w:t>
      </w:r>
      <w:r>
        <w:rPr>
          <w:rFonts w:hint="eastAsia" w:ascii="宋体" w:cs="宋体"/>
          <w:color w:val="auto"/>
          <w:szCs w:val="21"/>
          <w:highlight w:val="none"/>
          <w:lang w:val="en-US" w:eastAsia="zh-CN"/>
        </w:rPr>
        <w:t>三</w:t>
      </w:r>
      <w:r>
        <w:rPr>
          <w:rFonts w:hint="eastAsia" w:ascii="宋体" w:cs="宋体"/>
          <w:color w:val="auto"/>
          <w:szCs w:val="21"/>
          <w:highlight w:val="none"/>
        </w:rPr>
        <w:t>部分组成。</w:t>
      </w:r>
    </w:p>
    <w:p w14:paraId="3B969762">
      <w:pPr>
        <w:spacing w:line="360" w:lineRule="auto"/>
        <w:ind w:firstLine="420" w:firstLineChars="200"/>
        <w:rPr>
          <w:rFonts w:ascii="宋体" w:cs="宋体"/>
          <w:bCs/>
          <w:color w:val="auto"/>
          <w:szCs w:val="21"/>
          <w:highlight w:val="none"/>
        </w:rPr>
      </w:pPr>
      <w:bookmarkStart w:id="142" w:name="_13.1报价文件:_具体材料见“投标人须知前附表”。"/>
      <w:bookmarkEnd w:id="142"/>
      <w:bookmarkStart w:id="143" w:name="_13.2资格证明文件：具体材料见“投标人须知前附表”。"/>
      <w:bookmarkEnd w:id="143"/>
      <w:r>
        <w:rPr>
          <w:rFonts w:hint="eastAsia" w:ascii="宋体" w:cs="宋体"/>
          <w:bCs/>
          <w:color w:val="auto"/>
          <w:szCs w:val="21"/>
          <w:highlight w:val="none"/>
        </w:rPr>
        <w:t>（1）资格文件：具体材料见“投标人须知前附表”。</w:t>
      </w:r>
    </w:p>
    <w:p w14:paraId="39DD3F17">
      <w:pPr>
        <w:spacing w:line="360" w:lineRule="auto"/>
        <w:ind w:firstLine="420" w:firstLineChars="200"/>
        <w:rPr>
          <w:rFonts w:ascii="宋体" w:cs="宋体"/>
          <w:bCs/>
          <w:color w:val="auto"/>
          <w:szCs w:val="21"/>
          <w:highlight w:val="none"/>
        </w:rPr>
      </w:pPr>
      <w:bookmarkStart w:id="144" w:name="_13.3商务文件:_具体材料见“投标人须知前附表”。"/>
      <w:bookmarkEnd w:id="144"/>
      <w:r>
        <w:rPr>
          <w:rFonts w:hint="eastAsia" w:ascii="宋体" w:cs="宋体"/>
          <w:bCs/>
          <w:color w:val="auto"/>
          <w:szCs w:val="21"/>
          <w:highlight w:val="none"/>
        </w:rPr>
        <w:t>（2）商务</w:t>
      </w:r>
      <w:r>
        <w:rPr>
          <w:rFonts w:hint="eastAsia" w:ascii="宋体" w:cs="宋体"/>
          <w:bCs/>
          <w:color w:val="auto"/>
          <w:szCs w:val="21"/>
          <w:highlight w:val="none"/>
          <w:lang w:val="en-US" w:eastAsia="zh-CN"/>
        </w:rPr>
        <w:t>技术文件</w:t>
      </w:r>
      <w:r>
        <w:rPr>
          <w:rFonts w:hint="eastAsia" w:ascii="宋体" w:cs="宋体"/>
          <w:bCs/>
          <w:color w:val="auto"/>
          <w:szCs w:val="21"/>
          <w:highlight w:val="none"/>
        </w:rPr>
        <w:t>：具体材料见“投标人须知前附表”。</w:t>
      </w:r>
    </w:p>
    <w:p w14:paraId="42BF4ADC">
      <w:pPr>
        <w:spacing w:line="360" w:lineRule="auto"/>
        <w:ind w:firstLine="420" w:firstLineChars="200"/>
        <w:rPr>
          <w:rFonts w:ascii="宋体" w:cs="宋体"/>
          <w:bCs/>
          <w:color w:val="auto"/>
          <w:szCs w:val="21"/>
          <w:highlight w:val="none"/>
        </w:rPr>
      </w:pPr>
      <w:bookmarkStart w:id="145" w:name="_13.4技术文件：具体材料见“投标人须知前附表”。"/>
      <w:bookmarkEnd w:id="145"/>
      <w:r>
        <w:rPr>
          <w:rFonts w:hint="eastAsia" w:ascii="宋体" w:cs="宋体"/>
          <w:bCs/>
          <w:color w:val="auto"/>
          <w:szCs w:val="21"/>
          <w:highlight w:val="none"/>
        </w:rPr>
        <w:t>（</w:t>
      </w:r>
      <w:r>
        <w:rPr>
          <w:rFonts w:hint="eastAsia" w:ascii="宋体" w:cs="宋体"/>
          <w:bCs/>
          <w:color w:val="auto"/>
          <w:szCs w:val="21"/>
          <w:highlight w:val="none"/>
          <w:lang w:val="en-US" w:eastAsia="zh-CN"/>
        </w:rPr>
        <w:t>3</w:t>
      </w:r>
      <w:r>
        <w:rPr>
          <w:rFonts w:hint="eastAsia" w:ascii="宋体" w:cs="宋体"/>
          <w:bCs/>
          <w:color w:val="auto"/>
          <w:szCs w:val="21"/>
          <w:highlight w:val="none"/>
        </w:rPr>
        <w:t>）报价文件： 具体材料见“投标人须知前附表”。</w:t>
      </w:r>
    </w:p>
    <w:p w14:paraId="740A39AA">
      <w:pPr>
        <w:spacing w:line="360" w:lineRule="auto"/>
        <w:ind w:firstLine="420" w:firstLineChars="200"/>
        <w:rPr>
          <w:rFonts w:ascii="宋体" w:cs="宋体"/>
          <w:bCs/>
          <w:color w:val="auto"/>
          <w:szCs w:val="21"/>
          <w:highlight w:val="none"/>
        </w:rPr>
      </w:pPr>
      <w:bookmarkStart w:id="146" w:name="_13.5投标文件电子版：具体材料见“投标人须知前附表”。"/>
      <w:bookmarkEnd w:id="146"/>
      <w:r>
        <w:rPr>
          <w:rFonts w:hint="eastAsia" w:ascii="宋体" w:cs="宋体"/>
          <w:bCs/>
          <w:color w:val="auto"/>
          <w:szCs w:val="21"/>
          <w:highlight w:val="none"/>
        </w:rPr>
        <w:t>13.2投标文件电子版：具体要求见本节19.投标文件编制。</w:t>
      </w:r>
    </w:p>
    <w:p w14:paraId="3F5DC798">
      <w:pPr>
        <w:spacing w:line="360" w:lineRule="auto"/>
        <w:ind w:firstLine="480" w:firstLineChars="200"/>
        <w:rPr>
          <w:rFonts w:ascii="宋体" w:cs="宋体"/>
          <w:color w:val="auto"/>
          <w:sz w:val="24"/>
          <w:highlight w:val="none"/>
        </w:rPr>
      </w:pPr>
      <w:bookmarkStart w:id="147" w:name="_Toc254970537"/>
      <w:bookmarkStart w:id="148" w:name="_Toc254970678"/>
      <w:r>
        <w:rPr>
          <w:rFonts w:hint="eastAsia" w:ascii="宋体" w:cs="宋体"/>
          <w:color w:val="auto"/>
          <w:sz w:val="24"/>
          <w:highlight w:val="none"/>
        </w:rPr>
        <w:t>14.投标文件的语言及计量</w:t>
      </w:r>
      <w:bookmarkEnd w:id="147"/>
      <w:bookmarkEnd w:id="148"/>
    </w:p>
    <w:p w14:paraId="035B1886">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14.1语言文字</w:t>
      </w:r>
    </w:p>
    <w:p w14:paraId="00BE5684">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4B86A849">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14.2投标计量单位</w:t>
      </w:r>
    </w:p>
    <w:p w14:paraId="3F1487EF">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招标文件已有明确规定的，使用招标文件规定的计量单位；招标文件没有规定的，应采用中华人民共和国法定计量单位，货币种类为人民币，</w:t>
      </w:r>
      <w:r>
        <w:rPr>
          <w:rFonts w:hint="eastAsia" w:ascii="宋体" w:cs="宋体"/>
          <w:b/>
          <w:color w:val="auto"/>
          <w:szCs w:val="21"/>
          <w:highlight w:val="none"/>
        </w:rPr>
        <w:t>否则视同未响应</w:t>
      </w:r>
      <w:r>
        <w:rPr>
          <w:rFonts w:hint="eastAsia" w:ascii="宋体" w:cs="宋体"/>
          <w:bCs/>
          <w:color w:val="auto"/>
          <w:szCs w:val="21"/>
          <w:highlight w:val="none"/>
        </w:rPr>
        <w:t>。</w:t>
      </w:r>
    </w:p>
    <w:p w14:paraId="0ABCC6AB">
      <w:pPr>
        <w:spacing w:line="360" w:lineRule="auto"/>
        <w:ind w:firstLine="480" w:firstLineChars="200"/>
        <w:rPr>
          <w:rFonts w:ascii="宋体" w:cs="宋体"/>
          <w:color w:val="auto"/>
          <w:sz w:val="24"/>
          <w:highlight w:val="none"/>
        </w:rPr>
      </w:pPr>
      <w:r>
        <w:rPr>
          <w:rFonts w:hint="eastAsia" w:ascii="宋体" w:cs="宋体"/>
          <w:color w:val="auto"/>
          <w:sz w:val="24"/>
          <w:highlight w:val="none"/>
        </w:rPr>
        <w:t>15.投标的风险</w:t>
      </w:r>
    </w:p>
    <w:p w14:paraId="67226AA5">
      <w:pPr>
        <w:pStyle w:val="11"/>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投标文件分为资格文件、商务</w:t>
      </w:r>
      <w:r>
        <w:rPr>
          <w:rFonts w:hint="eastAsia" w:ascii="宋体" w:cs="宋体"/>
          <w:bCs/>
          <w:color w:val="auto"/>
          <w:szCs w:val="21"/>
          <w:highlight w:val="none"/>
          <w:lang w:val="en-US" w:eastAsia="zh-CN"/>
        </w:rPr>
        <w:t>技术</w:t>
      </w:r>
      <w:r>
        <w:rPr>
          <w:rFonts w:hint="eastAsia" w:ascii="宋体" w:cs="宋体"/>
          <w:bCs/>
          <w:color w:val="auto"/>
          <w:szCs w:val="21"/>
          <w:highlight w:val="none"/>
        </w:rPr>
        <w:t>文件、报价文件</w:t>
      </w:r>
      <w:r>
        <w:rPr>
          <w:rFonts w:hint="eastAsia" w:ascii="宋体" w:cs="宋体"/>
          <w:bCs/>
          <w:color w:val="auto"/>
          <w:szCs w:val="21"/>
          <w:highlight w:val="none"/>
          <w:lang w:val="en-US" w:eastAsia="zh-CN"/>
        </w:rPr>
        <w:t>三</w:t>
      </w:r>
      <w:r>
        <w:rPr>
          <w:rFonts w:hint="eastAsia" w:ascii="宋体" w:cs="宋体"/>
          <w:bCs/>
          <w:color w:val="auto"/>
          <w:szCs w:val="21"/>
          <w:highlight w:val="none"/>
        </w:rPr>
        <w:t>部分（其中：商务文件与技术文件合并编辑成一个电子文档）。各投标人在编制投标文件时请按照招标文件规定的格式进行，混乱的编排导致投标文件被误读或评标委员会查找不到有效文件是投标人的风险。投标人没有按照招标文件要求提供全部资料，或者投标人没有对招标文件作出实质性响应是投标人的风险，可能导致其投标被拒绝。</w:t>
      </w:r>
    </w:p>
    <w:p w14:paraId="0DDA2D4F">
      <w:pPr>
        <w:spacing w:line="360" w:lineRule="auto"/>
        <w:ind w:firstLine="480" w:firstLineChars="200"/>
        <w:rPr>
          <w:rFonts w:ascii="宋体" w:cs="宋体"/>
          <w:color w:val="auto"/>
          <w:sz w:val="24"/>
          <w:highlight w:val="none"/>
        </w:rPr>
      </w:pPr>
      <w:bookmarkStart w:id="149" w:name="_Toc254970538"/>
      <w:bookmarkStart w:id="150" w:name="_Toc254970679"/>
      <w:r>
        <w:rPr>
          <w:rFonts w:hint="eastAsia" w:ascii="宋体" w:cs="宋体"/>
          <w:color w:val="auto"/>
          <w:sz w:val="24"/>
          <w:highlight w:val="none"/>
        </w:rPr>
        <w:t>16.投标报价</w:t>
      </w:r>
      <w:bookmarkEnd w:id="149"/>
      <w:bookmarkEnd w:id="150"/>
    </w:p>
    <w:p w14:paraId="3ACA9CBD">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16.1投标报价应</w:t>
      </w:r>
      <w:r>
        <w:rPr>
          <w:rFonts w:hint="eastAsia" w:ascii="宋体" w:cs="宋体"/>
          <w:bCs/>
          <w:color w:val="auto"/>
          <w:szCs w:val="20"/>
          <w:highlight w:val="none"/>
        </w:rPr>
        <w:t>按“第六章　投标文件格式”中“开标一览表”格式填写。</w:t>
      </w:r>
    </w:p>
    <w:p w14:paraId="18579B66">
      <w:pPr>
        <w:spacing w:line="360" w:lineRule="auto"/>
        <w:ind w:firstLine="420" w:firstLineChars="200"/>
        <w:rPr>
          <w:rFonts w:ascii="宋体" w:cs="宋体"/>
          <w:bCs/>
          <w:color w:val="auto"/>
          <w:szCs w:val="21"/>
          <w:highlight w:val="none"/>
        </w:rPr>
      </w:pPr>
      <w:bookmarkStart w:id="151" w:name="_16.2投标报价具体定义见投标人须知前附表。"/>
      <w:bookmarkEnd w:id="151"/>
      <w:r>
        <w:rPr>
          <w:rFonts w:hint="eastAsia" w:ascii="宋体" w:cs="宋体"/>
          <w:bCs/>
          <w:color w:val="auto"/>
          <w:szCs w:val="21"/>
          <w:highlight w:val="none"/>
        </w:rPr>
        <w:t>16.2投标报价具体包括内容详见“投标人须知前附表”。</w:t>
      </w:r>
    </w:p>
    <w:p w14:paraId="3FACC476">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16.3投标人必须就所投</w:t>
      </w:r>
      <w:r>
        <w:rPr>
          <w:rFonts w:hint="eastAsia" w:cs="宋体"/>
          <w:color w:val="auto"/>
          <w:szCs w:val="21"/>
          <w:highlight w:val="none"/>
        </w:rPr>
        <w:t>项目</w:t>
      </w:r>
      <w:r>
        <w:rPr>
          <w:rFonts w:hint="eastAsia" w:ascii="宋体" w:cs="宋体"/>
          <w:color w:val="auto"/>
          <w:szCs w:val="21"/>
          <w:highlight w:val="none"/>
        </w:rPr>
        <w:t>/</w:t>
      </w:r>
      <w:r>
        <w:rPr>
          <w:rFonts w:hint="eastAsia" w:ascii="宋体" w:cs="宋体"/>
          <w:bCs/>
          <w:color w:val="auto"/>
          <w:szCs w:val="21"/>
          <w:highlight w:val="none"/>
        </w:rPr>
        <w:t>每个分标的全部内容分别作完整唯一总价报价，不得存在漏项报价；投标人必须就所投</w:t>
      </w:r>
      <w:r>
        <w:rPr>
          <w:rFonts w:hint="eastAsia" w:cs="宋体"/>
          <w:color w:val="auto"/>
          <w:szCs w:val="21"/>
          <w:highlight w:val="none"/>
        </w:rPr>
        <w:t>项目</w:t>
      </w:r>
      <w:r>
        <w:rPr>
          <w:rFonts w:hint="eastAsia" w:ascii="宋体" w:cs="宋体"/>
          <w:color w:val="auto"/>
          <w:szCs w:val="21"/>
          <w:highlight w:val="none"/>
        </w:rPr>
        <w:t>/</w:t>
      </w:r>
      <w:r>
        <w:rPr>
          <w:rFonts w:hint="eastAsia" w:ascii="宋体" w:cs="宋体"/>
          <w:bCs/>
          <w:color w:val="auto"/>
          <w:szCs w:val="21"/>
          <w:highlight w:val="none"/>
        </w:rPr>
        <w:t>分标的单项内容作唯一报价。</w:t>
      </w:r>
    </w:p>
    <w:p w14:paraId="00BAD446">
      <w:pPr>
        <w:spacing w:line="360" w:lineRule="auto"/>
        <w:ind w:firstLine="480" w:firstLineChars="200"/>
        <w:rPr>
          <w:rFonts w:ascii="宋体" w:cs="宋体"/>
          <w:color w:val="auto"/>
          <w:sz w:val="24"/>
          <w:highlight w:val="none"/>
        </w:rPr>
      </w:pPr>
      <w:r>
        <w:rPr>
          <w:rFonts w:hint="eastAsia" w:ascii="宋体" w:cs="宋体"/>
          <w:color w:val="auto"/>
          <w:sz w:val="24"/>
          <w:highlight w:val="none"/>
        </w:rPr>
        <w:t>17.投标有效期</w:t>
      </w:r>
    </w:p>
    <w:p w14:paraId="76F2849A">
      <w:pPr>
        <w:spacing w:line="360" w:lineRule="auto"/>
        <w:ind w:firstLine="420" w:firstLineChars="200"/>
        <w:rPr>
          <w:rFonts w:ascii="宋体" w:cs="宋体"/>
          <w:bCs/>
          <w:color w:val="auto"/>
          <w:szCs w:val="21"/>
          <w:highlight w:val="none"/>
        </w:rPr>
      </w:pPr>
      <w:bookmarkStart w:id="152" w:name="_17.1投标有效期应按“投标人须知中的前附表”规定的期限。"/>
      <w:bookmarkEnd w:id="152"/>
      <w:r>
        <w:rPr>
          <w:rFonts w:hint="eastAsia" w:ascii="宋体" w:cs="宋体"/>
          <w:bCs/>
          <w:color w:val="auto"/>
          <w:szCs w:val="21"/>
          <w:highlight w:val="none"/>
        </w:rPr>
        <w:t>17.1投标有效期是指为保证采购人有足够的时间在开标后完成评标、定标、合同签订等工作而要求投标人提交的投标文件在一定时间内保持有效的期限。</w:t>
      </w:r>
    </w:p>
    <w:p w14:paraId="0223C366">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17.2</w:t>
      </w:r>
      <w:bookmarkStart w:id="153" w:name="_Toc254970540"/>
      <w:bookmarkStart w:id="154" w:name="_Toc254970681"/>
      <w:r>
        <w:rPr>
          <w:rFonts w:hint="eastAsia" w:ascii="宋体" w:cs="宋体"/>
          <w:bCs/>
          <w:color w:val="auto"/>
          <w:szCs w:val="21"/>
          <w:highlight w:val="none"/>
        </w:rPr>
        <w:t xml:space="preserve"> 投标有效期应按规定的期限作出承诺，具体详见“投标人须知前附表”。</w:t>
      </w:r>
    </w:p>
    <w:p w14:paraId="6B9F04FE">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17.3投标人的投标文件在投标有效期内均保持有效。</w:t>
      </w:r>
      <w:bookmarkEnd w:id="153"/>
      <w:bookmarkEnd w:id="154"/>
    </w:p>
    <w:p w14:paraId="5F716D92">
      <w:pPr>
        <w:spacing w:line="360" w:lineRule="auto"/>
        <w:ind w:firstLine="480" w:firstLineChars="200"/>
        <w:rPr>
          <w:rFonts w:ascii="宋体" w:cs="宋体"/>
          <w:color w:val="auto"/>
          <w:sz w:val="24"/>
          <w:highlight w:val="none"/>
        </w:rPr>
      </w:pPr>
      <w:bookmarkStart w:id="155" w:name="_18.投标保证金"/>
      <w:bookmarkEnd w:id="155"/>
      <w:bookmarkStart w:id="156" w:name="_Toc254970682"/>
      <w:bookmarkStart w:id="157" w:name="_Toc254970541"/>
      <w:r>
        <w:rPr>
          <w:rFonts w:hint="eastAsia" w:ascii="宋体" w:cs="宋体"/>
          <w:color w:val="auto"/>
          <w:sz w:val="24"/>
          <w:highlight w:val="none"/>
        </w:rPr>
        <w:t>18.投标保证金</w:t>
      </w:r>
      <w:bookmarkEnd w:id="156"/>
      <w:bookmarkEnd w:id="157"/>
    </w:p>
    <w:p w14:paraId="43FC1BFA">
      <w:pPr>
        <w:pStyle w:val="6"/>
        <w:keepNext w:val="0"/>
        <w:keepLines w:val="0"/>
        <w:spacing w:before="0" w:after="0" w:line="360" w:lineRule="auto"/>
        <w:ind w:left="420" w:leftChars="200"/>
        <w:rPr>
          <w:rFonts w:ascii="宋体" w:cs="宋体"/>
          <w:b w:val="0"/>
          <w:color w:val="auto"/>
          <w:sz w:val="21"/>
          <w:szCs w:val="21"/>
          <w:highlight w:val="none"/>
        </w:rPr>
      </w:pPr>
      <w:bookmarkStart w:id="158" w:name="_Toc254970542"/>
      <w:bookmarkStart w:id="159" w:name="_Toc254970683"/>
      <w:r>
        <w:rPr>
          <w:rFonts w:hint="eastAsia" w:ascii="宋体" w:cs="宋体"/>
          <w:b w:val="0"/>
          <w:color w:val="auto"/>
          <w:sz w:val="21"/>
          <w:szCs w:val="21"/>
          <w:highlight w:val="none"/>
        </w:rPr>
        <w:t>18.1投标人须按“投标人须知前附表” 的规定提交投标保证金。</w:t>
      </w:r>
    </w:p>
    <w:p w14:paraId="23EDF206">
      <w:pPr>
        <w:pStyle w:val="6"/>
        <w:keepNext w:val="0"/>
        <w:keepLines w:val="0"/>
        <w:spacing w:before="0" w:after="0" w:line="360" w:lineRule="auto"/>
        <w:ind w:left="420" w:leftChars="200"/>
        <w:rPr>
          <w:rFonts w:ascii="宋体" w:cs="宋体"/>
          <w:b w:val="0"/>
          <w:color w:val="auto"/>
          <w:sz w:val="21"/>
          <w:szCs w:val="21"/>
          <w:highlight w:val="none"/>
        </w:rPr>
      </w:pPr>
      <w:r>
        <w:rPr>
          <w:rFonts w:hint="eastAsia" w:ascii="宋体" w:cs="宋体"/>
          <w:b w:val="0"/>
          <w:color w:val="auto"/>
          <w:sz w:val="21"/>
          <w:szCs w:val="21"/>
          <w:highlight w:val="none"/>
        </w:rPr>
        <w:t>18.2投标保证金的退还</w:t>
      </w:r>
    </w:p>
    <w:p w14:paraId="38B58235">
      <w:pPr>
        <w:pStyle w:val="6"/>
        <w:keepNext w:val="0"/>
        <w:keepLines w:val="0"/>
        <w:spacing w:before="0" w:after="0" w:line="360" w:lineRule="auto"/>
        <w:ind w:left="420" w:leftChars="200"/>
        <w:rPr>
          <w:rFonts w:ascii="宋体" w:cs="宋体"/>
          <w:b w:val="0"/>
          <w:color w:val="auto"/>
          <w:sz w:val="21"/>
          <w:szCs w:val="21"/>
          <w:highlight w:val="none"/>
        </w:rPr>
      </w:pPr>
      <w:r>
        <w:rPr>
          <w:rFonts w:hint="eastAsia" w:ascii="宋体" w:cs="宋体"/>
          <w:b w:val="0"/>
          <w:color w:val="auto"/>
          <w:sz w:val="21"/>
          <w:szCs w:val="21"/>
          <w:highlight w:val="none"/>
        </w:rPr>
        <w:t>18.2.1未中标人的投标保证金自中标通知书发出之日起5个工作日内退还，退还方式如下：</w:t>
      </w:r>
    </w:p>
    <w:p w14:paraId="4288F476">
      <w:pPr>
        <w:pStyle w:val="6"/>
        <w:keepNext w:val="0"/>
        <w:keepLines w:val="0"/>
        <w:spacing w:before="0" w:after="0" w:line="360" w:lineRule="auto"/>
        <w:ind w:firstLine="315" w:firstLineChars="150"/>
        <w:rPr>
          <w:rFonts w:ascii="宋体" w:cs="宋体"/>
          <w:b w:val="0"/>
          <w:color w:val="auto"/>
          <w:sz w:val="21"/>
          <w:szCs w:val="21"/>
          <w:highlight w:val="none"/>
        </w:rPr>
      </w:pPr>
      <w:r>
        <w:rPr>
          <w:rFonts w:hint="eastAsia" w:ascii="宋体" w:cs="宋体"/>
          <w:b w:val="0"/>
          <w:color w:val="auto"/>
          <w:sz w:val="21"/>
          <w:szCs w:val="21"/>
          <w:highlight w:val="none"/>
        </w:rPr>
        <w:t>（1）采用银行转账方式的，以转账方式退回到投标人银行账户。</w:t>
      </w:r>
    </w:p>
    <w:p w14:paraId="7F68B9C9">
      <w:pPr>
        <w:pStyle w:val="7"/>
        <w:spacing w:line="360" w:lineRule="auto"/>
        <w:ind w:firstLine="315" w:firstLineChars="150"/>
        <w:rPr>
          <w:rFonts w:ascii="宋体" w:cs="宋体"/>
          <w:color w:val="auto"/>
          <w:szCs w:val="21"/>
          <w:highlight w:val="none"/>
        </w:rPr>
      </w:pPr>
      <w:r>
        <w:rPr>
          <w:rFonts w:hint="eastAsia" w:ascii="宋体" w:cs="宋体"/>
          <w:color w:val="auto"/>
          <w:szCs w:val="21"/>
          <w:highlight w:val="none"/>
        </w:rPr>
        <w:t xml:space="preserve">（2）采用支票、汇票、本票或者金融机构、担保机构出具的保函等方式的，由投标人代表持相关授权证明材料至采购代理机构办理支票、汇票、本票或者金融机构、担保机构出具的保函等原件退还手续。 </w:t>
      </w:r>
    </w:p>
    <w:p w14:paraId="0A281E16">
      <w:pPr>
        <w:pStyle w:val="6"/>
        <w:keepNext w:val="0"/>
        <w:keepLines w:val="0"/>
        <w:spacing w:before="0" w:after="0" w:line="360" w:lineRule="auto"/>
        <w:ind w:firstLine="420" w:firstLineChars="200"/>
        <w:rPr>
          <w:rFonts w:ascii="宋体" w:cs="宋体"/>
          <w:b w:val="0"/>
          <w:color w:val="auto"/>
          <w:sz w:val="21"/>
          <w:szCs w:val="21"/>
          <w:highlight w:val="none"/>
        </w:rPr>
      </w:pPr>
      <w:r>
        <w:rPr>
          <w:rFonts w:hint="eastAsia" w:ascii="宋体" w:cs="宋体"/>
          <w:b w:val="0"/>
          <w:color w:val="auto"/>
          <w:sz w:val="21"/>
          <w:szCs w:val="21"/>
          <w:highlight w:val="none"/>
        </w:rPr>
        <w:t xml:space="preserve">18.2.2中标人的投标保证金自采购合同签订之日起5个工作日内退还，退还方式同本须知正文第18.2.1。 </w:t>
      </w:r>
    </w:p>
    <w:p w14:paraId="13F603A9">
      <w:pPr>
        <w:pStyle w:val="6"/>
        <w:keepNext w:val="0"/>
        <w:keepLines w:val="0"/>
        <w:spacing w:before="0" w:after="0" w:line="360" w:lineRule="auto"/>
        <w:ind w:left="420" w:leftChars="200"/>
        <w:rPr>
          <w:rFonts w:ascii="宋体" w:cs="宋体"/>
          <w:b w:val="0"/>
          <w:color w:val="auto"/>
          <w:sz w:val="21"/>
          <w:szCs w:val="21"/>
          <w:highlight w:val="none"/>
        </w:rPr>
      </w:pPr>
      <w:r>
        <w:rPr>
          <w:rFonts w:hint="eastAsia" w:ascii="宋体" w:cs="宋体"/>
          <w:b w:val="0"/>
          <w:color w:val="auto"/>
          <w:sz w:val="21"/>
          <w:szCs w:val="21"/>
          <w:highlight w:val="none"/>
        </w:rPr>
        <w:t>18.3除逾期退还投标保证金和终止招标的情形以外，投标保证金不计息。</w:t>
      </w:r>
    </w:p>
    <w:p w14:paraId="5956C0D1">
      <w:pPr>
        <w:pStyle w:val="6"/>
        <w:keepNext w:val="0"/>
        <w:keepLines w:val="0"/>
        <w:spacing w:before="0" w:after="0" w:line="360" w:lineRule="auto"/>
        <w:ind w:left="420" w:leftChars="200"/>
        <w:rPr>
          <w:rFonts w:ascii="宋体" w:cs="宋体"/>
          <w:b w:val="0"/>
          <w:color w:val="auto"/>
          <w:sz w:val="21"/>
          <w:szCs w:val="21"/>
          <w:highlight w:val="none"/>
        </w:rPr>
      </w:pPr>
      <w:r>
        <w:rPr>
          <w:rFonts w:hint="eastAsia" w:ascii="宋体" w:cs="宋体"/>
          <w:b w:val="0"/>
          <w:color w:val="auto"/>
          <w:sz w:val="21"/>
          <w:szCs w:val="21"/>
          <w:highlight w:val="none"/>
        </w:rPr>
        <w:t>18.4投标人有下列情形之一的，投标保证金将不予退还：</w:t>
      </w:r>
    </w:p>
    <w:p w14:paraId="63A6C285">
      <w:pPr>
        <w:pStyle w:val="6"/>
        <w:keepNext w:val="0"/>
        <w:keepLines w:val="0"/>
        <w:spacing w:before="0" w:after="0" w:line="360" w:lineRule="auto"/>
        <w:ind w:firstLine="315" w:firstLineChars="150"/>
        <w:rPr>
          <w:rFonts w:ascii="宋体" w:cs="宋体"/>
          <w:b w:val="0"/>
          <w:color w:val="auto"/>
          <w:sz w:val="21"/>
          <w:szCs w:val="21"/>
          <w:highlight w:val="none"/>
        </w:rPr>
      </w:pPr>
      <w:r>
        <w:rPr>
          <w:rFonts w:hint="eastAsia" w:ascii="宋体" w:cs="宋体"/>
          <w:b w:val="0"/>
          <w:color w:val="auto"/>
          <w:sz w:val="21"/>
          <w:szCs w:val="21"/>
          <w:highlight w:val="none"/>
        </w:rPr>
        <w:t>（1）投标人在投标有效期内撤销投标文件的；</w:t>
      </w:r>
    </w:p>
    <w:p w14:paraId="2197CE93">
      <w:pPr>
        <w:pStyle w:val="6"/>
        <w:keepNext w:val="0"/>
        <w:keepLines w:val="0"/>
        <w:spacing w:before="0" w:after="0" w:line="360" w:lineRule="auto"/>
        <w:ind w:firstLine="315" w:firstLineChars="150"/>
        <w:rPr>
          <w:rFonts w:ascii="宋体" w:cs="宋体"/>
          <w:b w:val="0"/>
          <w:color w:val="auto"/>
          <w:sz w:val="21"/>
          <w:szCs w:val="21"/>
          <w:highlight w:val="none"/>
        </w:rPr>
      </w:pPr>
      <w:r>
        <w:rPr>
          <w:rFonts w:hint="eastAsia" w:ascii="宋体" w:cs="宋体"/>
          <w:b w:val="0"/>
          <w:color w:val="auto"/>
          <w:sz w:val="21"/>
          <w:szCs w:val="21"/>
          <w:highlight w:val="none"/>
        </w:rPr>
        <w:t>（2）未按规定提交履约保证金的；</w:t>
      </w:r>
    </w:p>
    <w:p w14:paraId="48407C5A">
      <w:pPr>
        <w:pStyle w:val="6"/>
        <w:keepNext w:val="0"/>
        <w:keepLines w:val="0"/>
        <w:spacing w:before="0" w:after="0" w:line="360" w:lineRule="auto"/>
        <w:ind w:firstLine="315" w:firstLineChars="150"/>
        <w:rPr>
          <w:rFonts w:ascii="宋体" w:cs="宋体"/>
          <w:b w:val="0"/>
          <w:color w:val="auto"/>
          <w:sz w:val="21"/>
          <w:szCs w:val="21"/>
          <w:highlight w:val="none"/>
        </w:rPr>
      </w:pPr>
      <w:r>
        <w:rPr>
          <w:rFonts w:hint="eastAsia" w:ascii="宋体" w:cs="宋体"/>
          <w:b w:val="0"/>
          <w:color w:val="auto"/>
          <w:sz w:val="21"/>
          <w:szCs w:val="21"/>
          <w:highlight w:val="none"/>
        </w:rPr>
        <w:t>（3）投标人在投标过程中弄虚作假，提供虚假材料的；</w:t>
      </w:r>
    </w:p>
    <w:p w14:paraId="1ABB9D79">
      <w:pPr>
        <w:pStyle w:val="6"/>
        <w:keepNext w:val="0"/>
        <w:keepLines w:val="0"/>
        <w:spacing w:before="0" w:after="0" w:line="360" w:lineRule="auto"/>
        <w:ind w:firstLine="315" w:firstLineChars="150"/>
        <w:rPr>
          <w:rFonts w:ascii="宋体" w:cs="宋体"/>
          <w:b w:val="0"/>
          <w:color w:val="auto"/>
          <w:sz w:val="21"/>
          <w:szCs w:val="21"/>
          <w:highlight w:val="none"/>
        </w:rPr>
      </w:pPr>
      <w:r>
        <w:rPr>
          <w:rFonts w:hint="eastAsia" w:ascii="宋体" w:cs="宋体"/>
          <w:b w:val="0"/>
          <w:color w:val="auto"/>
          <w:sz w:val="21"/>
          <w:szCs w:val="21"/>
          <w:highlight w:val="none"/>
        </w:rPr>
        <w:t>（4）中标人无正当理由不与采购人签订合同的；</w:t>
      </w:r>
    </w:p>
    <w:p w14:paraId="0963CEF0">
      <w:pPr>
        <w:pStyle w:val="6"/>
        <w:keepNext w:val="0"/>
        <w:keepLines w:val="0"/>
        <w:spacing w:before="0" w:after="0" w:line="360" w:lineRule="auto"/>
        <w:ind w:firstLine="315" w:firstLineChars="150"/>
        <w:rPr>
          <w:rFonts w:ascii="宋体" w:cs="宋体"/>
          <w:b w:val="0"/>
          <w:color w:val="auto"/>
          <w:sz w:val="21"/>
          <w:szCs w:val="21"/>
          <w:highlight w:val="none"/>
        </w:rPr>
      </w:pPr>
      <w:r>
        <w:rPr>
          <w:rFonts w:hint="eastAsia" w:ascii="宋体" w:cs="宋体"/>
          <w:b w:val="0"/>
          <w:color w:val="auto"/>
          <w:sz w:val="21"/>
          <w:szCs w:val="21"/>
          <w:highlight w:val="none"/>
        </w:rPr>
        <w:t>（5）投标人出现本章第9.2、9.3情形的；</w:t>
      </w:r>
    </w:p>
    <w:p w14:paraId="5B0131EB">
      <w:pPr>
        <w:pStyle w:val="6"/>
        <w:keepNext w:val="0"/>
        <w:keepLines w:val="0"/>
        <w:spacing w:before="0" w:after="0" w:line="360" w:lineRule="auto"/>
        <w:ind w:firstLine="315" w:firstLineChars="150"/>
        <w:rPr>
          <w:rFonts w:ascii="宋体" w:cs="宋体"/>
          <w:b w:val="0"/>
          <w:color w:val="auto"/>
          <w:sz w:val="21"/>
          <w:szCs w:val="21"/>
          <w:highlight w:val="none"/>
        </w:rPr>
      </w:pPr>
      <w:r>
        <w:rPr>
          <w:rFonts w:hint="eastAsia" w:ascii="宋体" w:cs="宋体"/>
          <w:b w:val="0"/>
          <w:color w:val="auto"/>
          <w:sz w:val="21"/>
          <w:szCs w:val="21"/>
          <w:highlight w:val="none"/>
        </w:rPr>
        <w:t>（6）其他严重扰乱招投标程序的。</w:t>
      </w:r>
    </w:p>
    <w:p w14:paraId="3E3F3CCE">
      <w:pPr>
        <w:spacing w:line="360" w:lineRule="auto"/>
        <w:ind w:firstLine="480" w:firstLineChars="200"/>
        <w:rPr>
          <w:rFonts w:ascii="宋体" w:cs="宋体"/>
          <w:color w:val="auto"/>
          <w:sz w:val="24"/>
          <w:highlight w:val="none"/>
        </w:rPr>
      </w:pPr>
      <w:r>
        <w:rPr>
          <w:rFonts w:hint="eastAsia" w:ascii="宋体" w:cs="宋体"/>
          <w:color w:val="auto"/>
          <w:sz w:val="24"/>
          <w:highlight w:val="none"/>
        </w:rPr>
        <w:t>19.投标文件的</w:t>
      </w:r>
      <w:bookmarkEnd w:id="158"/>
      <w:bookmarkEnd w:id="159"/>
      <w:r>
        <w:rPr>
          <w:rFonts w:hint="eastAsia" w:ascii="宋体" w:cs="宋体"/>
          <w:color w:val="auto"/>
          <w:sz w:val="24"/>
          <w:highlight w:val="none"/>
        </w:rPr>
        <w:t>编制</w:t>
      </w:r>
    </w:p>
    <w:p w14:paraId="668A2C46">
      <w:pPr>
        <w:spacing w:line="360" w:lineRule="auto"/>
        <w:ind w:firstLine="422" w:firstLineChars="200"/>
        <w:rPr>
          <w:rFonts w:ascii="宋体" w:cs="宋体"/>
          <w:color w:val="auto"/>
          <w:szCs w:val="21"/>
          <w:highlight w:val="none"/>
        </w:rPr>
      </w:pPr>
      <w:r>
        <w:rPr>
          <w:rFonts w:hint="eastAsia" w:ascii="宋体" w:cs="宋体"/>
          <w:b/>
          <w:color w:val="auto"/>
          <w:szCs w:val="21"/>
          <w:highlight w:val="none"/>
        </w:rPr>
        <w:t xml:space="preserve"> </w:t>
      </w:r>
      <w:r>
        <w:rPr>
          <w:rFonts w:hint="eastAsia" w:ascii="宋体" w:cs="宋体"/>
          <w:color w:val="auto"/>
          <w:szCs w:val="21"/>
          <w:highlight w:val="none"/>
        </w:rPr>
        <w:t>19.1投标文件编制要求详见“投标人须知前附表”。投标人应按本招标文件规定的格式和顺序编制投标文件并标注页码，投标文件内容不完整、编排混乱导致投标文件被误读、漏读或者查找不到相关内容的，由此引发的后果由投标人承担。</w:t>
      </w:r>
      <w:bookmarkStart w:id="160" w:name="_19.2投标文件应按报价文件、资格证明文件、商务文件、技术文件分别编制"/>
      <w:bookmarkEnd w:id="160"/>
    </w:p>
    <w:p w14:paraId="65D5E5CD">
      <w:pPr>
        <w:spacing w:line="360" w:lineRule="auto"/>
        <w:ind w:firstLine="420" w:firstLineChars="200"/>
        <w:rPr>
          <w:rFonts w:ascii="宋体" w:cs="宋体"/>
          <w:b/>
          <w:color w:val="auto"/>
          <w:szCs w:val="21"/>
          <w:highlight w:val="none"/>
        </w:rPr>
      </w:pPr>
      <w:r>
        <w:rPr>
          <w:rFonts w:hint="eastAsia" w:ascii="宋体" w:cs="宋体"/>
          <w:color w:val="auto"/>
          <w:szCs w:val="21"/>
          <w:highlight w:val="none"/>
        </w:rPr>
        <w:t>19.2投标文件按照招标文件第六章格式要求进行签署、盖章。投标人的投标文件未按照招标文件要求签署、盖章的，</w:t>
      </w:r>
      <w:r>
        <w:rPr>
          <w:rFonts w:hint="eastAsia" w:ascii="宋体" w:cs="宋体"/>
          <w:b/>
          <w:color w:val="auto"/>
          <w:szCs w:val="21"/>
          <w:highlight w:val="none"/>
        </w:rPr>
        <w:t>其投标无效。</w:t>
      </w:r>
    </w:p>
    <w:p w14:paraId="0F82A8AB">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19.3为确保网上操作合法、有效和安全，投标人应当在投标截止时间前完成在广西政府采购云平台的身份认证，确保在电子投标过程中能够对相关数据电文进行加密和使用电子签名。</w:t>
      </w:r>
    </w:p>
    <w:p w14:paraId="3443ACE1">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19.4投标文件中标注的投标人名称应与主体资格证明（如营业执照、事业单位法人证书、执业许可证、自然人身份证等）及公章一致，</w:t>
      </w:r>
      <w:r>
        <w:rPr>
          <w:rFonts w:hint="eastAsia" w:ascii="宋体" w:cs="宋体"/>
          <w:b/>
          <w:bCs/>
          <w:color w:val="auto"/>
          <w:szCs w:val="21"/>
          <w:highlight w:val="none"/>
        </w:rPr>
        <w:t>否则作无效投标处理</w:t>
      </w:r>
      <w:r>
        <w:rPr>
          <w:rFonts w:hint="eastAsia" w:ascii="宋体" w:cs="宋体"/>
          <w:b/>
          <w:color w:val="auto"/>
          <w:szCs w:val="21"/>
          <w:highlight w:val="none"/>
        </w:rPr>
        <w:t>。</w:t>
      </w:r>
    </w:p>
    <w:p w14:paraId="74AEA876">
      <w:pPr>
        <w:spacing w:line="360" w:lineRule="auto"/>
        <w:ind w:firstLine="420" w:firstLineChars="200"/>
        <w:rPr>
          <w:rFonts w:ascii="宋体" w:cs="宋体"/>
          <w:b/>
          <w:color w:val="auto"/>
          <w:szCs w:val="21"/>
          <w:highlight w:val="none"/>
        </w:rPr>
      </w:pPr>
      <w:r>
        <w:rPr>
          <w:rFonts w:hint="eastAsia" w:ascii="宋体" w:cs="宋体"/>
          <w:color w:val="auto"/>
          <w:szCs w:val="21"/>
          <w:highlight w:val="none"/>
        </w:rPr>
        <w:t xml:space="preserve"> 19.5投标文件应避免涂改、行间插字或者删除</w:t>
      </w:r>
      <w:r>
        <w:rPr>
          <w:rFonts w:hint="eastAsia" w:ascii="宋体" w:cs="宋体"/>
          <w:b/>
          <w:color w:val="auto"/>
          <w:szCs w:val="21"/>
          <w:highlight w:val="none"/>
        </w:rPr>
        <w:t>。</w:t>
      </w:r>
    </w:p>
    <w:p w14:paraId="53C30E41">
      <w:pPr>
        <w:spacing w:line="360" w:lineRule="auto"/>
        <w:ind w:firstLine="520" w:firstLineChars="248"/>
        <w:rPr>
          <w:rFonts w:ascii="宋体" w:cs="宋体"/>
          <w:color w:val="auto"/>
          <w:highlight w:val="none"/>
        </w:rPr>
      </w:pPr>
      <w:r>
        <w:rPr>
          <w:rFonts w:hint="eastAsia" w:ascii="宋体" w:cs="宋体"/>
          <w:color w:val="auto"/>
          <w:highlight w:val="none"/>
        </w:rPr>
        <w:t>19.6 对招标文件的实质性要求和条件作出响应是指投标人必须对招标文件中标注为实质性要求和条件的</w:t>
      </w:r>
      <w:r>
        <w:rPr>
          <w:rFonts w:hint="eastAsia" w:ascii="宋体" w:cs="宋体"/>
          <w:color w:val="auto"/>
          <w:szCs w:val="21"/>
          <w:highlight w:val="none"/>
        </w:rPr>
        <w:t>货物内容及要求</w:t>
      </w:r>
      <w:r>
        <w:rPr>
          <w:rFonts w:hint="eastAsia" w:ascii="宋体" w:cs="宋体"/>
          <w:color w:val="auto"/>
          <w:highlight w:val="none"/>
        </w:rPr>
        <w:t>、商务条款及其它内容</w:t>
      </w:r>
      <w:r>
        <w:rPr>
          <w:rFonts w:hint="eastAsia" w:ascii="宋体" w:cs="宋体"/>
          <w:b/>
          <w:color w:val="auto"/>
          <w:highlight w:val="none"/>
        </w:rPr>
        <w:t>作出满足或者优于原要求和条件的承诺</w:t>
      </w:r>
      <w:r>
        <w:rPr>
          <w:rFonts w:hint="eastAsia" w:ascii="宋体" w:cs="宋体"/>
          <w:color w:val="auto"/>
          <w:highlight w:val="none"/>
        </w:rPr>
        <w:t>。</w:t>
      </w:r>
    </w:p>
    <w:p w14:paraId="2E49802E">
      <w:pPr>
        <w:spacing w:line="360" w:lineRule="auto"/>
        <w:ind w:firstLine="523" w:firstLineChars="248"/>
        <w:rPr>
          <w:rFonts w:ascii="宋体" w:cs="宋体"/>
          <w:b/>
          <w:color w:val="auto"/>
          <w:szCs w:val="21"/>
          <w:highlight w:val="none"/>
          <w:u w:val="single"/>
        </w:rPr>
      </w:pPr>
      <w:r>
        <w:rPr>
          <w:rFonts w:hint="eastAsia" w:ascii="宋体" w:cs="宋体"/>
          <w:b/>
          <w:color w:val="auto"/>
          <w:szCs w:val="21"/>
          <w:highlight w:val="none"/>
          <w:u w:val="single"/>
        </w:rPr>
        <w:t>19.7本项目为全流程电子化项目，异常情况见“第二节 投标人须知正文”中“四、24.2开标程序”。</w:t>
      </w:r>
    </w:p>
    <w:p w14:paraId="0AF12DCC">
      <w:pPr>
        <w:spacing w:line="360" w:lineRule="auto"/>
        <w:ind w:firstLine="480" w:firstLineChars="200"/>
        <w:rPr>
          <w:rFonts w:ascii="宋体" w:cs="宋体"/>
          <w:color w:val="auto"/>
          <w:sz w:val="24"/>
          <w:highlight w:val="none"/>
        </w:rPr>
      </w:pPr>
      <w:r>
        <w:rPr>
          <w:rFonts w:hint="eastAsia" w:ascii="宋体" w:cs="宋体"/>
          <w:color w:val="auto"/>
          <w:sz w:val="24"/>
          <w:highlight w:val="none"/>
        </w:rPr>
        <w:t>20.备份投标文件</w:t>
      </w:r>
    </w:p>
    <w:p w14:paraId="7802E652">
      <w:pPr>
        <w:spacing w:line="360" w:lineRule="auto"/>
        <w:ind w:firstLine="420" w:firstLineChars="200"/>
        <w:rPr>
          <w:rFonts w:ascii="宋体" w:cs="宋体"/>
          <w:color w:val="auto"/>
          <w:sz w:val="24"/>
          <w:highlight w:val="none"/>
        </w:rPr>
      </w:pPr>
      <w:r>
        <w:rPr>
          <w:rFonts w:hint="eastAsia" w:ascii="宋体" w:cs="宋体"/>
          <w:bCs/>
          <w:color w:val="auto"/>
          <w:szCs w:val="21"/>
          <w:highlight w:val="none"/>
        </w:rPr>
        <w:t>详见“投标人须知前附表”。</w:t>
      </w:r>
    </w:p>
    <w:p w14:paraId="3105DE4B">
      <w:pPr>
        <w:spacing w:line="360" w:lineRule="auto"/>
        <w:ind w:firstLine="480" w:firstLineChars="200"/>
        <w:rPr>
          <w:rFonts w:ascii="宋体" w:cs="宋体"/>
          <w:color w:val="auto"/>
          <w:sz w:val="24"/>
          <w:highlight w:val="none"/>
        </w:rPr>
      </w:pPr>
      <w:r>
        <w:rPr>
          <w:rFonts w:hint="eastAsia" w:ascii="宋体" w:cs="宋体"/>
          <w:color w:val="auto"/>
          <w:sz w:val="24"/>
          <w:highlight w:val="none"/>
        </w:rPr>
        <w:t>21.投标文件的提交</w:t>
      </w:r>
    </w:p>
    <w:p w14:paraId="1B2AB4B4">
      <w:pPr>
        <w:spacing w:line="360" w:lineRule="auto"/>
        <w:ind w:firstLine="420" w:firstLineChars="200"/>
        <w:rPr>
          <w:rFonts w:ascii="宋体" w:cs="宋体"/>
          <w:b/>
          <w:color w:val="auto"/>
          <w:highlight w:val="none"/>
        </w:rPr>
      </w:pPr>
      <w:bookmarkStart w:id="161" w:name="_21.1投标人必须在“投标人须知中的前附表”规定的投标文件接收时间和投"/>
      <w:bookmarkEnd w:id="161"/>
      <w:r>
        <w:rPr>
          <w:rFonts w:hint="eastAsia" w:ascii="宋体" w:cs="宋体"/>
          <w:bCs/>
          <w:color w:val="auto"/>
          <w:szCs w:val="21"/>
          <w:highlight w:val="none"/>
        </w:rPr>
        <w:t xml:space="preserve">21.1投标人必须在“投标人须知前附表”规定的投标文件接收时间和投标地点提交电子版投标文件。电子投标文件应在制作完成后，在投标截止时间前通过有效数字证书（CA认证锁）进行电子签章、加密，然后通过网络将加密的电子投标文件递交至广西政府采购云平台。 </w:t>
      </w:r>
      <w:r>
        <w:rPr>
          <w:rFonts w:hint="eastAsia" w:ascii="宋体" w:cs="宋体"/>
          <w:b/>
          <w:color w:val="auto"/>
          <w:highlight w:val="none"/>
        </w:rPr>
        <w:t xml:space="preserve"> </w:t>
      </w:r>
    </w:p>
    <w:p w14:paraId="2B9FC350">
      <w:pPr>
        <w:spacing w:line="360" w:lineRule="auto"/>
        <w:ind w:firstLine="422" w:firstLineChars="200"/>
        <w:rPr>
          <w:rFonts w:ascii="宋体" w:cs="宋体"/>
          <w:b/>
          <w:color w:val="auto"/>
          <w:szCs w:val="20"/>
          <w:highlight w:val="none"/>
        </w:rPr>
      </w:pPr>
      <w:r>
        <w:rPr>
          <w:rFonts w:hint="eastAsia" w:ascii="宋体" w:cs="宋体"/>
          <w:b/>
          <w:color w:val="auto"/>
          <w:szCs w:val="21"/>
          <w:highlight w:val="none"/>
        </w:rPr>
        <w:t>21.2</w:t>
      </w:r>
      <w:r>
        <w:rPr>
          <w:rFonts w:hint="eastAsia" w:ascii="宋体" w:hAnsi="宋体" w:eastAsia="宋体" w:cs="宋体"/>
          <w:b/>
          <w:color w:val="auto"/>
          <w:szCs w:val="21"/>
          <w:highlight w:val="none"/>
        </w:rPr>
        <w:t>未在规定时间内提交或者未按照招标文件要求</w:t>
      </w:r>
      <w:r>
        <w:rPr>
          <w:rFonts w:hint="eastAsia" w:ascii="宋体" w:hAnsi="宋体" w:eastAsia="宋体" w:cs="宋体"/>
          <w:b/>
          <w:color w:val="auto"/>
          <w:szCs w:val="21"/>
          <w:highlight w:val="none"/>
          <w:lang w:eastAsia="zh-CN"/>
        </w:rPr>
        <w:t>加密</w:t>
      </w:r>
      <w:r>
        <w:rPr>
          <w:rFonts w:hint="eastAsia" w:ascii="宋体" w:hAnsi="宋体" w:eastAsia="宋体" w:cs="宋体"/>
          <w:b/>
          <w:color w:val="auto"/>
          <w:szCs w:val="21"/>
          <w:highlight w:val="none"/>
        </w:rPr>
        <w:t>的</w:t>
      </w:r>
      <w:r>
        <w:rPr>
          <w:rFonts w:hint="eastAsia" w:ascii="宋体" w:hAnsi="宋体" w:eastAsia="宋体" w:cs="宋体"/>
          <w:b/>
          <w:color w:val="auto"/>
          <w:szCs w:val="21"/>
          <w:highlight w:val="none"/>
          <w:lang w:eastAsia="zh-CN"/>
        </w:rPr>
        <w:t>电子版投标文件</w:t>
      </w:r>
      <w:r>
        <w:rPr>
          <w:rFonts w:hint="eastAsia" w:ascii="宋体" w:hAnsi="宋体" w:eastAsia="宋体" w:cs="宋体"/>
          <w:b/>
          <w:color w:val="auto"/>
          <w:szCs w:val="21"/>
          <w:highlight w:val="none"/>
        </w:rPr>
        <w:t>，</w:t>
      </w:r>
      <w:r>
        <w:rPr>
          <w:rFonts w:hint="eastAsia" w:ascii="宋体" w:hAnsi="宋体" w:eastAsia="宋体" w:cs="宋体"/>
          <w:b/>
          <w:bCs w:val="0"/>
          <w:color w:val="auto"/>
          <w:sz w:val="21"/>
          <w:szCs w:val="21"/>
          <w:highlight w:val="none"/>
          <w:lang w:val="en-US" w:eastAsia="zh-CN"/>
        </w:rPr>
        <w:t>广西政府采购云平台</w:t>
      </w:r>
      <w:r>
        <w:rPr>
          <w:rFonts w:hint="eastAsia" w:ascii="宋体" w:hAnsi="宋体" w:eastAsia="宋体" w:cs="宋体"/>
          <w:b/>
          <w:color w:val="auto"/>
          <w:szCs w:val="21"/>
          <w:highlight w:val="none"/>
        </w:rPr>
        <w:t>将拒收。</w:t>
      </w:r>
    </w:p>
    <w:p w14:paraId="4445ABDE">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21.3电子版投标文件提交方式见“招标公告”</w:t>
      </w:r>
      <w:r>
        <w:rPr>
          <w:rFonts w:hint="eastAsia" w:ascii="宋体" w:cs="宋体"/>
          <w:b/>
          <w:color w:val="auto"/>
          <w:szCs w:val="21"/>
          <w:highlight w:val="none"/>
        </w:rPr>
        <w:t xml:space="preserve"> 。</w:t>
      </w:r>
    </w:p>
    <w:p w14:paraId="203275B8">
      <w:pPr>
        <w:spacing w:line="360" w:lineRule="auto"/>
        <w:ind w:firstLine="480" w:firstLineChars="200"/>
        <w:rPr>
          <w:rFonts w:ascii="宋体" w:cs="宋体"/>
          <w:color w:val="auto"/>
          <w:sz w:val="24"/>
          <w:highlight w:val="none"/>
        </w:rPr>
      </w:pPr>
      <w:r>
        <w:rPr>
          <w:rFonts w:hint="eastAsia" w:ascii="宋体" w:cs="宋体"/>
          <w:color w:val="auto"/>
          <w:sz w:val="24"/>
          <w:highlight w:val="none"/>
        </w:rPr>
        <w:t>22. 投标文件的补充、修改、撤回</w:t>
      </w:r>
      <w:bookmarkStart w:id="162" w:name="_Toc254970684"/>
      <w:bookmarkStart w:id="163" w:name="_Toc254970543"/>
    </w:p>
    <w:p w14:paraId="464D683D">
      <w:pPr>
        <w:spacing w:line="360" w:lineRule="auto"/>
        <w:ind w:firstLine="420" w:firstLineChars="200"/>
        <w:rPr>
          <w:rFonts w:ascii="宋体" w:cs="宋体"/>
          <w:color w:val="auto"/>
          <w:sz w:val="24"/>
          <w:highlight w:val="none"/>
        </w:rPr>
      </w:pPr>
      <w:r>
        <w:rPr>
          <w:rFonts w:hint="eastAsia" w:ascii="宋体" w:cs="宋体"/>
          <w:color w:val="auto"/>
          <w:szCs w:val="21"/>
          <w:highlight w:val="none"/>
        </w:rPr>
        <w:t>22.1 投标人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提交的投标文件，广西政府采购云平台将拒收。</w:t>
      </w:r>
    </w:p>
    <w:p w14:paraId="36F5A27C">
      <w:pPr>
        <w:pStyle w:val="70"/>
        <w:spacing w:before="0"/>
        <w:rPr>
          <w:rFonts w:ascii="宋体" w:cs="宋体"/>
          <w:color w:val="auto"/>
          <w:szCs w:val="21"/>
          <w:highlight w:val="none"/>
        </w:rPr>
      </w:pPr>
      <w:r>
        <w:rPr>
          <w:rFonts w:hint="eastAsia" w:ascii="宋体" w:cs="宋体"/>
          <w:color w:val="auto"/>
          <w:sz w:val="21"/>
          <w:szCs w:val="21"/>
          <w:highlight w:val="none"/>
        </w:rPr>
        <w:t>22.2 广西政府采购云平台收到投标文件，将妥善保存并即时向投标人发出确认回执通知。在投标截止时间前，除投标人补充、修改或者撤回投标文件外，任何单位和个人不得解密或提取投标文件。</w:t>
      </w:r>
      <w:bookmarkEnd w:id="162"/>
      <w:bookmarkEnd w:id="163"/>
    </w:p>
    <w:p w14:paraId="51A87BDC">
      <w:pPr>
        <w:pStyle w:val="20"/>
        <w:rPr>
          <w:color w:val="auto"/>
          <w:highlight w:val="none"/>
        </w:rPr>
      </w:pPr>
    </w:p>
    <w:p w14:paraId="65C828DD">
      <w:pPr>
        <w:pStyle w:val="13"/>
        <w:snapToGrid w:val="0"/>
        <w:spacing w:line="400" w:lineRule="exact"/>
        <w:ind w:firstLine="739"/>
        <w:rPr>
          <w:rFonts w:cs="宋体"/>
          <w:snapToGrid w:val="0"/>
          <w:color w:val="auto"/>
          <w:sz w:val="21"/>
          <w:szCs w:val="21"/>
          <w:highlight w:val="none"/>
        </w:rPr>
      </w:pPr>
    </w:p>
    <w:p w14:paraId="0D5A27C6">
      <w:pPr>
        <w:pStyle w:val="4"/>
        <w:rPr>
          <w:color w:val="auto"/>
          <w:highlight w:val="none"/>
        </w:rPr>
      </w:pPr>
      <w:bookmarkStart w:id="164" w:name="_Toc20797"/>
      <w:bookmarkStart w:id="165" w:name="_Toc13173"/>
      <w:bookmarkStart w:id="166" w:name="_Toc254970544"/>
      <w:bookmarkStart w:id="167" w:name="_Toc6762"/>
      <w:bookmarkStart w:id="168" w:name="_Toc20620"/>
      <w:bookmarkStart w:id="169" w:name="_Toc20871"/>
      <w:bookmarkStart w:id="170" w:name="_Toc254970685"/>
      <w:r>
        <w:rPr>
          <w:rFonts w:hint="eastAsia"/>
          <w:color w:val="auto"/>
          <w:highlight w:val="none"/>
        </w:rPr>
        <w:t>四、开    标</w:t>
      </w:r>
      <w:bookmarkEnd w:id="164"/>
      <w:bookmarkEnd w:id="165"/>
      <w:bookmarkEnd w:id="166"/>
      <w:bookmarkEnd w:id="167"/>
      <w:bookmarkEnd w:id="168"/>
      <w:bookmarkEnd w:id="169"/>
      <w:bookmarkEnd w:id="170"/>
    </w:p>
    <w:p w14:paraId="6B71E0E2">
      <w:pPr>
        <w:spacing w:line="360" w:lineRule="auto"/>
        <w:ind w:firstLine="480" w:firstLineChars="200"/>
        <w:rPr>
          <w:rFonts w:ascii="宋体" w:cs="宋体"/>
          <w:color w:val="auto"/>
          <w:sz w:val="24"/>
          <w:highlight w:val="none"/>
        </w:rPr>
      </w:pPr>
      <w:bookmarkStart w:id="171" w:name="_23.开标时间和地点"/>
      <w:bookmarkEnd w:id="171"/>
      <w:r>
        <w:rPr>
          <w:rFonts w:hint="eastAsia" w:ascii="宋体" w:cs="宋体"/>
          <w:color w:val="auto"/>
          <w:sz w:val="24"/>
          <w:highlight w:val="none"/>
        </w:rPr>
        <w:t>23.开标时间和地点</w:t>
      </w:r>
    </w:p>
    <w:p w14:paraId="69DC360D">
      <w:pPr>
        <w:spacing w:line="360" w:lineRule="auto"/>
        <w:ind w:firstLine="420" w:firstLineChars="200"/>
        <w:rPr>
          <w:rFonts w:ascii="宋体" w:cs="宋体"/>
          <w:bCs/>
          <w:color w:val="auto"/>
          <w:highlight w:val="none"/>
        </w:rPr>
      </w:pPr>
      <w:r>
        <w:rPr>
          <w:rFonts w:hint="eastAsia" w:ascii="宋体" w:cs="宋体"/>
          <w:bCs/>
          <w:color w:val="auto"/>
          <w:highlight w:val="none"/>
        </w:rPr>
        <w:t>23.1开标时间及地点详见“投标人须知前附表”</w:t>
      </w:r>
    </w:p>
    <w:p w14:paraId="08632311">
      <w:pPr>
        <w:spacing w:line="360" w:lineRule="auto"/>
        <w:ind w:firstLine="420" w:firstLineChars="200"/>
        <w:rPr>
          <w:rFonts w:ascii="宋体" w:cs="宋体"/>
          <w:color w:val="auto"/>
          <w:highlight w:val="none"/>
        </w:rPr>
      </w:pPr>
      <w:r>
        <w:rPr>
          <w:rFonts w:hint="eastAsia" w:ascii="宋体" w:cs="宋体"/>
          <w:color w:val="auto"/>
          <w:highlight w:val="none"/>
        </w:rPr>
        <w:t>23.2如</w:t>
      </w:r>
      <w:r>
        <w:rPr>
          <w:rFonts w:hint="eastAsia" w:ascii="宋体" w:cs="宋体"/>
          <w:bCs/>
          <w:color w:val="auto"/>
          <w:highlight w:val="none"/>
        </w:rPr>
        <w:t>投标人成功解密投标文件，但未在广西政府采购云电子开标大厅参加开标的，视同认可开标过程和结果，</w:t>
      </w:r>
      <w:r>
        <w:rPr>
          <w:rFonts w:hint="eastAsia" w:ascii="宋体" w:cs="宋体"/>
          <w:color w:val="auto"/>
          <w:highlight w:val="none"/>
        </w:rPr>
        <w:t>由此产生的后果由投标人自行负责。 投标人不足3家的，不得开标。</w:t>
      </w:r>
    </w:p>
    <w:p w14:paraId="11B42BA2">
      <w:pPr>
        <w:spacing w:line="360" w:lineRule="auto"/>
        <w:ind w:firstLine="480" w:firstLineChars="200"/>
        <w:rPr>
          <w:rFonts w:ascii="宋体" w:cs="宋体"/>
          <w:color w:val="auto"/>
          <w:sz w:val="24"/>
          <w:highlight w:val="none"/>
        </w:rPr>
      </w:pPr>
      <w:r>
        <w:rPr>
          <w:rFonts w:hint="eastAsia" w:ascii="宋体" w:cs="宋体"/>
          <w:color w:val="auto"/>
          <w:sz w:val="24"/>
          <w:highlight w:val="none"/>
        </w:rPr>
        <w:t>24.开标程序</w:t>
      </w:r>
    </w:p>
    <w:p w14:paraId="5C26F27C">
      <w:pPr>
        <w:autoSpaceDE w:val="0"/>
        <w:autoSpaceDN w:val="0"/>
        <w:adjustRightInd w:val="0"/>
        <w:spacing w:line="440" w:lineRule="exact"/>
        <w:ind w:firstLine="420" w:firstLineChars="200"/>
        <w:rPr>
          <w:rFonts w:ascii="宋体" w:cs="宋体"/>
          <w:color w:val="auto"/>
          <w:kern w:val="0"/>
          <w:szCs w:val="21"/>
          <w:highlight w:val="none"/>
        </w:rPr>
      </w:pPr>
      <w:r>
        <w:rPr>
          <w:rFonts w:hint="eastAsia" w:ascii="宋体" w:cs="宋体"/>
          <w:bCs/>
          <w:color w:val="auto"/>
          <w:szCs w:val="21"/>
          <w:highlight w:val="none"/>
        </w:rPr>
        <w:t>24.1</w:t>
      </w:r>
      <w:r>
        <w:rPr>
          <w:rFonts w:hint="eastAsia" w:ascii="宋体" w:cs="宋体"/>
          <w:color w:val="auto"/>
          <w:kern w:val="0"/>
          <w:szCs w:val="21"/>
          <w:highlight w:val="none"/>
        </w:rPr>
        <w:t>开标形式：</w:t>
      </w:r>
    </w:p>
    <w:p w14:paraId="1BDDB881">
      <w:pPr>
        <w:autoSpaceDE w:val="0"/>
        <w:autoSpaceDN w:val="0"/>
        <w:adjustRightInd w:val="0"/>
        <w:spacing w:line="440" w:lineRule="exact"/>
        <w:ind w:firstLine="420" w:firstLineChars="200"/>
        <w:rPr>
          <w:rFonts w:ascii="宋体" w:cs="宋体"/>
          <w:bCs/>
          <w:color w:val="auto"/>
          <w:szCs w:val="21"/>
          <w:highlight w:val="none"/>
        </w:rPr>
      </w:pPr>
      <w:r>
        <w:rPr>
          <w:rFonts w:hint="eastAsia" w:ascii="宋体" w:cs="宋体"/>
          <w:color w:val="auto"/>
          <w:szCs w:val="21"/>
          <w:highlight w:val="none"/>
        </w:rPr>
        <w:t>（1）</w:t>
      </w:r>
      <w:r>
        <w:rPr>
          <w:rFonts w:hint="eastAsia" w:ascii="宋体" w:cs="宋体"/>
          <w:bCs/>
          <w:color w:val="auto"/>
          <w:szCs w:val="21"/>
          <w:highlight w:val="none"/>
        </w:rPr>
        <w:t>开标的准备工作由采购代理机构负责落实，采购代理机构必须基于广西政府采购云平台依法抽取评审专家，如采购代理机构未按规定抽取专家的，视为本次开评标无效，应当重新采购；</w:t>
      </w:r>
    </w:p>
    <w:p w14:paraId="739B8A1A">
      <w:pPr>
        <w:autoSpaceDE w:val="0"/>
        <w:autoSpaceDN w:val="0"/>
        <w:adjustRightInd w:val="0"/>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2）采购代理机构将按照招标文件规定的时间通过广西政府采购云平台组织线上开标活动、开启投标文件，所有投标人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790F26F9">
      <w:pPr>
        <w:autoSpaceDE w:val="0"/>
        <w:autoSpaceDN w:val="0"/>
        <w:adjustRightInd w:val="0"/>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24.2开标程序：</w:t>
      </w:r>
    </w:p>
    <w:p w14:paraId="699A65EA">
      <w:pPr>
        <w:pStyle w:val="11"/>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（1）</w:t>
      </w:r>
      <w:r>
        <w:rPr>
          <w:rFonts w:hint="eastAsia" w:cs="宋体"/>
          <w:b/>
          <w:color w:val="auto"/>
          <w:szCs w:val="21"/>
          <w:highlight w:val="none"/>
        </w:rPr>
        <w:t>解密电子投标文件。</w:t>
      </w:r>
      <w:r>
        <w:rPr>
          <w:rFonts w:hint="eastAsia" w:cs="宋体"/>
          <w:bCs/>
          <w:color w:val="auto"/>
          <w:szCs w:val="21"/>
          <w:highlight w:val="none"/>
        </w:rPr>
        <w:t>广西政府采购云</w:t>
      </w:r>
      <w:r>
        <w:rPr>
          <w:rFonts w:ascii="宋体" w:cs="仿宋"/>
          <w:color w:val="auto"/>
          <w:szCs w:val="21"/>
          <w:highlight w:val="none"/>
        </w:rPr>
        <w:t>平台按开标时间自动提取所有投标文件。采购代理机构依托</w:t>
      </w:r>
      <w:r>
        <w:rPr>
          <w:rFonts w:hint="eastAsia" w:ascii="宋体" w:cs="仿宋"/>
          <w:color w:val="auto"/>
          <w:szCs w:val="21"/>
          <w:highlight w:val="none"/>
        </w:rPr>
        <w:t>广西政府采购云</w:t>
      </w:r>
      <w:r>
        <w:rPr>
          <w:rFonts w:ascii="宋体" w:cs="仿宋"/>
          <w:color w:val="auto"/>
          <w:szCs w:val="21"/>
          <w:highlight w:val="none"/>
        </w:rPr>
        <w:t>平台</w:t>
      </w:r>
      <w:r>
        <w:rPr>
          <w:rFonts w:ascii="宋体" w:cs="宋体"/>
          <w:color w:val="auto"/>
          <w:szCs w:val="21"/>
          <w:highlight w:val="none"/>
        </w:rPr>
        <w:t>向各投标人发出电子加密投标文件【开始解密】通知，由投标人</w:t>
      </w:r>
      <w:r>
        <w:rPr>
          <w:rFonts w:hint="eastAsia" w:ascii="宋体" w:cs="宋体"/>
          <w:color w:val="auto"/>
          <w:szCs w:val="21"/>
          <w:highlight w:val="none"/>
        </w:rPr>
        <w:t>在</w:t>
      </w:r>
      <w:r>
        <w:rPr>
          <w:rFonts w:ascii="宋体" w:cs="宋体"/>
          <w:color w:val="auto"/>
          <w:szCs w:val="21"/>
          <w:highlight w:val="none"/>
        </w:rPr>
        <w:t>规定的时间内自行</w:t>
      </w:r>
      <w:r>
        <w:rPr>
          <w:rFonts w:hint="eastAsia" w:ascii="宋体" w:cs="宋体"/>
          <w:color w:val="auto"/>
          <w:szCs w:val="21"/>
          <w:highlight w:val="none"/>
        </w:rPr>
        <w:t>将</w:t>
      </w:r>
      <w:r>
        <w:rPr>
          <w:rFonts w:ascii="宋体" w:cs="宋体"/>
          <w:color w:val="auto"/>
          <w:szCs w:val="21"/>
          <w:highlight w:val="none"/>
        </w:rPr>
        <w:t>投标文件</w:t>
      </w:r>
      <w:r>
        <w:rPr>
          <w:rFonts w:hint="eastAsia" w:ascii="宋体" w:cs="宋体"/>
          <w:color w:val="auto"/>
          <w:szCs w:val="21"/>
          <w:highlight w:val="none"/>
        </w:rPr>
        <w:t>在线</w:t>
      </w:r>
      <w:r>
        <w:rPr>
          <w:rFonts w:ascii="宋体" w:cs="宋体"/>
          <w:color w:val="auto"/>
          <w:szCs w:val="21"/>
          <w:highlight w:val="none"/>
        </w:rPr>
        <w:t>解密。投标人的法定代表人或其委托代理人</w:t>
      </w:r>
      <w:r>
        <w:rPr>
          <w:rFonts w:ascii="宋体" w:cs="宋体"/>
          <w:b/>
          <w:color w:val="auto"/>
          <w:szCs w:val="21"/>
          <w:highlight w:val="none"/>
        </w:rPr>
        <w:t>须携带加密时所用的CA锁准时登录到</w:t>
      </w:r>
      <w:r>
        <w:rPr>
          <w:rFonts w:hint="eastAsia" w:ascii="宋体" w:cs="宋体"/>
          <w:b/>
          <w:color w:val="auto"/>
          <w:szCs w:val="21"/>
          <w:highlight w:val="none"/>
        </w:rPr>
        <w:t>广西政府采购云</w:t>
      </w:r>
      <w:r>
        <w:rPr>
          <w:rFonts w:ascii="宋体" w:cs="宋体"/>
          <w:b/>
          <w:color w:val="auto"/>
          <w:szCs w:val="21"/>
          <w:highlight w:val="none"/>
        </w:rPr>
        <w:t>平台电子开标大厅签到并对电子投标文件</w:t>
      </w:r>
      <w:r>
        <w:rPr>
          <w:rFonts w:hint="eastAsia" w:ascii="宋体" w:cs="宋体"/>
          <w:b/>
          <w:color w:val="auto"/>
          <w:szCs w:val="21"/>
          <w:highlight w:val="none"/>
        </w:rPr>
        <w:t>在线</w:t>
      </w:r>
      <w:r>
        <w:rPr>
          <w:rFonts w:ascii="宋体" w:cs="宋体"/>
          <w:b/>
          <w:color w:val="auto"/>
          <w:szCs w:val="21"/>
          <w:highlight w:val="none"/>
        </w:rPr>
        <w:t>解密</w:t>
      </w:r>
      <w:r>
        <w:rPr>
          <w:rFonts w:ascii="宋体" w:cs="宋体"/>
          <w:color w:val="auto"/>
          <w:szCs w:val="21"/>
          <w:highlight w:val="none"/>
        </w:rPr>
        <w:t>。</w:t>
      </w:r>
      <w:r>
        <w:rPr>
          <w:rFonts w:ascii="宋体" w:cs="仿宋"/>
          <w:color w:val="auto"/>
          <w:szCs w:val="21"/>
          <w:highlight w:val="none"/>
        </w:rPr>
        <w:t>投标文件未按时解密</w:t>
      </w:r>
      <w:r>
        <w:rPr>
          <w:rFonts w:ascii="宋体" w:cs="宋体"/>
          <w:color w:val="auto"/>
          <w:szCs w:val="21"/>
          <w:highlight w:val="none"/>
        </w:rPr>
        <w:t>的，</w:t>
      </w:r>
      <w:r>
        <w:rPr>
          <w:rFonts w:ascii="宋体" w:cs="宋体"/>
          <w:b/>
          <w:color w:val="auto"/>
          <w:szCs w:val="21"/>
          <w:highlight w:val="none"/>
        </w:rPr>
        <w:t>均视为无效投标。</w:t>
      </w:r>
    </w:p>
    <w:p w14:paraId="6875BEAD">
      <w:pPr>
        <w:pStyle w:val="11"/>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（解密</w:t>
      </w:r>
      <w:r>
        <w:rPr>
          <w:rFonts w:hint="eastAsia" w:ascii="宋体" w:hAnsi="宋体" w:eastAsia="宋体" w:cs="宋体"/>
          <w:bCs/>
          <w:color w:val="auto"/>
          <w:szCs w:val="21"/>
          <w:highlight w:val="none"/>
        </w:rPr>
        <w:t>异常情况处理：详见本章</w:t>
      </w:r>
      <w:r>
        <w:rPr>
          <w:rFonts w:hint="eastAsia" w:ascii="宋体" w:hAnsi="宋体" w:eastAsia="宋体" w:cs="宋体"/>
          <w:color w:val="auto"/>
          <w:highlight w:val="none"/>
        </w:rPr>
        <w:t>29.3电子交易活动的中止。</w:t>
      </w:r>
      <w:r>
        <w:rPr>
          <w:rFonts w:hint="eastAsia" w:ascii="宋体" w:hAnsi="宋体" w:eastAsia="宋体" w:cs="宋体"/>
          <w:color w:val="auto"/>
          <w:szCs w:val="21"/>
          <w:highlight w:val="none"/>
        </w:rPr>
        <w:t>）</w:t>
      </w:r>
    </w:p>
    <w:p w14:paraId="1BB701F1">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（2）</w:t>
      </w:r>
      <w:r>
        <w:rPr>
          <w:rFonts w:hint="eastAsia" w:ascii="宋体" w:cs="宋体"/>
          <w:b/>
          <w:color w:val="auto"/>
          <w:szCs w:val="21"/>
          <w:highlight w:val="none"/>
        </w:rPr>
        <w:t>电子唱标。</w:t>
      </w:r>
      <w:r>
        <w:rPr>
          <w:rFonts w:hint="eastAsia" w:ascii="宋体" w:cs="宋体"/>
          <w:color w:val="auto"/>
          <w:szCs w:val="21"/>
          <w:highlight w:val="none"/>
        </w:rPr>
        <w:t>投标文件解密结束，各投标人报价均在广西政府采购云平台远程不见面开标大厅展示；</w:t>
      </w:r>
    </w:p>
    <w:p w14:paraId="255A7C28">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（3）开标过程由采购代理机构如实记录，并电子留痕，由参加电子开标的各投标人代表对电子开标记录在开标记录公布后15分钟内进行当场校核及勘误，并线上确认，未确认的视同认可开标结果。</w:t>
      </w:r>
    </w:p>
    <w:p w14:paraId="3D0900ED">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4）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44BBDEA9">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（5）开标结束。</w:t>
      </w:r>
    </w:p>
    <w:p w14:paraId="74183DFF">
      <w:pPr>
        <w:spacing w:line="360" w:lineRule="auto"/>
        <w:ind w:firstLine="422" w:firstLineChars="200"/>
        <w:rPr>
          <w:rFonts w:cs="宋体"/>
          <w:color w:val="auto"/>
          <w:szCs w:val="21"/>
          <w:highlight w:val="none"/>
        </w:rPr>
      </w:pPr>
      <w:r>
        <w:rPr>
          <w:rFonts w:hint="eastAsia" w:cs="宋体"/>
          <w:b/>
          <w:bCs/>
          <w:color w:val="auto"/>
          <w:szCs w:val="21"/>
          <w:highlight w:val="none"/>
        </w:rPr>
        <w:t>特别说明：</w:t>
      </w:r>
      <w:r>
        <w:rPr>
          <w:rFonts w:hint="eastAsia" w:cs="宋体"/>
          <w:color w:val="auto"/>
          <w:szCs w:val="21"/>
          <w:highlight w:val="none"/>
        </w:rPr>
        <w:t>如遇广西政府采购云平台电子化开标或评审程序调整的，按调整后执行。</w:t>
      </w:r>
    </w:p>
    <w:p w14:paraId="650B96A2">
      <w:pPr>
        <w:pStyle w:val="16"/>
        <w:snapToGrid w:val="0"/>
        <w:spacing w:line="400" w:lineRule="exact"/>
        <w:ind w:left="689" w:leftChars="228" w:hanging="210" w:hangingChars="100"/>
        <w:rPr>
          <w:rFonts w:cs="宋体"/>
          <w:color w:val="auto"/>
          <w:highlight w:val="none"/>
        </w:rPr>
      </w:pPr>
    </w:p>
    <w:p w14:paraId="2F78EFDD">
      <w:pPr>
        <w:pStyle w:val="4"/>
        <w:rPr>
          <w:color w:val="auto"/>
          <w:highlight w:val="none"/>
        </w:rPr>
      </w:pPr>
      <w:bookmarkStart w:id="172" w:name="_Toc30961"/>
      <w:bookmarkStart w:id="173" w:name="_Toc31687"/>
      <w:bookmarkStart w:id="174" w:name="_Toc29347"/>
      <w:bookmarkStart w:id="175" w:name="_Toc10935"/>
      <w:bookmarkStart w:id="176" w:name="_Toc29757"/>
      <w:r>
        <w:rPr>
          <w:rFonts w:hint="eastAsia"/>
          <w:color w:val="auto"/>
          <w:highlight w:val="none"/>
        </w:rPr>
        <w:t>五、资格审查</w:t>
      </w:r>
      <w:bookmarkEnd w:id="172"/>
      <w:bookmarkEnd w:id="173"/>
      <w:bookmarkEnd w:id="174"/>
      <w:bookmarkEnd w:id="175"/>
      <w:bookmarkEnd w:id="176"/>
    </w:p>
    <w:p w14:paraId="36CE71FE">
      <w:pPr>
        <w:keepNext w:val="0"/>
        <w:keepLines w:val="0"/>
        <w:spacing w:before="0" w:after="0" w:line="360" w:lineRule="auto"/>
        <w:ind w:firstLine="482" w:firstLineChars="200"/>
        <w:outlineLvl w:val="9"/>
        <w:rPr>
          <w:rFonts w:ascii="宋体" w:cs="宋体"/>
          <w:b/>
          <w:bCs/>
          <w:color w:val="auto"/>
          <w:sz w:val="24"/>
          <w:highlight w:val="none"/>
        </w:rPr>
      </w:pPr>
      <w:r>
        <w:rPr>
          <w:rFonts w:hint="eastAsia" w:ascii="宋体" w:cs="宋体"/>
          <w:b/>
          <w:bCs/>
          <w:color w:val="auto"/>
          <w:sz w:val="24"/>
          <w:highlight w:val="none"/>
        </w:rPr>
        <w:t>25.资格审查</w:t>
      </w:r>
    </w:p>
    <w:p w14:paraId="1A01824F">
      <w:pPr>
        <w:spacing w:line="360" w:lineRule="auto"/>
        <w:ind w:firstLine="422" w:firstLineChars="200"/>
        <w:rPr>
          <w:rFonts w:ascii="宋体" w:cs="宋体"/>
          <w:b/>
          <w:bCs/>
          <w:color w:val="auto"/>
          <w:szCs w:val="20"/>
          <w:highlight w:val="none"/>
        </w:rPr>
      </w:pPr>
      <w:r>
        <w:rPr>
          <w:rFonts w:hint="eastAsia" w:ascii="宋体" w:cs="宋体"/>
          <w:b/>
          <w:bCs/>
          <w:color w:val="auto"/>
          <w:szCs w:val="20"/>
          <w:highlight w:val="none"/>
        </w:rPr>
        <w:t>25.1开标结束后，采购人或采购代理机构依法通过电子投标文件对投标人的资格进行线上审查。</w:t>
      </w:r>
    </w:p>
    <w:p w14:paraId="3C078891">
      <w:pPr>
        <w:spacing w:line="360" w:lineRule="auto"/>
        <w:ind w:firstLine="420" w:firstLineChars="200"/>
        <w:rPr>
          <w:rFonts w:ascii="宋体" w:cs="宋体"/>
          <w:color w:val="auto"/>
          <w:highlight w:val="none"/>
        </w:rPr>
      </w:pPr>
      <w:r>
        <w:rPr>
          <w:rFonts w:hint="eastAsia" w:ascii="宋体" w:cs="宋体"/>
          <w:color w:val="auto"/>
          <w:highlight w:val="none"/>
        </w:rPr>
        <w:t>25.2资格审查标准为本“招标文件”中“投标人须知前附表”13.1点载明对投标人资格要求的条件。本项目资格审查采用合格制，凡符合招标文件规定的投标人资格要求的投标人均通过资格审查。</w:t>
      </w:r>
    </w:p>
    <w:p w14:paraId="7619E24F">
      <w:pPr>
        <w:spacing w:line="360" w:lineRule="auto"/>
        <w:ind w:firstLine="422" w:firstLineChars="200"/>
        <w:rPr>
          <w:rFonts w:ascii="宋体" w:cs="宋体"/>
          <w:b/>
          <w:bCs/>
          <w:color w:val="auto"/>
          <w:szCs w:val="20"/>
          <w:highlight w:val="none"/>
        </w:rPr>
      </w:pPr>
      <w:bookmarkStart w:id="177" w:name="_25.3_投标人有下列情形之一的，资格审查不通过而导致其投标无效："/>
      <w:bookmarkEnd w:id="177"/>
      <w:r>
        <w:rPr>
          <w:rFonts w:hint="eastAsia" w:ascii="宋体" w:cs="宋体"/>
          <w:b/>
          <w:bCs/>
          <w:color w:val="auto"/>
          <w:szCs w:val="20"/>
          <w:highlight w:val="none"/>
        </w:rPr>
        <w:t>25.3投标人有下列情形之一的，资格审查不通过，作无效投标处理：</w:t>
      </w:r>
    </w:p>
    <w:p w14:paraId="5F53AE39">
      <w:pPr>
        <w:spacing w:line="360" w:lineRule="auto"/>
        <w:ind w:firstLine="420" w:firstLineChars="200"/>
        <w:rPr>
          <w:rFonts w:ascii="宋体" w:cs="宋体"/>
          <w:color w:val="auto"/>
          <w:highlight w:val="none"/>
        </w:rPr>
      </w:pPr>
      <w:r>
        <w:rPr>
          <w:rFonts w:hint="eastAsia"/>
          <w:color w:val="auto"/>
          <w:highlight w:val="none"/>
        </w:rPr>
        <w:t>（1）不具备招标文件中规定的资格要求的；（注：其中信用查询规则见“投标人须知前附表”，广西政府采购云平台已与“信用中国”平台做接口，</w:t>
      </w:r>
      <w:r>
        <w:rPr>
          <w:rFonts w:hint="eastAsia" w:ascii="宋体" w:cs="宋体"/>
          <w:color w:val="auto"/>
          <w:szCs w:val="20"/>
          <w:highlight w:val="none"/>
        </w:rPr>
        <w:t>采购人或者采购代理机构</w:t>
      </w:r>
      <w:r>
        <w:rPr>
          <w:rFonts w:hint="eastAsia" w:ascii="宋体" w:cs="宋体"/>
          <w:color w:val="auto"/>
          <w:highlight w:val="none"/>
        </w:rPr>
        <w:t>可直接在线查询）</w:t>
      </w:r>
    </w:p>
    <w:p w14:paraId="0E8A0B25">
      <w:pPr>
        <w:spacing w:line="360" w:lineRule="auto"/>
        <w:ind w:firstLine="420" w:firstLineChars="200"/>
        <w:rPr>
          <w:rFonts w:ascii="宋体" w:cs="宋体"/>
          <w:color w:val="auto"/>
          <w:highlight w:val="none"/>
        </w:rPr>
      </w:pPr>
      <w:r>
        <w:rPr>
          <w:rFonts w:hint="eastAsia" w:ascii="宋体" w:cs="宋体"/>
          <w:color w:val="auto"/>
          <w:highlight w:val="none"/>
        </w:rPr>
        <w:t>（2）投标文件未提供任一项“投标人须知前附表”资格文件规定的“必须提供”的文件资料的；</w:t>
      </w:r>
    </w:p>
    <w:p w14:paraId="77EC1BC9">
      <w:pPr>
        <w:spacing w:line="360" w:lineRule="auto"/>
        <w:ind w:firstLine="420" w:firstLineChars="200"/>
        <w:rPr>
          <w:rFonts w:ascii="宋体" w:cs="宋体"/>
          <w:color w:val="auto"/>
          <w:highlight w:val="none"/>
        </w:rPr>
      </w:pPr>
      <w:r>
        <w:rPr>
          <w:rFonts w:hint="eastAsia" w:ascii="宋体" w:cs="宋体"/>
          <w:color w:val="auto"/>
          <w:highlight w:val="none"/>
        </w:rPr>
        <w:t>（3）投标文件提供的资格文件出现任一项不符合“投标人须知前附表”资格文件规定的“必须提供”的文件资料要求或者无效的。</w:t>
      </w:r>
    </w:p>
    <w:p w14:paraId="30109185">
      <w:pPr>
        <w:spacing w:line="360" w:lineRule="auto"/>
        <w:ind w:firstLine="420" w:firstLineChars="200"/>
        <w:rPr>
          <w:rFonts w:ascii="宋体" w:cs="宋体"/>
          <w:color w:val="auto"/>
          <w:highlight w:val="none"/>
        </w:rPr>
      </w:pPr>
      <w:r>
        <w:rPr>
          <w:rFonts w:hint="eastAsia" w:ascii="宋体" w:cs="宋体"/>
          <w:color w:val="auto"/>
          <w:highlight w:val="none"/>
        </w:rPr>
        <w:t>（4）同一合同项下的不同供应商，单位负责人为同一人或者存在直接控股、管理关系的；为本项目提供过整体设计、规范编制或者项目管理、监理、检测等服务的。</w:t>
      </w:r>
    </w:p>
    <w:p w14:paraId="604B3B3B">
      <w:pPr>
        <w:keepNext w:val="0"/>
        <w:keepLines w:val="0"/>
        <w:spacing w:before="0" w:after="0" w:line="360" w:lineRule="auto"/>
        <w:ind w:firstLine="420" w:firstLineChars="200"/>
        <w:outlineLvl w:val="9"/>
        <w:rPr>
          <w:rFonts w:ascii="宋体" w:cs="宋体"/>
          <w:b w:val="0"/>
          <w:bCs w:val="0"/>
          <w:color w:val="auto"/>
          <w:sz w:val="21"/>
          <w:szCs w:val="20"/>
          <w:highlight w:val="none"/>
        </w:rPr>
      </w:pPr>
      <w:r>
        <w:rPr>
          <w:rFonts w:hint="eastAsia" w:ascii="宋体" w:cs="宋体"/>
          <w:b w:val="0"/>
          <w:bCs w:val="0"/>
          <w:color w:val="auto"/>
          <w:sz w:val="21"/>
          <w:szCs w:val="20"/>
          <w:highlight w:val="none"/>
        </w:rPr>
        <w:t>25.4资格审查的合格投标人不足3家的，不得评标。</w:t>
      </w:r>
    </w:p>
    <w:p w14:paraId="5D6DC9A2">
      <w:pPr>
        <w:pStyle w:val="16"/>
        <w:snapToGrid w:val="0"/>
        <w:spacing w:line="400" w:lineRule="exact"/>
        <w:ind w:left="689" w:leftChars="228" w:hanging="210" w:hangingChars="100"/>
        <w:rPr>
          <w:rFonts w:cs="宋体"/>
          <w:color w:val="auto"/>
          <w:highlight w:val="none"/>
        </w:rPr>
      </w:pPr>
      <w:bookmarkStart w:id="178" w:name="_Toc28977"/>
      <w:bookmarkStart w:id="179" w:name="_Toc17458"/>
      <w:bookmarkStart w:id="180" w:name="_Toc10753"/>
      <w:bookmarkStart w:id="181" w:name="_Toc23135"/>
      <w:bookmarkStart w:id="182" w:name="_Toc29675"/>
    </w:p>
    <w:p w14:paraId="328E93A1">
      <w:pPr>
        <w:pStyle w:val="4"/>
        <w:rPr>
          <w:color w:val="auto"/>
          <w:highlight w:val="none"/>
        </w:rPr>
      </w:pPr>
      <w:r>
        <w:rPr>
          <w:rFonts w:hint="eastAsia"/>
          <w:color w:val="auto"/>
          <w:highlight w:val="none"/>
        </w:rPr>
        <w:t>六、评   标</w:t>
      </w:r>
      <w:bookmarkEnd w:id="178"/>
      <w:bookmarkEnd w:id="179"/>
      <w:bookmarkEnd w:id="180"/>
      <w:bookmarkEnd w:id="181"/>
      <w:bookmarkEnd w:id="182"/>
    </w:p>
    <w:p w14:paraId="1F6E21C7">
      <w:pPr>
        <w:spacing w:line="360" w:lineRule="auto"/>
        <w:ind w:firstLine="480" w:firstLineChars="200"/>
        <w:rPr>
          <w:rFonts w:ascii="宋体" w:cs="宋体"/>
          <w:color w:val="auto"/>
          <w:sz w:val="24"/>
          <w:highlight w:val="none"/>
        </w:rPr>
      </w:pPr>
      <w:bookmarkStart w:id="183" w:name="_26.组建评标委员会"/>
      <w:bookmarkEnd w:id="183"/>
      <w:r>
        <w:rPr>
          <w:rFonts w:hint="eastAsia" w:ascii="宋体" w:cs="宋体"/>
          <w:color w:val="auto"/>
          <w:sz w:val="24"/>
          <w:highlight w:val="none"/>
        </w:rPr>
        <w:t>26.组建评标委员会</w:t>
      </w:r>
    </w:p>
    <w:p w14:paraId="3DEFE803">
      <w:pPr>
        <w:spacing w:line="360" w:lineRule="auto"/>
        <w:ind w:firstLine="420" w:firstLineChars="200"/>
        <w:rPr>
          <w:rFonts w:ascii="宋体" w:cs="宋体"/>
          <w:color w:val="auto"/>
          <w:highlight w:val="none"/>
        </w:rPr>
      </w:pPr>
      <w:r>
        <w:rPr>
          <w:rFonts w:hint="eastAsia" w:ascii="宋体" w:cs="宋体"/>
          <w:color w:val="auto"/>
          <w:highlight w:val="none"/>
        </w:rPr>
        <w:t>评标委员会由采购人代表和评审专家组成，人数为5人以上单数，其中评审专家不得少于成员总数的三分之二。</w:t>
      </w:r>
    </w:p>
    <w:p w14:paraId="424BAF71">
      <w:pPr>
        <w:spacing w:line="360" w:lineRule="auto"/>
        <w:ind w:firstLine="420" w:firstLineChars="200"/>
        <w:rPr>
          <w:rFonts w:ascii="宋体" w:cs="宋体"/>
          <w:color w:val="auto"/>
          <w:highlight w:val="none"/>
        </w:rPr>
      </w:pPr>
      <w:r>
        <w:rPr>
          <w:rFonts w:hint="eastAsia" w:ascii="宋体" w:cs="宋体"/>
          <w:color w:val="auto"/>
          <w:highlight w:val="none"/>
        </w:rPr>
        <w:t>参加过采购项目前期咨询论证的专家，不得参加该采购项目的评审活动。</w:t>
      </w:r>
    </w:p>
    <w:p w14:paraId="6B858CA2">
      <w:pPr>
        <w:spacing w:line="360" w:lineRule="auto"/>
        <w:ind w:firstLine="480" w:firstLineChars="200"/>
        <w:rPr>
          <w:rFonts w:ascii="宋体" w:cs="宋体"/>
          <w:color w:val="auto"/>
          <w:sz w:val="24"/>
          <w:highlight w:val="none"/>
        </w:rPr>
      </w:pPr>
      <w:r>
        <w:rPr>
          <w:rFonts w:hint="eastAsia" w:ascii="宋体" w:cs="宋体"/>
          <w:color w:val="auto"/>
          <w:sz w:val="24"/>
          <w:highlight w:val="none"/>
        </w:rPr>
        <w:t>27.评标的依据</w:t>
      </w:r>
    </w:p>
    <w:p w14:paraId="219F8265">
      <w:pPr>
        <w:spacing w:line="360" w:lineRule="auto"/>
        <w:ind w:firstLine="420" w:firstLineChars="200"/>
        <w:rPr>
          <w:rFonts w:ascii="宋体" w:cs="宋体"/>
          <w:color w:val="auto"/>
          <w:highlight w:val="none"/>
        </w:rPr>
      </w:pPr>
      <w:r>
        <w:rPr>
          <w:rFonts w:hint="eastAsia" w:ascii="宋体" w:cs="宋体"/>
          <w:color w:val="auto"/>
          <w:highlight w:val="none"/>
        </w:rPr>
        <w:t>评标委员会以招标文件为依据对投标文件进行评审，“第四章 评标方法和评标标准”没有规定的方法、评审因素和标准，不作为评标依据。</w:t>
      </w:r>
    </w:p>
    <w:p w14:paraId="2459E9CB">
      <w:pPr>
        <w:spacing w:line="360" w:lineRule="auto"/>
        <w:ind w:firstLine="480" w:firstLineChars="200"/>
        <w:rPr>
          <w:rFonts w:ascii="宋体" w:cs="宋体"/>
          <w:color w:val="auto"/>
          <w:sz w:val="24"/>
          <w:highlight w:val="none"/>
        </w:rPr>
      </w:pPr>
      <w:r>
        <w:rPr>
          <w:rFonts w:hint="eastAsia" w:ascii="宋体" w:cs="宋体"/>
          <w:color w:val="auto"/>
          <w:sz w:val="24"/>
          <w:highlight w:val="none"/>
        </w:rPr>
        <w:t>28.评标原则</w:t>
      </w:r>
    </w:p>
    <w:p w14:paraId="6596C93E">
      <w:pPr>
        <w:spacing w:line="360" w:lineRule="auto"/>
        <w:ind w:firstLine="420" w:firstLineChars="200"/>
        <w:rPr>
          <w:rFonts w:ascii="宋体" w:cs="宋体"/>
          <w:color w:val="auto"/>
          <w:highlight w:val="none"/>
        </w:rPr>
      </w:pPr>
      <w:r>
        <w:rPr>
          <w:rFonts w:hint="eastAsia" w:ascii="宋体" w:cs="宋体"/>
          <w:color w:val="auto"/>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6152C08D">
      <w:pPr>
        <w:spacing w:line="360" w:lineRule="auto"/>
        <w:ind w:firstLine="420" w:firstLineChars="200"/>
        <w:rPr>
          <w:rFonts w:ascii="宋体" w:cs="宋体"/>
          <w:color w:val="auto"/>
          <w:highlight w:val="none"/>
        </w:rPr>
      </w:pPr>
      <w:r>
        <w:rPr>
          <w:rFonts w:hint="eastAsia" w:ascii="宋体" w:cs="宋体"/>
          <w:color w:val="auto"/>
          <w:highlight w:val="none"/>
        </w:rPr>
        <w:t>28.2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701235E2">
      <w:pPr>
        <w:spacing w:line="360" w:lineRule="auto"/>
        <w:ind w:firstLine="420" w:firstLineChars="200"/>
        <w:rPr>
          <w:rFonts w:ascii="宋体" w:cs="宋体"/>
          <w:color w:val="auto"/>
          <w:highlight w:val="none"/>
        </w:rPr>
      </w:pPr>
      <w:r>
        <w:rPr>
          <w:rFonts w:hint="eastAsia" w:ascii="宋体" w:cs="宋体"/>
          <w:color w:val="auto"/>
          <w:highlight w:val="none"/>
        </w:rPr>
        <w:t>28.3评标过程的监控。本项目电子评标过程实行网上留痕、全程录音、录像监控，投标人在评标过程中所进行的试图影响评标结果的不公正活动，可能导致其投标作无效处理。</w:t>
      </w:r>
    </w:p>
    <w:p w14:paraId="79BC952B">
      <w:pPr>
        <w:spacing w:line="360" w:lineRule="auto"/>
        <w:ind w:firstLine="420" w:firstLineChars="200"/>
        <w:rPr>
          <w:rFonts w:ascii="宋体" w:cs="宋体"/>
          <w:color w:val="auto"/>
          <w:szCs w:val="21"/>
          <w:highlight w:val="none"/>
        </w:rPr>
      </w:pPr>
      <w:r>
        <w:rPr>
          <w:rFonts w:hint="eastAsia" w:ascii="宋体" w:cs="宋体"/>
          <w:color w:val="auto"/>
          <w:highlight w:val="none"/>
        </w:rPr>
        <w:t>28.4</w:t>
      </w:r>
      <w:r>
        <w:rPr>
          <w:rFonts w:hint="eastAsia" w:ascii="宋体" w:cs="宋体"/>
          <w:color w:val="auto"/>
          <w:szCs w:val="21"/>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6B161526">
      <w:pPr>
        <w:spacing w:line="360" w:lineRule="auto"/>
        <w:ind w:firstLine="480" w:firstLineChars="200"/>
        <w:rPr>
          <w:rFonts w:ascii="宋体" w:cs="宋体"/>
          <w:color w:val="auto"/>
          <w:sz w:val="24"/>
          <w:highlight w:val="none"/>
        </w:rPr>
      </w:pPr>
      <w:r>
        <w:rPr>
          <w:rFonts w:hint="eastAsia" w:ascii="宋体" w:cs="宋体"/>
          <w:color w:val="auto"/>
          <w:sz w:val="24"/>
          <w:highlight w:val="none"/>
        </w:rPr>
        <w:t>29.评标方法和评标标准</w:t>
      </w:r>
    </w:p>
    <w:p w14:paraId="146D0AF4">
      <w:pPr>
        <w:spacing w:line="360" w:lineRule="auto"/>
        <w:ind w:firstLine="420" w:firstLineChars="200"/>
        <w:rPr>
          <w:rFonts w:ascii="宋体" w:cs="宋体"/>
          <w:color w:val="auto"/>
          <w:highlight w:val="none"/>
        </w:rPr>
      </w:pPr>
      <w:r>
        <w:rPr>
          <w:rFonts w:hint="eastAsia" w:ascii="宋体" w:cs="宋体"/>
          <w:color w:val="auto"/>
          <w:highlight w:val="none"/>
        </w:rPr>
        <w:t>29.1本项目的评标方法详见“投标人须知前附表”。</w:t>
      </w:r>
    </w:p>
    <w:p w14:paraId="21802322">
      <w:pPr>
        <w:spacing w:line="360" w:lineRule="auto"/>
        <w:ind w:firstLine="420" w:firstLineChars="200"/>
        <w:rPr>
          <w:rFonts w:ascii="宋体" w:cs="宋体"/>
          <w:color w:val="auto"/>
          <w:highlight w:val="none"/>
        </w:rPr>
      </w:pPr>
      <w:r>
        <w:rPr>
          <w:rFonts w:hint="eastAsia" w:ascii="宋体" w:cs="宋体"/>
          <w:color w:val="auto"/>
          <w:highlight w:val="none"/>
        </w:rPr>
        <w:t>29.2 评标委员会按照</w:t>
      </w:r>
      <w:r>
        <w:rPr>
          <w:rFonts w:hint="eastAsia" w:ascii="宋体" w:cs="宋体"/>
          <w:b/>
          <w:color w:val="auto"/>
          <w:highlight w:val="none"/>
        </w:rPr>
        <w:t>“第四章 评标方法和评标标准”</w:t>
      </w:r>
      <w:r>
        <w:rPr>
          <w:rFonts w:hint="eastAsia" w:ascii="宋体" w:cs="宋体"/>
          <w:color w:val="auto"/>
          <w:highlight w:val="none"/>
        </w:rPr>
        <w:t>规定的方法、评审因素、标准和程序对投标文件进行评审。</w:t>
      </w:r>
    </w:p>
    <w:p w14:paraId="23CA3DDD">
      <w:pPr>
        <w:spacing w:line="360" w:lineRule="auto"/>
        <w:ind w:firstLine="420" w:firstLineChars="200"/>
        <w:rPr>
          <w:rFonts w:ascii="宋体" w:cs="宋体"/>
          <w:color w:val="auto"/>
          <w:highlight w:val="none"/>
        </w:rPr>
      </w:pPr>
      <w:r>
        <w:rPr>
          <w:rFonts w:hint="eastAsia" w:ascii="宋体" w:cs="宋体"/>
          <w:color w:val="auto"/>
          <w:highlight w:val="none"/>
        </w:rPr>
        <w:t>29.3 电子交易活动的中止。采购过程中出现以下情形，导致电子交易平台无法正常运行，或者无法保证电子交易的公平、公正和安全时，采购机构可中止电子交易活动：</w:t>
      </w:r>
    </w:p>
    <w:p w14:paraId="7D75BFD8">
      <w:pPr>
        <w:spacing w:line="360" w:lineRule="auto"/>
        <w:ind w:firstLine="420" w:firstLineChars="200"/>
        <w:rPr>
          <w:rFonts w:ascii="宋体" w:cs="宋体"/>
          <w:color w:val="auto"/>
          <w:highlight w:val="none"/>
        </w:rPr>
      </w:pPr>
      <w:r>
        <w:rPr>
          <w:rFonts w:hint="eastAsia" w:ascii="宋体" w:cs="宋体"/>
          <w:color w:val="auto"/>
          <w:highlight w:val="none"/>
        </w:rPr>
        <w:t xml:space="preserve">（1）电子交易平台发生故障而无法登录访问的； </w:t>
      </w:r>
    </w:p>
    <w:p w14:paraId="118273F2">
      <w:pPr>
        <w:spacing w:line="360" w:lineRule="auto"/>
        <w:ind w:firstLine="420" w:firstLineChars="200"/>
        <w:rPr>
          <w:rFonts w:ascii="宋体" w:cs="宋体"/>
          <w:color w:val="auto"/>
          <w:highlight w:val="none"/>
        </w:rPr>
      </w:pPr>
      <w:r>
        <w:rPr>
          <w:rFonts w:hint="eastAsia" w:ascii="宋体" w:cs="宋体"/>
          <w:color w:val="auto"/>
          <w:highlight w:val="none"/>
        </w:rPr>
        <w:t>（2）电子交易平台应用或数据库出现错误，不能进行正常操作的；</w:t>
      </w:r>
    </w:p>
    <w:p w14:paraId="4167D178">
      <w:pPr>
        <w:spacing w:line="360" w:lineRule="auto"/>
        <w:ind w:firstLine="420" w:firstLineChars="200"/>
        <w:rPr>
          <w:rFonts w:ascii="宋体" w:cs="宋体"/>
          <w:color w:val="auto"/>
          <w:highlight w:val="none"/>
        </w:rPr>
      </w:pPr>
      <w:r>
        <w:rPr>
          <w:rFonts w:hint="eastAsia" w:ascii="宋体" w:cs="宋体"/>
          <w:color w:val="auto"/>
          <w:highlight w:val="none"/>
        </w:rPr>
        <w:t>（3）电子交易平台发现严重安全漏洞，有潜在泄密危险的；</w:t>
      </w:r>
    </w:p>
    <w:p w14:paraId="60A2F3F7">
      <w:pPr>
        <w:spacing w:line="360" w:lineRule="auto"/>
        <w:ind w:firstLine="420" w:firstLineChars="200"/>
        <w:rPr>
          <w:rFonts w:ascii="宋体" w:cs="宋体"/>
          <w:color w:val="auto"/>
          <w:highlight w:val="none"/>
        </w:rPr>
      </w:pPr>
      <w:r>
        <w:rPr>
          <w:rFonts w:hint="eastAsia" w:ascii="宋体" w:cs="宋体"/>
          <w:color w:val="auto"/>
          <w:highlight w:val="none"/>
        </w:rPr>
        <w:t xml:space="preserve">（4）病毒发作导致不能进行正常操作的； </w:t>
      </w:r>
    </w:p>
    <w:p w14:paraId="22633406">
      <w:pPr>
        <w:spacing w:line="360" w:lineRule="auto"/>
        <w:ind w:firstLine="420" w:firstLineChars="200"/>
        <w:rPr>
          <w:rFonts w:ascii="宋体" w:cs="宋体"/>
          <w:color w:val="auto"/>
          <w:highlight w:val="none"/>
        </w:rPr>
      </w:pPr>
      <w:r>
        <w:rPr>
          <w:rFonts w:hint="eastAsia" w:ascii="宋体" w:cs="宋体"/>
          <w:color w:val="auto"/>
          <w:highlight w:val="none"/>
        </w:rPr>
        <w:t>（5）其他无法保证电子交易的公平、公正和安全的情况。</w:t>
      </w:r>
    </w:p>
    <w:p w14:paraId="41F8837E">
      <w:pPr>
        <w:spacing w:line="360" w:lineRule="auto"/>
        <w:ind w:firstLine="420" w:firstLineChars="200"/>
        <w:rPr>
          <w:rFonts w:ascii="宋体" w:cs="宋体"/>
          <w:color w:val="auto"/>
          <w:highlight w:val="none"/>
        </w:rPr>
      </w:pPr>
      <w:r>
        <w:rPr>
          <w:rFonts w:hint="eastAsia" w:ascii="宋体" w:cs="宋体"/>
          <w:color w:val="auto"/>
          <w:highlight w:val="none"/>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33549587">
      <w:pPr>
        <w:pStyle w:val="16"/>
        <w:snapToGrid w:val="0"/>
        <w:spacing w:line="400" w:lineRule="exact"/>
        <w:ind w:left="689" w:leftChars="228" w:hanging="210" w:hangingChars="100"/>
        <w:rPr>
          <w:rFonts w:cs="宋体"/>
          <w:color w:val="auto"/>
          <w:highlight w:val="none"/>
        </w:rPr>
      </w:pPr>
    </w:p>
    <w:p w14:paraId="495212A8">
      <w:pPr>
        <w:pStyle w:val="4"/>
        <w:rPr>
          <w:color w:val="auto"/>
          <w:highlight w:val="none"/>
        </w:rPr>
      </w:pPr>
      <w:bookmarkStart w:id="184" w:name="_Toc254970546"/>
      <w:bookmarkStart w:id="185" w:name="_Toc254970687"/>
      <w:bookmarkStart w:id="186" w:name="_Toc16461"/>
      <w:bookmarkStart w:id="187" w:name="_Toc17138"/>
      <w:bookmarkStart w:id="188" w:name="_Toc20927"/>
      <w:bookmarkStart w:id="189" w:name="_Toc11609"/>
      <w:bookmarkStart w:id="190" w:name="_Toc6053"/>
      <w:r>
        <w:rPr>
          <w:rFonts w:hint="eastAsia"/>
          <w:color w:val="auto"/>
          <w:highlight w:val="none"/>
        </w:rPr>
        <w:t>七、</w:t>
      </w:r>
      <w:bookmarkEnd w:id="184"/>
      <w:bookmarkEnd w:id="185"/>
      <w:r>
        <w:rPr>
          <w:rFonts w:hint="eastAsia"/>
          <w:color w:val="auto"/>
          <w:highlight w:val="none"/>
        </w:rPr>
        <w:t>中标和合同</w:t>
      </w:r>
      <w:bookmarkEnd w:id="186"/>
      <w:bookmarkEnd w:id="187"/>
      <w:bookmarkEnd w:id="188"/>
      <w:bookmarkEnd w:id="189"/>
      <w:bookmarkEnd w:id="190"/>
    </w:p>
    <w:p w14:paraId="39A3ED0B">
      <w:pPr>
        <w:spacing w:line="360" w:lineRule="auto"/>
        <w:ind w:firstLine="480" w:firstLineChars="200"/>
        <w:rPr>
          <w:rFonts w:ascii="宋体" w:cs="宋体"/>
          <w:color w:val="auto"/>
          <w:sz w:val="24"/>
          <w:highlight w:val="none"/>
        </w:rPr>
      </w:pPr>
      <w:r>
        <w:rPr>
          <w:rFonts w:hint="eastAsia" w:ascii="宋体" w:cs="宋体"/>
          <w:color w:val="auto"/>
          <w:sz w:val="24"/>
          <w:highlight w:val="none"/>
        </w:rPr>
        <w:t>30.确定中标人</w:t>
      </w:r>
    </w:p>
    <w:p w14:paraId="5C96E484">
      <w:pPr>
        <w:spacing w:line="360" w:lineRule="auto"/>
        <w:ind w:firstLine="420" w:firstLineChars="200"/>
        <w:rPr>
          <w:rFonts w:ascii="宋体" w:cs="宋体"/>
          <w:b/>
          <w:bCs/>
          <w:color w:val="auto"/>
          <w:szCs w:val="21"/>
          <w:highlight w:val="none"/>
        </w:rPr>
      </w:pPr>
      <w:r>
        <w:rPr>
          <w:rFonts w:hint="eastAsia" w:ascii="宋体" w:cs="宋体"/>
          <w:color w:val="auto"/>
          <w:szCs w:val="21"/>
          <w:highlight w:val="none"/>
        </w:rPr>
        <w:t>30.1</w:t>
      </w:r>
      <w:r>
        <w:rPr>
          <w:rFonts w:hint="eastAsia" w:ascii="宋体" w:cs="宋体"/>
          <w:color w:val="auto"/>
          <w:highlight w:val="none"/>
        </w:rPr>
        <w:t>采购人在收到评标委员会出具的评标报告之日起5个工作日内在评标报告推荐的中标候选人名单中按顺序确定中标人。采购人也可以事先授权评标委员会直接确定中标人。</w:t>
      </w:r>
      <w:r>
        <w:rPr>
          <w:rFonts w:ascii="宋体" w:cs="宋体"/>
          <w:color w:val="auto"/>
          <w:highlight w:val="none"/>
        </w:rPr>
        <w:t>中标候选人并列的，由采购人或者采购人委托评标委员会按照</w:t>
      </w:r>
      <w:r>
        <w:rPr>
          <w:rFonts w:hint="eastAsia"/>
          <w:color w:val="auto"/>
          <w:highlight w:val="none"/>
        </w:rPr>
        <w:t>“投标人须知前附表”</w:t>
      </w:r>
      <w:r>
        <w:rPr>
          <w:rFonts w:ascii="宋体" w:cs="宋体"/>
          <w:color w:val="auto"/>
          <w:highlight w:val="none"/>
        </w:rPr>
        <w:t>规定的方式确定中标人；招标文件未规定的，采取随机抽取的方式确定。</w:t>
      </w:r>
      <w:r>
        <w:rPr>
          <w:rFonts w:hint="eastAsia" w:ascii="宋体" w:cs="宋体"/>
          <w:b/>
          <w:bCs/>
          <w:color w:val="auto"/>
          <w:szCs w:val="21"/>
          <w:highlight w:val="none"/>
        </w:rPr>
        <w:t xml:space="preserve">   </w:t>
      </w:r>
    </w:p>
    <w:p w14:paraId="61274346">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30.2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43FB08E0">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30.3中标人无正当理由拒签合同的，根据《中华人民共和国政府采购法》第七十七条第一款规定处理。</w:t>
      </w:r>
    </w:p>
    <w:p w14:paraId="241BBB1F">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30.4根据《中华人民共和国民法典》</w:t>
      </w:r>
      <w:r>
        <w:rPr>
          <w:rFonts w:hint="eastAsia" w:ascii="宋体" w:cs="宋体"/>
          <w:color w:val="auto"/>
          <w:sz w:val="19"/>
          <w:szCs w:val="19"/>
          <w:highlight w:val="none"/>
        </w:rPr>
        <w:t>第五百六十三条</w:t>
      </w:r>
      <w:r>
        <w:rPr>
          <w:rFonts w:hint="eastAsia" w:ascii="宋体" w:cs="宋体"/>
          <w:color w:val="auto"/>
          <w:szCs w:val="21"/>
          <w:highlight w:val="none"/>
        </w:rPr>
        <w:t>，因不可抗力致使不能实现合同目的的，当事人可以解除合同。</w:t>
      </w:r>
    </w:p>
    <w:p w14:paraId="5407A40D">
      <w:pPr>
        <w:spacing w:line="360" w:lineRule="auto"/>
        <w:ind w:firstLine="480" w:firstLineChars="200"/>
        <w:rPr>
          <w:rFonts w:ascii="宋体" w:cs="宋体"/>
          <w:color w:val="auto"/>
          <w:sz w:val="24"/>
          <w:highlight w:val="none"/>
        </w:rPr>
      </w:pPr>
      <w:r>
        <w:rPr>
          <w:rFonts w:hint="eastAsia" w:ascii="宋体" w:cs="宋体"/>
          <w:color w:val="auto"/>
          <w:sz w:val="24"/>
          <w:highlight w:val="none"/>
        </w:rPr>
        <w:t>31.结果公告</w:t>
      </w:r>
    </w:p>
    <w:p w14:paraId="2ECEF68C">
      <w:pPr>
        <w:spacing w:line="360" w:lineRule="auto"/>
        <w:ind w:firstLine="420" w:firstLineChars="200"/>
        <w:rPr>
          <w:rFonts w:ascii="宋体" w:cs="宋体"/>
          <w:color w:val="auto"/>
          <w:highlight w:val="none"/>
        </w:rPr>
      </w:pPr>
      <w:r>
        <w:rPr>
          <w:rFonts w:hint="eastAsia" w:ascii="宋体" w:cs="宋体"/>
          <w:color w:val="auto"/>
          <w:szCs w:val="21"/>
          <w:highlight w:val="none"/>
        </w:rPr>
        <w:t>31.1</w:t>
      </w:r>
      <w:r>
        <w:rPr>
          <w:rFonts w:hint="eastAsia" w:ascii="宋体" w:cs="宋体"/>
          <w:color w:val="auto"/>
          <w:highlight w:val="none"/>
        </w:rPr>
        <w:t>在中标人确定之日起2个工作日内，由采购代理机构</w:t>
      </w:r>
      <w:r>
        <w:rPr>
          <w:rFonts w:hint="eastAsia" w:ascii="宋体" w:cs="宋体"/>
          <w:b/>
          <w:color w:val="auto"/>
          <w:szCs w:val="21"/>
          <w:highlight w:val="none"/>
        </w:rPr>
        <w:t>在招标公告发布媒体上</w:t>
      </w:r>
      <w:r>
        <w:rPr>
          <w:rFonts w:hint="eastAsia" w:ascii="宋体" w:cs="宋体"/>
          <w:color w:val="auto"/>
          <w:highlight w:val="none"/>
        </w:rPr>
        <w:t>发布中标结果公告，中标结果公告期限为1个工作日，发布中标结果公告的同时向中标人发出中标通知书。</w:t>
      </w:r>
      <w:r>
        <w:rPr>
          <w:rFonts w:hint="eastAsia" w:ascii="宋体" w:cs="宋体"/>
          <w:b/>
          <w:color w:val="auto"/>
          <w:szCs w:val="21"/>
          <w:highlight w:val="none"/>
        </w:rPr>
        <w:t>采购代理机构发出中标通知书前，应当对中标人信用进行核实，对列入失信被执行人、重大税收违法失信主体、政府采购严重违法失信行为记录名单及其他不符合《中华人民共和国政府采购法》第二十二条规定条件的投标人，取消其中标资格，并依法确定排名第二的中标候选人为中标人。</w:t>
      </w:r>
      <w:r>
        <w:rPr>
          <w:rFonts w:hint="eastAsia" w:ascii="宋体" w:cs="宋体"/>
          <w:color w:val="auto"/>
          <w:szCs w:val="21"/>
          <w:highlight w:val="none"/>
        </w:rPr>
        <w:t>排名第二的中标候选人因前款规定的同样原因被取消中标资格的，采购人可以依法确定排名第三的中标候选人为中标人，以此类推。</w:t>
      </w:r>
    </w:p>
    <w:p w14:paraId="1052BB13">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以上信息查询记录及相关证据与采购文件一并保存。</w:t>
      </w:r>
    </w:p>
    <w:p w14:paraId="20DEF103">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31.2中小企业在政府采购活动过程中，请根据企业的真实情况出具《中小企业声明函》。依法享受中小企业扶持政策的，采购人或者采购代理机构在公告中标结果时，同时公告其《中小企业声明函》，接受社会监督。</w:t>
      </w:r>
    </w:p>
    <w:p w14:paraId="13DC1636">
      <w:pPr>
        <w:spacing w:line="360" w:lineRule="auto"/>
        <w:ind w:firstLine="480" w:firstLineChars="200"/>
        <w:rPr>
          <w:rFonts w:ascii="宋体" w:cs="宋体"/>
          <w:color w:val="auto"/>
          <w:sz w:val="24"/>
          <w:highlight w:val="none"/>
        </w:rPr>
      </w:pPr>
      <w:r>
        <w:rPr>
          <w:rFonts w:hint="eastAsia" w:ascii="宋体" w:cs="宋体"/>
          <w:color w:val="auto"/>
          <w:sz w:val="24"/>
          <w:highlight w:val="none"/>
        </w:rPr>
        <w:t>32.发出中标通知书</w:t>
      </w:r>
    </w:p>
    <w:p w14:paraId="56B62B28">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32.1在发布中标公告的同时，采购代理机构向中标人通过广西政府采购云平台发出电子中标通知书。</w:t>
      </w:r>
    </w:p>
    <w:p w14:paraId="6DD7F1E1">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32.2对未通过资格审查的投标人，采购人或采购代理机构应当告知其未通过的原因；采用综合评分办法评审的，采购人或采购机构还应当告知未中标人本人的评审得分与排序。</w:t>
      </w:r>
    </w:p>
    <w:p w14:paraId="045B93CD">
      <w:pPr>
        <w:spacing w:line="360" w:lineRule="auto"/>
        <w:ind w:firstLine="480" w:firstLineChars="200"/>
        <w:rPr>
          <w:rFonts w:ascii="宋体" w:cs="宋体"/>
          <w:color w:val="auto"/>
          <w:sz w:val="24"/>
          <w:highlight w:val="none"/>
        </w:rPr>
      </w:pPr>
      <w:r>
        <w:rPr>
          <w:rFonts w:hint="eastAsia" w:ascii="宋体" w:cs="宋体"/>
          <w:color w:val="auto"/>
          <w:sz w:val="24"/>
          <w:highlight w:val="none"/>
        </w:rPr>
        <w:t>33.无义务解释未中标原因</w:t>
      </w:r>
    </w:p>
    <w:p w14:paraId="0E1F949C">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采购代理机构无义务向未中标的投标人解释未中标原因和退还投标文件。</w:t>
      </w:r>
    </w:p>
    <w:p w14:paraId="233001B9">
      <w:pPr>
        <w:spacing w:line="360" w:lineRule="auto"/>
        <w:ind w:firstLine="480" w:firstLineChars="200"/>
        <w:rPr>
          <w:rFonts w:ascii="宋体" w:cs="宋体"/>
          <w:color w:val="auto"/>
          <w:sz w:val="24"/>
          <w:highlight w:val="none"/>
        </w:rPr>
      </w:pPr>
      <w:r>
        <w:rPr>
          <w:rFonts w:hint="eastAsia" w:ascii="宋体" w:cs="宋体"/>
          <w:color w:val="auto"/>
          <w:sz w:val="24"/>
          <w:highlight w:val="none"/>
        </w:rPr>
        <w:t>34.合同授予标准</w:t>
      </w:r>
    </w:p>
    <w:p w14:paraId="31693123">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合同将授予被确定实质上响应招标文件要求，具备履行合同能力的中标人（招标文件另有约定多名中标人的除外）。</w:t>
      </w:r>
    </w:p>
    <w:p w14:paraId="10B7F3C3">
      <w:pPr>
        <w:spacing w:line="360" w:lineRule="auto"/>
        <w:ind w:firstLine="480" w:firstLineChars="200"/>
        <w:rPr>
          <w:rFonts w:ascii="宋体" w:cs="宋体"/>
          <w:color w:val="auto"/>
          <w:sz w:val="24"/>
          <w:highlight w:val="none"/>
        </w:rPr>
      </w:pPr>
      <w:r>
        <w:rPr>
          <w:rFonts w:hint="eastAsia" w:ascii="宋体" w:cs="宋体"/>
          <w:color w:val="auto"/>
          <w:sz w:val="24"/>
          <w:highlight w:val="none"/>
        </w:rPr>
        <w:t>35.履约保证金</w:t>
      </w:r>
    </w:p>
    <w:p w14:paraId="68C31367">
      <w:pPr>
        <w:keepNext w:val="0"/>
        <w:keepLines w:val="0"/>
        <w:spacing w:before="0" w:after="0" w:line="360" w:lineRule="auto"/>
        <w:ind w:firstLine="315" w:firstLineChars="150"/>
        <w:outlineLvl w:val="9"/>
        <w:rPr>
          <w:rFonts w:ascii="宋体" w:cs="宋体"/>
          <w:b w:val="0"/>
          <w:color w:val="auto"/>
          <w:sz w:val="21"/>
          <w:szCs w:val="21"/>
          <w:highlight w:val="none"/>
        </w:rPr>
      </w:pPr>
      <w:bookmarkStart w:id="191" w:name="_39.1中标人须于签订合同前按本须知前附表规定的金额转账或电汇到指定账"/>
      <w:bookmarkEnd w:id="191"/>
      <w:r>
        <w:rPr>
          <w:rFonts w:hint="eastAsia" w:ascii="宋体" w:cs="宋体"/>
          <w:b w:val="0"/>
          <w:color w:val="auto"/>
          <w:sz w:val="21"/>
          <w:szCs w:val="21"/>
          <w:highlight w:val="none"/>
        </w:rPr>
        <w:t xml:space="preserve"> 35.1 履约保证金的金额、提交方式、退付的时间和条件详见 “投标人须知前附表”。中标人未按规定提交履约保证金的，视为拒绝与采购人签订合同，采购人可以按照评标报告推荐的中标候选人名单排序，依法确定下一候选人为中标人，也可以重新开展政府采购活动。</w:t>
      </w:r>
    </w:p>
    <w:p w14:paraId="59F5C966">
      <w:pPr>
        <w:keepNext w:val="0"/>
        <w:keepLines w:val="0"/>
        <w:spacing w:before="0" w:after="0" w:line="360" w:lineRule="auto"/>
        <w:ind w:firstLine="315" w:firstLineChars="150"/>
        <w:outlineLvl w:val="9"/>
        <w:rPr>
          <w:rFonts w:ascii="宋体" w:cs="宋体"/>
          <w:b w:val="0"/>
          <w:color w:val="auto"/>
          <w:sz w:val="21"/>
          <w:szCs w:val="21"/>
          <w:highlight w:val="none"/>
        </w:rPr>
      </w:pPr>
      <w:r>
        <w:rPr>
          <w:rFonts w:hint="eastAsia" w:ascii="宋体" w:cs="宋体"/>
          <w:b w:val="0"/>
          <w:color w:val="auto"/>
          <w:sz w:val="21"/>
          <w:szCs w:val="21"/>
          <w:highlight w:val="none"/>
        </w:rPr>
        <w:t xml:space="preserve"> 35.2签订合同后，如中标人不按双方签订的合同规定履约，则没收其全部履约保证金，履约保证金不足以赔偿损失的，按实际损失赔偿。</w:t>
      </w:r>
    </w:p>
    <w:p w14:paraId="61A21226">
      <w:pPr>
        <w:keepNext w:val="0"/>
        <w:keepLines w:val="0"/>
        <w:spacing w:before="0" w:after="0" w:line="360" w:lineRule="auto"/>
        <w:ind w:firstLine="420" w:firstLineChars="200"/>
        <w:outlineLvl w:val="9"/>
        <w:rPr>
          <w:rFonts w:ascii="宋体" w:cs="宋体"/>
          <w:b w:val="0"/>
          <w:color w:val="auto"/>
          <w:sz w:val="21"/>
          <w:szCs w:val="21"/>
          <w:highlight w:val="none"/>
        </w:rPr>
      </w:pPr>
      <w:r>
        <w:rPr>
          <w:rFonts w:hint="eastAsia" w:ascii="宋体" w:cs="宋体"/>
          <w:b w:val="0"/>
          <w:color w:val="auto"/>
          <w:sz w:val="21"/>
          <w:szCs w:val="21"/>
          <w:highlight w:val="none"/>
        </w:rPr>
        <w:t>35.3在履约保证金退还日期前，若中标人的开户名称、开户银行、账号有变动的，请以书面形式通知履约保证金收取单位，否则由此产生的后果由中标人自行承担。</w:t>
      </w:r>
    </w:p>
    <w:p w14:paraId="7261E6F8">
      <w:pPr>
        <w:spacing w:line="360" w:lineRule="auto"/>
        <w:ind w:firstLine="480" w:firstLineChars="200"/>
        <w:rPr>
          <w:rFonts w:ascii="宋体" w:cs="宋体"/>
          <w:color w:val="auto"/>
          <w:sz w:val="24"/>
          <w:highlight w:val="none"/>
        </w:rPr>
      </w:pPr>
      <w:r>
        <w:rPr>
          <w:rFonts w:hint="eastAsia" w:ascii="宋体" w:cs="宋体"/>
          <w:color w:val="auto"/>
          <w:sz w:val="24"/>
          <w:highlight w:val="none"/>
        </w:rPr>
        <w:t>36.签订合同</w:t>
      </w:r>
    </w:p>
    <w:p w14:paraId="7A87488E">
      <w:pPr>
        <w:spacing w:line="360" w:lineRule="auto"/>
        <w:ind w:firstLine="420" w:firstLineChars="200"/>
        <w:rPr>
          <w:b/>
          <w:bCs/>
          <w:i/>
          <w:iCs/>
          <w:color w:val="auto"/>
          <w:szCs w:val="21"/>
          <w:highlight w:val="none"/>
        </w:rPr>
      </w:pPr>
      <w:bookmarkStart w:id="192" w:name="_40.1投标人接到中标通知书后，按须知前附表规定向采购人出示相关资格证"/>
      <w:bookmarkEnd w:id="192"/>
      <w:r>
        <w:rPr>
          <w:rFonts w:hint="eastAsia" w:ascii="宋体" w:cs="宋体"/>
          <w:color w:val="auto"/>
          <w:szCs w:val="21"/>
          <w:highlight w:val="none"/>
        </w:rPr>
        <w:t xml:space="preserve"> </w:t>
      </w:r>
      <w:r>
        <w:rPr>
          <w:rFonts w:hint="eastAsia" w:ascii="宋体" w:cs="宋体"/>
          <w:b/>
          <w:bCs/>
          <w:color w:val="auto"/>
          <w:szCs w:val="21"/>
          <w:highlight w:val="none"/>
        </w:rPr>
        <w:t>36.1中标人在中标通知书发出之日起，</w:t>
      </w:r>
      <w:r>
        <w:rPr>
          <w:rFonts w:hint="eastAsia" w:ascii="宋体" w:cs="宋体"/>
          <w:color w:val="auto"/>
          <w:szCs w:val="21"/>
          <w:highlight w:val="none"/>
        </w:rPr>
        <w:t>按规定的日期、时间、地点，由法定代表人或其授权代表与采购人代表签订采购合同。如中标人为联合体的，由联合体成员各方法定代表人或其授权代表与采购人代表签订合同，签订携带资料详见“投标人须知前附表”。</w:t>
      </w:r>
    </w:p>
    <w:p w14:paraId="1A860C71">
      <w:pPr>
        <w:spacing w:line="360" w:lineRule="auto"/>
        <w:ind w:firstLine="420" w:firstLineChars="200"/>
        <w:rPr>
          <w:rFonts w:ascii="宋体"/>
          <w:color w:val="auto"/>
          <w:szCs w:val="21"/>
          <w:highlight w:val="none"/>
          <w:lang w:val="zh-CN"/>
        </w:rPr>
      </w:pPr>
      <w:r>
        <w:rPr>
          <w:rFonts w:hint="eastAsia" w:ascii="宋体"/>
          <w:color w:val="auto"/>
          <w:szCs w:val="21"/>
          <w:highlight w:val="none"/>
          <w:lang w:val="zh-CN"/>
        </w:rPr>
        <w:t>36.2采购合同由采购人与中标人根据招标文件、投标文件等内容签订。</w:t>
      </w:r>
    </w:p>
    <w:p w14:paraId="36FA1E98">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36.3签订合同时间：按中标通知书规定的时间与采购人签订合同。</w:t>
      </w:r>
    </w:p>
    <w:p w14:paraId="2C9CC0F4">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36.4中标人拒绝与采购人签订合同的，采购人可以按照评审报告推荐的中标候选人名单排序，依法确定下一候选人为中标人，也可以重新开展政府采购活动。如采购人无正当理由拒签合同的，给中标人造成损失的，中标人可追究采购人承担相应的法律责任。</w:t>
      </w:r>
    </w:p>
    <w:p w14:paraId="2836B005">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36.5政府采购合同是政府采购项目验收的依据，中标人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3378D77B">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36.6采购人或中标人不得单方面向合同另一方提出任何招标文件没有约定的条件或不合理的要求，作为签订合同的条件；也不得协商另行订立背离招标文件和合同实质性内容的协议。</w:t>
      </w:r>
    </w:p>
    <w:p w14:paraId="5FD092DC">
      <w:pPr>
        <w:spacing w:line="360" w:lineRule="auto"/>
        <w:ind w:firstLine="420" w:firstLineChars="200"/>
        <w:rPr>
          <w:rFonts w:ascii="宋体" w:cs="宋体"/>
          <w:b/>
          <w:color w:val="auto"/>
          <w:szCs w:val="21"/>
          <w:highlight w:val="none"/>
        </w:rPr>
      </w:pPr>
      <w:r>
        <w:rPr>
          <w:rFonts w:hint="eastAsia" w:ascii="宋体" w:cs="宋体"/>
          <w:color w:val="auto"/>
          <w:szCs w:val="21"/>
          <w:highlight w:val="none"/>
        </w:rPr>
        <w:t>36.7如签订合同并生效后，中标人无故拒绝或延期，除按照合同条款处理外，将承担相应的法律责任。</w:t>
      </w:r>
    </w:p>
    <w:p w14:paraId="4BE38AAD">
      <w:pPr>
        <w:spacing w:line="360" w:lineRule="auto"/>
        <w:ind w:firstLine="480" w:firstLineChars="200"/>
        <w:rPr>
          <w:rFonts w:ascii="宋体" w:cs="宋体"/>
          <w:color w:val="auto"/>
          <w:sz w:val="24"/>
          <w:highlight w:val="none"/>
        </w:rPr>
      </w:pPr>
      <w:bookmarkStart w:id="193" w:name="_41.政府采购合同公告"/>
      <w:bookmarkEnd w:id="193"/>
      <w:r>
        <w:rPr>
          <w:rFonts w:hint="eastAsia" w:ascii="宋体" w:cs="宋体"/>
          <w:color w:val="auto"/>
          <w:sz w:val="24"/>
          <w:highlight w:val="none"/>
        </w:rPr>
        <w:t>37.政府采购合同公告</w:t>
      </w:r>
    </w:p>
    <w:p w14:paraId="77351B70">
      <w:pPr>
        <w:spacing w:line="360" w:lineRule="auto"/>
        <w:ind w:firstLine="420" w:firstLineChars="200"/>
        <w:rPr>
          <w:rFonts w:ascii="宋体" w:cs="宋体"/>
          <w:color w:val="auto"/>
          <w:highlight w:val="none"/>
        </w:rPr>
      </w:pPr>
      <w:r>
        <w:rPr>
          <w:rFonts w:hint="eastAsia" w:cs="宋体"/>
          <w:color w:val="auto"/>
          <w:highlight w:val="none"/>
        </w:rPr>
        <w:t>采购人应当自政府采购合同签订之日起2个工作日内，将政府采购合同</w:t>
      </w:r>
      <w:r>
        <w:rPr>
          <w:rFonts w:hint="eastAsia" w:ascii="宋体" w:cs="宋体"/>
          <w:bCs/>
          <w:color w:val="auto"/>
          <w:highlight w:val="none"/>
        </w:rPr>
        <w:t>在</w:t>
      </w:r>
      <w:r>
        <w:rPr>
          <w:rFonts w:hint="eastAsia"/>
          <w:color w:val="auto"/>
          <w:highlight w:val="none"/>
        </w:rPr>
        <w:t>省级以上人民政府财政部门指定的</w:t>
      </w:r>
      <w:r>
        <w:rPr>
          <w:rFonts w:hint="eastAsia" w:ascii="宋体" w:cs="宋体"/>
          <w:bCs/>
          <w:color w:val="auto"/>
          <w:highlight w:val="none"/>
        </w:rPr>
        <w:t>媒体上</w:t>
      </w:r>
      <w:r>
        <w:rPr>
          <w:rFonts w:hint="eastAsia" w:cs="宋体"/>
          <w:color w:val="auto"/>
          <w:highlight w:val="none"/>
        </w:rPr>
        <w:t>公告，</w:t>
      </w:r>
      <w:r>
        <w:rPr>
          <w:rFonts w:cs="宋体"/>
          <w:color w:val="auto"/>
          <w:highlight w:val="none"/>
        </w:rPr>
        <w:t>但政府采购合同中涉及国家秘密、商业秘密的内容除外。</w:t>
      </w:r>
    </w:p>
    <w:p w14:paraId="7514E729">
      <w:pPr>
        <w:spacing w:line="360" w:lineRule="auto"/>
        <w:ind w:firstLine="480" w:firstLineChars="200"/>
        <w:rPr>
          <w:rFonts w:ascii="宋体" w:cs="宋体"/>
          <w:color w:val="auto"/>
          <w:sz w:val="24"/>
          <w:highlight w:val="none"/>
        </w:rPr>
      </w:pPr>
      <w:r>
        <w:rPr>
          <w:rFonts w:hint="eastAsia" w:ascii="宋体" w:cs="宋体"/>
          <w:color w:val="auto"/>
          <w:sz w:val="24"/>
          <w:highlight w:val="none"/>
        </w:rPr>
        <w:t>38.询问、质疑和投诉</w:t>
      </w:r>
    </w:p>
    <w:p w14:paraId="429230A4">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38.1询问</w:t>
      </w:r>
    </w:p>
    <w:p w14:paraId="7EFA9DC8">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38.1.1供应商在开标前对政府采购活动事项有疑问的，可以向采购人或采购代理机构项目负责人提出询问。</w:t>
      </w:r>
    </w:p>
    <w:p w14:paraId="4BA643C1">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38.1.2采购人或采购人委托的采购代理机构自受理询问之日起3个工作日内对供应商依法提出的询问作出答复，</w:t>
      </w:r>
      <w:r>
        <w:rPr>
          <w:rFonts w:hint="eastAsia" w:ascii="宋体" w:cs="宋体"/>
          <w:color w:val="auto"/>
          <w:highlight w:val="none"/>
        </w:rPr>
        <w:t>但答复内容不得涉及商业秘密</w:t>
      </w:r>
      <w:r>
        <w:rPr>
          <w:rFonts w:hint="eastAsia" w:ascii="宋体" w:cs="宋体"/>
          <w:bCs/>
          <w:color w:val="auto"/>
          <w:szCs w:val="21"/>
          <w:highlight w:val="none"/>
        </w:rPr>
        <w:t>。</w:t>
      </w:r>
    </w:p>
    <w:p w14:paraId="289DE094">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38.1.3 询问事项可能影响中标结果的，采购人应当暂停签订合同，已经签订合同的，应当中止履行合同。</w:t>
      </w:r>
    </w:p>
    <w:p w14:paraId="04EC44B4">
      <w:pPr>
        <w:spacing w:line="360" w:lineRule="auto"/>
        <w:ind w:firstLine="422" w:firstLineChars="200"/>
        <w:rPr>
          <w:rFonts w:ascii="宋体" w:cs="宋体"/>
          <w:b/>
          <w:bCs/>
          <w:color w:val="auto"/>
          <w:szCs w:val="21"/>
          <w:highlight w:val="none"/>
        </w:rPr>
      </w:pPr>
      <w:r>
        <w:rPr>
          <w:rFonts w:hint="eastAsia" w:ascii="宋体" w:cs="宋体"/>
          <w:b/>
          <w:bCs/>
          <w:color w:val="auto"/>
          <w:szCs w:val="21"/>
          <w:highlight w:val="none"/>
        </w:rPr>
        <w:t>38.2质疑</w:t>
      </w:r>
    </w:p>
    <w:p w14:paraId="343F49ED">
      <w:pPr>
        <w:spacing w:line="360" w:lineRule="auto"/>
        <w:ind w:firstLine="420" w:firstLineChars="200"/>
        <w:rPr>
          <w:rFonts w:ascii="宋体" w:cs="宋体"/>
          <w:b/>
          <w:color w:val="auto"/>
          <w:szCs w:val="21"/>
          <w:highlight w:val="none"/>
        </w:rPr>
      </w:pPr>
      <w:r>
        <w:rPr>
          <w:rFonts w:hint="eastAsia" w:ascii="宋体" w:cs="宋体"/>
          <w:bCs/>
          <w:color w:val="auto"/>
          <w:szCs w:val="21"/>
          <w:highlight w:val="none"/>
        </w:rPr>
        <w:t>38.2.1</w:t>
      </w:r>
      <w:r>
        <w:rPr>
          <w:rFonts w:hint="eastAsia" w:ascii="宋体" w:cs="宋体"/>
          <w:b/>
          <w:color w:val="auto"/>
          <w:szCs w:val="21"/>
          <w:highlight w:val="none"/>
        </w:rPr>
        <w:t xml:space="preserve">供应商认为招标文件、采购过程或者中标结果使自己的合法权益受到损害的，必须在知道或者应知其权益受到损害之日起7个工作日内，以书面形式向采购人或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4D605328">
      <w:pPr>
        <w:numPr>
          <w:ilvl w:val="0"/>
          <w:numId w:val="2"/>
        </w:numPr>
        <w:spacing w:line="360" w:lineRule="auto"/>
        <w:ind w:left="0" w:firstLine="420" w:firstLineChars="200"/>
        <w:rPr>
          <w:rFonts w:hint="eastAsia" w:ascii="宋体" w:cs="宋体"/>
          <w:bCs/>
          <w:color w:val="auto"/>
          <w:highlight w:val="none"/>
        </w:rPr>
      </w:pPr>
      <w:r>
        <w:rPr>
          <w:rFonts w:hint="eastAsia" w:ascii="宋体" w:cs="宋体"/>
          <w:bCs/>
          <w:color w:val="auto"/>
          <w:highlight w:val="none"/>
        </w:rPr>
        <w:t>潜在供应商依法获取招标文件后，认为采购文件使自己的权益受到损害的，应当在招标文件公告期限届满之日起7个工作日内提出质疑。</w:t>
      </w:r>
    </w:p>
    <w:p w14:paraId="4FF7A0E9">
      <w:pPr>
        <w:spacing w:line="360" w:lineRule="auto"/>
        <w:ind w:firstLine="420" w:firstLineChars="200"/>
        <w:rPr>
          <w:rFonts w:ascii="宋体" w:cs="宋体"/>
          <w:bCs/>
          <w:color w:val="auto"/>
          <w:highlight w:val="none"/>
        </w:rPr>
      </w:pPr>
      <w:r>
        <w:rPr>
          <w:rFonts w:hint="eastAsia" w:ascii="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采购代理机构提出，由采购人或采购代理机构受理并负责答复；对采购过程中采购执行程序的质疑由采购代理机构受理并负责答复。</w:t>
      </w:r>
    </w:p>
    <w:p w14:paraId="37A54A15">
      <w:pPr>
        <w:spacing w:line="360" w:lineRule="auto"/>
        <w:ind w:firstLine="420" w:firstLineChars="200"/>
        <w:rPr>
          <w:rFonts w:ascii="宋体" w:cs="宋体"/>
          <w:bCs/>
          <w:color w:val="auto"/>
          <w:highlight w:val="none"/>
        </w:rPr>
      </w:pPr>
      <w:r>
        <w:rPr>
          <w:rFonts w:hint="eastAsia" w:ascii="宋体" w:cs="宋体"/>
          <w:bCs/>
          <w:color w:val="auto"/>
          <w:highlight w:val="none"/>
        </w:rPr>
        <w:t>（3）供应商认为中标或者成交结果使自己的权益受到损害的，应当在中标或者成交结果公告期限届满之日起7个工作日内提出质疑，由采购人受理并负责答复。</w:t>
      </w:r>
    </w:p>
    <w:p w14:paraId="08E33F96">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38.2.2供应商质疑实行实名制，其质疑应当有具体的质疑事项及事实根据，质疑应当坚持依法依规、诚实信用原则，不得进行虚假、恶意质疑。</w:t>
      </w:r>
    </w:p>
    <w:p w14:paraId="65C9CD21">
      <w:pPr>
        <w:spacing w:line="360" w:lineRule="auto"/>
        <w:ind w:firstLine="420" w:firstLineChars="200"/>
        <w:rPr>
          <w:rFonts w:ascii="宋体" w:cs="宋体"/>
          <w:bCs/>
          <w:color w:val="auto"/>
          <w:highlight w:val="none"/>
        </w:rPr>
      </w:pPr>
      <w:r>
        <w:rPr>
          <w:rFonts w:hint="eastAsia" w:ascii="宋体" w:cs="宋体"/>
          <w:bCs/>
          <w:color w:val="auto"/>
          <w:szCs w:val="21"/>
          <w:highlight w:val="none"/>
        </w:rPr>
        <w:t>38.2.3</w:t>
      </w:r>
      <w:r>
        <w:rPr>
          <w:rFonts w:hint="eastAsia" w:ascii="宋体" w:cs="宋体"/>
          <w:bCs/>
          <w:color w:val="auto"/>
          <w:highlight w:val="none"/>
        </w:rPr>
        <w:t xml:space="preserve"> 质疑供应商可以委托代理人办理质疑事务。委托代理人应熟悉相关业务情况。代理人办理质疑事务时，除提交质疑书外，还应当提交质疑供应商的授权委托书和委托代理人身份证明复印件</w:t>
      </w:r>
      <w:r>
        <w:rPr>
          <w:rFonts w:hint="eastAsia" w:ascii="宋体" w:cs="宋体"/>
          <w:color w:val="auto"/>
          <w:highlight w:val="none"/>
        </w:rPr>
        <w:t>。</w:t>
      </w:r>
    </w:p>
    <w:p w14:paraId="3E849A59">
      <w:pPr>
        <w:spacing w:line="360" w:lineRule="auto"/>
        <w:ind w:firstLine="422" w:firstLineChars="200"/>
        <w:rPr>
          <w:rFonts w:ascii="宋体" w:cs="宋体"/>
          <w:b/>
          <w:bCs/>
          <w:color w:val="auto"/>
          <w:highlight w:val="none"/>
        </w:rPr>
      </w:pPr>
      <w:r>
        <w:rPr>
          <w:rFonts w:hint="eastAsia" w:ascii="宋体" w:cs="宋体"/>
          <w:b/>
          <w:bCs/>
          <w:color w:val="auto"/>
          <w:highlight w:val="none"/>
        </w:rPr>
        <w:t>38.2.4 质疑供应商提起质疑应当符合下列条件：</w:t>
      </w:r>
    </w:p>
    <w:p w14:paraId="4E200B45">
      <w:pPr>
        <w:spacing w:line="360" w:lineRule="auto"/>
        <w:ind w:firstLine="420" w:firstLineChars="200"/>
        <w:rPr>
          <w:rFonts w:ascii="宋体" w:cs="宋体"/>
          <w:bCs/>
          <w:color w:val="auto"/>
          <w:highlight w:val="none"/>
        </w:rPr>
      </w:pPr>
      <w:r>
        <w:rPr>
          <w:rFonts w:hint="eastAsia" w:ascii="宋体" w:cs="宋体"/>
          <w:bCs/>
          <w:color w:val="auto"/>
          <w:highlight w:val="none"/>
        </w:rPr>
        <w:t>（1）质疑供应商是参与所质疑</w:t>
      </w:r>
      <w:r>
        <w:rPr>
          <w:rFonts w:hint="eastAsia" w:ascii="宋体" w:cs="宋体"/>
          <w:bCs/>
          <w:color w:val="auto"/>
          <w:szCs w:val="21"/>
          <w:highlight w:val="none"/>
        </w:rPr>
        <w:t>项目</w:t>
      </w:r>
      <w:r>
        <w:rPr>
          <w:rFonts w:hint="eastAsia" w:ascii="宋体" w:cs="宋体"/>
          <w:bCs/>
          <w:color w:val="auto"/>
          <w:highlight w:val="none"/>
        </w:rPr>
        <w:t>采购活动的供应商（潜在供应商已依法获取可质疑的采购文件的，可以对该采购文件质疑）；</w:t>
      </w:r>
    </w:p>
    <w:p w14:paraId="207A9F97">
      <w:pPr>
        <w:spacing w:line="360" w:lineRule="auto"/>
        <w:ind w:firstLine="420" w:firstLineChars="200"/>
        <w:rPr>
          <w:rFonts w:ascii="宋体" w:cs="宋体"/>
          <w:bCs/>
          <w:color w:val="auto"/>
          <w:highlight w:val="none"/>
        </w:rPr>
      </w:pPr>
      <w:r>
        <w:rPr>
          <w:rFonts w:hint="eastAsia" w:ascii="宋体" w:cs="宋体"/>
          <w:bCs/>
          <w:color w:val="auto"/>
          <w:highlight w:val="none"/>
        </w:rPr>
        <w:t>（2）质疑函内容符合本章第38.2.5项的规定；</w:t>
      </w:r>
    </w:p>
    <w:p w14:paraId="0413CBB6">
      <w:pPr>
        <w:spacing w:line="360" w:lineRule="auto"/>
        <w:ind w:firstLine="420" w:firstLineChars="200"/>
        <w:rPr>
          <w:rFonts w:ascii="宋体" w:cs="宋体"/>
          <w:bCs/>
          <w:color w:val="auto"/>
          <w:highlight w:val="none"/>
        </w:rPr>
      </w:pPr>
      <w:r>
        <w:rPr>
          <w:rFonts w:hint="eastAsia" w:ascii="宋体" w:cs="宋体"/>
          <w:bCs/>
          <w:color w:val="auto"/>
          <w:highlight w:val="none"/>
        </w:rPr>
        <w:t>（3）在质疑有效期限内提起质疑；</w:t>
      </w:r>
    </w:p>
    <w:p w14:paraId="1D9A1406">
      <w:pPr>
        <w:spacing w:line="360" w:lineRule="auto"/>
        <w:ind w:firstLine="420" w:firstLineChars="200"/>
        <w:rPr>
          <w:rFonts w:ascii="宋体" w:cs="宋体"/>
          <w:bCs/>
          <w:color w:val="auto"/>
          <w:highlight w:val="none"/>
        </w:rPr>
      </w:pPr>
      <w:r>
        <w:rPr>
          <w:rFonts w:hint="eastAsia" w:ascii="宋体" w:cs="宋体"/>
          <w:bCs/>
          <w:color w:val="auto"/>
          <w:highlight w:val="none"/>
        </w:rPr>
        <w:t xml:space="preserve">（4）属于所质疑的采购人或采购人委托的采购代理机构组织的采购活动； </w:t>
      </w:r>
    </w:p>
    <w:p w14:paraId="730738D4">
      <w:pPr>
        <w:spacing w:line="360" w:lineRule="auto"/>
        <w:ind w:firstLine="420" w:firstLineChars="200"/>
        <w:rPr>
          <w:rFonts w:ascii="宋体" w:cs="宋体"/>
          <w:bCs/>
          <w:color w:val="auto"/>
          <w:highlight w:val="none"/>
        </w:rPr>
      </w:pPr>
      <w:r>
        <w:rPr>
          <w:rFonts w:hint="eastAsia" w:ascii="宋体" w:cs="宋体"/>
          <w:bCs/>
          <w:color w:val="auto"/>
          <w:highlight w:val="none"/>
        </w:rPr>
        <w:t>（5）供应商对同一采购程序环节的质疑应当在质疑有效期内一次性提出；</w:t>
      </w:r>
    </w:p>
    <w:p w14:paraId="2BA9A43C">
      <w:pPr>
        <w:spacing w:line="360" w:lineRule="auto"/>
        <w:ind w:firstLine="420" w:firstLineChars="200"/>
        <w:rPr>
          <w:rFonts w:ascii="宋体" w:cs="宋体"/>
          <w:bCs/>
          <w:color w:val="auto"/>
          <w:highlight w:val="none"/>
        </w:rPr>
      </w:pPr>
      <w:r>
        <w:rPr>
          <w:rFonts w:hint="eastAsia" w:ascii="宋体" w:cs="宋体"/>
          <w:bCs/>
          <w:color w:val="auto"/>
          <w:highlight w:val="none"/>
        </w:rPr>
        <w:t>（6）供应商提交质疑应当提交必要的证明材料，证明材料应以合法手段取得；</w:t>
      </w:r>
    </w:p>
    <w:p w14:paraId="7EB221E1">
      <w:pPr>
        <w:spacing w:line="360" w:lineRule="auto"/>
        <w:ind w:firstLine="420" w:firstLineChars="200"/>
        <w:rPr>
          <w:rFonts w:ascii="宋体" w:cs="宋体"/>
          <w:color w:val="auto"/>
          <w:highlight w:val="none"/>
        </w:rPr>
      </w:pPr>
      <w:r>
        <w:rPr>
          <w:rFonts w:hint="eastAsia" w:ascii="宋体" w:cs="宋体"/>
          <w:bCs/>
          <w:color w:val="auto"/>
          <w:highlight w:val="none"/>
        </w:rPr>
        <w:t>（7）财政部门规定的其他条件。</w:t>
      </w:r>
    </w:p>
    <w:p w14:paraId="7C78AE00">
      <w:pPr>
        <w:spacing w:line="360" w:lineRule="auto"/>
        <w:ind w:firstLine="422" w:firstLineChars="200"/>
        <w:rPr>
          <w:rFonts w:ascii="宋体" w:cs="宋体"/>
          <w:b/>
          <w:color w:val="auto"/>
          <w:szCs w:val="21"/>
          <w:highlight w:val="none"/>
        </w:rPr>
      </w:pPr>
      <w:bookmarkStart w:id="194" w:name="_9.2质疑、投诉应当采用书面形式，质疑函、投诉书均应明确阐述招标文件、"/>
      <w:bookmarkEnd w:id="194"/>
      <w:r>
        <w:rPr>
          <w:rFonts w:hint="eastAsia" w:ascii="宋体" w:cs="宋体"/>
          <w:b/>
          <w:bCs/>
          <w:color w:val="auto"/>
          <w:szCs w:val="21"/>
          <w:highlight w:val="none"/>
        </w:rPr>
        <w:t xml:space="preserve"> 38.2.5 </w:t>
      </w:r>
      <w:r>
        <w:rPr>
          <w:rFonts w:hint="eastAsia" w:ascii="宋体" w:cs="宋体"/>
          <w:b/>
          <w:color w:val="auto"/>
          <w:highlight w:val="none"/>
        </w:rPr>
        <w:t>供应商提出质疑应当提交质疑函和必要的证明材料，针对同一采购程序环节的质疑必须在法定质疑期内一次性提出。质疑函应当包括下列内容（质疑函格式后附）</w:t>
      </w:r>
      <w:r>
        <w:rPr>
          <w:rFonts w:hint="eastAsia" w:ascii="宋体" w:cs="宋体"/>
          <w:bCs/>
          <w:color w:val="auto"/>
          <w:highlight w:val="none"/>
        </w:rPr>
        <w:t>：</w:t>
      </w:r>
    </w:p>
    <w:p w14:paraId="39D480AE">
      <w:pPr>
        <w:spacing w:line="360" w:lineRule="auto"/>
        <w:ind w:firstLine="420" w:firstLineChars="200"/>
        <w:rPr>
          <w:rFonts w:ascii="宋体" w:cs="宋体"/>
          <w:bCs/>
          <w:color w:val="auto"/>
          <w:highlight w:val="none"/>
        </w:rPr>
      </w:pPr>
      <w:r>
        <w:rPr>
          <w:rFonts w:hint="eastAsia" w:ascii="宋体" w:cs="宋体"/>
          <w:bCs/>
          <w:color w:val="auto"/>
          <w:highlight w:val="none"/>
        </w:rPr>
        <w:t>（1）供应商的姓名或者名称、地址、邮编、联系人及联系电话；</w:t>
      </w:r>
    </w:p>
    <w:p w14:paraId="684B090D">
      <w:pPr>
        <w:spacing w:line="360" w:lineRule="auto"/>
        <w:ind w:firstLine="420" w:firstLineChars="200"/>
        <w:rPr>
          <w:rFonts w:ascii="宋体" w:cs="宋体"/>
          <w:bCs/>
          <w:color w:val="auto"/>
          <w:highlight w:val="none"/>
        </w:rPr>
      </w:pPr>
      <w:r>
        <w:rPr>
          <w:rFonts w:hint="eastAsia" w:ascii="宋体" w:cs="宋体"/>
          <w:bCs/>
          <w:color w:val="auto"/>
          <w:highlight w:val="none"/>
        </w:rPr>
        <w:t>（2）质疑项目的名称、编号；</w:t>
      </w:r>
    </w:p>
    <w:p w14:paraId="07ED3755">
      <w:pPr>
        <w:spacing w:line="360" w:lineRule="auto"/>
        <w:ind w:firstLine="420" w:firstLineChars="200"/>
        <w:rPr>
          <w:rFonts w:ascii="宋体" w:cs="宋体"/>
          <w:bCs/>
          <w:color w:val="auto"/>
          <w:highlight w:val="none"/>
        </w:rPr>
      </w:pPr>
      <w:r>
        <w:rPr>
          <w:rFonts w:hint="eastAsia" w:ascii="宋体" w:cs="宋体"/>
          <w:bCs/>
          <w:color w:val="auto"/>
          <w:highlight w:val="none"/>
        </w:rPr>
        <w:t>（3）具体、明确的质疑事项和与质疑事项相关的请求；</w:t>
      </w:r>
    </w:p>
    <w:p w14:paraId="25BAA70F">
      <w:pPr>
        <w:spacing w:line="360" w:lineRule="auto"/>
        <w:ind w:firstLine="420" w:firstLineChars="200"/>
        <w:rPr>
          <w:rFonts w:ascii="宋体" w:cs="宋体"/>
          <w:bCs/>
          <w:color w:val="auto"/>
          <w:highlight w:val="none"/>
        </w:rPr>
      </w:pPr>
      <w:r>
        <w:rPr>
          <w:rFonts w:hint="eastAsia" w:ascii="宋体" w:cs="宋体"/>
          <w:bCs/>
          <w:color w:val="auto"/>
          <w:highlight w:val="none"/>
        </w:rPr>
        <w:t>（4）事实依据（列明权益受到损害的事实和理由）；</w:t>
      </w:r>
    </w:p>
    <w:p w14:paraId="2497FA05">
      <w:pPr>
        <w:spacing w:line="360" w:lineRule="auto"/>
        <w:ind w:firstLine="420" w:firstLineChars="200"/>
        <w:rPr>
          <w:rFonts w:ascii="宋体" w:cs="宋体"/>
          <w:bCs/>
          <w:color w:val="auto"/>
          <w:highlight w:val="none"/>
        </w:rPr>
      </w:pPr>
      <w:r>
        <w:rPr>
          <w:rFonts w:hint="eastAsia" w:ascii="宋体" w:cs="宋体"/>
          <w:bCs/>
          <w:color w:val="auto"/>
          <w:highlight w:val="none"/>
        </w:rPr>
        <w:t>（5）必要的法律依据；</w:t>
      </w:r>
    </w:p>
    <w:p w14:paraId="5A802443">
      <w:pPr>
        <w:spacing w:line="360" w:lineRule="auto"/>
        <w:ind w:firstLine="420" w:firstLineChars="200"/>
        <w:rPr>
          <w:rFonts w:ascii="宋体" w:cs="宋体"/>
          <w:bCs/>
          <w:color w:val="auto"/>
          <w:highlight w:val="none"/>
        </w:rPr>
      </w:pPr>
      <w:r>
        <w:rPr>
          <w:rFonts w:hint="eastAsia" w:ascii="宋体" w:cs="宋体"/>
          <w:bCs/>
          <w:color w:val="auto"/>
          <w:highlight w:val="none"/>
        </w:rPr>
        <w:t>（6）提出质疑的日期。</w:t>
      </w:r>
    </w:p>
    <w:p w14:paraId="268714C1">
      <w:pPr>
        <w:spacing w:line="360" w:lineRule="auto"/>
        <w:ind w:firstLine="420" w:firstLineChars="200"/>
        <w:rPr>
          <w:rFonts w:ascii="宋体" w:cs="宋体"/>
          <w:bCs/>
          <w:color w:val="auto"/>
          <w:highlight w:val="none"/>
        </w:rPr>
      </w:pPr>
      <w:r>
        <w:rPr>
          <w:rFonts w:hint="eastAsia" w:ascii="宋体" w:cs="宋体"/>
          <w:bCs/>
          <w:color w:val="auto"/>
          <w:highlight w:val="none"/>
        </w:rPr>
        <w:t>供应商为自然人的，应当由本人签字；供应商为法人或者其他组织的，应当由法定代表人、主要负责人，或者其委托代理人签字或者盖章，并加盖公章。</w:t>
      </w:r>
    </w:p>
    <w:p w14:paraId="63FAC79C">
      <w:pPr>
        <w:spacing w:line="360" w:lineRule="auto"/>
        <w:ind w:firstLine="422" w:firstLineChars="200"/>
        <w:rPr>
          <w:rFonts w:ascii="宋体" w:cs="宋体"/>
          <w:b/>
          <w:color w:val="auto"/>
          <w:szCs w:val="20"/>
          <w:highlight w:val="none"/>
        </w:rPr>
      </w:pPr>
      <w:r>
        <w:rPr>
          <w:rFonts w:hint="eastAsia" w:ascii="宋体" w:cs="宋体"/>
          <w:b/>
          <w:color w:val="auto"/>
          <w:szCs w:val="20"/>
          <w:highlight w:val="none"/>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r>
        <w:rPr>
          <w:rFonts w:hint="eastAsia" w:ascii="宋体" w:cs="宋体"/>
          <w:bCs/>
          <w:color w:val="auto"/>
          <w:highlight w:val="none"/>
        </w:rPr>
        <w:t>。</w:t>
      </w:r>
    </w:p>
    <w:p w14:paraId="3A45C606">
      <w:pPr>
        <w:spacing w:line="360" w:lineRule="auto"/>
        <w:ind w:firstLine="420" w:firstLineChars="200"/>
        <w:rPr>
          <w:rFonts w:ascii="宋体" w:cs="宋体"/>
          <w:bCs/>
          <w:color w:val="auto"/>
          <w:szCs w:val="21"/>
          <w:highlight w:val="none"/>
        </w:rPr>
      </w:pPr>
      <w:r>
        <w:rPr>
          <w:rFonts w:hint="eastAsia" w:ascii="宋体" w:cs="宋体"/>
          <w:color w:val="auto"/>
          <w:szCs w:val="21"/>
          <w:highlight w:val="none"/>
        </w:rPr>
        <w:t>3</w:t>
      </w:r>
      <w:r>
        <w:rPr>
          <w:rFonts w:hint="eastAsia" w:ascii="宋体" w:cs="宋体"/>
          <w:bCs/>
          <w:color w:val="auto"/>
          <w:szCs w:val="21"/>
          <w:highlight w:val="none"/>
        </w:rPr>
        <w:t>8.2.7采购人、采购代理机构认为供应商质疑不成立，或者成立但未对中标结果构成影响的，继续开展采购活动；认为供应商质疑成立且影响或者可能影响中标结果的，按照下列情况处理：</w:t>
      </w:r>
    </w:p>
    <w:p w14:paraId="75650128">
      <w:pPr>
        <w:spacing w:line="360" w:lineRule="auto"/>
        <w:ind w:firstLine="420" w:firstLineChars="200"/>
        <w:rPr>
          <w:rFonts w:ascii="宋体" w:cs="宋体"/>
          <w:bCs/>
          <w:color w:val="auto"/>
          <w:highlight w:val="none"/>
        </w:rPr>
      </w:pPr>
      <w:r>
        <w:rPr>
          <w:rFonts w:hint="eastAsia" w:ascii="宋体" w:cs="宋体"/>
          <w:bCs/>
          <w:color w:val="auto"/>
          <w:highlight w:val="none"/>
        </w:rPr>
        <w:t>（一）对招标文件提出的质疑，依法通过澄清或者修改可以继续开展采购活动的，澄清或者修改招标文件后继续开展采购活动；否则应当修改招标文件后重新开展采购活动。</w:t>
      </w:r>
    </w:p>
    <w:p w14:paraId="3A2A5750">
      <w:pPr>
        <w:spacing w:line="360" w:lineRule="auto"/>
        <w:ind w:firstLine="420" w:firstLineChars="200"/>
        <w:rPr>
          <w:rFonts w:ascii="宋体" w:cs="宋体"/>
          <w:bCs/>
          <w:color w:val="auto"/>
          <w:highlight w:val="none"/>
        </w:rPr>
      </w:pPr>
      <w:r>
        <w:rPr>
          <w:rFonts w:hint="eastAsia" w:ascii="宋体" w:cs="宋体"/>
          <w:bCs/>
          <w:color w:val="auto"/>
          <w:highlight w:val="none"/>
        </w:rPr>
        <w:t>（二）对采购过程、中标结果提出的质疑，合格供应商符合法定数量时，可以从合格的中标候选人中另行确定中标供应商的，应当依法另行确定中标供应商；否则应当重新开展采购活动。</w:t>
      </w:r>
    </w:p>
    <w:p w14:paraId="21D5CB90">
      <w:pPr>
        <w:spacing w:line="360" w:lineRule="auto"/>
        <w:ind w:firstLine="420" w:firstLineChars="200"/>
        <w:rPr>
          <w:rFonts w:ascii="宋体" w:cs="宋体"/>
          <w:bCs/>
          <w:color w:val="auto"/>
          <w:highlight w:val="none"/>
        </w:rPr>
      </w:pPr>
      <w:r>
        <w:rPr>
          <w:rFonts w:hint="eastAsia" w:ascii="宋体" w:cs="宋体"/>
          <w:bCs/>
          <w:color w:val="auto"/>
          <w:highlight w:val="none"/>
        </w:rPr>
        <w:t>质疑答复导致中标结果改变的，采购人或者采购代理机构应当将有关情况书面报告</w:t>
      </w:r>
      <w:r>
        <w:rPr>
          <w:rFonts w:hint="eastAsia" w:ascii="宋体" w:cs="宋体"/>
          <w:color w:val="auto"/>
          <w:szCs w:val="21"/>
          <w:highlight w:val="none"/>
        </w:rPr>
        <w:t>本级财政部门</w:t>
      </w:r>
      <w:r>
        <w:rPr>
          <w:rFonts w:hint="eastAsia" w:ascii="宋体" w:cs="宋体"/>
          <w:bCs/>
          <w:color w:val="auto"/>
          <w:highlight w:val="none"/>
        </w:rPr>
        <w:t>。</w:t>
      </w:r>
    </w:p>
    <w:p w14:paraId="72B29397">
      <w:pPr>
        <w:spacing w:line="360" w:lineRule="auto"/>
        <w:ind w:firstLine="422" w:firstLineChars="200"/>
        <w:rPr>
          <w:rFonts w:ascii="宋体" w:cs="宋体"/>
          <w:b/>
          <w:color w:val="auto"/>
          <w:highlight w:val="none"/>
        </w:rPr>
      </w:pPr>
      <w:r>
        <w:rPr>
          <w:rFonts w:hint="eastAsia" w:ascii="宋体" w:cs="宋体"/>
          <w:b/>
          <w:color w:val="auto"/>
          <w:highlight w:val="none"/>
        </w:rPr>
        <w:t>38.3投诉</w:t>
      </w:r>
    </w:p>
    <w:p w14:paraId="62DE0FFB">
      <w:pPr>
        <w:spacing w:line="360" w:lineRule="auto"/>
        <w:ind w:firstLine="422" w:firstLineChars="200"/>
        <w:rPr>
          <w:rFonts w:ascii="宋体" w:cs="宋体"/>
          <w:bCs/>
          <w:color w:val="auto"/>
          <w:highlight w:val="none"/>
        </w:rPr>
      </w:pPr>
      <w:r>
        <w:rPr>
          <w:rFonts w:hint="eastAsia" w:ascii="宋体" w:cs="宋体"/>
          <w:b/>
          <w:color w:val="auto"/>
          <w:highlight w:val="none"/>
        </w:rPr>
        <w:t>38.3</w:t>
      </w:r>
      <w:r>
        <w:rPr>
          <w:rFonts w:hint="eastAsia" w:ascii="宋体" w:cs="宋体"/>
          <w:bCs/>
          <w:color w:val="auto"/>
          <w:highlight w:val="none"/>
        </w:rPr>
        <w:t>.</w:t>
      </w:r>
      <w:r>
        <w:rPr>
          <w:rFonts w:hint="eastAsia" w:ascii="宋体" w:cs="宋体"/>
          <w:b/>
          <w:bCs/>
          <w:color w:val="auto"/>
          <w:highlight w:val="none"/>
        </w:rPr>
        <w:t xml:space="preserve">1 </w:t>
      </w:r>
      <w:r>
        <w:rPr>
          <w:rFonts w:hint="eastAsia" w:ascii="宋体" w:cs="宋体"/>
          <w:bCs/>
          <w:color w:val="auto"/>
          <w:highlight w:val="none"/>
        </w:rPr>
        <w:t xml:space="preserve"> 供应商认为采购文件、采购过程、中标和成交结果使自己的合法权益受到损害的，应当首先依法向采购人或采购人委托的</w:t>
      </w:r>
      <w:r>
        <w:rPr>
          <w:rFonts w:hint="eastAsia" w:ascii="宋体" w:cs="宋体"/>
          <w:color w:val="auto"/>
          <w:highlight w:val="none"/>
        </w:rPr>
        <w:t>采购代理机构</w:t>
      </w:r>
      <w:r>
        <w:rPr>
          <w:rFonts w:hint="eastAsia" w:ascii="宋体" w:cs="宋体"/>
          <w:bCs/>
          <w:color w:val="auto"/>
          <w:highlight w:val="none"/>
        </w:rPr>
        <w:t>提出质疑。对采购人或</w:t>
      </w:r>
      <w:r>
        <w:rPr>
          <w:rFonts w:hint="eastAsia" w:ascii="宋体" w:cs="宋体"/>
          <w:color w:val="auto"/>
          <w:highlight w:val="none"/>
        </w:rPr>
        <w:t>采购代理机构</w:t>
      </w:r>
      <w:r>
        <w:rPr>
          <w:rFonts w:hint="eastAsia" w:ascii="宋体" w:cs="宋体"/>
          <w:bCs/>
          <w:color w:val="auto"/>
          <w:highlight w:val="none"/>
        </w:rPr>
        <w:t>的答复不满意，或者采购人或</w:t>
      </w:r>
      <w:r>
        <w:rPr>
          <w:rFonts w:hint="eastAsia" w:ascii="宋体" w:cs="宋体"/>
          <w:color w:val="auto"/>
          <w:highlight w:val="none"/>
        </w:rPr>
        <w:t>采购代理机构</w:t>
      </w:r>
      <w:r>
        <w:rPr>
          <w:rFonts w:hint="eastAsia" w:ascii="宋体" w:cs="宋体"/>
          <w:bCs/>
          <w:color w:val="auto"/>
          <w:highlight w:val="none"/>
        </w:rPr>
        <w:t>未在规定期限内</w:t>
      </w:r>
      <w:r>
        <w:rPr>
          <w:rFonts w:hint="eastAsia" w:ascii="宋体" w:cs="宋体"/>
          <w:bCs/>
          <w:color w:val="auto"/>
          <w:highlight w:val="none"/>
          <w:lang w:val="en-US" w:eastAsia="zh-CN"/>
        </w:rPr>
        <w:t>作</w:t>
      </w:r>
      <w:r>
        <w:rPr>
          <w:rFonts w:hint="eastAsia" w:ascii="宋体" w:cs="宋体"/>
          <w:bCs/>
          <w:color w:val="auto"/>
          <w:highlight w:val="none"/>
        </w:rPr>
        <w:t>出答复的，供应商可以在答复期满后15个工作日内向本级财政部门提起投诉，投诉联系方式见“投标人须知前附表”。</w:t>
      </w:r>
    </w:p>
    <w:p w14:paraId="2DF2CC82">
      <w:pPr>
        <w:spacing w:line="360" w:lineRule="auto"/>
        <w:ind w:firstLine="422" w:firstLineChars="200"/>
        <w:rPr>
          <w:rFonts w:ascii="宋体" w:cs="宋体"/>
          <w:b/>
          <w:color w:val="auto"/>
          <w:highlight w:val="none"/>
        </w:rPr>
      </w:pPr>
      <w:r>
        <w:rPr>
          <w:rFonts w:hint="eastAsia" w:ascii="宋体" w:cs="宋体"/>
          <w:b/>
          <w:color w:val="auto"/>
          <w:highlight w:val="none"/>
        </w:rPr>
        <w:t>38.3.2  投诉人投诉时，应当提交投诉书，并按照被投诉采购人、采购代理机构和与投诉事项有关的供应商数量提供投诉书的副本。投诉书</w:t>
      </w:r>
      <w:r>
        <w:rPr>
          <w:rFonts w:hint="eastAsia" w:ascii="宋体" w:cs="宋体"/>
          <w:b/>
          <w:color w:val="auto"/>
          <w:szCs w:val="21"/>
          <w:highlight w:val="none"/>
        </w:rPr>
        <w:t>应当包括下列主要内容</w:t>
      </w:r>
      <w:r>
        <w:rPr>
          <w:rFonts w:hint="eastAsia" w:ascii="宋体" w:cs="宋体"/>
          <w:b/>
          <w:color w:val="auto"/>
          <w:highlight w:val="none"/>
        </w:rPr>
        <w:t>（如材料中有外文资料应同时附上对应的中文译本）（投诉书格式后附）</w:t>
      </w:r>
      <w:r>
        <w:rPr>
          <w:rFonts w:hint="eastAsia" w:ascii="宋体" w:cs="宋体"/>
          <w:b/>
          <w:color w:val="auto"/>
          <w:szCs w:val="21"/>
          <w:highlight w:val="none"/>
        </w:rPr>
        <w:t>：</w:t>
      </w:r>
    </w:p>
    <w:p w14:paraId="38FBFD6A">
      <w:pPr>
        <w:spacing w:line="360" w:lineRule="auto"/>
        <w:ind w:firstLine="420" w:firstLineChars="200"/>
        <w:rPr>
          <w:rFonts w:ascii="宋体" w:cs="宋体"/>
          <w:color w:val="auto"/>
          <w:highlight w:val="none"/>
        </w:rPr>
      </w:pPr>
      <w:r>
        <w:rPr>
          <w:rFonts w:hint="eastAsia" w:ascii="宋体" w:cs="宋体"/>
          <w:color w:val="auto"/>
          <w:highlight w:val="none"/>
        </w:rPr>
        <w:t xml:space="preserve">（1）投诉人和被投诉人的名称、地址、邮编、联系人及联系电话等； </w:t>
      </w:r>
    </w:p>
    <w:p w14:paraId="07B5C0C4">
      <w:pPr>
        <w:spacing w:line="360" w:lineRule="auto"/>
        <w:ind w:firstLine="420" w:firstLineChars="200"/>
        <w:rPr>
          <w:rFonts w:ascii="宋体" w:cs="宋体"/>
          <w:color w:val="auto"/>
          <w:highlight w:val="none"/>
        </w:rPr>
      </w:pPr>
      <w:r>
        <w:rPr>
          <w:rFonts w:hint="eastAsia" w:ascii="宋体" w:cs="宋体"/>
          <w:color w:val="auto"/>
          <w:highlight w:val="none"/>
        </w:rPr>
        <w:t xml:space="preserve">（2）质疑和质疑答复情况及相关证明材料； </w:t>
      </w:r>
    </w:p>
    <w:p w14:paraId="2C11216A">
      <w:pPr>
        <w:spacing w:line="360" w:lineRule="auto"/>
        <w:ind w:firstLine="420" w:firstLineChars="200"/>
        <w:rPr>
          <w:rFonts w:ascii="宋体" w:cs="宋体"/>
          <w:color w:val="auto"/>
          <w:highlight w:val="none"/>
        </w:rPr>
      </w:pPr>
      <w:r>
        <w:rPr>
          <w:rFonts w:hint="eastAsia" w:ascii="宋体" w:cs="宋体"/>
          <w:color w:val="auto"/>
          <w:highlight w:val="none"/>
        </w:rPr>
        <w:t>（3）具体、明确的投诉事项和与投诉事项相关的投诉请求；</w:t>
      </w:r>
    </w:p>
    <w:p w14:paraId="5502A49D">
      <w:pPr>
        <w:spacing w:line="360" w:lineRule="auto"/>
        <w:ind w:firstLine="420" w:firstLineChars="200"/>
        <w:rPr>
          <w:rFonts w:ascii="宋体" w:cs="宋体"/>
          <w:color w:val="auto"/>
          <w:highlight w:val="none"/>
        </w:rPr>
      </w:pPr>
      <w:r>
        <w:rPr>
          <w:rFonts w:hint="eastAsia" w:ascii="宋体" w:cs="宋体"/>
          <w:color w:val="auto"/>
          <w:highlight w:val="none"/>
        </w:rPr>
        <w:t>（4）事实依据；</w:t>
      </w:r>
    </w:p>
    <w:p w14:paraId="0FCFD23F">
      <w:pPr>
        <w:spacing w:line="360" w:lineRule="auto"/>
        <w:ind w:firstLine="420" w:firstLineChars="200"/>
        <w:rPr>
          <w:rFonts w:ascii="宋体" w:cs="宋体"/>
          <w:color w:val="auto"/>
          <w:highlight w:val="none"/>
        </w:rPr>
      </w:pPr>
      <w:r>
        <w:rPr>
          <w:rFonts w:hint="eastAsia" w:ascii="宋体" w:cs="宋体"/>
          <w:color w:val="auto"/>
          <w:highlight w:val="none"/>
        </w:rPr>
        <w:t>（5）法律依据；</w:t>
      </w:r>
    </w:p>
    <w:p w14:paraId="3FA4DDA9">
      <w:pPr>
        <w:spacing w:line="360" w:lineRule="auto"/>
        <w:ind w:firstLine="420" w:firstLineChars="200"/>
        <w:rPr>
          <w:rFonts w:ascii="宋体" w:cs="宋体"/>
          <w:color w:val="auto"/>
          <w:highlight w:val="none"/>
        </w:rPr>
      </w:pPr>
      <w:r>
        <w:rPr>
          <w:rFonts w:hint="eastAsia" w:ascii="宋体" w:cs="宋体"/>
          <w:color w:val="auto"/>
          <w:highlight w:val="none"/>
        </w:rPr>
        <w:t>（6）提起投诉的日期。</w:t>
      </w:r>
      <w:r>
        <w:rPr>
          <w:rFonts w:hint="eastAsia" w:ascii="宋体" w:cs="宋体"/>
          <w:color w:val="auto"/>
          <w:highlight w:val="none"/>
        </w:rPr>
        <w:tab/>
      </w:r>
    </w:p>
    <w:p w14:paraId="2CF23FF0">
      <w:pPr>
        <w:spacing w:line="360" w:lineRule="auto"/>
        <w:ind w:firstLine="420" w:firstLineChars="200"/>
        <w:rPr>
          <w:rFonts w:ascii="宋体" w:cs="宋体"/>
          <w:bCs/>
          <w:color w:val="auto"/>
          <w:highlight w:val="none"/>
        </w:rPr>
      </w:pPr>
      <w:r>
        <w:rPr>
          <w:rFonts w:hint="eastAsia" w:ascii="宋体" w:cs="宋体"/>
          <w:bCs/>
          <w:color w:val="auto"/>
          <w:highlight w:val="none"/>
        </w:rPr>
        <w:t>投诉人为自然人的，应当由本人签字；投诉人为法人或者其他组织的，应当由法定代表人、主要负责人，或者其授权代表签字或者盖章，并加盖公章。</w:t>
      </w:r>
    </w:p>
    <w:p w14:paraId="2C0ADF93">
      <w:pPr>
        <w:spacing w:line="360" w:lineRule="auto"/>
        <w:ind w:firstLine="422" w:firstLineChars="200"/>
        <w:rPr>
          <w:rFonts w:ascii="宋体" w:cs="宋体"/>
          <w:bCs/>
          <w:color w:val="auto"/>
          <w:highlight w:val="none"/>
        </w:rPr>
      </w:pPr>
      <w:r>
        <w:rPr>
          <w:rFonts w:hint="eastAsia" w:ascii="宋体" w:cs="宋体"/>
          <w:b/>
          <w:color w:val="auto"/>
          <w:highlight w:val="none"/>
        </w:rPr>
        <w:t xml:space="preserve">38.3.3  </w:t>
      </w:r>
      <w:r>
        <w:rPr>
          <w:rFonts w:hint="eastAsia" w:ascii="宋体" w:cs="宋体"/>
          <w:color w:val="auto"/>
          <w:highlight w:val="none"/>
        </w:rPr>
        <w:t>投诉人可以委托代理人办理投诉事务。</w:t>
      </w:r>
      <w:r>
        <w:rPr>
          <w:rFonts w:hint="eastAsia" w:ascii="宋体" w:cs="宋体"/>
          <w:bCs/>
          <w:color w:val="auto"/>
          <w:highlight w:val="none"/>
        </w:rPr>
        <w:t>委托代理人应熟悉相关业务情况。</w:t>
      </w:r>
      <w:r>
        <w:rPr>
          <w:rFonts w:hint="eastAsia" w:ascii="宋体" w:cs="宋体"/>
          <w:color w:val="auto"/>
          <w:highlight w:val="none"/>
        </w:rPr>
        <w:t>代理人办理投诉事务时，除提交投诉书外，还应当提交投诉人的授权委托书和委托代理人身份证明复印件。</w:t>
      </w:r>
    </w:p>
    <w:p w14:paraId="4F5A1843">
      <w:pPr>
        <w:spacing w:line="360" w:lineRule="auto"/>
        <w:ind w:firstLine="422" w:firstLineChars="200"/>
        <w:rPr>
          <w:rFonts w:ascii="宋体" w:cs="宋体"/>
          <w:color w:val="auto"/>
          <w:highlight w:val="none"/>
        </w:rPr>
      </w:pPr>
      <w:r>
        <w:rPr>
          <w:rFonts w:hint="eastAsia" w:ascii="宋体" w:cs="宋体"/>
          <w:b/>
          <w:color w:val="auto"/>
          <w:highlight w:val="none"/>
        </w:rPr>
        <w:t>38.3.4</w:t>
      </w:r>
      <w:r>
        <w:rPr>
          <w:rFonts w:hint="eastAsia" w:ascii="宋体" w:cs="宋体"/>
          <w:color w:val="auto"/>
          <w:highlight w:val="none"/>
        </w:rPr>
        <w:t xml:space="preserve">  投诉人提起投诉应当符合下列条件：</w:t>
      </w:r>
    </w:p>
    <w:p w14:paraId="2F1CE76E">
      <w:pPr>
        <w:spacing w:line="360" w:lineRule="auto"/>
        <w:ind w:firstLine="420" w:firstLineChars="200"/>
        <w:rPr>
          <w:rFonts w:ascii="宋体" w:cs="宋体"/>
          <w:color w:val="auto"/>
          <w:highlight w:val="none"/>
        </w:rPr>
      </w:pPr>
      <w:r>
        <w:rPr>
          <w:rFonts w:hint="eastAsia" w:ascii="宋体" w:cs="宋体"/>
          <w:color w:val="auto"/>
          <w:highlight w:val="none"/>
        </w:rPr>
        <w:t>（1）投诉人是参与所投诉政府采购活动的供应商；</w:t>
      </w:r>
    </w:p>
    <w:p w14:paraId="6BABCA3F">
      <w:pPr>
        <w:spacing w:line="360" w:lineRule="auto"/>
        <w:ind w:firstLine="420" w:firstLineChars="200"/>
        <w:rPr>
          <w:rFonts w:ascii="宋体" w:cs="宋体"/>
          <w:color w:val="auto"/>
          <w:highlight w:val="none"/>
        </w:rPr>
      </w:pPr>
      <w:r>
        <w:rPr>
          <w:rFonts w:hint="eastAsia" w:ascii="宋体" w:cs="宋体"/>
          <w:color w:val="auto"/>
          <w:highlight w:val="none"/>
        </w:rPr>
        <w:t>（2）提起投诉前已依法进行质疑；</w:t>
      </w:r>
    </w:p>
    <w:p w14:paraId="4ACE6C8B">
      <w:pPr>
        <w:spacing w:line="360" w:lineRule="auto"/>
        <w:ind w:firstLine="420" w:firstLineChars="200"/>
        <w:rPr>
          <w:rFonts w:ascii="宋体" w:cs="宋体"/>
          <w:color w:val="auto"/>
          <w:highlight w:val="none"/>
        </w:rPr>
      </w:pPr>
      <w:r>
        <w:rPr>
          <w:rFonts w:hint="eastAsia" w:ascii="宋体" w:cs="宋体"/>
          <w:color w:val="auto"/>
          <w:highlight w:val="none"/>
        </w:rPr>
        <w:t>（3）投诉书内容符合本章第38.3.2项的规定；</w:t>
      </w:r>
    </w:p>
    <w:p w14:paraId="3EA7652A">
      <w:pPr>
        <w:spacing w:line="360" w:lineRule="auto"/>
        <w:ind w:firstLine="420" w:firstLineChars="200"/>
        <w:rPr>
          <w:rFonts w:ascii="宋体" w:cs="宋体"/>
          <w:color w:val="auto"/>
          <w:highlight w:val="none"/>
        </w:rPr>
      </w:pPr>
      <w:r>
        <w:rPr>
          <w:rFonts w:hint="eastAsia" w:ascii="宋体" w:cs="宋体"/>
          <w:color w:val="auto"/>
          <w:highlight w:val="none"/>
        </w:rPr>
        <w:t>（4）在投诉有效期限内提起投诉；</w:t>
      </w:r>
    </w:p>
    <w:p w14:paraId="52E86024">
      <w:pPr>
        <w:spacing w:line="360" w:lineRule="auto"/>
        <w:ind w:firstLine="420" w:firstLineChars="200"/>
        <w:rPr>
          <w:rFonts w:ascii="宋体" w:cs="宋体"/>
          <w:color w:val="auto"/>
          <w:highlight w:val="none"/>
        </w:rPr>
      </w:pPr>
      <w:r>
        <w:rPr>
          <w:rFonts w:hint="eastAsia" w:ascii="宋体" w:cs="宋体"/>
          <w:color w:val="auto"/>
          <w:highlight w:val="none"/>
        </w:rPr>
        <w:t>（5）同一投诉事项未经</w:t>
      </w:r>
      <w:r>
        <w:rPr>
          <w:rFonts w:hint="eastAsia" w:ascii="宋体" w:cs="宋体"/>
          <w:bCs/>
          <w:color w:val="auto"/>
          <w:highlight w:val="none"/>
        </w:rPr>
        <w:t>财政部门</w:t>
      </w:r>
      <w:r>
        <w:rPr>
          <w:rFonts w:hint="eastAsia" w:ascii="宋体" w:cs="宋体"/>
          <w:color w:val="auto"/>
          <w:highlight w:val="none"/>
        </w:rPr>
        <w:t>投诉处理；</w:t>
      </w:r>
    </w:p>
    <w:p w14:paraId="57246DE7">
      <w:pPr>
        <w:spacing w:line="360" w:lineRule="auto"/>
        <w:ind w:firstLine="420" w:firstLineChars="200"/>
        <w:rPr>
          <w:rFonts w:ascii="宋体" w:cs="宋体"/>
          <w:color w:val="auto"/>
          <w:highlight w:val="none"/>
        </w:rPr>
      </w:pPr>
      <w:r>
        <w:rPr>
          <w:rFonts w:hint="eastAsia" w:ascii="宋体" w:cs="宋体"/>
          <w:color w:val="auto"/>
          <w:highlight w:val="none"/>
        </w:rPr>
        <w:t>（6）国务院财政部门规定的其他条件。</w:t>
      </w:r>
    </w:p>
    <w:p w14:paraId="7696068E">
      <w:pPr>
        <w:pStyle w:val="16"/>
        <w:snapToGrid w:val="0"/>
        <w:spacing w:line="400" w:lineRule="exact"/>
        <w:ind w:left="689" w:leftChars="228" w:hanging="210" w:hangingChars="100"/>
        <w:rPr>
          <w:rFonts w:cs="宋体"/>
          <w:color w:val="auto"/>
          <w:highlight w:val="none"/>
        </w:rPr>
      </w:pPr>
      <w:bookmarkStart w:id="195" w:name="_Toc28886"/>
      <w:bookmarkStart w:id="196" w:name="_Toc22303"/>
      <w:bookmarkStart w:id="197" w:name="_Toc17335"/>
      <w:bookmarkStart w:id="198" w:name="_Toc18873"/>
      <w:bookmarkStart w:id="199" w:name="_Toc17503"/>
    </w:p>
    <w:p w14:paraId="7D30AE3A">
      <w:pPr>
        <w:pStyle w:val="4"/>
        <w:rPr>
          <w:color w:val="auto"/>
          <w:highlight w:val="none"/>
        </w:rPr>
      </w:pPr>
      <w:r>
        <w:rPr>
          <w:rFonts w:hint="eastAsia"/>
          <w:color w:val="auto"/>
          <w:highlight w:val="none"/>
        </w:rPr>
        <w:t>八、验收</w:t>
      </w:r>
      <w:bookmarkEnd w:id="195"/>
      <w:bookmarkEnd w:id="196"/>
      <w:bookmarkEnd w:id="197"/>
      <w:bookmarkEnd w:id="198"/>
      <w:bookmarkEnd w:id="199"/>
    </w:p>
    <w:p w14:paraId="7AD2F32E">
      <w:pPr>
        <w:spacing w:line="360" w:lineRule="auto"/>
        <w:ind w:firstLine="480" w:firstLineChars="200"/>
        <w:rPr>
          <w:rFonts w:ascii="宋体" w:cs="宋体"/>
          <w:b w:val="0"/>
          <w:bCs/>
          <w:color w:val="auto"/>
          <w:sz w:val="24"/>
          <w:szCs w:val="24"/>
          <w:highlight w:val="none"/>
        </w:rPr>
      </w:pPr>
      <w:r>
        <w:rPr>
          <w:rFonts w:hint="eastAsia" w:ascii="宋体" w:cs="宋体"/>
          <w:b w:val="0"/>
          <w:bCs/>
          <w:color w:val="auto"/>
          <w:sz w:val="24"/>
          <w:szCs w:val="24"/>
          <w:highlight w:val="none"/>
        </w:rPr>
        <w:t>39.验收</w:t>
      </w:r>
    </w:p>
    <w:p w14:paraId="1B5BEAD9">
      <w:pPr>
        <w:tabs>
          <w:tab w:val="left" w:pos="0"/>
        </w:tabs>
        <w:spacing w:line="360" w:lineRule="auto"/>
        <w:ind w:firstLine="480"/>
        <w:rPr>
          <w:rFonts w:ascii="宋体" w:cs="宋体"/>
          <w:color w:val="auto"/>
          <w:highlight w:val="none"/>
        </w:rPr>
      </w:pPr>
      <w:r>
        <w:rPr>
          <w:rFonts w:hint="eastAsia" w:ascii="宋体" w:cs="宋体"/>
          <w:color w:val="auto"/>
          <w:highlight w:val="none"/>
        </w:rPr>
        <w:t>39.1采购人组织对中标人履约的验收。大型或者复杂的政府采购项目，应当邀请国家认可的质量检测机构参加验收工作。验收方成员应当在验收书上签字，并承担相应的法律责任。如果发现与合同中要求不符，中标人须承担由此发生的一切损失和费用，并接受相应的处理。</w:t>
      </w:r>
    </w:p>
    <w:p w14:paraId="7EA2C99E">
      <w:pPr>
        <w:tabs>
          <w:tab w:val="left" w:pos="0"/>
        </w:tabs>
        <w:spacing w:line="360" w:lineRule="auto"/>
        <w:ind w:firstLine="480"/>
        <w:rPr>
          <w:rFonts w:ascii="宋体" w:cs="宋体"/>
          <w:color w:val="auto"/>
          <w:highlight w:val="none"/>
        </w:rPr>
      </w:pPr>
      <w:r>
        <w:rPr>
          <w:rFonts w:hint="eastAsia" w:ascii="宋体" w:cs="宋体"/>
          <w:color w:val="auto"/>
          <w:highlight w:val="none"/>
        </w:rPr>
        <w:t>39.2采购人可以邀请参加本项目的其他投标人或者第三方机构参与验收。参与验收的投标人或者第三方机构的意见作为验收书的参考资料一并存档。</w:t>
      </w:r>
    </w:p>
    <w:p w14:paraId="79DFAA9C">
      <w:pPr>
        <w:tabs>
          <w:tab w:val="left" w:pos="0"/>
        </w:tabs>
        <w:spacing w:line="360" w:lineRule="auto"/>
        <w:ind w:firstLine="480"/>
        <w:rPr>
          <w:rFonts w:ascii="宋体" w:cs="宋体"/>
          <w:color w:val="auto"/>
          <w:highlight w:val="none"/>
        </w:rPr>
      </w:pPr>
      <w:r>
        <w:rPr>
          <w:rFonts w:hint="eastAsia" w:ascii="宋体" w:cs="宋体"/>
          <w:color w:val="auto"/>
          <w:highlight w:val="none"/>
        </w:rPr>
        <w:t>39.3严格按照采购合同开展履约验收。采购人成立验收小组，按照采购合同的约定对中标人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如有）返还条件挂钩。履约验收的各项资料应当存档备查。</w:t>
      </w:r>
    </w:p>
    <w:p w14:paraId="7C354ED0">
      <w:pPr>
        <w:tabs>
          <w:tab w:val="left" w:pos="0"/>
        </w:tabs>
        <w:spacing w:line="360" w:lineRule="auto"/>
        <w:ind w:firstLine="480"/>
        <w:rPr>
          <w:rFonts w:ascii="宋体" w:cs="宋体"/>
          <w:color w:val="auto"/>
          <w:highlight w:val="none"/>
        </w:rPr>
      </w:pPr>
      <w:r>
        <w:rPr>
          <w:rFonts w:hint="eastAsia" w:ascii="宋体" w:cs="宋体"/>
          <w:color w:val="auto"/>
          <w:highlight w:val="none"/>
        </w:rPr>
        <w:t>39.4验收合格的项目，采购人将根据采购合同的约定及时向中标人支付采购资金。验收不合格的项目，采购人将依法及时处理。采购合同的履行、违约责任和解决争议的方式等适用《中华人民共和国民法典》。中标人在履约过程中有政府采购法律法规规定的违法违规情形的，采购人应当及时报告本级财政部门。</w:t>
      </w:r>
    </w:p>
    <w:p w14:paraId="7A88947E">
      <w:pPr>
        <w:pStyle w:val="16"/>
        <w:snapToGrid w:val="0"/>
        <w:spacing w:line="400" w:lineRule="exact"/>
        <w:ind w:left="689" w:leftChars="228" w:hanging="210" w:hangingChars="100"/>
        <w:rPr>
          <w:rFonts w:cs="宋体"/>
          <w:color w:val="auto"/>
          <w:highlight w:val="none"/>
        </w:rPr>
      </w:pPr>
    </w:p>
    <w:p w14:paraId="01CC4381">
      <w:pPr>
        <w:pStyle w:val="4"/>
        <w:rPr>
          <w:color w:val="auto"/>
          <w:highlight w:val="none"/>
        </w:rPr>
      </w:pPr>
      <w:bookmarkStart w:id="200" w:name="_八、其他事项"/>
      <w:bookmarkEnd w:id="200"/>
      <w:bookmarkStart w:id="201" w:name="_Toc18658"/>
      <w:bookmarkStart w:id="202" w:name="_Toc13415"/>
      <w:bookmarkStart w:id="203" w:name="_Toc22183"/>
      <w:bookmarkStart w:id="204" w:name="_Toc30046"/>
      <w:bookmarkStart w:id="205" w:name="_Toc32572"/>
      <w:r>
        <w:rPr>
          <w:rFonts w:hint="eastAsia"/>
          <w:color w:val="auto"/>
          <w:highlight w:val="none"/>
        </w:rPr>
        <w:t>九、其他事项</w:t>
      </w:r>
      <w:bookmarkEnd w:id="201"/>
      <w:bookmarkEnd w:id="202"/>
      <w:bookmarkEnd w:id="203"/>
      <w:bookmarkEnd w:id="204"/>
      <w:bookmarkEnd w:id="205"/>
    </w:p>
    <w:p w14:paraId="6B82A7D6">
      <w:pPr>
        <w:spacing w:line="360" w:lineRule="auto"/>
        <w:ind w:firstLine="480" w:firstLineChars="200"/>
        <w:rPr>
          <w:rFonts w:ascii="宋体" w:cs="宋体"/>
          <w:b w:val="0"/>
          <w:bCs w:val="0"/>
          <w:color w:val="auto"/>
          <w:sz w:val="24"/>
          <w:szCs w:val="24"/>
          <w:highlight w:val="none"/>
        </w:rPr>
      </w:pPr>
      <w:bookmarkStart w:id="206" w:name="_42.代理服务费"/>
      <w:bookmarkEnd w:id="206"/>
      <w:r>
        <w:rPr>
          <w:rFonts w:hint="eastAsia" w:ascii="宋体" w:cs="宋体"/>
          <w:b w:val="0"/>
          <w:bCs w:val="0"/>
          <w:color w:val="auto"/>
          <w:sz w:val="24"/>
          <w:szCs w:val="24"/>
          <w:highlight w:val="none"/>
        </w:rPr>
        <w:t>40.采购代理服务费</w:t>
      </w:r>
    </w:p>
    <w:p w14:paraId="3F5DF9E7">
      <w:pPr>
        <w:spacing w:line="360" w:lineRule="auto"/>
        <w:ind w:firstLine="420" w:firstLineChars="200"/>
        <w:rPr>
          <w:rFonts w:ascii="宋体" w:cs="宋体"/>
          <w:bCs/>
          <w:color w:val="auto"/>
          <w:szCs w:val="21"/>
          <w:highlight w:val="none"/>
        </w:rPr>
      </w:pPr>
      <w:r>
        <w:rPr>
          <w:rFonts w:hint="eastAsia" w:ascii="宋体" w:cs="宋体"/>
          <w:bCs/>
          <w:color w:val="auto"/>
          <w:szCs w:val="21"/>
          <w:highlight w:val="none"/>
        </w:rPr>
        <w:t>40.1采购代理服务费收费标准及缴费账户详见“投标人须知前附表”，投标人为联合体的，可以由联合体中的一方或者多方共同缴纳采购代理服务费。</w:t>
      </w:r>
    </w:p>
    <w:p w14:paraId="45B3FCBE">
      <w:pPr>
        <w:keepNext w:val="0"/>
        <w:keepLines w:val="0"/>
        <w:spacing w:before="0" w:after="0" w:line="360" w:lineRule="auto"/>
        <w:ind w:left="420" w:leftChars="200"/>
        <w:outlineLvl w:val="9"/>
        <w:rPr>
          <w:rFonts w:ascii="宋体" w:cs="宋体"/>
          <w:b w:val="0"/>
          <w:color w:val="auto"/>
          <w:sz w:val="21"/>
          <w:szCs w:val="21"/>
          <w:highlight w:val="none"/>
        </w:rPr>
      </w:pPr>
      <w:r>
        <w:rPr>
          <w:rFonts w:hint="eastAsia" w:ascii="宋体" w:cs="宋体"/>
          <w:b w:val="0"/>
          <w:color w:val="auto"/>
          <w:sz w:val="21"/>
          <w:szCs w:val="21"/>
          <w:highlight w:val="none"/>
        </w:rPr>
        <w:t>40.2采购代理服务费收费标准：</w:t>
      </w:r>
    </w:p>
    <w:tbl>
      <w:tblPr>
        <w:tblStyle w:val="29"/>
        <w:tblW w:w="8477"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5127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tcPr>
          <w:p w14:paraId="085EDF31">
            <w:pPr>
              <w:spacing w:line="360" w:lineRule="auto"/>
              <w:rPr>
                <w:rFonts w:ascii="宋体" w:cs="宋体"/>
                <w:color w:val="auto"/>
                <w:szCs w:val="21"/>
                <w:highlight w:val="none"/>
              </w:rPr>
            </w:pPr>
            <w:r>
              <w:rPr>
                <w:rFonts w:hint="eastAsia" w:ascii="宋体" w:cs="宋体"/>
                <w:color w:val="auto"/>
                <w:szCs w:val="21"/>
                <w:highlight w:val="none"/>
              </w:rPr>
              <w:t xml:space="preserve">               费率</w:t>
            </w:r>
          </w:p>
          <w:p w14:paraId="13222EAB">
            <w:pPr>
              <w:spacing w:line="360" w:lineRule="auto"/>
              <w:rPr>
                <w:rFonts w:ascii="宋体" w:cs="宋体"/>
                <w:color w:val="auto"/>
                <w:szCs w:val="21"/>
                <w:highlight w:val="none"/>
              </w:rPr>
            </w:pPr>
            <w:r>
              <w:rPr>
                <w:rFonts w:hint="eastAsia" w:ascii="宋体" w:cs="宋体"/>
                <w:color w:val="auto"/>
                <w:szCs w:val="21"/>
                <w:highlight w:val="none"/>
              </w:rPr>
              <w:t>中标金额</w:t>
            </w:r>
          </w:p>
        </w:tc>
        <w:tc>
          <w:tcPr>
            <w:tcW w:w="1659" w:type="dxa"/>
            <w:vAlign w:val="center"/>
          </w:tcPr>
          <w:p w14:paraId="200F665F">
            <w:pPr>
              <w:spacing w:line="360" w:lineRule="auto"/>
              <w:ind w:firstLine="105" w:firstLineChars="50"/>
              <w:jc w:val="center"/>
              <w:rPr>
                <w:rFonts w:ascii="宋体" w:cs="宋体"/>
                <w:color w:val="auto"/>
                <w:szCs w:val="21"/>
                <w:highlight w:val="none"/>
              </w:rPr>
            </w:pPr>
            <w:r>
              <w:rPr>
                <w:rFonts w:hint="eastAsia" w:ascii="宋体" w:cs="宋体"/>
                <w:color w:val="auto"/>
                <w:szCs w:val="21"/>
                <w:highlight w:val="none"/>
              </w:rPr>
              <w:t>货物类</w:t>
            </w:r>
          </w:p>
        </w:tc>
        <w:tc>
          <w:tcPr>
            <w:tcW w:w="1687" w:type="dxa"/>
            <w:vAlign w:val="center"/>
          </w:tcPr>
          <w:p w14:paraId="579906DD">
            <w:pPr>
              <w:spacing w:line="360" w:lineRule="auto"/>
              <w:jc w:val="center"/>
              <w:rPr>
                <w:rFonts w:ascii="宋体" w:cs="宋体"/>
                <w:color w:val="auto"/>
                <w:szCs w:val="21"/>
                <w:highlight w:val="none"/>
              </w:rPr>
            </w:pPr>
            <w:r>
              <w:rPr>
                <w:rFonts w:hint="eastAsia" w:ascii="宋体" w:cs="宋体"/>
                <w:color w:val="auto"/>
                <w:szCs w:val="21"/>
                <w:highlight w:val="none"/>
              </w:rPr>
              <w:t>服务类</w:t>
            </w:r>
          </w:p>
        </w:tc>
        <w:tc>
          <w:tcPr>
            <w:tcW w:w="1659" w:type="dxa"/>
            <w:vAlign w:val="center"/>
          </w:tcPr>
          <w:p w14:paraId="1590B983">
            <w:pPr>
              <w:spacing w:line="360" w:lineRule="auto"/>
              <w:jc w:val="center"/>
              <w:rPr>
                <w:rFonts w:ascii="宋体" w:cs="宋体"/>
                <w:color w:val="auto"/>
                <w:szCs w:val="21"/>
                <w:highlight w:val="none"/>
              </w:rPr>
            </w:pPr>
            <w:r>
              <w:rPr>
                <w:rFonts w:hint="eastAsia" w:ascii="宋体" w:cs="宋体"/>
                <w:color w:val="auto"/>
                <w:szCs w:val="21"/>
                <w:highlight w:val="none"/>
              </w:rPr>
              <w:t>工程类</w:t>
            </w:r>
          </w:p>
        </w:tc>
      </w:tr>
      <w:tr w14:paraId="3E51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5A651A0C">
            <w:pPr>
              <w:spacing w:line="360" w:lineRule="auto"/>
              <w:rPr>
                <w:rFonts w:ascii="宋体" w:cs="宋体"/>
                <w:color w:val="auto"/>
                <w:szCs w:val="21"/>
                <w:highlight w:val="none"/>
              </w:rPr>
            </w:pPr>
            <w:r>
              <w:rPr>
                <w:rFonts w:hint="eastAsia" w:ascii="宋体" w:cs="宋体"/>
                <w:color w:val="auto"/>
                <w:szCs w:val="21"/>
                <w:highlight w:val="none"/>
              </w:rPr>
              <w:t>100万元以下</w:t>
            </w:r>
          </w:p>
        </w:tc>
        <w:tc>
          <w:tcPr>
            <w:tcW w:w="1659" w:type="dxa"/>
          </w:tcPr>
          <w:p w14:paraId="1A839B4B">
            <w:pPr>
              <w:spacing w:line="360" w:lineRule="auto"/>
              <w:rPr>
                <w:rFonts w:ascii="宋体" w:cs="宋体"/>
                <w:color w:val="auto"/>
                <w:szCs w:val="21"/>
                <w:highlight w:val="none"/>
              </w:rPr>
            </w:pPr>
            <w:r>
              <w:rPr>
                <w:rFonts w:hint="eastAsia" w:ascii="宋体" w:cs="宋体"/>
                <w:color w:val="auto"/>
                <w:kern w:val="0"/>
                <w:szCs w:val="21"/>
                <w:highlight w:val="none"/>
              </w:rPr>
              <w:t xml:space="preserve">  1.5%                </w:t>
            </w:r>
          </w:p>
        </w:tc>
        <w:tc>
          <w:tcPr>
            <w:tcW w:w="1687" w:type="dxa"/>
          </w:tcPr>
          <w:p w14:paraId="4DAE14C7">
            <w:pPr>
              <w:spacing w:line="360" w:lineRule="auto"/>
              <w:ind w:firstLine="210" w:firstLineChars="100"/>
              <w:rPr>
                <w:rFonts w:ascii="宋体" w:cs="宋体"/>
                <w:color w:val="auto"/>
                <w:szCs w:val="21"/>
                <w:highlight w:val="none"/>
              </w:rPr>
            </w:pPr>
            <w:r>
              <w:rPr>
                <w:rFonts w:hint="eastAsia" w:ascii="宋体" w:cs="宋体"/>
                <w:color w:val="auto"/>
                <w:kern w:val="0"/>
                <w:szCs w:val="21"/>
                <w:highlight w:val="none"/>
              </w:rPr>
              <w:t>1.5%</w:t>
            </w:r>
          </w:p>
        </w:tc>
        <w:tc>
          <w:tcPr>
            <w:tcW w:w="1659" w:type="dxa"/>
          </w:tcPr>
          <w:p w14:paraId="7E8F8C01">
            <w:pPr>
              <w:spacing w:line="360" w:lineRule="auto"/>
              <w:ind w:firstLine="210" w:firstLineChars="100"/>
              <w:rPr>
                <w:rFonts w:ascii="宋体" w:cs="宋体"/>
                <w:color w:val="auto"/>
                <w:szCs w:val="21"/>
                <w:highlight w:val="none"/>
              </w:rPr>
            </w:pPr>
            <w:r>
              <w:rPr>
                <w:rFonts w:hint="eastAsia" w:ascii="宋体" w:cs="宋体"/>
                <w:color w:val="auto"/>
                <w:kern w:val="0"/>
                <w:szCs w:val="21"/>
                <w:highlight w:val="none"/>
              </w:rPr>
              <w:t xml:space="preserve">1.0% </w:t>
            </w:r>
          </w:p>
        </w:tc>
      </w:tr>
      <w:tr w14:paraId="3F69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097EA465">
            <w:pPr>
              <w:spacing w:line="360" w:lineRule="auto"/>
              <w:rPr>
                <w:rFonts w:ascii="宋体" w:cs="宋体"/>
                <w:color w:val="auto"/>
                <w:szCs w:val="21"/>
                <w:highlight w:val="none"/>
              </w:rPr>
            </w:pPr>
            <w:r>
              <w:rPr>
                <w:rFonts w:hint="eastAsia" w:ascii="宋体" w:cs="宋体"/>
                <w:color w:val="auto"/>
                <w:szCs w:val="21"/>
                <w:highlight w:val="none"/>
              </w:rPr>
              <w:t>100～500万元</w:t>
            </w:r>
          </w:p>
        </w:tc>
        <w:tc>
          <w:tcPr>
            <w:tcW w:w="1659" w:type="dxa"/>
          </w:tcPr>
          <w:p w14:paraId="2684EED9">
            <w:pPr>
              <w:spacing w:line="360" w:lineRule="auto"/>
              <w:ind w:firstLine="210" w:firstLineChars="100"/>
              <w:rPr>
                <w:rFonts w:ascii="宋体" w:cs="宋体"/>
                <w:color w:val="auto"/>
                <w:szCs w:val="21"/>
                <w:highlight w:val="none"/>
              </w:rPr>
            </w:pPr>
            <w:r>
              <w:rPr>
                <w:rFonts w:hint="eastAsia" w:ascii="宋体" w:cs="宋体"/>
                <w:color w:val="auto"/>
                <w:kern w:val="0"/>
                <w:szCs w:val="21"/>
                <w:highlight w:val="none"/>
              </w:rPr>
              <w:t xml:space="preserve">1.1%                 </w:t>
            </w:r>
          </w:p>
        </w:tc>
        <w:tc>
          <w:tcPr>
            <w:tcW w:w="1687" w:type="dxa"/>
          </w:tcPr>
          <w:p w14:paraId="19BBC550">
            <w:pPr>
              <w:spacing w:line="360" w:lineRule="auto"/>
              <w:ind w:firstLine="210" w:firstLineChars="100"/>
              <w:rPr>
                <w:rFonts w:ascii="宋体" w:cs="宋体"/>
                <w:color w:val="auto"/>
                <w:szCs w:val="21"/>
                <w:highlight w:val="none"/>
              </w:rPr>
            </w:pPr>
            <w:r>
              <w:rPr>
                <w:rFonts w:hint="eastAsia" w:ascii="宋体" w:cs="宋体"/>
                <w:color w:val="auto"/>
                <w:kern w:val="0"/>
                <w:szCs w:val="21"/>
                <w:highlight w:val="none"/>
              </w:rPr>
              <w:t>0.8%</w:t>
            </w:r>
          </w:p>
        </w:tc>
        <w:tc>
          <w:tcPr>
            <w:tcW w:w="1659" w:type="dxa"/>
          </w:tcPr>
          <w:p w14:paraId="083B5EEC">
            <w:pPr>
              <w:spacing w:line="360" w:lineRule="auto"/>
              <w:ind w:firstLine="210" w:firstLineChars="100"/>
              <w:rPr>
                <w:rFonts w:ascii="宋体" w:cs="宋体"/>
                <w:color w:val="auto"/>
                <w:szCs w:val="21"/>
                <w:highlight w:val="none"/>
              </w:rPr>
            </w:pPr>
            <w:r>
              <w:rPr>
                <w:rFonts w:hint="eastAsia" w:ascii="宋体" w:cs="宋体"/>
                <w:color w:val="auto"/>
                <w:kern w:val="0"/>
                <w:szCs w:val="21"/>
                <w:highlight w:val="none"/>
              </w:rPr>
              <w:t xml:space="preserve">0.7% </w:t>
            </w:r>
          </w:p>
        </w:tc>
      </w:tr>
      <w:tr w14:paraId="774D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023F3794">
            <w:pPr>
              <w:spacing w:line="360" w:lineRule="auto"/>
              <w:rPr>
                <w:rFonts w:ascii="宋体" w:cs="宋体"/>
                <w:color w:val="auto"/>
                <w:szCs w:val="21"/>
                <w:highlight w:val="none"/>
              </w:rPr>
            </w:pPr>
            <w:r>
              <w:rPr>
                <w:rFonts w:hint="eastAsia" w:ascii="宋体" w:cs="宋体"/>
                <w:color w:val="auto"/>
                <w:szCs w:val="21"/>
                <w:highlight w:val="none"/>
              </w:rPr>
              <w:t>500～1000万元</w:t>
            </w:r>
          </w:p>
        </w:tc>
        <w:tc>
          <w:tcPr>
            <w:tcW w:w="1659" w:type="dxa"/>
          </w:tcPr>
          <w:p w14:paraId="5F14B023">
            <w:pPr>
              <w:spacing w:line="360" w:lineRule="auto"/>
              <w:rPr>
                <w:rFonts w:ascii="宋体" w:cs="宋体"/>
                <w:color w:val="auto"/>
                <w:szCs w:val="21"/>
                <w:highlight w:val="none"/>
              </w:rPr>
            </w:pPr>
            <w:r>
              <w:rPr>
                <w:rFonts w:hint="eastAsia" w:ascii="宋体" w:cs="宋体"/>
                <w:color w:val="auto"/>
                <w:kern w:val="0"/>
                <w:szCs w:val="21"/>
                <w:highlight w:val="none"/>
              </w:rPr>
              <w:t xml:space="preserve">  0.8%                </w:t>
            </w:r>
          </w:p>
        </w:tc>
        <w:tc>
          <w:tcPr>
            <w:tcW w:w="1687" w:type="dxa"/>
          </w:tcPr>
          <w:p w14:paraId="0C98D6A9">
            <w:pPr>
              <w:spacing w:line="360" w:lineRule="auto"/>
              <w:ind w:firstLine="210" w:firstLineChars="100"/>
              <w:rPr>
                <w:rFonts w:ascii="宋体" w:cs="宋体"/>
                <w:color w:val="auto"/>
                <w:szCs w:val="21"/>
                <w:highlight w:val="none"/>
              </w:rPr>
            </w:pPr>
            <w:r>
              <w:rPr>
                <w:rFonts w:hint="eastAsia" w:ascii="宋体" w:cs="宋体"/>
                <w:color w:val="auto"/>
                <w:kern w:val="0"/>
                <w:szCs w:val="21"/>
                <w:highlight w:val="none"/>
              </w:rPr>
              <w:t>0.45%</w:t>
            </w:r>
          </w:p>
        </w:tc>
        <w:tc>
          <w:tcPr>
            <w:tcW w:w="1659" w:type="dxa"/>
          </w:tcPr>
          <w:p w14:paraId="744E545E">
            <w:pPr>
              <w:spacing w:line="360" w:lineRule="auto"/>
              <w:ind w:firstLine="210" w:firstLineChars="100"/>
              <w:rPr>
                <w:rFonts w:ascii="宋体" w:cs="宋体"/>
                <w:color w:val="auto"/>
                <w:szCs w:val="21"/>
                <w:highlight w:val="none"/>
              </w:rPr>
            </w:pPr>
            <w:r>
              <w:rPr>
                <w:rFonts w:hint="eastAsia" w:ascii="宋体" w:cs="宋体"/>
                <w:color w:val="auto"/>
                <w:kern w:val="0"/>
                <w:szCs w:val="21"/>
                <w:highlight w:val="none"/>
              </w:rPr>
              <w:t>0.55%</w:t>
            </w:r>
          </w:p>
        </w:tc>
      </w:tr>
      <w:tr w14:paraId="65DF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6AE433D9">
            <w:pPr>
              <w:spacing w:line="360" w:lineRule="auto"/>
              <w:rPr>
                <w:rFonts w:ascii="宋体" w:cs="宋体"/>
                <w:color w:val="auto"/>
                <w:szCs w:val="21"/>
                <w:highlight w:val="none"/>
              </w:rPr>
            </w:pPr>
            <w:r>
              <w:rPr>
                <w:rFonts w:hint="eastAsia" w:ascii="宋体" w:cs="宋体"/>
                <w:color w:val="auto"/>
                <w:szCs w:val="21"/>
                <w:highlight w:val="none"/>
              </w:rPr>
              <w:t>1000～5000万元</w:t>
            </w:r>
          </w:p>
        </w:tc>
        <w:tc>
          <w:tcPr>
            <w:tcW w:w="1659" w:type="dxa"/>
          </w:tcPr>
          <w:p w14:paraId="5153C38E">
            <w:pPr>
              <w:spacing w:line="360" w:lineRule="auto"/>
              <w:ind w:firstLine="210" w:firstLineChars="100"/>
              <w:rPr>
                <w:rFonts w:ascii="宋体" w:cs="宋体"/>
                <w:color w:val="auto"/>
                <w:szCs w:val="21"/>
                <w:highlight w:val="none"/>
              </w:rPr>
            </w:pPr>
            <w:r>
              <w:rPr>
                <w:rFonts w:hint="eastAsia" w:ascii="宋体" w:cs="宋体"/>
                <w:color w:val="auto"/>
                <w:kern w:val="0"/>
                <w:szCs w:val="21"/>
                <w:highlight w:val="none"/>
              </w:rPr>
              <w:t xml:space="preserve">0.5%                </w:t>
            </w:r>
          </w:p>
        </w:tc>
        <w:tc>
          <w:tcPr>
            <w:tcW w:w="1687" w:type="dxa"/>
          </w:tcPr>
          <w:p w14:paraId="1B01ECF6">
            <w:pPr>
              <w:spacing w:line="360" w:lineRule="auto"/>
              <w:ind w:firstLine="210" w:firstLineChars="100"/>
              <w:rPr>
                <w:rFonts w:ascii="宋体" w:cs="宋体"/>
                <w:color w:val="auto"/>
                <w:szCs w:val="21"/>
                <w:highlight w:val="none"/>
              </w:rPr>
            </w:pPr>
            <w:r>
              <w:rPr>
                <w:rFonts w:hint="eastAsia" w:ascii="宋体" w:cs="宋体"/>
                <w:color w:val="auto"/>
                <w:kern w:val="0"/>
                <w:szCs w:val="21"/>
                <w:highlight w:val="none"/>
              </w:rPr>
              <w:t>0.25%</w:t>
            </w:r>
          </w:p>
        </w:tc>
        <w:tc>
          <w:tcPr>
            <w:tcW w:w="1659" w:type="dxa"/>
          </w:tcPr>
          <w:p w14:paraId="2935DE13">
            <w:pPr>
              <w:spacing w:line="360" w:lineRule="auto"/>
              <w:ind w:firstLine="210" w:firstLineChars="100"/>
              <w:rPr>
                <w:rFonts w:ascii="宋体" w:cs="宋体"/>
                <w:color w:val="auto"/>
                <w:szCs w:val="21"/>
                <w:highlight w:val="none"/>
              </w:rPr>
            </w:pPr>
            <w:r>
              <w:rPr>
                <w:rFonts w:hint="eastAsia" w:ascii="宋体" w:cs="宋体"/>
                <w:color w:val="auto"/>
                <w:kern w:val="0"/>
                <w:szCs w:val="21"/>
                <w:highlight w:val="none"/>
              </w:rPr>
              <w:t xml:space="preserve">0.35% </w:t>
            </w:r>
          </w:p>
        </w:tc>
      </w:tr>
      <w:tr w14:paraId="3478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7881FEA1">
            <w:pPr>
              <w:spacing w:line="360" w:lineRule="auto"/>
              <w:rPr>
                <w:rFonts w:ascii="宋体" w:cs="宋体"/>
                <w:color w:val="auto"/>
                <w:szCs w:val="21"/>
                <w:highlight w:val="none"/>
              </w:rPr>
            </w:pPr>
            <w:r>
              <w:rPr>
                <w:rFonts w:hint="eastAsia" w:ascii="宋体" w:cs="宋体"/>
                <w:color w:val="auto"/>
                <w:szCs w:val="21"/>
                <w:highlight w:val="none"/>
              </w:rPr>
              <w:t>5000万元～1亿元</w:t>
            </w:r>
          </w:p>
        </w:tc>
        <w:tc>
          <w:tcPr>
            <w:tcW w:w="1659" w:type="dxa"/>
          </w:tcPr>
          <w:p w14:paraId="09FAA18A">
            <w:pPr>
              <w:spacing w:line="360" w:lineRule="auto"/>
              <w:ind w:firstLine="210" w:firstLineChars="100"/>
              <w:rPr>
                <w:rFonts w:ascii="宋体" w:cs="宋体"/>
                <w:color w:val="auto"/>
                <w:szCs w:val="21"/>
                <w:highlight w:val="none"/>
              </w:rPr>
            </w:pPr>
            <w:r>
              <w:rPr>
                <w:rFonts w:hint="eastAsia" w:ascii="宋体" w:cs="宋体"/>
                <w:color w:val="auto"/>
                <w:kern w:val="0"/>
                <w:szCs w:val="21"/>
                <w:highlight w:val="none"/>
              </w:rPr>
              <w:t xml:space="preserve">0.25%                 </w:t>
            </w:r>
          </w:p>
        </w:tc>
        <w:tc>
          <w:tcPr>
            <w:tcW w:w="1687" w:type="dxa"/>
          </w:tcPr>
          <w:p w14:paraId="5037B63C">
            <w:pPr>
              <w:spacing w:line="360" w:lineRule="auto"/>
              <w:ind w:firstLine="210" w:firstLineChars="100"/>
              <w:rPr>
                <w:rFonts w:ascii="宋体" w:cs="宋体"/>
                <w:color w:val="auto"/>
                <w:szCs w:val="21"/>
                <w:highlight w:val="none"/>
              </w:rPr>
            </w:pPr>
            <w:r>
              <w:rPr>
                <w:rFonts w:hint="eastAsia" w:ascii="宋体" w:cs="宋体"/>
                <w:color w:val="auto"/>
                <w:kern w:val="0"/>
                <w:szCs w:val="21"/>
                <w:highlight w:val="none"/>
              </w:rPr>
              <w:t>0.1%</w:t>
            </w:r>
          </w:p>
        </w:tc>
        <w:tc>
          <w:tcPr>
            <w:tcW w:w="1659" w:type="dxa"/>
          </w:tcPr>
          <w:p w14:paraId="493B193B">
            <w:pPr>
              <w:spacing w:line="360" w:lineRule="auto"/>
              <w:ind w:firstLine="210" w:firstLineChars="100"/>
              <w:rPr>
                <w:rFonts w:ascii="宋体" w:cs="宋体"/>
                <w:color w:val="auto"/>
                <w:szCs w:val="21"/>
                <w:highlight w:val="none"/>
              </w:rPr>
            </w:pPr>
            <w:r>
              <w:rPr>
                <w:rFonts w:hint="eastAsia" w:ascii="宋体" w:cs="宋体"/>
                <w:color w:val="auto"/>
                <w:kern w:val="0"/>
                <w:szCs w:val="21"/>
                <w:highlight w:val="none"/>
              </w:rPr>
              <w:t>0.2%</w:t>
            </w:r>
          </w:p>
        </w:tc>
      </w:tr>
      <w:tr w14:paraId="2D63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2702152F">
            <w:pPr>
              <w:spacing w:line="360" w:lineRule="auto"/>
              <w:rPr>
                <w:rFonts w:ascii="宋体" w:cs="宋体"/>
                <w:color w:val="auto"/>
                <w:szCs w:val="21"/>
                <w:highlight w:val="none"/>
              </w:rPr>
            </w:pPr>
            <w:r>
              <w:rPr>
                <w:rFonts w:hint="eastAsia" w:ascii="宋体" w:cs="宋体"/>
                <w:color w:val="auto"/>
                <w:szCs w:val="21"/>
                <w:highlight w:val="none"/>
              </w:rPr>
              <w:t>1～5亿元</w:t>
            </w:r>
          </w:p>
        </w:tc>
        <w:tc>
          <w:tcPr>
            <w:tcW w:w="1659" w:type="dxa"/>
          </w:tcPr>
          <w:p w14:paraId="3B197137">
            <w:pPr>
              <w:spacing w:line="360" w:lineRule="auto"/>
              <w:ind w:firstLine="210" w:firstLineChars="100"/>
              <w:rPr>
                <w:rFonts w:ascii="宋体" w:cs="宋体"/>
                <w:color w:val="auto"/>
                <w:szCs w:val="21"/>
                <w:highlight w:val="none"/>
              </w:rPr>
            </w:pPr>
            <w:r>
              <w:rPr>
                <w:rFonts w:hint="eastAsia" w:ascii="宋体" w:cs="宋体"/>
                <w:color w:val="auto"/>
                <w:szCs w:val="21"/>
                <w:highlight w:val="none"/>
              </w:rPr>
              <w:t>0.05%</w:t>
            </w:r>
          </w:p>
        </w:tc>
        <w:tc>
          <w:tcPr>
            <w:tcW w:w="1687" w:type="dxa"/>
          </w:tcPr>
          <w:p w14:paraId="47F686F0">
            <w:pPr>
              <w:spacing w:line="360" w:lineRule="auto"/>
              <w:rPr>
                <w:rFonts w:ascii="宋体" w:cs="宋体"/>
                <w:color w:val="auto"/>
                <w:szCs w:val="21"/>
                <w:highlight w:val="none"/>
              </w:rPr>
            </w:pPr>
            <w:r>
              <w:rPr>
                <w:rFonts w:hint="eastAsia" w:ascii="宋体" w:cs="宋体"/>
                <w:color w:val="auto"/>
                <w:szCs w:val="21"/>
                <w:highlight w:val="none"/>
              </w:rPr>
              <w:t xml:space="preserve">  0.05%</w:t>
            </w:r>
          </w:p>
        </w:tc>
        <w:tc>
          <w:tcPr>
            <w:tcW w:w="1659" w:type="dxa"/>
          </w:tcPr>
          <w:p w14:paraId="5B5F52EA">
            <w:pPr>
              <w:spacing w:line="360" w:lineRule="auto"/>
              <w:rPr>
                <w:rFonts w:ascii="宋体" w:cs="宋体"/>
                <w:color w:val="auto"/>
                <w:szCs w:val="21"/>
                <w:highlight w:val="none"/>
              </w:rPr>
            </w:pPr>
            <w:r>
              <w:rPr>
                <w:rFonts w:hint="eastAsia" w:ascii="宋体" w:cs="宋体"/>
                <w:color w:val="auto"/>
                <w:szCs w:val="21"/>
                <w:highlight w:val="none"/>
              </w:rPr>
              <w:t xml:space="preserve">  0.05%</w:t>
            </w:r>
          </w:p>
        </w:tc>
      </w:tr>
      <w:tr w14:paraId="25AF7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1D9DF6E5">
            <w:pPr>
              <w:spacing w:line="360" w:lineRule="auto"/>
              <w:rPr>
                <w:rFonts w:ascii="宋体" w:cs="宋体"/>
                <w:color w:val="auto"/>
                <w:szCs w:val="21"/>
                <w:highlight w:val="none"/>
              </w:rPr>
            </w:pPr>
            <w:r>
              <w:rPr>
                <w:rFonts w:hint="eastAsia" w:ascii="宋体" w:cs="宋体"/>
                <w:color w:val="auto"/>
                <w:szCs w:val="21"/>
                <w:highlight w:val="none"/>
              </w:rPr>
              <w:t>5～10亿元</w:t>
            </w:r>
          </w:p>
        </w:tc>
        <w:tc>
          <w:tcPr>
            <w:tcW w:w="1659" w:type="dxa"/>
          </w:tcPr>
          <w:p w14:paraId="05F007B9">
            <w:pPr>
              <w:spacing w:line="360" w:lineRule="auto"/>
              <w:ind w:firstLine="105" w:firstLineChars="50"/>
              <w:rPr>
                <w:rFonts w:ascii="宋体" w:cs="宋体"/>
                <w:color w:val="auto"/>
                <w:szCs w:val="21"/>
                <w:highlight w:val="none"/>
              </w:rPr>
            </w:pPr>
            <w:r>
              <w:rPr>
                <w:rFonts w:hint="eastAsia" w:ascii="宋体" w:cs="宋体"/>
                <w:color w:val="auto"/>
                <w:szCs w:val="21"/>
                <w:highlight w:val="none"/>
              </w:rPr>
              <w:t>0.035%</w:t>
            </w:r>
          </w:p>
        </w:tc>
        <w:tc>
          <w:tcPr>
            <w:tcW w:w="1687" w:type="dxa"/>
          </w:tcPr>
          <w:p w14:paraId="01361B6B">
            <w:pPr>
              <w:spacing w:line="360" w:lineRule="auto"/>
              <w:rPr>
                <w:rFonts w:ascii="宋体" w:cs="宋体"/>
                <w:color w:val="auto"/>
                <w:szCs w:val="21"/>
                <w:highlight w:val="none"/>
              </w:rPr>
            </w:pPr>
            <w:r>
              <w:rPr>
                <w:rFonts w:hint="eastAsia" w:ascii="宋体" w:cs="宋体"/>
                <w:color w:val="auto"/>
                <w:szCs w:val="21"/>
                <w:highlight w:val="none"/>
              </w:rPr>
              <w:t xml:space="preserve">  0.035%</w:t>
            </w:r>
          </w:p>
        </w:tc>
        <w:tc>
          <w:tcPr>
            <w:tcW w:w="1659" w:type="dxa"/>
          </w:tcPr>
          <w:p w14:paraId="28C854B6">
            <w:pPr>
              <w:spacing w:line="360" w:lineRule="auto"/>
              <w:ind w:firstLine="105" w:firstLineChars="50"/>
              <w:rPr>
                <w:rFonts w:ascii="宋体" w:cs="宋体"/>
                <w:color w:val="auto"/>
                <w:szCs w:val="21"/>
                <w:highlight w:val="none"/>
              </w:rPr>
            </w:pPr>
            <w:r>
              <w:rPr>
                <w:rFonts w:hint="eastAsia" w:ascii="宋体" w:cs="宋体"/>
                <w:color w:val="auto"/>
                <w:szCs w:val="21"/>
                <w:highlight w:val="none"/>
              </w:rPr>
              <w:t>0.035%</w:t>
            </w:r>
          </w:p>
        </w:tc>
      </w:tr>
      <w:tr w14:paraId="5B63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2D82ACE8">
            <w:pPr>
              <w:spacing w:line="360" w:lineRule="auto"/>
              <w:rPr>
                <w:rFonts w:ascii="宋体" w:cs="宋体"/>
                <w:color w:val="auto"/>
                <w:szCs w:val="21"/>
                <w:highlight w:val="none"/>
              </w:rPr>
            </w:pPr>
            <w:r>
              <w:rPr>
                <w:rFonts w:hint="eastAsia" w:ascii="宋体" w:cs="宋体"/>
                <w:color w:val="auto"/>
                <w:szCs w:val="21"/>
                <w:highlight w:val="none"/>
              </w:rPr>
              <w:t>10～50亿元</w:t>
            </w:r>
          </w:p>
        </w:tc>
        <w:tc>
          <w:tcPr>
            <w:tcW w:w="1659" w:type="dxa"/>
          </w:tcPr>
          <w:p w14:paraId="07FC14C4">
            <w:pPr>
              <w:spacing w:line="360" w:lineRule="auto"/>
              <w:ind w:firstLine="105" w:firstLineChars="50"/>
              <w:rPr>
                <w:rFonts w:ascii="宋体" w:cs="宋体"/>
                <w:color w:val="auto"/>
                <w:szCs w:val="21"/>
                <w:highlight w:val="none"/>
              </w:rPr>
            </w:pPr>
            <w:r>
              <w:rPr>
                <w:rFonts w:hint="eastAsia" w:ascii="宋体" w:cs="宋体"/>
                <w:color w:val="auto"/>
                <w:szCs w:val="21"/>
                <w:highlight w:val="none"/>
              </w:rPr>
              <w:t>0.008%</w:t>
            </w:r>
          </w:p>
        </w:tc>
        <w:tc>
          <w:tcPr>
            <w:tcW w:w="1687" w:type="dxa"/>
          </w:tcPr>
          <w:p w14:paraId="0396080C">
            <w:pPr>
              <w:spacing w:line="360" w:lineRule="auto"/>
              <w:ind w:firstLine="210" w:firstLineChars="100"/>
              <w:rPr>
                <w:rFonts w:ascii="宋体" w:cs="宋体"/>
                <w:color w:val="auto"/>
                <w:szCs w:val="21"/>
                <w:highlight w:val="none"/>
              </w:rPr>
            </w:pPr>
            <w:r>
              <w:rPr>
                <w:rFonts w:hint="eastAsia" w:ascii="宋体" w:cs="宋体"/>
                <w:color w:val="auto"/>
                <w:szCs w:val="21"/>
                <w:highlight w:val="none"/>
              </w:rPr>
              <w:t>0.008%</w:t>
            </w:r>
          </w:p>
        </w:tc>
        <w:tc>
          <w:tcPr>
            <w:tcW w:w="1659" w:type="dxa"/>
          </w:tcPr>
          <w:p w14:paraId="635FEF54">
            <w:pPr>
              <w:spacing w:line="360" w:lineRule="auto"/>
              <w:ind w:firstLine="105" w:firstLineChars="50"/>
              <w:rPr>
                <w:rFonts w:ascii="宋体" w:cs="宋体"/>
                <w:color w:val="auto"/>
                <w:szCs w:val="21"/>
                <w:highlight w:val="none"/>
              </w:rPr>
            </w:pPr>
            <w:r>
              <w:rPr>
                <w:rFonts w:hint="eastAsia" w:ascii="宋体" w:cs="宋体"/>
                <w:color w:val="auto"/>
                <w:szCs w:val="21"/>
                <w:highlight w:val="none"/>
              </w:rPr>
              <w:t>0.008%</w:t>
            </w:r>
          </w:p>
        </w:tc>
      </w:tr>
      <w:tr w14:paraId="10BC2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217046EB">
            <w:pPr>
              <w:spacing w:line="360" w:lineRule="auto"/>
              <w:rPr>
                <w:rFonts w:ascii="宋体" w:cs="宋体"/>
                <w:color w:val="auto"/>
                <w:szCs w:val="21"/>
                <w:highlight w:val="none"/>
              </w:rPr>
            </w:pPr>
            <w:r>
              <w:rPr>
                <w:rFonts w:hint="eastAsia" w:ascii="宋体" w:cs="宋体"/>
                <w:color w:val="auto"/>
                <w:szCs w:val="21"/>
                <w:highlight w:val="none"/>
              </w:rPr>
              <w:t>50～100亿元</w:t>
            </w:r>
          </w:p>
        </w:tc>
        <w:tc>
          <w:tcPr>
            <w:tcW w:w="1659" w:type="dxa"/>
          </w:tcPr>
          <w:p w14:paraId="5888A1BE">
            <w:pPr>
              <w:spacing w:line="360" w:lineRule="auto"/>
              <w:rPr>
                <w:rFonts w:ascii="宋体" w:cs="宋体"/>
                <w:color w:val="auto"/>
                <w:szCs w:val="21"/>
                <w:highlight w:val="none"/>
              </w:rPr>
            </w:pPr>
            <w:r>
              <w:rPr>
                <w:rFonts w:hint="eastAsia" w:ascii="宋体" w:cs="宋体"/>
                <w:color w:val="auto"/>
                <w:szCs w:val="21"/>
                <w:highlight w:val="none"/>
              </w:rPr>
              <w:t xml:space="preserve"> 0.006%</w:t>
            </w:r>
          </w:p>
        </w:tc>
        <w:tc>
          <w:tcPr>
            <w:tcW w:w="1687" w:type="dxa"/>
          </w:tcPr>
          <w:p w14:paraId="4605B373">
            <w:pPr>
              <w:spacing w:line="360" w:lineRule="auto"/>
              <w:ind w:firstLine="210" w:firstLineChars="100"/>
              <w:rPr>
                <w:rFonts w:ascii="宋体" w:cs="宋体"/>
                <w:color w:val="auto"/>
                <w:szCs w:val="21"/>
                <w:highlight w:val="none"/>
              </w:rPr>
            </w:pPr>
            <w:r>
              <w:rPr>
                <w:rFonts w:hint="eastAsia" w:ascii="宋体" w:cs="宋体"/>
                <w:color w:val="auto"/>
                <w:szCs w:val="21"/>
                <w:highlight w:val="none"/>
              </w:rPr>
              <w:t>0.006%</w:t>
            </w:r>
          </w:p>
        </w:tc>
        <w:tc>
          <w:tcPr>
            <w:tcW w:w="1659" w:type="dxa"/>
          </w:tcPr>
          <w:p w14:paraId="6D1AAD9E">
            <w:pPr>
              <w:spacing w:line="360" w:lineRule="auto"/>
              <w:ind w:firstLine="105" w:firstLineChars="50"/>
              <w:rPr>
                <w:rFonts w:ascii="宋体" w:cs="宋体"/>
                <w:color w:val="auto"/>
                <w:szCs w:val="21"/>
                <w:highlight w:val="none"/>
              </w:rPr>
            </w:pPr>
            <w:r>
              <w:rPr>
                <w:rFonts w:hint="eastAsia" w:ascii="宋体" w:cs="宋体"/>
                <w:color w:val="auto"/>
                <w:szCs w:val="21"/>
                <w:highlight w:val="none"/>
              </w:rPr>
              <w:t>0.006%</w:t>
            </w:r>
          </w:p>
        </w:tc>
      </w:tr>
      <w:tr w14:paraId="3C3E5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F43E4C3">
            <w:pPr>
              <w:spacing w:line="360" w:lineRule="auto"/>
              <w:rPr>
                <w:rFonts w:ascii="宋体" w:cs="宋体"/>
                <w:color w:val="auto"/>
                <w:szCs w:val="21"/>
                <w:highlight w:val="none"/>
              </w:rPr>
            </w:pPr>
            <w:r>
              <w:rPr>
                <w:rFonts w:hint="eastAsia" w:ascii="宋体" w:cs="宋体"/>
                <w:color w:val="auto"/>
                <w:szCs w:val="21"/>
                <w:highlight w:val="none"/>
              </w:rPr>
              <w:t>100亿</w:t>
            </w:r>
            <w:r>
              <w:rPr>
                <w:rFonts w:hint="eastAsia"/>
                <w:color w:val="auto"/>
                <w:highlight w:val="none"/>
                <w:lang w:val="en-US" w:eastAsia="zh-CN"/>
              </w:rPr>
              <w:t>元</w:t>
            </w:r>
            <w:r>
              <w:rPr>
                <w:rFonts w:hint="eastAsia" w:ascii="宋体" w:cs="宋体"/>
                <w:color w:val="auto"/>
                <w:szCs w:val="21"/>
                <w:highlight w:val="none"/>
              </w:rPr>
              <w:t>以上</w:t>
            </w:r>
          </w:p>
        </w:tc>
        <w:tc>
          <w:tcPr>
            <w:tcW w:w="1659" w:type="dxa"/>
          </w:tcPr>
          <w:p w14:paraId="257D6153">
            <w:pPr>
              <w:spacing w:line="360" w:lineRule="auto"/>
              <w:rPr>
                <w:rFonts w:ascii="宋体" w:cs="宋体"/>
                <w:color w:val="auto"/>
                <w:szCs w:val="21"/>
                <w:highlight w:val="none"/>
              </w:rPr>
            </w:pPr>
            <w:r>
              <w:rPr>
                <w:rFonts w:hint="eastAsia" w:ascii="宋体" w:cs="宋体"/>
                <w:color w:val="auto"/>
                <w:szCs w:val="21"/>
                <w:highlight w:val="none"/>
              </w:rPr>
              <w:t xml:space="preserve"> 0.004%</w:t>
            </w:r>
          </w:p>
        </w:tc>
        <w:tc>
          <w:tcPr>
            <w:tcW w:w="1687" w:type="dxa"/>
          </w:tcPr>
          <w:p w14:paraId="4C349F01">
            <w:pPr>
              <w:spacing w:line="360" w:lineRule="auto"/>
              <w:ind w:firstLine="210" w:firstLineChars="100"/>
              <w:rPr>
                <w:rFonts w:ascii="宋体" w:cs="宋体"/>
                <w:color w:val="auto"/>
                <w:szCs w:val="21"/>
                <w:highlight w:val="none"/>
              </w:rPr>
            </w:pPr>
            <w:r>
              <w:rPr>
                <w:rFonts w:hint="eastAsia" w:ascii="宋体" w:cs="宋体"/>
                <w:color w:val="auto"/>
                <w:szCs w:val="21"/>
                <w:highlight w:val="none"/>
              </w:rPr>
              <w:t>0.004%</w:t>
            </w:r>
          </w:p>
        </w:tc>
        <w:tc>
          <w:tcPr>
            <w:tcW w:w="1659" w:type="dxa"/>
          </w:tcPr>
          <w:p w14:paraId="1962986F">
            <w:pPr>
              <w:spacing w:line="360" w:lineRule="auto"/>
              <w:ind w:firstLine="105" w:firstLineChars="50"/>
              <w:rPr>
                <w:rFonts w:ascii="宋体" w:cs="宋体"/>
                <w:color w:val="auto"/>
                <w:szCs w:val="21"/>
                <w:highlight w:val="none"/>
              </w:rPr>
            </w:pPr>
            <w:r>
              <w:rPr>
                <w:rFonts w:hint="eastAsia" w:ascii="宋体" w:cs="宋体"/>
                <w:color w:val="auto"/>
                <w:szCs w:val="21"/>
                <w:highlight w:val="none"/>
              </w:rPr>
              <w:t>0.004%</w:t>
            </w:r>
          </w:p>
        </w:tc>
      </w:tr>
    </w:tbl>
    <w:p w14:paraId="4A3D7D67">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 xml:space="preserve">注： </w:t>
      </w:r>
    </w:p>
    <w:p w14:paraId="1B2D5004">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（1）按本表费率计算的收费为采购代理的收费基准价格；</w:t>
      </w:r>
    </w:p>
    <w:p w14:paraId="1459A2FF">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（2）采购代理收费按差额定率累进法计算。</w:t>
      </w:r>
    </w:p>
    <w:p w14:paraId="712F44F5">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例如：某货物采购代理业务中标金额或者暂定价为200万元，计算采购代理收费额如下：</w:t>
      </w:r>
    </w:p>
    <w:p w14:paraId="44A4F861">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100 万元×l.5 ％＝ 1.5 万元</w:t>
      </w:r>
    </w:p>
    <w:p w14:paraId="396811C6">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 200 － 100 ）万元 ×1.1％＝1.1万元</w:t>
      </w:r>
    </w:p>
    <w:p w14:paraId="4416F685">
      <w:pPr>
        <w:pStyle w:val="16"/>
        <w:snapToGrid w:val="0"/>
        <w:spacing w:before="120" w:after="120" w:line="360" w:lineRule="auto"/>
        <w:ind w:firstLine="420" w:firstLineChars="200"/>
        <w:rPr>
          <w:rFonts w:hint="eastAsia" w:cs="宋体"/>
          <w:color w:val="auto"/>
          <w:highlight w:val="none"/>
        </w:rPr>
      </w:pPr>
      <w:r>
        <w:rPr>
          <w:rFonts w:hint="eastAsia" w:cs="宋体"/>
          <w:color w:val="auto"/>
          <w:highlight w:val="none"/>
        </w:rPr>
        <w:t>合计收费＝ 1.5+1.1＝ 2.6 （万元）</w:t>
      </w:r>
    </w:p>
    <w:p w14:paraId="5E5FD12E">
      <w:pPr>
        <w:pStyle w:val="16"/>
        <w:snapToGrid w:val="0"/>
        <w:spacing w:before="120" w:after="120" w:line="360" w:lineRule="auto"/>
        <w:ind w:firstLine="480" w:firstLineChars="200"/>
        <w:rPr>
          <w:rFonts w:hint="eastAsia" w:ascii="宋体" w:cs="宋体"/>
          <w:b w:val="0"/>
          <w:bCs w:val="0"/>
          <w:color w:val="auto"/>
          <w:sz w:val="24"/>
          <w:szCs w:val="24"/>
          <w:highlight w:val="none"/>
        </w:rPr>
      </w:pPr>
      <w:r>
        <w:rPr>
          <w:rFonts w:hint="eastAsia" w:ascii="宋体" w:cs="宋体"/>
          <w:b w:val="0"/>
          <w:bCs w:val="0"/>
          <w:color w:val="auto"/>
          <w:sz w:val="24"/>
          <w:szCs w:val="24"/>
          <w:highlight w:val="none"/>
        </w:rPr>
        <w:t>41.需要补充的其他内容</w:t>
      </w:r>
    </w:p>
    <w:p w14:paraId="6A34AED9">
      <w:pPr>
        <w:pStyle w:val="16"/>
        <w:snapToGrid w:val="0"/>
        <w:spacing w:before="120" w:after="120" w:line="360" w:lineRule="auto"/>
        <w:ind w:firstLine="420" w:firstLineChars="200"/>
        <w:rPr>
          <w:rFonts w:hint="eastAsia" w:ascii="宋体" w:cs="宋体"/>
          <w:color w:val="auto"/>
          <w:highlight w:val="none"/>
        </w:rPr>
      </w:pPr>
      <w:r>
        <w:rPr>
          <w:rFonts w:hint="eastAsia" w:ascii="宋体" w:cs="宋体"/>
          <w:color w:val="auto"/>
          <w:highlight w:val="none"/>
        </w:rPr>
        <w:t>41.1本招标文件解释规则详见“投标人须知前附表”。</w:t>
      </w:r>
    </w:p>
    <w:p w14:paraId="4122688F">
      <w:pPr>
        <w:pStyle w:val="16"/>
        <w:snapToGrid w:val="0"/>
        <w:spacing w:before="120" w:after="120" w:line="360" w:lineRule="auto"/>
        <w:ind w:firstLine="420" w:firstLineChars="200"/>
        <w:rPr>
          <w:rFonts w:hint="eastAsia" w:ascii="宋体" w:cs="宋体"/>
          <w:color w:val="auto"/>
          <w:highlight w:val="none"/>
        </w:rPr>
      </w:pPr>
      <w:r>
        <w:rPr>
          <w:rFonts w:hint="eastAsia" w:ascii="宋体" w:cs="宋体"/>
          <w:color w:val="auto"/>
          <w:highlight w:val="none"/>
        </w:rPr>
        <w:t>41.2 其他事项详见“投标人须知前附表”。</w:t>
      </w:r>
    </w:p>
    <w:p w14:paraId="24B310DC">
      <w:pPr>
        <w:pStyle w:val="16"/>
        <w:snapToGrid w:val="0"/>
        <w:spacing w:before="120" w:after="120" w:line="360" w:lineRule="auto"/>
        <w:ind w:firstLine="420" w:firstLineChars="200"/>
        <w:rPr>
          <w:rFonts w:hint="eastAsia" w:cs="宋体"/>
          <w:color w:val="auto"/>
          <w:highlight w:val="none"/>
        </w:rPr>
      </w:pPr>
      <w:r>
        <w:rPr>
          <w:rFonts w:hint="eastAsia" w:cs="宋体"/>
          <w:color w:val="auto"/>
          <w:highlight w:val="none"/>
        </w:rPr>
        <w:t>41.3</w:t>
      </w:r>
      <w:bookmarkStart w:id="207" w:name="_Hlk65857140"/>
      <w:r>
        <w:rPr>
          <w:rFonts w:hint="eastAsia" w:cs="宋体"/>
          <w:color w:val="auto"/>
          <w:highlight w:val="non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按照《财政部、司法部关于政府采购支持监狱企业发展有关问题的通知》（财库〔2014〕68号）的规定，在政府采购活动中，监狱企业视同小型、微型企业，享受预留份额、评审中价格扣除等政府采购促进中小企业发展的政府采购政策。按照《关于促进残疾人就业政府采购政策的通知》（财库〔2017〕141号）的规定，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0EE668F2">
      <w:pPr>
        <w:pStyle w:val="16"/>
        <w:snapToGrid w:val="0"/>
        <w:spacing w:before="120" w:after="120" w:line="360" w:lineRule="auto"/>
        <w:ind w:firstLine="420" w:firstLineChars="200"/>
        <w:rPr>
          <w:rFonts w:hint="eastAsia" w:cs="宋体"/>
          <w:color w:val="auto"/>
          <w:highlight w:val="none"/>
        </w:rPr>
      </w:pPr>
      <w:r>
        <w:rPr>
          <w:rFonts w:hint="eastAsia" w:cs="宋体"/>
          <w:color w:val="auto"/>
          <w:highlight w:val="none"/>
        </w:rPr>
        <w:t>在政府采购活动中，投标人提供的货物由中小企业制造，即货物由中小企业生产且使用该中小企业商号或者注册商标，不对其中涉及的工程承建商和服务的承接商作出要求的，享受本文件规定的中小企业扶持政策。</w:t>
      </w:r>
    </w:p>
    <w:p w14:paraId="4C90590E">
      <w:pPr>
        <w:pStyle w:val="16"/>
        <w:snapToGrid w:val="0"/>
        <w:spacing w:before="120" w:after="120" w:line="360" w:lineRule="auto"/>
        <w:ind w:firstLine="420" w:firstLineChars="200"/>
        <w:rPr>
          <w:rFonts w:hint="eastAsia" w:cs="宋体"/>
          <w:color w:val="auto"/>
          <w:highlight w:val="none"/>
        </w:rPr>
      </w:pPr>
      <w:r>
        <w:rPr>
          <w:rFonts w:hint="eastAsia" w:cs="宋体"/>
          <w:color w:val="auto"/>
          <w:highlight w:val="none"/>
        </w:rPr>
        <w:t>在货物采购项目中，投标人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55E847AD">
      <w:pPr>
        <w:pStyle w:val="16"/>
        <w:snapToGrid w:val="0"/>
        <w:spacing w:before="120" w:after="120" w:line="360" w:lineRule="auto"/>
        <w:ind w:firstLine="420" w:firstLineChars="200"/>
        <w:rPr>
          <w:rFonts w:hint="eastAsia" w:cs="宋体"/>
          <w:color w:val="auto"/>
          <w:highlight w:val="none"/>
        </w:rPr>
      </w:pPr>
      <w:r>
        <w:rPr>
          <w:rFonts w:hint="eastAsia" w:cs="宋体"/>
          <w:color w:val="auto"/>
          <w:highlight w:val="none"/>
        </w:rPr>
        <w:t>依据本文件规定享受扶持政策获得政府采购合同的，小微企业不得将合同分包给大中型企业，中型企业不得将合同分包给大型企业。</w:t>
      </w:r>
      <w:bookmarkEnd w:id="207"/>
    </w:p>
    <w:p w14:paraId="2D883F9E">
      <w:pPr>
        <w:pStyle w:val="16"/>
        <w:snapToGrid w:val="0"/>
        <w:spacing w:before="120" w:after="120" w:line="360" w:lineRule="auto"/>
        <w:ind w:firstLine="420" w:firstLineChars="200"/>
        <w:rPr>
          <w:rFonts w:hint="eastAsia" w:ascii="宋体" w:cs="宋体"/>
          <w:b w:val="0"/>
          <w:bCs w:val="0"/>
          <w:color w:val="auto"/>
          <w:sz w:val="24"/>
          <w:szCs w:val="24"/>
          <w:highlight w:val="none"/>
        </w:rPr>
      </w:pPr>
      <w:r>
        <w:rPr>
          <w:rFonts w:hint="eastAsia" w:ascii="宋体" w:hAnsi="Times New Roman" w:eastAsia="宋体" w:cs="宋体"/>
          <w:color w:val="auto"/>
          <w:highlight w:val="none"/>
        </w:rPr>
        <w:t>41.4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0BD9F89">
      <w:pPr>
        <w:pStyle w:val="16"/>
        <w:spacing w:before="120" w:after="120" w:line="360" w:lineRule="auto"/>
        <w:ind w:firstLine="480" w:firstLineChars="200"/>
        <w:contextualSpacing/>
        <w:rPr>
          <w:rFonts w:hint="eastAsia" w:ascii="宋体" w:hAnsi="宋体" w:eastAsia="宋体" w:cs="宋体"/>
          <w:b/>
          <w:bCs/>
          <w:color w:val="auto"/>
          <w:sz w:val="21"/>
          <w:szCs w:val="21"/>
          <w:highlight w:val="none"/>
        </w:rPr>
      </w:pPr>
      <w:r>
        <w:rPr>
          <w:rFonts w:hint="eastAsia" w:ascii="宋体" w:cs="宋体"/>
          <w:b w:val="0"/>
          <w:bCs w:val="0"/>
          <w:color w:val="auto"/>
          <w:sz w:val="24"/>
          <w:szCs w:val="24"/>
          <w:highlight w:val="none"/>
        </w:rPr>
        <w:t>42.</w:t>
      </w:r>
      <w:r>
        <w:rPr>
          <w:rFonts w:hint="eastAsia" w:ascii="宋体" w:hAnsi="宋体" w:eastAsia="宋体" w:cs="宋体"/>
          <w:b/>
          <w:bCs/>
          <w:color w:val="auto"/>
          <w:sz w:val="21"/>
          <w:szCs w:val="21"/>
          <w:highlight w:val="none"/>
        </w:rPr>
        <w:t xml:space="preserve"> 崇左市线上“政采贷”政策告知函</w:t>
      </w:r>
    </w:p>
    <w:p w14:paraId="09EA2925">
      <w:pPr>
        <w:spacing w:line="580" w:lineRule="exact"/>
        <w:jc w:val="center"/>
        <w:rPr>
          <w:rFonts w:hint="eastAsia" w:ascii="方正小标宋_GBK" w:eastAsia="方正小标宋_GBK"/>
          <w:color w:val="auto"/>
          <w:sz w:val="44"/>
          <w:szCs w:val="44"/>
          <w:highlight w:val="none"/>
        </w:rPr>
      </w:pPr>
    </w:p>
    <w:p w14:paraId="55D1D991">
      <w:pPr>
        <w:spacing w:line="580" w:lineRule="exact"/>
        <w:jc w:val="center"/>
        <w:rPr>
          <w:rFonts w:hint="eastAsia" w:ascii="方正小标宋_GBK" w:eastAsia="方正小标宋_GBK"/>
          <w:color w:val="auto"/>
          <w:sz w:val="44"/>
          <w:szCs w:val="44"/>
          <w:highlight w:val="none"/>
        </w:rPr>
      </w:pPr>
      <w:r>
        <w:rPr>
          <w:rFonts w:hint="eastAsia" w:ascii="方正小标宋_GBK" w:eastAsia="方正小标宋_GBK"/>
          <w:color w:val="auto"/>
          <w:sz w:val="44"/>
          <w:szCs w:val="44"/>
          <w:highlight w:val="none"/>
        </w:rPr>
        <w:t>崇左市线上“政采贷”政策告知函</w:t>
      </w:r>
    </w:p>
    <w:p w14:paraId="09F5C676">
      <w:pPr>
        <w:spacing w:line="580" w:lineRule="exact"/>
        <w:rPr>
          <w:rFonts w:hint="eastAsia" w:ascii="宋体" w:hAnsi="宋体" w:eastAsia="宋体" w:cs="宋体"/>
          <w:color w:val="auto"/>
          <w:szCs w:val="32"/>
          <w:highlight w:val="none"/>
        </w:rPr>
      </w:pPr>
      <w:r>
        <w:rPr>
          <w:rFonts w:hint="eastAsia" w:ascii="宋体" w:hAnsi="宋体" w:eastAsia="宋体" w:cs="宋体"/>
          <w:color w:val="auto"/>
          <w:szCs w:val="32"/>
          <w:highlight w:val="none"/>
        </w:rPr>
        <w:t>各供应商：</w:t>
      </w:r>
    </w:p>
    <w:p w14:paraId="046EA628">
      <w:pPr>
        <w:spacing w:line="580" w:lineRule="exact"/>
        <w:ind w:firstLine="420" w:firstLineChars="200"/>
        <w:rPr>
          <w:rFonts w:hint="eastAsia" w:ascii="宋体" w:hAnsi="宋体" w:eastAsia="宋体" w:cs="宋体"/>
          <w:color w:val="auto"/>
          <w:szCs w:val="32"/>
          <w:highlight w:val="none"/>
        </w:rPr>
      </w:pPr>
      <w:r>
        <w:rPr>
          <w:rFonts w:hint="eastAsia" w:ascii="宋体" w:hAnsi="宋体" w:eastAsia="宋体" w:cs="宋体"/>
          <w:color w:val="auto"/>
          <w:szCs w:val="32"/>
          <w:highlight w:val="none"/>
        </w:rPr>
        <w:t>欢迎贵公司参与崇左市政府采购活动！</w:t>
      </w:r>
    </w:p>
    <w:p w14:paraId="43A8DD77">
      <w:pPr>
        <w:spacing w:line="580" w:lineRule="exact"/>
        <w:ind w:firstLine="420" w:firstLineChars="200"/>
        <w:rPr>
          <w:rFonts w:hint="eastAsia" w:ascii="宋体" w:hAnsi="宋体" w:eastAsia="宋体" w:cs="宋体"/>
          <w:color w:val="auto"/>
          <w:szCs w:val="32"/>
          <w:highlight w:val="none"/>
        </w:rPr>
      </w:pPr>
      <w:r>
        <w:rPr>
          <w:rFonts w:hint="eastAsia" w:ascii="宋体" w:hAnsi="宋体" w:eastAsia="宋体" w:cs="宋体"/>
          <w:color w:val="auto"/>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5B2EB62D">
      <w:pPr>
        <w:spacing w:line="580" w:lineRule="exact"/>
        <w:ind w:firstLine="420" w:firstLineChars="200"/>
        <w:rPr>
          <w:rFonts w:hint="eastAsia" w:ascii="宋体" w:hAnsi="宋体" w:eastAsia="宋体" w:cs="宋体"/>
          <w:color w:val="auto"/>
          <w:szCs w:val="32"/>
          <w:highlight w:val="none"/>
        </w:rPr>
      </w:pPr>
      <w:r>
        <w:rPr>
          <w:rFonts w:hint="eastAsia" w:ascii="宋体" w:hAnsi="宋体" w:eastAsia="宋体" w:cs="宋体"/>
          <w:color w:val="auto"/>
          <w:szCs w:val="32"/>
          <w:highlight w:val="none"/>
        </w:rPr>
        <w:t>相关金融产品和银行业金融机构联系方式，可在中征应收账款融资服务平台查询（网址：</w:t>
      </w:r>
      <w:r>
        <w:rPr>
          <w:rFonts w:ascii="宋体" w:hAnsi="宋体" w:eastAsia="宋体" w:cs="宋体"/>
          <w:color w:val="auto"/>
          <w:szCs w:val="32"/>
          <w:highlight w:val="none"/>
          <w:u w:val="single"/>
        </w:rPr>
        <w:fldChar w:fldCharType="begin"/>
      </w:r>
      <w:r>
        <w:instrText xml:space="preserve">HYPERLINK "https://www.crcrfsp.com/"</w:instrText>
      </w:r>
      <w:r>
        <w:rPr>
          <w:rFonts w:ascii="宋体" w:hAnsi="宋体" w:eastAsia="宋体" w:cs="宋体"/>
          <w:color w:val="auto"/>
          <w:szCs w:val="32"/>
          <w:highlight w:val="none"/>
          <w:u w:val="single"/>
        </w:rPr>
        <w:fldChar w:fldCharType="separate"/>
      </w:r>
      <w:r>
        <w:rPr>
          <w:rFonts w:ascii="宋体" w:hAnsi="宋体" w:eastAsia="宋体" w:cs="宋体"/>
          <w:color w:val="auto"/>
          <w:szCs w:val="32"/>
          <w:highlight w:val="none"/>
          <w:u w:val="single"/>
        </w:rPr>
        <w:t>https://www.crcrfsp.com/</w:t>
      </w:r>
      <w:r>
        <w:rPr>
          <w:rFonts w:ascii="宋体" w:hAnsi="宋体" w:eastAsia="宋体" w:cs="宋体"/>
          <w:color w:val="auto"/>
          <w:szCs w:val="32"/>
          <w:highlight w:val="none"/>
          <w:u w:val="single"/>
        </w:rPr>
        <w:fldChar w:fldCharType="end"/>
      </w:r>
      <w:r>
        <w:rPr>
          <w:rFonts w:hint="eastAsia" w:ascii="宋体" w:hAnsi="宋体" w:eastAsia="宋体" w:cs="宋体"/>
          <w:color w:val="auto"/>
          <w:szCs w:val="32"/>
          <w:highlight w:val="none"/>
        </w:rPr>
        <w:t>，客服电话：400-009-0001）。</w:t>
      </w:r>
    </w:p>
    <w:p w14:paraId="4A45E7B7">
      <w:pPr>
        <w:widowControl w:val="0"/>
        <w:adjustRightInd w:val="0"/>
        <w:spacing w:before="156" w:line="360" w:lineRule="auto"/>
        <w:ind w:firstLine="0"/>
        <w:jc w:val="both"/>
        <w:rPr>
          <w:rFonts w:ascii="Times New Roman" w:hAnsi="Times New Roman" w:eastAsia="宋体" w:cs="Times New Roman"/>
          <w:color w:val="auto"/>
          <w:kern w:val="2"/>
          <w:sz w:val="24"/>
          <w:szCs w:val="20"/>
          <w:highlight w:val="none"/>
          <w:lang w:val="en-US" w:eastAsia="zh-CN" w:bidi="ar-SA"/>
        </w:rPr>
      </w:pPr>
      <w:r>
        <w:rPr>
          <w:rFonts w:hint="eastAsia" w:ascii="黑体" w:hAnsi="黑体" w:eastAsia="黑体" w:cs="黑体"/>
          <w:color w:val="auto"/>
          <w:kern w:val="2"/>
          <w:sz w:val="32"/>
          <w:szCs w:val="32"/>
          <w:highlight w:val="none"/>
          <w:lang w:val="zh-CN" w:eastAsia="zh-CN" w:bidi="ar-SA"/>
        </w:rPr>
        <w:t>附件</w:t>
      </w:r>
      <w:r>
        <w:rPr>
          <w:rFonts w:hint="eastAsia" w:ascii="黑体" w:hAnsi="黑体" w:eastAsia="黑体" w:cs="黑体"/>
          <w:color w:val="auto"/>
          <w:kern w:val="2"/>
          <w:sz w:val="32"/>
          <w:szCs w:val="32"/>
          <w:highlight w:val="none"/>
          <w:lang w:val="en-US" w:eastAsia="zh-CN" w:bidi="ar-SA"/>
        </w:rPr>
        <w:t>1：</w:t>
      </w:r>
    </w:p>
    <w:p w14:paraId="6607140B">
      <w:pPr>
        <w:spacing w:line="600" w:lineRule="exact"/>
        <w:jc w:val="center"/>
        <w:rPr>
          <w:rFonts w:hint="eastAsia" w:ascii="黑体" w:hAnsi="黑体" w:eastAsia="黑体" w:cs="黑体"/>
          <w:color w:val="auto"/>
          <w:sz w:val="44"/>
          <w:szCs w:val="44"/>
          <w:highlight w:val="none"/>
        </w:rPr>
      </w:pPr>
      <w:r>
        <w:rPr>
          <w:rFonts w:hint="eastAsia" w:ascii="方正小标宋_GBK" w:eastAsia="方正小标宋_GBK"/>
          <w:color w:val="auto"/>
          <w:sz w:val="44"/>
          <w:szCs w:val="44"/>
          <w:highlight w:val="none"/>
        </w:rPr>
        <w:t>崇左市线上“政采贷”业务流程图</w:t>
      </w:r>
    </w:p>
    <w:p w14:paraId="5B85EFA2">
      <w:pPr>
        <w:rPr>
          <w:rFonts w:hint="eastAsia" w:eastAsia="宋体"/>
          <w:color w:val="auto"/>
          <w:highlight w:val="none"/>
        </w:rPr>
      </w:pPr>
      <w:r>
        <w:rPr>
          <w:rFonts w:hint="eastAsia" w:eastAsia="仿宋_GB2312"/>
          <w:color w:val="auto"/>
          <w:highlight w:val="none"/>
        </w:rPr>
        <w:drawing>
          <wp:inline distT="0" distB="0" distL="114300" distR="114300">
            <wp:extent cx="4926965" cy="7002780"/>
            <wp:effectExtent l="0" t="0" r="0" b="1"/>
            <wp:docPr id="5"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流程图1011"/>
                    <pic:cNvPicPr>
                      <a:picLocks noChangeAspect="1"/>
                    </pic:cNvPicPr>
                  </pic:nvPicPr>
                  <pic:blipFill>
                    <a:blip r:embed="rId10"/>
                    <a:stretch>
                      <a:fillRect/>
                    </a:stretch>
                  </pic:blipFill>
                  <pic:spPr>
                    <a:xfrm>
                      <a:off x="0" y="0"/>
                      <a:ext cx="4926965" cy="7002780"/>
                    </a:xfrm>
                    <a:prstGeom prst="rect">
                      <a:avLst/>
                    </a:prstGeom>
                    <a:noFill/>
                    <a:ln cap="flat" cmpd="sng">
                      <a:noFill/>
                      <a:prstDash val="solid"/>
                      <a:round/>
                    </a:ln>
                    <a:effectLst/>
                  </pic:spPr>
                </pic:pic>
              </a:graphicData>
            </a:graphic>
          </wp:inline>
        </w:drawing>
      </w:r>
    </w:p>
    <w:p w14:paraId="7FBD02DD">
      <w:pPr>
        <w:widowControl/>
        <w:ind w:firstLine="420" w:firstLineChars="200"/>
        <w:rPr>
          <w:rFonts w:hint="eastAsia" w:eastAsia="宋体"/>
          <w:color w:val="auto"/>
          <w:highlight w:val="none"/>
        </w:rPr>
      </w:pPr>
    </w:p>
    <w:p w14:paraId="2D1A6BA1">
      <w:pPr>
        <w:widowControl/>
        <w:spacing w:line="720" w:lineRule="exact"/>
        <w:jc w:val="left"/>
        <w:rPr>
          <w:rFonts w:hint="eastAsia" w:ascii="黑体" w:hAnsi="黑体" w:eastAsia="黑体" w:cs="黑体"/>
          <w:color w:val="auto"/>
          <w:sz w:val="32"/>
          <w:szCs w:val="32"/>
          <w:highlight w:val="none"/>
          <w:lang w:val="zh-CN"/>
        </w:rPr>
      </w:pPr>
    </w:p>
    <w:p w14:paraId="704B69CB">
      <w:pPr>
        <w:widowControl/>
        <w:spacing w:line="720" w:lineRule="exact"/>
        <w:jc w:val="left"/>
        <w:rPr>
          <w:rFonts w:hint="eastAsia" w:ascii="黑体" w:hAnsi="黑体" w:eastAsia="黑体" w:cs="黑体"/>
          <w:color w:val="auto"/>
          <w:sz w:val="32"/>
          <w:szCs w:val="32"/>
          <w:highlight w:val="none"/>
          <w:lang w:val="zh-CN"/>
        </w:rPr>
      </w:pPr>
    </w:p>
    <w:p w14:paraId="0E0D793E">
      <w:pPr>
        <w:widowControl/>
        <w:spacing w:line="720" w:lineRule="exact"/>
        <w:jc w:val="left"/>
        <w:rPr>
          <w:rFonts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2</w:t>
      </w:r>
    </w:p>
    <w:p w14:paraId="0A095684">
      <w:pPr>
        <w:widowControl w:val="0"/>
        <w:adjustRightInd w:val="0"/>
        <w:spacing w:before="156" w:line="360" w:lineRule="auto"/>
        <w:ind w:firstLine="480" w:firstLineChars="200"/>
        <w:jc w:val="both"/>
        <w:rPr>
          <w:rFonts w:ascii="Times New Roman" w:hAnsi="Times New Roman" w:eastAsia="宋体" w:cs="Times New Roman"/>
          <w:color w:val="auto"/>
          <w:kern w:val="2"/>
          <w:sz w:val="24"/>
          <w:szCs w:val="20"/>
          <w:highlight w:val="none"/>
          <w:lang w:val="en-US" w:eastAsia="zh-CN" w:bidi="ar-SA"/>
        </w:rPr>
      </w:pPr>
    </w:p>
    <w:p w14:paraId="5A191C74">
      <w:pPr>
        <w:widowControl w:val="0"/>
        <w:adjustRightInd w:val="0"/>
        <w:spacing w:before="156" w:line="360" w:lineRule="auto"/>
        <w:ind w:firstLine="720" w:firstLineChars="200"/>
        <w:jc w:val="center"/>
        <w:rPr>
          <w:rFonts w:ascii="方正小标宋_GBK" w:hAnsi="方正小标宋_GBK" w:eastAsia="方正小标宋_GBK" w:cs="方正小标宋_GBK"/>
          <w:color w:val="auto"/>
          <w:kern w:val="2"/>
          <w:sz w:val="36"/>
          <w:szCs w:val="36"/>
          <w:highlight w:val="none"/>
          <w:lang w:val="en-US" w:eastAsia="zh-CN" w:bidi="ar-SA"/>
        </w:rPr>
      </w:pPr>
      <w:r>
        <w:rPr>
          <w:rFonts w:hint="eastAsia" w:ascii="方正小标宋_GBK" w:hAnsi="方正小标宋_GBK" w:eastAsia="方正小标宋_GBK" w:cs="方正小标宋_GBK"/>
          <w:color w:val="auto"/>
          <w:kern w:val="2"/>
          <w:sz w:val="36"/>
          <w:szCs w:val="36"/>
          <w:highlight w:val="none"/>
          <w:lang w:val="en-US" w:eastAsia="zh-CN" w:bidi="ar-SA"/>
        </w:rPr>
        <w:t>崇左市金融机构线上“政采贷”业务办理联络表</w:t>
      </w:r>
    </w:p>
    <w:tbl>
      <w:tblPr>
        <w:tblStyle w:val="2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74"/>
        <w:gridCol w:w="3515"/>
        <w:gridCol w:w="2125"/>
      </w:tblGrid>
      <w:tr w14:paraId="06B33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vAlign w:val="center"/>
          </w:tcPr>
          <w:p w14:paraId="4BE83B63">
            <w:pPr>
              <w:widowControl/>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rPr>
              <w:t>金融机构名称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2E6371CA">
            <w:pPr>
              <w:widowControl/>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rPr>
              <w:t>地址</w:t>
            </w:r>
          </w:p>
        </w:tc>
        <w:tc>
          <w:tcPr>
            <w:tcW w:w="2125" w:type="dxa"/>
            <w:tcBorders>
              <w:top w:val="single" w:color="000000" w:sz="4" w:space="0"/>
              <w:left w:val="single" w:color="000000" w:sz="4" w:space="0"/>
              <w:bottom w:val="single" w:color="000000" w:sz="4" w:space="0"/>
              <w:right w:val="single" w:color="000000" w:sz="4" w:space="0"/>
            </w:tcBorders>
            <w:vAlign w:val="center"/>
          </w:tcPr>
          <w:p w14:paraId="0A8CBDB2">
            <w:pPr>
              <w:widowControl/>
              <w:spacing w:line="400" w:lineRule="exact"/>
              <w:jc w:val="center"/>
              <w:textAlignment w:val="center"/>
              <w:rPr>
                <w:rFonts w:hint="eastAsia" w:ascii="宋体" w:hAnsi="宋体" w:eastAsia="宋体" w:cs="宋体"/>
                <w:b/>
                <w:bCs/>
                <w:color w:val="auto"/>
                <w:sz w:val="28"/>
                <w:szCs w:val="28"/>
                <w:highlight w:val="none"/>
              </w:rPr>
            </w:pPr>
            <w:r>
              <w:rPr>
                <w:rFonts w:hint="eastAsia" w:eastAsia="宋体" w:cs="宋体"/>
                <w:b/>
                <w:bCs/>
                <w:color w:val="auto"/>
                <w:kern w:val="0"/>
                <w:sz w:val="28"/>
                <w:szCs w:val="28"/>
                <w:highlight w:val="none"/>
              </w:rPr>
              <w:t>业务</w:t>
            </w:r>
            <w:r>
              <w:rPr>
                <w:rFonts w:hint="eastAsia" w:ascii="宋体" w:hAnsi="宋体" w:eastAsia="宋体" w:cs="宋体"/>
                <w:b/>
                <w:bCs/>
                <w:color w:val="auto"/>
                <w:kern w:val="0"/>
                <w:sz w:val="28"/>
                <w:szCs w:val="28"/>
                <w:highlight w:val="none"/>
              </w:rPr>
              <w:t>咨询电话</w:t>
            </w:r>
          </w:p>
        </w:tc>
      </w:tr>
      <w:tr w14:paraId="30D29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702C2983">
            <w:pPr>
              <w:widowControl/>
              <w:jc w:val="left"/>
              <w:textAlignment w:val="center"/>
              <w:rPr>
                <w:rFonts w:hint="eastAsia" w:eastAsia="宋体" w:cs="宋体"/>
                <w:color w:val="auto"/>
                <w:szCs w:val="21"/>
                <w:highlight w:val="none"/>
              </w:rPr>
            </w:pPr>
            <w:r>
              <w:rPr>
                <w:rFonts w:hint="eastAsia" w:eastAsia="宋体" w:cs="宋体"/>
                <w:b/>
                <w:bCs/>
                <w:color w:val="auto"/>
                <w:szCs w:val="21"/>
                <w:highlight w:val="none"/>
              </w:rPr>
              <w:t>崇左市本级及江州区</w:t>
            </w:r>
          </w:p>
        </w:tc>
      </w:tr>
      <w:tr w14:paraId="5B0DE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A817327">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EAEC5C3">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61404EE5">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0771-7820436 0771-7820439</w:t>
            </w:r>
          </w:p>
        </w:tc>
      </w:tr>
      <w:tr w14:paraId="5E1D2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60D1A2F">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BFD4E1">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A9E6DFE">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0771-7917212</w:t>
            </w:r>
          </w:p>
        </w:tc>
      </w:tr>
      <w:tr w14:paraId="20935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7DC754">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CE06C67">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D1F624C">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0771-7917054</w:t>
            </w:r>
          </w:p>
        </w:tc>
      </w:tr>
      <w:tr w14:paraId="4A41E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67AB9D8">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A68D44">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vAlign w:val="center"/>
          </w:tcPr>
          <w:p w14:paraId="747B5583">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0771-7831103</w:t>
            </w:r>
          </w:p>
        </w:tc>
      </w:tr>
      <w:tr w14:paraId="6FA1E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1D0DE5">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1F4ACDE">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4154DBD7">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0771-7928650 0771-7920613</w:t>
            </w:r>
          </w:p>
        </w:tc>
      </w:tr>
      <w:tr w14:paraId="0F796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85B0953">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6149A33">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F1D632A">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0771-7925660</w:t>
            </w:r>
          </w:p>
        </w:tc>
      </w:tr>
      <w:tr w14:paraId="03D98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7A7CBE">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B7C998D">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522CBC4">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0771-7968699</w:t>
            </w:r>
          </w:p>
        </w:tc>
      </w:tr>
      <w:tr w14:paraId="67015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6A55F7C">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D9D6392">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vAlign w:val="center"/>
          </w:tcPr>
          <w:p w14:paraId="0C4C766F">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0771-7916636</w:t>
            </w:r>
          </w:p>
        </w:tc>
      </w:tr>
      <w:tr w14:paraId="1B5B8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8FD1251">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51E8A55">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691D7FA7">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0771-7988895</w:t>
            </w:r>
          </w:p>
        </w:tc>
      </w:tr>
      <w:tr w14:paraId="43A26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57B08FD">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7211FD3">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287F8A60">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0771-7960855</w:t>
            </w:r>
          </w:p>
        </w:tc>
      </w:tr>
      <w:tr w14:paraId="2240D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62FE8D0">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42D9265">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737003FC">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0771-7821126</w:t>
            </w:r>
          </w:p>
        </w:tc>
      </w:tr>
      <w:tr w14:paraId="7D4EA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F24F7EF">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EAE9106">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1BAF4823">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0771-7831866</w:t>
            </w:r>
          </w:p>
        </w:tc>
      </w:tr>
      <w:tr w14:paraId="5B44A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3B116314">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扶绥县</w:t>
            </w:r>
          </w:p>
        </w:tc>
      </w:tr>
      <w:tr w14:paraId="49CC7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FAE244">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8B3BF33">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F4562AA">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0771-7535612</w:t>
            </w:r>
          </w:p>
        </w:tc>
      </w:tr>
      <w:tr w14:paraId="4189E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07025B">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E90C176">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7BCBF46">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0771-7917330</w:t>
            </w:r>
          </w:p>
        </w:tc>
      </w:tr>
      <w:tr w14:paraId="7070F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49F9A0D">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27E0266">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3168C9">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0771-7516511 0771-7531157</w:t>
            </w:r>
          </w:p>
        </w:tc>
      </w:tr>
      <w:tr w14:paraId="0E71A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FA0DB8B">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608CA72">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vAlign w:val="center"/>
          </w:tcPr>
          <w:p w14:paraId="5C6208E3">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0771-7525822</w:t>
            </w:r>
          </w:p>
        </w:tc>
      </w:tr>
      <w:tr w14:paraId="196D2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A402648">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45E715C">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71E37EEC">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0771-5025887</w:t>
            </w:r>
          </w:p>
        </w:tc>
      </w:tr>
      <w:tr w14:paraId="24A2B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7938A8">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6612033">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84B8CE6">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0771-7533041</w:t>
            </w:r>
          </w:p>
        </w:tc>
      </w:tr>
      <w:tr w14:paraId="57F9C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014D10">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0BA950">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75809579">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0771-7536178 0771-7536177</w:t>
            </w:r>
          </w:p>
        </w:tc>
      </w:tr>
      <w:tr w14:paraId="0A53F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CBEF1EE">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D26A3AE">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165BFF5">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0771-7661101</w:t>
            </w:r>
          </w:p>
        </w:tc>
      </w:tr>
      <w:tr w14:paraId="1EC36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6A8C88">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991C678">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00C495C5">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0771-7500768</w:t>
            </w:r>
          </w:p>
        </w:tc>
      </w:tr>
      <w:tr w14:paraId="7EC4B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F1FB328">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176B9C45">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vAlign w:val="center"/>
          </w:tcPr>
          <w:p w14:paraId="2731519E">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0771-7525678</w:t>
            </w:r>
          </w:p>
        </w:tc>
      </w:tr>
      <w:tr w14:paraId="629BE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DA124B4">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41DD5AAC">
            <w:pPr>
              <w:widowControl/>
              <w:jc w:val="left"/>
              <w:textAlignment w:val="center"/>
              <w:rPr>
                <w:rFonts w:hint="eastAsia" w:ascii="宋体" w:hAnsi="宋体" w:eastAsia="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1F9FC37C">
            <w:pPr>
              <w:widowControl/>
              <w:jc w:val="center"/>
              <w:textAlignment w:val="center"/>
              <w:rPr>
                <w:rFonts w:hint="eastAsia" w:ascii="宋体" w:hAnsi="宋体" w:eastAsia="宋体" w:cs="宋体"/>
                <w:color w:val="auto"/>
                <w:szCs w:val="21"/>
                <w:highlight w:val="none"/>
              </w:rPr>
            </w:pPr>
          </w:p>
        </w:tc>
      </w:tr>
      <w:tr w14:paraId="57C9C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991DB5">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4E6EB54">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A8B6D9C">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0771-8620729</w:t>
            </w:r>
          </w:p>
        </w:tc>
      </w:tr>
      <w:tr w14:paraId="44ABD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127D6B7">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AF4EE08">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85B6D47">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0771-7917093</w:t>
            </w:r>
          </w:p>
        </w:tc>
      </w:tr>
      <w:tr w14:paraId="35877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FBF4D1">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EF15C0A">
            <w:pPr>
              <w:widowControl/>
              <w:spacing w:after="90" w:line="23" w:lineRule="atLeast"/>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64A78D1">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0771-8629006</w:t>
            </w:r>
          </w:p>
        </w:tc>
      </w:tr>
      <w:tr w14:paraId="249B5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558C527">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71A2F7BF">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67BAC39">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0771-8628166</w:t>
            </w:r>
          </w:p>
        </w:tc>
      </w:tr>
      <w:tr w14:paraId="5FA20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A345B7E">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22FD1C5">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8A1802">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0771-8630787</w:t>
            </w:r>
          </w:p>
        </w:tc>
      </w:tr>
      <w:tr w14:paraId="679FA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B28623B">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6B4C5A6">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718628A8">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0771-8622237</w:t>
            </w:r>
          </w:p>
        </w:tc>
      </w:tr>
      <w:tr w14:paraId="76F32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488464F0">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大新县</w:t>
            </w:r>
          </w:p>
        </w:tc>
      </w:tr>
      <w:tr w14:paraId="5EABD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9A79A4A">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工商银行大新县支行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121BD7F">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大新县桃城镇民生街98号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CD09085">
            <w:pPr>
              <w:widowControl/>
              <w:jc w:val="center"/>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0771-3628078</w:t>
            </w:r>
          </w:p>
        </w:tc>
      </w:tr>
      <w:tr w14:paraId="00091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F555BD0">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农业银行大新县支行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B87CF43">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140399">
            <w:pPr>
              <w:widowControl/>
              <w:jc w:val="center"/>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0771-</w:t>
            </w:r>
            <w:r>
              <w:rPr>
                <w:rFonts w:hint="eastAsia" w:ascii="宋体" w:hAnsi="宋体" w:eastAsia="宋体" w:cs="宋体"/>
                <w:color w:val="auto"/>
                <w:szCs w:val="21"/>
                <w:highlight w:val="none"/>
              </w:rPr>
              <w:t>7917015</w:t>
            </w:r>
          </w:p>
        </w:tc>
      </w:tr>
      <w:tr w14:paraId="2A353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4C93869">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建行大新支行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A241260">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大新县民生街7号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8DB5BC2">
            <w:pPr>
              <w:widowControl/>
              <w:jc w:val="center"/>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0771-3689766</w:t>
            </w:r>
          </w:p>
        </w:tc>
      </w:tr>
      <w:tr w14:paraId="0662E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7907E8B">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FDDFFD9">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大新县城养利路131号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75F7864">
            <w:pPr>
              <w:widowControl/>
              <w:jc w:val="center"/>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0771-3623887</w:t>
            </w:r>
          </w:p>
        </w:tc>
      </w:tr>
      <w:tr w14:paraId="2274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7B6C81">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6A05B2">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5F484144">
            <w:pPr>
              <w:widowControl/>
              <w:jc w:val="center"/>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0771-3621996</w:t>
            </w:r>
          </w:p>
        </w:tc>
      </w:tr>
      <w:tr w14:paraId="530DD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2DBC92">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90F711F">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2B88F6F9">
            <w:pPr>
              <w:widowControl/>
              <w:jc w:val="center"/>
              <w:textAlignment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0771-3628366</w:t>
            </w:r>
          </w:p>
        </w:tc>
      </w:tr>
      <w:tr w14:paraId="42A7B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C8D5AF">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3BD5A75">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大新县桃城镇德天大道74-1号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E45342A">
            <w:pPr>
              <w:widowControl/>
              <w:jc w:val="center"/>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0771-3698002</w:t>
            </w:r>
          </w:p>
        </w:tc>
      </w:tr>
      <w:tr w14:paraId="5FF7C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527B7D">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6DD8E35">
            <w:pPr>
              <w:widowControl/>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大新县桃城镇伦那路8号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04AF94F">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0771-3626199</w:t>
            </w:r>
          </w:p>
        </w:tc>
      </w:tr>
      <w:tr w14:paraId="35095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7329E4">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6572F28D">
            <w:pPr>
              <w:widowControl/>
              <w:jc w:val="left"/>
              <w:textAlignment w:val="center"/>
              <w:rPr>
                <w:rFonts w:hint="eastAsia" w:ascii="宋体" w:hAnsi="宋体" w:eastAsia="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70D9821D">
            <w:pPr>
              <w:widowControl/>
              <w:jc w:val="center"/>
              <w:textAlignment w:val="center"/>
              <w:rPr>
                <w:rFonts w:hint="eastAsia" w:ascii="宋体" w:hAnsi="宋体" w:eastAsia="宋体" w:cs="宋体"/>
                <w:color w:val="auto"/>
                <w:szCs w:val="21"/>
                <w:highlight w:val="none"/>
              </w:rPr>
            </w:pPr>
          </w:p>
        </w:tc>
      </w:tr>
      <w:tr w14:paraId="4F5A2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BB46967">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4DFD17D">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C3EF68B">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0771-8868619</w:t>
            </w:r>
          </w:p>
        </w:tc>
      </w:tr>
      <w:tr w14:paraId="08E1D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AEE3E9E">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2843DDF">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812C630">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0771-8812504</w:t>
            </w:r>
          </w:p>
        </w:tc>
      </w:tr>
      <w:tr w14:paraId="5CB1A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A81734">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FD45EF4">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BDAA380">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0771-8820525</w:t>
            </w:r>
          </w:p>
        </w:tc>
      </w:tr>
      <w:tr w14:paraId="114BB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788DF66">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龙州农商行公司机构金融</w:t>
            </w:r>
            <w:r>
              <w:rPr>
                <w:rFonts w:hint="eastAsia" w:eastAsia="宋体" w:cs="宋体"/>
                <w:color w:val="auto"/>
                <w:szCs w:val="21"/>
                <w:highlight w:val="none"/>
              </w:rPr>
              <w:t>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A4032F9">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138153C">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0771-8813013</w:t>
            </w:r>
          </w:p>
        </w:tc>
      </w:tr>
      <w:tr w14:paraId="68084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E392B9C">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95785E">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vAlign w:val="center"/>
          </w:tcPr>
          <w:p w14:paraId="67A6FADF">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0771-8871021</w:t>
            </w:r>
          </w:p>
        </w:tc>
      </w:tr>
      <w:tr w14:paraId="2FEB3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6391F8C">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28B203D">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57981B66">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0771-8811533</w:t>
            </w:r>
          </w:p>
        </w:tc>
      </w:tr>
      <w:tr w14:paraId="446EA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17E8C65">
            <w:pPr>
              <w:widowControl/>
              <w:textAlignment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0E4AC107">
            <w:pPr>
              <w:widowControl/>
              <w:jc w:val="left"/>
              <w:textAlignment w:val="center"/>
              <w:rPr>
                <w:rFonts w:hint="eastAsia" w:ascii="宋体" w:hAnsi="宋体" w:eastAsia="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83AE26C">
            <w:pPr>
              <w:widowControl/>
              <w:jc w:val="center"/>
              <w:textAlignment w:val="center"/>
              <w:rPr>
                <w:rFonts w:hint="eastAsia" w:ascii="宋体" w:hAnsi="宋体" w:eastAsia="宋体" w:cs="宋体"/>
                <w:color w:val="auto"/>
                <w:szCs w:val="21"/>
                <w:highlight w:val="none"/>
              </w:rPr>
            </w:pPr>
          </w:p>
        </w:tc>
      </w:tr>
      <w:tr w14:paraId="164B9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13619D">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42F907B">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7916777">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0771-3532211</w:t>
            </w:r>
          </w:p>
        </w:tc>
      </w:tr>
      <w:tr w14:paraId="23192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042562C">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58F8926">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0390B6E">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0771-7917046</w:t>
            </w:r>
          </w:p>
        </w:tc>
      </w:tr>
      <w:tr w14:paraId="06752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900585C">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5C1F531A">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36C9BFE">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0771-3521361</w:t>
            </w:r>
          </w:p>
        </w:tc>
      </w:tr>
      <w:tr w14:paraId="565FC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0D97F35">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F886C8">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8794BB3">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0771-3522157</w:t>
            </w:r>
          </w:p>
        </w:tc>
      </w:tr>
      <w:tr w14:paraId="66F54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31EF5D2">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576F370">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D4067CC">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0771-3528688</w:t>
            </w:r>
          </w:p>
        </w:tc>
      </w:tr>
      <w:tr w14:paraId="05484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23CB6A1">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凭祥市</w:t>
            </w:r>
          </w:p>
        </w:tc>
      </w:tr>
      <w:tr w14:paraId="54D27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8F45F9B">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E0ADED">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凭祥市新华路5号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2324E49">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0771-8529259</w:t>
            </w:r>
          </w:p>
        </w:tc>
      </w:tr>
      <w:tr w14:paraId="10CE3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560555">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F9F6726">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1185DAC">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0771-7917258</w:t>
            </w:r>
          </w:p>
        </w:tc>
      </w:tr>
      <w:tr w14:paraId="74291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555F392">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3ACA981">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凭祥市屏山路138号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5F430AA">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0771-8525068</w:t>
            </w:r>
            <w:r>
              <w:rPr>
                <w:rFonts w:hint="eastAsia" w:eastAsia="宋体" w:cs="宋体"/>
                <w:color w:val="auto"/>
                <w:szCs w:val="21"/>
                <w:highlight w:val="none"/>
              </w:rPr>
              <w:t xml:space="preserve"> </w:t>
            </w:r>
            <w:r>
              <w:rPr>
                <w:rFonts w:hint="eastAsia" w:ascii="宋体" w:hAnsi="宋体" w:eastAsia="宋体" w:cs="宋体"/>
                <w:color w:val="auto"/>
                <w:szCs w:val="21"/>
                <w:highlight w:val="none"/>
              </w:rPr>
              <w:t>0771-8536852</w:t>
            </w:r>
          </w:p>
        </w:tc>
      </w:tr>
      <w:tr w14:paraId="19642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8863077">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27BAA9D">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凭祥市金象大道香格里拉3幢3-01至3-03号商铺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75A72D39">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0771-8551161</w:t>
            </w:r>
          </w:p>
        </w:tc>
      </w:tr>
      <w:tr w14:paraId="2D190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F68848E">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ADEB1E7">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凭祥市浦寨商业城万泰一楼8-9号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0B6276E">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0771-8561665</w:t>
            </w:r>
          </w:p>
        </w:tc>
      </w:tr>
      <w:tr w14:paraId="251E6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E8D74AB">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7B8CAE">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凭祥市-北环路112号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7E7FECB">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0771-8520356</w:t>
            </w:r>
          </w:p>
        </w:tc>
      </w:tr>
      <w:tr w14:paraId="20D1B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BEE8037">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5811285C">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96698E3">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0771-8535667</w:t>
            </w:r>
          </w:p>
        </w:tc>
      </w:tr>
      <w:tr w14:paraId="4B786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1ACF8DB">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2C78229">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C60FD11">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0771-8520550</w:t>
            </w:r>
          </w:p>
        </w:tc>
      </w:tr>
      <w:tr w14:paraId="20BDA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B6C9EA3">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2E448CD">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179E3F5">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0771-8556667</w:t>
            </w:r>
          </w:p>
        </w:tc>
      </w:tr>
    </w:tbl>
    <w:p w14:paraId="2EEEB252">
      <w:pPr>
        <w:spacing w:line="580" w:lineRule="exact"/>
        <w:ind w:firstLine="420" w:firstLineChars="200"/>
        <w:rPr>
          <w:rFonts w:ascii="宋体" w:cs="宋体"/>
          <w:color w:val="auto"/>
          <w:szCs w:val="21"/>
          <w:highlight w:val="none"/>
        </w:rPr>
      </w:pPr>
      <w:r>
        <w:rPr>
          <w:rFonts w:hint="eastAsia" w:ascii="宋体" w:cs="宋体"/>
          <w:color w:val="auto"/>
          <w:szCs w:val="21"/>
          <w:highlight w:val="none"/>
        </w:rPr>
        <w:t>。</w:t>
      </w:r>
    </w:p>
    <w:p w14:paraId="023D00E0">
      <w:pPr>
        <w:spacing w:line="360" w:lineRule="auto"/>
        <w:ind w:firstLine="420" w:firstLineChars="200"/>
        <w:jc w:val="left"/>
        <w:rPr>
          <w:rFonts w:ascii="宋体" w:cs="宋体"/>
          <w:color w:val="auto"/>
          <w:highlight w:val="none"/>
        </w:rPr>
      </w:pPr>
      <w:r>
        <w:rPr>
          <w:rFonts w:hint="eastAsia" w:ascii="宋体" w:cs="宋体"/>
          <w:color w:val="auto"/>
          <w:highlight w:val="none"/>
        </w:rPr>
        <w:br w:type="page"/>
      </w:r>
      <w:bookmarkStart w:id="208" w:name="_Toc532545043"/>
    </w:p>
    <w:p w14:paraId="62EB7E43">
      <w:pPr>
        <w:pStyle w:val="16"/>
        <w:jc w:val="center"/>
        <w:outlineLvl w:val="0"/>
        <w:rPr>
          <w:rFonts w:cs="宋体"/>
          <w:b/>
          <w:color w:val="auto"/>
          <w:sz w:val="36"/>
          <w:highlight w:val="none"/>
        </w:rPr>
      </w:pPr>
      <w:bookmarkStart w:id="209" w:name="_Toc5517"/>
      <w:bookmarkStart w:id="210" w:name="_Toc18150"/>
      <w:bookmarkStart w:id="211" w:name="_Toc6459"/>
      <w:bookmarkStart w:id="212" w:name="_Toc12598"/>
      <w:bookmarkStart w:id="213" w:name="_Toc2111"/>
      <w:bookmarkStart w:id="214" w:name="_Toc26538"/>
      <w:bookmarkStart w:id="215" w:name="_Toc25066"/>
      <w:bookmarkStart w:id="216" w:name="_Toc22348"/>
      <w:bookmarkStart w:id="217" w:name="_Toc7854"/>
      <w:bookmarkStart w:id="218" w:name="_Toc22076"/>
      <w:bookmarkStart w:id="219" w:name="_Toc31334"/>
      <w:r>
        <w:rPr>
          <w:rFonts w:hint="eastAsia" w:cs="宋体"/>
          <w:b/>
          <w:color w:val="auto"/>
          <w:sz w:val="36"/>
          <w:highlight w:val="none"/>
        </w:rPr>
        <w:t xml:space="preserve">第四章  </w:t>
      </w:r>
      <w:bookmarkEnd w:id="208"/>
      <w:bookmarkEnd w:id="209"/>
      <w:bookmarkEnd w:id="210"/>
      <w:r>
        <w:rPr>
          <w:rFonts w:hint="eastAsia" w:cs="宋体"/>
          <w:b/>
          <w:color w:val="auto"/>
          <w:sz w:val="36"/>
          <w:highlight w:val="none"/>
        </w:rPr>
        <w:t>评标方法和评标标准</w:t>
      </w:r>
      <w:bookmarkEnd w:id="211"/>
      <w:bookmarkEnd w:id="212"/>
      <w:bookmarkEnd w:id="213"/>
      <w:bookmarkEnd w:id="214"/>
      <w:bookmarkEnd w:id="215"/>
      <w:bookmarkEnd w:id="216"/>
      <w:bookmarkEnd w:id="217"/>
      <w:bookmarkEnd w:id="218"/>
      <w:bookmarkEnd w:id="219"/>
    </w:p>
    <w:p w14:paraId="4153011D">
      <w:pPr>
        <w:pStyle w:val="16"/>
        <w:jc w:val="center"/>
        <w:outlineLvl w:val="1"/>
        <w:rPr>
          <w:rFonts w:cs="宋体"/>
          <w:b/>
          <w:bCs/>
          <w:color w:val="auto"/>
          <w:sz w:val="32"/>
          <w:szCs w:val="32"/>
          <w:highlight w:val="none"/>
        </w:rPr>
      </w:pPr>
      <w:bookmarkStart w:id="220" w:name="_Toc3364"/>
      <w:bookmarkStart w:id="221" w:name="_Toc31286"/>
      <w:bookmarkStart w:id="222" w:name="_Toc8187"/>
      <w:bookmarkStart w:id="223" w:name="_Toc2086"/>
      <w:bookmarkStart w:id="224" w:name="_Toc18908"/>
      <w:r>
        <w:rPr>
          <w:rFonts w:hint="eastAsia" w:cs="宋体"/>
          <w:b/>
          <w:bCs/>
          <w:color w:val="auto"/>
          <w:sz w:val="32"/>
          <w:szCs w:val="32"/>
          <w:highlight w:val="none"/>
        </w:rPr>
        <w:t>第一节 评标方法</w:t>
      </w:r>
      <w:bookmarkEnd w:id="220"/>
      <w:bookmarkEnd w:id="221"/>
      <w:bookmarkEnd w:id="222"/>
      <w:bookmarkEnd w:id="223"/>
      <w:bookmarkEnd w:id="224"/>
    </w:p>
    <w:p w14:paraId="5C430069">
      <w:pPr>
        <w:pStyle w:val="16"/>
        <w:tabs>
          <w:tab w:val="left" w:pos="2472"/>
        </w:tabs>
        <w:spacing w:line="460" w:lineRule="exact"/>
        <w:ind w:firstLine="420" w:firstLineChars="200"/>
        <w:rPr>
          <w:rFonts w:cs="宋体"/>
          <w:color w:val="auto"/>
          <w:szCs w:val="21"/>
          <w:highlight w:val="none"/>
        </w:rPr>
      </w:pPr>
      <w:r>
        <w:rPr>
          <w:rFonts w:hint="eastAsia" w:cs="宋体"/>
          <w:color w:val="auto"/>
          <w:szCs w:val="21"/>
          <w:highlight w:val="none"/>
        </w:rPr>
        <w:t>本项目采用</w:t>
      </w:r>
      <w:r>
        <w:rPr>
          <w:rFonts w:hint="eastAsia" w:cs="宋体"/>
          <w:color w:val="auto"/>
          <w:szCs w:val="21"/>
          <w:highlight w:val="none"/>
          <w:u w:val="single"/>
        </w:rPr>
        <w:t xml:space="preserve"> 以下勾选的方式</w:t>
      </w:r>
      <w:r>
        <w:rPr>
          <w:rFonts w:hint="eastAsia" w:cs="宋体"/>
          <w:color w:val="auto"/>
          <w:szCs w:val="21"/>
          <w:highlight w:val="none"/>
        </w:rPr>
        <w:t>进行评审。</w:t>
      </w:r>
    </w:p>
    <w:p w14:paraId="53EC985F">
      <w:pPr>
        <w:pStyle w:val="16"/>
        <w:tabs>
          <w:tab w:val="left" w:pos="2472"/>
        </w:tabs>
        <w:spacing w:line="460" w:lineRule="exact"/>
        <w:ind w:firstLine="420" w:firstLineChars="200"/>
        <w:rPr>
          <w:rFonts w:cs="宋体"/>
          <w:color w:val="auto"/>
          <w:highlight w:val="none"/>
        </w:rPr>
      </w:pPr>
      <w:r>
        <w:rPr>
          <w:rFonts w:hint="eastAsia" w:cs="宋体"/>
          <w:color w:val="auto"/>
          <w:szCs w:val="21"/>
          <w:highlight w:val="none"/>
        </w:rPr>
        <w:t>□</w:t>
      </w:r>
      <w:r>
        <w:rPr>
          <w:rFonts w:hint="eastAsia" w:cs="宋体"/>
          <w:color w:val="auto"/>
          <w:szCs w:val="21"/>
          <w:highlight w:val="none"/>
          <w:lang w:val="en-US" w:eastAsia="zh-CN"/>
        </w:rPr>
        <w:t xml:space="preserve"> </w:t>
      </w:r>
      <w:r>
        <w:rPr>
          <w:rFonts w:hint="eastAsia" w:cs="宋体"/>
          <w:color w:val="auto"/>
          <w:szCs w:val="21"/>
          <w:highlight w:val="none"/>
        </w:rPr>
        <w:t>最低评标价法，是指投标文件满足招标文件</w:t>
      </w:r>
      <w:r>
        <w:rPr>
          <w:rFonts w:hint="eastAsia" w:cs="宋体"/>
          <w:color w:val="auto"/>
          <w:highlight w:val="none"/>
        </w:rPr>
        <w:t>全部实质性要求，且投标报价最低的投标人为中标候选人的评标方法。</w:t>
      </w:r>
    </w:p>
    <w:p w14:paraId="24A9EAF6">
      <w:pPr>
        <w:pStyle w:val="16"/>
        <w:spacing w:line="360" w:lineRule="auto"/>
        <w:ind w:firstLine="420"/>
        <w:rPr>
          <w:rFonts w:cs="宋体"/>
          <w:color w:val="auto"/>
          <w:highlight w:val="none"/>
        </w:rPr>
      </w:pPr>
      <w:r>
        <w:rPr>
          <w:rFonts w:hint="eastAsia" w:cs="宋体"/>
          <w:color w:val="auto"/>
          <w:highlight w:val="none"/>
        </w:rPr>
        <w:t>☑ 综合评分法，是指投标文件满足招标文件全部实质性要求，且按照评审因素的量化指标评审得分最高的投标人为中标候选人的评标方法。</w:t>
      </w:r>
    </w:p>
    <w:p w14:paraId="058486FF">
      <w:pPr>
        <w:pStyle w:val="20"/>
        <w:rPr>
          <w:color w:val="auto"/>
          <w:highlight w:val="none"/>
        </w:rPr>
      </w:pPr>
      <w:r>
        <w:rPr>
          <w:rFonts w:hint="eastAsia"/>
          <w:color w:val="auto"/>
          <w:highlight w:val="none"/>
        </w:rPr>
        <w:t xml:space="preserve"> </w:t>
      </w:r>
    </w:p>
    <w:p w14:paraId="0F685F50">
      <w:pPr>
        <w:pStyle w:val="16"/>
        <w:tabs>
          <w:tab w:val="left" w:pos="2472"/>
        </w:tabs>
        <w:spacing w:line="460" w:lineRule="exact"/>
        <w:jc w:val="center"/>
        <w:outlineLvl w:val="1"/>
        <w:rPr>
          <w:rFonts w:cs="宋体"/>
          <w:b/>
          <w:bCs/>
          <w:color w:val="auto"/>
          <w:sz w:val="32"/>
          <w:szCs w:val="32"/>
          <w:highlight w:val="none"/>
        </w:rPr>
      </w:pPr>
      <w:bookmarkStart w:id="225" w:name="_Toc11308"/>
      <w:bookmarkStart w:id="226" w:name="_Toc13065"/>
      <w:bookmarkStart w:id="227" w:name="_Toc12508"/>
      <w:bookmarkStart w:id="228" w:name="_Toc13037"/>
      <w:bookmarkStart w:id="229" w:name="_Toc6695"/>
      <w:r>
        <w:rPr>
          <w:rFonts w:hint="eastAsia" w:cs="宋体"/>
          <w:b/>
          <w:bCs/>
          <w:color w:val="auto"/>
          <w:sz w:val="32"/>
          <w:szCs w:val="32"/>
          <w:highlight w:val="none"/>
        </w:rPr>
        <w:t>第二节 评标程序</w:t>
      </w:r>
      <w:bookmarkEnd w:id="225"/>
      <w:bookmarkEnd w:id="226"/>
      <w:bookmarkEnd w:id="227"/>
      <w:bookmarkEnd w:id="228"/>
      <w:bookmarkEnd w:id="229"/>
    </w:p>
    <w:p w14:paraId="7AF7AED0">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1.符合性审查</w:t>
      </w:r>
    </w:p>
    <w:p w14:paraId="793F7471">
      <w:pPr>
        <w:spacing w:line="360" w:lineRule="auto"/>
        <w:ind w:firstLine="420" w:firstLineChars="200"/>
        <w:rPr>
          <w:rFonts w:ascii="宋体" w:cs="宋体"/>
          <w:color w:val="auto"/>
          <w:highlight w:val="none"/>
        </w:rPr>
      </w:pPr>
      <w:r>
        <w:rPr>
          <w:rFonts w:hint="eastAsia" w:ascii="宋体" w:cs="宋体"/>
          <w:color w:val="auto"/>
          <w:highlight w:val="none"/>
        </w:rPr>
        <w:t>评标委员会应当对符合资格的投标人的投标文件进行投标报价、商务、技术等实质性内容符合性审查，以确定其是否满足招标文件的实质性要求。</w:t>
      </w:r>
    </w:p>
    <w:p w14:paraId="006158B9">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2.符合性审查不通过而导致投标无效的情形</w:t>
      </w:r>
    </w:p>
    <w:p w14:paraId="0D62FEA5">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投标人的投标文件中存在对招标文件的任何实质性要求的负偏离，将被视为投标无效。</w:t>
      </w:r>
    </w:p>
    <w:p w14:paraId="1E6FBF2C">
      <w:pPr>
        <w:spacing w:line="360" w:lineRule="auto"/>
        <w:ind w:firstLine="422" w:firstLineChars="200"/>
        <w:rPr>
          <w:rFonts w:ascii="宋体" w:cs="宋体"/>
          <w:b/>
          <w:bCs/>
          <w:color w:val="auto"/>
          <w:szCs w:val="21"/>
          <w:highlight w:val="none"/>
        </w:rPr>
      </w:pPr>
      <w:r>
        <w:rPr>
          <w:rFonts w:hint="eastAsia" w:ascii="宋体" w:cs="宋体"/>
          <w:b/>
          <w:bCs/>
          <w:color w:val="auto"/>
          <w:szCs w:val="21"/>
          <w:highlight w:val="none"/>
        </w:rPr>
        <w:t>2.1在报价评审时，如发现下列情形之一的，将被视为投标无效：</w:t>
      </w:r>
    </w:p>
    <w:p w14:paraId="1EE6FE12">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（1）不满足招标文件实质性要求的；</w:t>
      </w:r>
    </w:p>
    <w:p w14:paraId="59108FDD">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（2）未采用人民币报价或者未按照招标文件标明的币种报价的；</w:t>
      </w:r>
    </w:p>
    <w:p w14:paraId="60AE76BE">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（3）报价超出招标文件规定最高限价或者最高上限单价，或者超出采购预算金额的；</w:t>
      </w:r>
    </w:p>
    <w:p w14:paraId="3663850F">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（4）投标人未就所投项目/分标进行报价或者存在漏项报价；投标人未就所投</w:t>
      </w:r>
      <w:r>
        <w:rPr>
          <w:rFonts w:hint="eastAsia" w:cs="宋体"/>
          <w:color w:val="auto"/>
          <w:szCs w:val="21"/>
          <w:highlight w:val="none"/>
        </w:rPr>
        <w:t>项目</w:t>
      </w:r>
      <w:r>
        <w:rPr>
          <w:rFonts w:hint="eastAsia" w:ascii="宋体" w:cs="宋体"/>
          <w:color w:val="auto"/>
          <w:szCs w:val="21"/>
          <w:highlight w:val="none"/>
        </w:rPr>
        <w:t>/分标的单项内容作唯一报价；投标人未就所投项目/分标的全部内容作唯一总价报价；存在有选择、有条件报价的（招标文件允许有备选方案或者其他约定的除外）；</w:t>
      </w:r>
    </w:p>
    <w:p w14:paraId="381DE521">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（5）修正后的报价，投标人不确认的；</w:t>
      </w:r>
    </w:p>
    <w:p w14:paraId="6866150D">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（6）投标人属于本章第5条第（4）项情形的。</w:t>
      </w:r>
    </w:p>
    <w:p w14:paraId="6B541DBA">
      <w:pPr>
        <w:spacing w:line="360" w:lineRule="auto"/>
        <w:ind w:firstLine="422" w:firstLineChars="200"/>
        <w:rPr>
          <w:rFonts w:hint="eastAsia" w:ascii="宋体" w:cs="宋体"/>
          <w:b/>
          <w:bCs/>
          <w:color w:val="auto"/>
          <w:szCs w:val="21"/>
          <w:highlight w:val="none"/>
        </w:rPr>
      </w:pPr>
      <w:r>
        <w:rPr>
          <w:rFonts w:hint="eastAsia" w:ascii="宋体" w:cs="宋体"/>
          <w:b/>
          <w:bCs/>
          <w:color w:val="auto"/>
          <w:szCs w:val="21"/>
          <w:highlight w:val="none"/>
        </w:rPr>
        <w:t>2.2在商务评审时，如发现下列情形之一的，将被视为投标无效：</w:t>
      </w:r>
    </w:p>
    <w:p w14:paraId="18537925">
      <w:pPr>
        <w:spacing w:line="360" w:lineRule="auto"/>
        <w:ind w:firstLine="420" w:firstLineChars="200"/>
        <w:rPr>
          <w:rFonts w:hint="eastAsia" w:ascii="宋体" w:cs="宋体"/>
          <w:color w:val="auto"/>
          <w:szCs w:val="21"/>
          <w:highlight w:val="none"/>
        </w:rPr>
      </w:pPr>
      <w:r>
        <w:rPr>
          <w:rFonts w:hint="eastAsia" w:ascii="宋体" w:cs="宋体"/>
          <w:color w:val="auto"/>
          <w:szCs w:val="21"/>
          <w:highlight w:val="none"/>
        </w:rPr>
        <w:t>（1）投标文件未按招标文件要求签署、盖章的；</w:t>
      </w:r>
    </w:p>
    <w:p w14:paraId="05C7363C">
      <w:pPr>
        <w:spacing w:line="360" w:lineRule="auto"/>
        <w:ind w:firstLine="420" w:firstLineChars="200"/>
        <w:rPr>
          <w:rFonts w:hint="eastAsia" w:ascii="宋体" w:cs="宋体"/>
          <w:color w:val="auto"/>
          <w:szCs w:val="21"/>
          <w:highlight w:val="none"/>
        </w:rPr>
      </w:pPr>
      <w:r>
        <w:rPr>
          <w:rFonts w:hint="eastAsia" w:ascii="宋体" w:cs="宋体"/>
          <w:color w:val="auto"/>
          <w:szCs w:val="21"/>
          <w:highlight w:val="none"/>
        </w:rPr>
        <w:t xml:space="preserve">（2）委托代理人未能出具有效身份证明或者出具的身份证明与授权委托书中的信息不符的； </w:t>
      </w:r>
    </w:p>
    <w:p w14:paraId="0DE2D7FA">
      <w:pPr>
        <w:spacing w:line="360" w:lineRule="auto"/>
        <w:ind w:firstLine="420" w:firstLineChars="200"/>
        <w:rPr>
          <w:rFonts w:hint="eastAsia" w:ascii="宋体" w:cs="宋体"/>
          <w:color w:val="auto"/>
          <w:sz w:val="21"/>
          <w:szCs w:val="21"/>
          <w:highlight w:val="none"/>
        </w:rPr>
      </w:pPr>
      <w:r>
        <w:rPr>
          <w:rFonts w:hint="eastAsia" w:ascii="宋体" w:cs="宋体"/>
          <w:color w:val="auto"/>
          <w:sz w:val="21"/>
          <w:szCs w:val="21"/>
          <w:highlight w:val="none"/>
        </w:rPr>
        <w:t>（3）为无效投标保证金的或者未按照招标文件的规定提交投标保证金的；</w:t>
      </w:r>
    </w:p>
    <w:p w14:paraId="091C5094">
      <w:pPr>
        <w:spacing w:line="360" w:lineRule="auto"/>
        <w:ind w:firstLine="420" w:firstLineChars="200"/>
        <w:rPr>
          <w:rFonts w:hint="eastAsia" w:ascii="宋体" w:cs="宋体"/>
          <w:color w:val="auto"/>
          <w:szCs w:val="21"/>
          <w:highlight w:val="none"/>
        </w:rPr>
      </w:pPr>
      <w:r>
        <w:rPr>
          <w:rFonts w:hint="eastAsia" w:ascii="宋体" w:cs="宋体"/>
          <w:color w:val="auto"/>
          <w:szCs w:val="21"/>
          <w:highlight w:val="none"/>
        </w:rPr>
        <w:t>（4）投标有效期不满足招标文件要求的；</w:t>
      </w:r>
    </w:p>
    <w:p w14:paraId="3A0B5C51">
      <w:pPr>
        <w:spacing w:line="360" w:lineRule="auto"/>
        <w:ind w:firstLine="420" w:firstLineChars="200"/>
        <w:rPr>
          <w:rFonts w:hint="eastAsia" w:ascii="宋体" w:cs="宋体"/>
          <w:color w:val="auto"/>
          <w:szCs w:val="21"/>
          <w:highlight w:val="none"/>
        </w:rPr>
      </w:pPr>
      <w:r>
        <w:rPr>
          <w:rFonts w:hint="eastAsia" w:ascii="宋体" w:cs="宋体"/>
          <w:color w:val="auto"/>
          <w:szCs w:val="21"/>
          <w:highlight w:val="none"/>
        </w:rPr>
        <w:t>（</w:t>
      </w:r>
      <w:r>
        <w:rPr>
          <w:rFonts w:hint="eastAsia" w:ascii="宋体" w:cs="宋体"/>
          <w:color w:val="auto"/>
          <w:szCs w:val="21"/>
          <w:highlight w:val="none"/>
          <w:lang w:val="en-US" w:eastAsia="zh-CN"/>
        </w:rPr>
        <w:t>5</w:t>
      </w:r>
      <w:r>
        <w:rPr>
          <w:rFonts w:hint="eastAsia" w:ascii="宋体" w:cs="宋体"/>
          <w:color w:val="auto"/>
          <w:szCs w:val="21"/>
          <w:highlight w:val="none"/>
        </w:rPr>
        <w:t>）投标文件的实质性内容未使用中文表述、使用计量单位不符合招标文件要求的；</w:t>
      </w:r>
    </w:p>
    <w:p w14:paraId="6F9945C5">
      <w:pPr>
        <w:spacing w:line="360" w:lineRule="auto"/>
        <w:ind w:firstLine="420" w:firstLineChars="200"/>
        <w:rPr>
          <w:rFonts w:hint="eastAsia" w:ascii="宋体" w:cs="宋体"/>
          <w:color w:val="auto"/>
          <w:szCs w:val="21"/>
          <w:highlight w:val="none"/>
        </w:rPr>
      </w:pPr>
      <w:r>
        <w:rPr>
          <w:rFonts w:hint="eastAsia" w:ascii="宋体" w:cs="宋体"/>
          <w:color w:val="auto"/>
          <w:szCs w:val="21"/>
          <w:highlight w:val="none"/>
        </w:rPr>
        <w:t>（</w:t>
      </w:r>
      <w:r>
        <w:rPr>
          <w:rFonts w:hint="eastAsia" w:ascii="宋体" w:cs="宋体"/>
          <w:color w:val="auto"/>
          <w:szCs w:val="21"/>
          <w:highlight w:val="none"/>
          <w:lang w:val="en-US" w:eastAsia="zh-CN"/>
        </w:rPr>
        <w:t>6</w:t>
      </w:r>
      <w:r>
        <w:rPr>
          <w:rFonts w:hint="eastAsia" w:ascii="宋体" w:cs="宋体"/>
          <w:color w:val="auto"/>
          <w:szCs w:val="21"/>
          <w:highlight w:val="none"/>
        </w:rPr>
        <w:t>）投标文件中的文件资料因填写不齐全或者内容虚假或者出现其他情形而导致被评标委员会认定无效的；</w:t>
      </w:r>
    </w:p>
    <w:p w14:paraId="4DDA99EF">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w:t>
      </w:r>
      <w:r>
        <w:rPr>
          <w:rFonts w:hint="eastAsia" w:ascii="宋体" w:cs="宋体"/>
          <w:color w:val="auto"/>
          <w:szCs w:val="21"/>
          <w:highlight w:val="none"/>
          <w:lang w:val="en-US" w:eastAsia="zh-CN"/>
        </w:rPr>
        <w:t>7</w:t>
      </w:r>
      <w:r>
        <w:rPr>
          <w:rFonts w:hint="eastAsia" w:ascii="宋体" w:cs="宋体"/>
          <w:color w:val="auto"/>
          <w:szCs w:val="21"/>
          <w:highlight w:val="none"/>
        </w:rPr>
        <w:t>）投标文件含有采购人不能接受的附加条件的；</w:t>
      </w:r>
    </w:p>
    <w:p w14:paraId="76923A8F">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w:t>
      </w:r>
      <w:r>
        <w:rPr>
          <w:rFonts w:hint="eastAsia" w:ascii="宋体" w:cs="宋体"/>
          <w:color w:val="auto"/>
          <w:szCs w:val="21"/>
          <w:highlight w:val="none"/>
          <w:lang w:val="en-US" w:eastAsia="zh-CN"/>
        </w:rPr>
        <w:t>8</w:t>
      </w:r>
      <w:r>
        <w:rPr>
          <w:rFonts w:hint="eastAsia" w:ascii="宋体" w:cs="宋体"/>
          <w:color w:val="auto"/>
          <w:szCs w:val="21"/>
          <w:highlight w:val="none"/>
        </w:rPr>
        <w:t>）</w:t>
      </w:r>
      <w:r>
        <w:rPr>
          <w:rFonts w:hint="eastAsia" w:ascii="宋体" w:cs="宋体"/>
          <w:color w:val="auto"/>
          <w:szCs w:val="21"/>
          <w:highlight w:val="none"/>
          <w:lang w:val="en-US" w:eastAsia="zh-CN"/>
        </w:rPr>
        <w:t>不满足</w:t>
      </w:r>
      <w:r>
        <w:rPr>
          <w:rFonts w:hint="eastAsia" w:ascii="宋体" w:cs="宋体"/>
          <w:color w:val="auto"/>
          <w:szCs w:val="21"/>
          <w:highlight w:val="none"/>
        </w:rPr>
        <w:t>招标文件实质性要求的；</w:t>
      </w:r>
    </w:p>
    <w:p w14:paraId="3413B062">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w:t>
      </w:r>
      <w:r>
        <w:rPr>
          <w:rFonts w:hint="eastAsia" w:ascii="宋体" w:cs="宋体"/>
          <w:color w:val="auto"/>
          <w:szCs w:val="21"/>
          <w:highlight w:val="none"/>
          <w:lang w:val="en-US" w:eastAsia="zh-CN"/>
        </w:rPr>
        <w:t>9</w:t>
      </w:r>
      <w:r>
        <w:rPr>
          <w:rFonts w:hint="eastAsia" w:ascii="宋体" w:cs="宋体"/>
          <w:color w:val="auto"/>
          <w:szCs w:val="21"/>
          <w:highlight w:val="none"/>
        </w:rPr>
        <w:t>）属于投标人须知正文第9.2条情形的；</w:t>
      </w:r>
    </w:p>
    <w:p w14:paraId="54FA7F87">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（1</w:t>
      </w:r>
      <w:r>
        <w:rPr>
          <w:rFonts w:hint="eastAsia" w:ascii="宋体" w:cs="宋体"/>
          <w:color w:val="auto"/>
          <w:szCs w:val="21"/>
          <w:highlight w:val="none"/>
          <w:lang w:val="en-US" w:eastAsia="zh-CN"/>
        </w:rPr>
        <w:t>0</w:t>
      </w:r>
      <w:r>
        <w:rPr>
          <w:rFonts w:hint="eastAsia" w:ascii="宋体" w:cs="宋体"/>
          <w:color w:val="auto"/>
          <w:szCs w:val="21"/>
          <w:highlight w:val="none"/>
        </w:rPr>
        <w:t>）法律、法规和招标文件规定的其他无效情形。</w:t>
      </w:r>
    </w:p>
    <w:p w14:paraId="623E617A">
      <w:pPr>
        <w:spacing w:line="360" w:lineRule="auto"/>
        <w:ind w:firstLine="422" w:firstLineChars="200"/>
        <w:rPr>
          <w:rFonts w:ascii="宋体" w:cs="宋体"/>
          <w:b/>
          <w:bCs/>
          <w:color w:val="auto"/>
          <w:szCs w:val="21"/>
          <w:highlight w:val="none"/>
        </w:rPr>
      </w:pPr>
      <w:r>
        <w:rPr>
          <w:rFonts w:hint="eastAsia" w:ascii="宋体" w:cs="宋体"/>
          <w:b/>
          <w:bCs/>
          <w:color w:val="auto"/>
          <w:szCs w:val="21"/>
          <w:highlight w:val="none"/>
        </w:rPr>
        <w:t>2.3在技术评审时，如发现下列情形之一的，将被视为投标无效：</w:t>
      </w:r>
    </w:p>
    <w:p w14:paraId="3559323A">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（1）不满足招标文件实质性要求的；</w:t>
      </w:r>
    </w:p>
    <w:p w14:paraId="21260833">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w:t>
      </w:r>
      <w:r>
        <w:rPr>
          <w:rFonts w:hint="eastAsia" w:ascii="宋体" w:cs="宋体"/>
          <w:color w:val="auto"/>
          <w:szCs w:val="21"/>
          <w:highlight w:val="none"/>
          <w:lang w:val="en-US" w:eastAsia="zh-CN"/>
        </w:rPr>
        <w:t>2</w:t>
      </w:r>
      <w:r>
        <w:rPr>
          <w:rFonts w:hint="eastAsia" w:ascii="宋体" w:cs="宋体"/>
          <w:color w:val="auto"/>
          <w:szCs w:val="21"/>
          <w:highlight w:val="none"/>
        </w:rPr>
        <w:t>）虚假投标，或者出现其他情形而导致被评标委员会认定无效的；</w:t>
      </w:r>
    </w:p>
    <w:p w14:paraId="642F7E91">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w:t>
      </w:r>
      <w:r>
        <w:rPr>
          <w:rFonts w:hint="eastAsia" w:ascii="宋体" w:cs="宋体"/>
          <w:color w:val="auto"/>
          <w:szCs w:val="21"/>
          <w:highlight w:val="none"/>
          <w:lang w:val="en-US" w:eastAsia="zh-CN"/>
        </w:rPr>
        <w:t>3</w:t>
      </w:r>
      <w:r>
        <w:rPr>
          <w:rFonts w:hint="eastAsia" w:ascii="宋体" w:cs="宋体"/>
          <w:color w:val="auto"/>
          <w:szCs w:val="21"/>
          <w:highlight w:val="none"/>
        </w:rPr>
        <w:t>）招标文件要求提供技术方案的，投标技术方案不明确，招标文件未允许但存在一个或者一个以上备选（替代）投标方案的。</w:t>
      </w:r>
    </w:p>
    <w:p w14:paraId="3008A992">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3.澄清、说明或者补正</w:t>
      </w:r>
    </w:p>
    <w:p w14:paraId="249FB95D">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公章后在线上传至评标委员会。投标人的澄清、说明或者补正不得超出投标文件的范围或者改变投标文件的实质性内容。</w:t>
      </w:r>
      <w:r>
        <w:rPr>
          <w:rFonts w:hint="eastAsia" w:ascii="宋体" w:cs="宋体"/>
          <w:b/>
          <w:bCs/>
          <w:color w:val="auto"/>
          <w:szCs w:val="21"/>
          <w:highlight w:val="none"/>
        </w:rPr>
        <w:t>投标人未在规定时间内进行澄清、说明或者补正的，有可能对评审产生影响</w:t>
      </w:r>
      <w:r>
        <w:rPr>
          <w:rFonts w:hint="eastAsia" w:ascii="宋体" w:cs="宋体"/>
          <w:color w:val="auto"/>
          <w:szCs w:val="21"/>
          <w:highlight w:val="none"/>
        </w:rPr>
        <w:t>。</w:t>
      </w:r>
    </w:p>
    <w:p w14:paraId="0ED76ED7">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电子签章（公章），或者由法定代表人或者其授权的代表签字。</w:t>
      </w:r>
    </w:p>
    <w:p w14:paraId="27DCE5C2">
      <w:pPr>
        <w:spacing w:line="360" w:lineRule="auto"/>
        <w:ind w:firstLine="422" w:firstLineChars="200"/>
        <w:rPr>
          <w:rFonts w:ascii="宋体" w:cs="宋体"/>
          <w:b/>
          <w:color w:val="auto"/>
          <w:szCs w:val="21"/>
          <w:highlight w:val="none"/>
        </w:rPr>
      </w:pPr>
      <w:r>
        <w:rPr>
          <w:rFonts w:hint="eastAsia" w:ascii="宋体" w:cs="宋体"/>
          <w:b/>
          <w:color w:val="auto"/>
          <w:szCs w:val="21"/>
          <w:highlight w:val="none"/>
        </w:rPr>
        <w:t>4.投标文件修正</w:t>
      </w:r>
    </w:p>
    <w:p w14:paraId="33C43298">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 xml:space="preserve">4.1投标文件报价出现前后不一致的，按照下列规定修正： </w:t>
      </w:r>
    </w:p>
    <w:p w14:paraId="1D84477E">
      <w:pPr>
        <w:spacing w:line="360" w:lineRule="auto"/>
        <w:ind w:firstLine="420" w:firstLineChars="200"/>
        <w:rPr>
          <w:rFonts w:ascii="宋体" w:cs="宋体"/>
          <w:color w:val="auto"/>
          <w:highlight w:val="none"/>
        </w:rPr>
      </w:pPr>
      <w:r>
        <w:rPr>
          <w:rFonts w:hint="eastAsia" w:ascii="宋体" w:cs="宋体"/>
          <w:color w:val="auto"/>
          <w:highlight w:val="none"/>
        </w:rPr>
        <w:t>（1）广西政府采购云平台电子开标大厅中的“开标记录表”内容与电子版投标文件中相应内容不一致的，以广西政府采购云平台电子开标大厅中的“开标记录表”为准；</w:t>
      </w:r>
    </w:p>
    <w:p w14:paraId="49118262">
      <w:pPr>
        <w:spacing w:line="360" w:lineRule="auto"/>
        <w:ind w:firstLine="420" w:firstLineChars="200"/>
        <w:rPr>
          <w:rFonts w:ascii="宋体" w:cs="宋体"/>
          <w:color w:val="auto"/>
          <w:highlight w:val="none"/>
        </w:rPr>
      </w:pPr>
      <w:r>
        <w:rPr>
          <w:rFonts w:hint="eastAsia" w:ascii="宋体" w:cs="宋体"/>
          <w:color w:val="auto"/>
          <w:highlight w:val="none"/>
        </w:rPr>
        <w:t>（2）大写金额和小写金额不一致的，以大写金额为准；</w:t>
      </w:r>
    </w:p>
    <w:p w14:paraId="4FAF765F">
      <w:pPr>
        <w:spacing w:line="360" w:lineRule="auto"/>
        <w:ind w:firstLine="420" w:firstLineChars="200"/>
        <w:rPr>
          <w:rFonts w:ascii="宋体" w:cs="宋体"/>
          <w:color w:val="auto"/>
          <w:highlight w:val="none"/>
        </w:rPr>
      </w:pPr>
      <w:r>
        <w:rPr>
          <w:rFonts w:hint="eastAsia" w:ascii="宋体" w:cs="宋体"/>
          <w:color w:val="auto"/>
          <w:highlight w:val="none"/>
        </w:rPr>
        <w:t>（3）单价金额小数点或者百分比有明显错位的，以开标一览表的总价为准，并修改单价；</w:t>
      </w:r>
    </w:p>
    <w:p w14:paraId="1445BE0A">
      <w:pPr>
        <w:spacing w:line="360" w:lineRule="auto"/>
        <w:ind w:firstLine="420" w:firstLineChars="200"/>
        <w:rPr>
          <w:rFonts w:ascii="宋体" w:cs="宋体"/>
          <w:color w:val="auto"/>
          <w:highlight w:val="none"/>
        </w:rPr>
      </w:pPr>
      <w:r>
        <w:rPr>
          <w:rFonts w:hint="eastAsia" w:ascii="宋体" w:cs="宋体"/>
          <w:color w:val="auto"/>
          <w:highlight w:val="none"/>
        </w:rPr>
        <w:t>（4）总价金额与按单价汇总金额不一致的，以单价金额计算结果为准。</w:t>
      </w:r>
    </w:p>
    <w:p w14:paraId="026CF647">
      <w:pPr>
        <w:spacing w:line="360" w:lineRule="auto"/>
        <w:ind w:firstLine="420" w:firstLineChars="200"/>
        <w:rPr>
          <w:rFonts w:ascii="宋体" w:cs="宋体"/>
          <w:color w:val="auto"/>
          <w:highlight w:val="none"/>
        </w:rPr>
      </w:pPr>
      <w:r>
        <w:rPr>
          <w:rFonts w:hint="eastAsia" w:ascii="宋体" w:cs="宋体"/>
          <w:color w:val="auto"/>
          <w:highlight w:val="none"/>
        </w:rPr>
        <w:t>同时出现两种以上不一致的，按照以上（1）-（4）规定的顺序修正。</w:t>
      </w:r>
      <w:r>
        <w:rPr>
          <w:rFonts w:hint="eastAsia" w:ascii="宋体" w:cs="宋体"/>
          <w:b/>
          <w:bCs/>
          <w:color w:val="auto"/>
          <w:highlight w:val="none"/>
        </w:rPr>
        <w:t>修正后的报价经投标人确认后产生约束力，投标人不确认的，其投标无效</w:t>
      </w:r>
      <w:r>
        <w:rPr>
          <w:rFonts w:hint="eastAsia" w:ascii="宋体" w:cs="宋体"/>
          <w:color w:val="auto"/>
          <w:highlight w:val="none"/>
        </w:rPr>
        <w:t>。</w:t>
      </w:r>
    </w:p>
    <w:p w14:paraId="2B96DA22">
      <w:pPr>
        <w:spacing w:line="360" w:lineRule="auto"/>
        <w:ind w:firstLine="422" w:firstLineChars="200"/>
        <w:rPr>
          <w:rFonts w:ascii="宋体" w:cs="宋体"/>
          <w:b/>
          <w:bCs/>
          <w:color w:val="auto"/>
          <w:szCs w:val="21"/>
          <w:highlight w:val="none"/>
        </w:rPr>
      </w:pPr>
      <w:r>
        <w:rPr>
          <w:rFonts w:hint="eastAsia" w:ascii="宋体" w:cs="宋体"/>
          <w:b/>
          <w:bCs/>
          <w:color w:val="auto"/>
          <w:szCs w:val="21"/>
          <w:highlight w:val="none"/>
        </w:rPr>
        <w:t>4.2经投标人确认修正后的报价若超过采购预算金额或者最高限价，投标人的投标文件作无效投标处理。</w:t>
      </w:r>
    </w:p>
    <w:p w14:paraId="60AA4EDA">
      <w:pPr>
        <w:spacing w:line="360" w:lineRule="auto"/>
        <w:ind w:firstLine="420" w:firstLineChars="200"/>
        <w:rPr>
          <w:rFonts w:ascii="宋体" w:cs="宋体"/>
          <w:color w:val="auto"/>
          <w:szCs w:val="21"/>
          <w:highlight w:val="none"/>
        </w:rPr>
      </w:pPr>
      <w:r>
        <w:rPr>
          <w:rFonts w:hint="eastAsia" w:ascii="宋体" w:cs="宋体"/>
          <w:color w:val="auto"/>
          <w:szCs w:val="21"/>
          <w:highlight w:val="none"/>
        </w:rPr>
        <w:t>4.3经投标人确认修正后的报价作为签订合同的依据，并以此报价计算价格分。</w:t>
      </w:r>
    </w:p>
    <w:p w14:paraId="2E6A1E3C">
      <w:pPr>
        <w:spacing w:line="360" w:lineRule="auto"/>
        <w:ind w:firstLine="422" w:firstLineChars="200"/>
        <w:rPr>
          <w:rFonts w:ascii="宋体" w:cs="宋体"/>
          <w:b/>
          <w:bCs/>
          <w:color w:val="auto"/>
          <w:szCs w:val="21"/>
          <w:highlight w:val="none"/>
        </w:rPr>
      </w:pPr>
      <w:r>
        <w:rPr>
          <w:rFonts w:hint="eastAsia" w:ascii="宋体" w:cs="宋体"/>
          <w:b/>
          <w:bCs/>
          <w:color w:val="auto"/>
          <w:szCs w:val="21"/>
          <w:highlight w:val="none"/>
        </w:rPr>
        <w:t>5.比较与评价</w:t>
      </w:r>
    </w:p>
    <w:p w14:paraId="253ABD56">
      <w:pPr>
        <w:tabs>
          <w:tab w:val="center" w:pos="4153"/>
          <w:tab w:val="right" w:pos="8306"/>
        </w:tabs>
        <w:spacing w:line="360" w:lineRule="auto"/>
        <w:ind w:firstLine="420" w:firstLineChars="200"/>
        <w:rPr>
          <w:color w:val="auto"/>
          <w:highlight w:val="none"/>
        </w:rPr>
      </w:pPr>
      <w:r>
        <w:rPr>
          <w:rFonts w:hint="eastAsia" w:ascii="宋体" w:cs="宋体"/>
          <w:color w:val="auto"/>
          <w:highlight w:val="none"/>
        </w:rPr>
        <w:t>（1）</w:t>
      </w:r>
      <w:r>
        <w:rPr>
          <w:rFonts w:hint="eastAsia" w:ascii="宋体" w:cs="宋体"/>
          <w:color w:val="auto"/>
          <w:szCs w:val="21"/>
          <w:highlight w:val="none"/>
        </w:rPr>
        <w:t>评</w:t>
      </w:r>
      <w:r>
        <w:rPr>
          <w:rFonts w:hint="eastAsia" w:ascii="宋体" w:cs="宋体"/>
          <w:color w:val="auto"/>
          <w:szCs w:val="21"/>
          <w:highlight w:val="none"/>
          <w:lang w:val="en-US" w:eastAsia="zh-CN"/>
        </w:rPr>
        <w:t>标</w:t>
      </w:r>
      <w:r>
        <w:rPr>
          <w:rFonts w:hint="eastAsia" w:ascii="宋体" w:cs="宋体"/>
          <w:color w:val="auto"/>
          <w:szCs w:val="21"/>
          <w:highlight w:val="none"/>
        </w:rPr>
        <w:t>委员会成员要根据政府采购法律法规和招标文件所载明的评标方法、标准进行评审。对投标人的价格分等客观评分项的评分应当一致，对其他需要借助专业知识评判的主观评分项，应当严格按照评分细则公正评分。</w:t>
      </w:r>
    </w:p>
    <w:p w14:paraId="5C0EBD0E">
      <w:pPr>
        <w:spacing w:line="360" w:lineRule="auto"/>
        <w:ind w:firstLine="420" w:firstLineChars="200"/>
        <w:rPr>
          <w:rFonts w:ascii="宋体" w:cs="宋体"/>
          <w:color w:val="auto"/>
          <w:highlight w:val="none"/>
        </w:rPr>
      </w:pPr>
      <w:r>
        <w:rPr>
          <w:rFonts w:hint="eastAsia" w:ascii="宋体" w:cs="宋体"/>
          <w:color w:val="auto"/>
          <w:highlight w:val="none"/>
        </w:rPr>
        <w:t>（2）评标委员会按照招标文件中规定的评标方法和评标标准，对符合性审查合格的投标文件进行商务和技术评估，综合比较与评价。</w:t>
      </w:r>
    </w:p>
    <w:p w14:paraId="36BFE4DF">
      <w:pPr>
        <w:spacing w:line="360" w:lineRule="auto"/>
        <w:ind w:firstLine="420" w:firstLineChars="200"/>
        <w:rPr>
          <w:rFonts w:ascii="宋体" w:cs="宋体"/>
          <w:color w:val="auto"/>
          <w:highlight w:val="none"/>
        </w:rPr>
      </w:pPr>
      <w:r>
        <w:rPr>
          <w:rFonts w:hint="eastAsia" w:ascii="宋体" w:cs="宋体"/>
          <w:color w:val="auto"/>
          <w:highlight w:val="none"/>
        </w:rPr>
        <w:t>（3）评标委员会各成员独立对每个投标人的投标文件进行评价，并汇总每个投标人的得分。</w:t>
      </w:r>
    </w:p>
    <w:p w14:paraId="45D841A8">
      <w:pPr>
        <w:spacing w:line="360" w:lineRule="auto"/>
        <w:ind w:firstLine="422" w:firstLineChars="200"/>
        <w:rPr>
          <w:rFonts w:ascii="宋体" w:cs="宋体"/>
          <w:b/>
          <w:bCs/>
          <w:color w:val="auto"/>
          <w:highlight w:val="none"/>
        </w:rPr>
      </w:pPr>
      <w:r>
        <w:rPr>
          <w:rFonts w:hint="eastAsia" w:ascii="宋体" w:cs="宋体"/>
          <w:b/>
          <w:bCs/>
          <w:color w:val="auto"/>
          <w:highlight w:val="none"/>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27B35F59">
      <w:pPr>
        <w:spacing w:line="360" w:lineRule="auto"/>
        <w:ind w:firstLine="420" w:firstLineChars="200"/>
        <w:rPr>
          <w:rFonts w:hint="eastAsia" w:ascii="宋体" w:cs="宋体"/>
          <w:color w:val="auto"/>
          <w:highlight w:val="none"/>
        </w:rPr>
      </w:pPr>
      <w:r>
        <w:rPr>
          <w:rFonts w:hint="eastAsia" w:ascii="宋体" w:cs="宋体"/>
          <w:color w:val="auto"/>
          <w:highlight w:val="none"/>
        </w:rPr>
        <w:t xml:space="preserve">①采购评审中出现下列情形之一的，评标委员会应当启动异常低价投标审查程序： </w:t>
      </w:r>
    </w:p>
    <w:p w14:paraId="23304C31">
      <w:pPr>
        <w:spacing w:line="360" w:lineRule="auto"/>
        <w:ind w:firstLine="420" w:firstLineChars="200"/>
        <w:rPr>
          <w:rFonts w:hint="eastAsia" w:ascii="宋体" w:cs="宋体"/>
          <w:color w:val="auto"/>
          <w:highlight w:val="none"/>
        </w:rPr>
      </w:pPr>
      <w:r>
        <w:rPr>
          <w:rFonts w:hint="eastAsia" w:ascii="宋体" w:cs="宋体"/>
          <w:color w:val="auto"/>
          <w:highlight w:val="none"/>
        </w:rPr>
        <w:t>A.投标报价低于全部通过符合性审查投标人投标报价平均值</w:t>
      </w:r>
      <w:r>
        <w:rPr>
          <w:rFonts w:hint="eastAsia" w:ascii="宋体" w:cs="宋体"/>
          <w:color w:val="auto"/>
          <w:highlight w:val="none"/>
          <w:lang w:val="en-US" w:eastAsia="zh-CN"/>
        </w:rPr>
        <w:t>65</w:t>
      </w:r>
      <w:r>
        <w:rPr>
          <w:rFonts w:hint="eastAsia" w:ascii="宋体" w:cs="宋体"/>
          <w:color w:val="auto"/>
          <w:highlight w:val="none"/>
        </w:rPr>
        <w:t>%的，即投标报价＜全部通过符合性审查投标人投标报价平均值×</w:t>
      </w:r>
      <w:r>
        <w:rPr>
          <w:rFonts w:hint="eastAsia" w:ascii="宋体" w:cs="宋体"/>
          <w:color w:val="auto"/>
          <w:highlight w:val="none"/>
          <w:lang w:val="en-US" w:eastAsia="zh-CN"/>
        </w:rPr>
        <w:t>65</w:t>
      </w:r>
      <w:r>
        <w:rPr>
          <w:rFonts w:hint="eastAsia" w:ascii="宋体" w:cs="宋体"/>
          <w:color w:val="auto"/>
          <w:highlight w:val="none"/>
        </w:rPr>
        <w:t xml:space="preserve">%； </w:t>
      </w:r>
    </w:p>
    <w:p w14:paraId="7F2BD431">
      <w:pPr>
        <w:spacing w:line="360" w:lineRule="auto"/>
        <w:ind w:firstLine="420" w:firstLineChars="200"/>
        <w:rPr>
          <w:rFonts w:hint="eastAsia" w:ascii="宋体" w:cs="宋体"/>
          <w:color w:val="auto"/>
          <w:highlight w:val="none"/>
        </w:rPr>
      </w:pPr>
      <w:r>
        <w:rPr>
          <w:rFonts w:hint="eastAsia" w:ascii="宋体" w:cs="宋体"/>
          <w:color w:val="auto"/>
          <w:highlight w:val="none"/>
        </w:rPr>
        <w:t>B.投标报价低于通过符合性审查的次低报价投标人投标报价</w:t>
      </w:r>
      <w:r>
        <w:rPr>
          <w:rFonts w:hint="eastAsia" w:ascii="宋体" w:cs="宋体"/>
          <w:color w:val="auto"/>
          <w:highlight w:val="none"/>
          <w:lang w:val="en-US" w:eastAsia="zh-CN"/>
        </w:rPr>
        <w:t>65</w:t>
      </w:r>
      <w:r>
        <w:rPr>
          <w:rFonts w:hint="eastAsia" w:ascii="宋体" w:cs="宋体"/>
          <w:color w:val="auto"/>
          <w:highlight w:val="none"/>
        </w:rPr>
        <w:t>%的，即投标报价＜通过符合性审查的次低报价投标人投标报价×</w:t>
      </w:r>
      <w:r>
        <w:rPr>
          <w:rFonts w:hint="eastAsia" w:ascii="宋体" w:cs="宋体"/>
          <w:color w:val="auto"/>
          <w:highlight w:val="none"/>
          <w:lang w:val="en-US" w:eastAsia="zh-CN"/>
        </w:rPr>
        <w:t>65</w:t>
      </w:r>
      <w:r>
        <w:rPr>
          <w:rFonts w:hint="eastAsia" w:ascii="宋体" w:cs="宋体"/>
          <w:color w:val="auto"/>
          <w:highlight w:val="none"/>
        </w:rPr>
        <w:t xml:space="preserve">%； </w:t>
      </w:r>
    </w:p>
    <w:p w14:paraId="6E69CCFC">
      <w:pPr>
        <w:spacing w:line="360" w:lineRule="auto"/>
        <w:ind w:firstLine="420" w:firstLineChars="200"/>
        <w:rPr>
          <w:rFonts w:hint="eastAsia" w:ascii="宋体" w:cs="宋体"/>
          <w:color w:val="auto"/>
          <w:highlight w:val="none"/>
        </w:rPr>
      </w:pPr>
      <w:r>
        <w:rPr>
          <w:rFonts w:hint="eastAsia" w:ascii="宋体" w:cs="宋体"/>
          <w:color w:val="auto"/>
          <w:highlight w:val="none"/>
        </w:rPr>
        <w:t>C.投标报价低于采购项目最高限价</w:t>
      </w:r>
      <w:r>
        <w:rPr>
          <w:rFonts w:hint="eastAsia" w:ascii="宋体" w:cs="宋体"/>
          <w:color w:val="auto"/>
          <w:highlight w:val="none"/>
          <w:lang w:val="en-US" w:eastAsia="zh-CN"/>
        </w:rPr>
        <w:t>65</w:t>
      </w:r>
      <w:r>
        <w:rPr>
          <w:rFonts w:hint="eastAsia" w:ascii="宋体" w:cs="宋体"/>
          <w:color w:val="auto"/>
          <w:highlight w:val="none"/>
        </w:rPr>
        <w:t>%的，即投标报价＜采购项目最高限价×</w:t>
      </w:r>
      <w:r>
        <w:rPr>
          <w:rFonts w:hint="eastAsia" w:ascii="宋体" w:cs="宋体"/>
          <w:color w:val="auto"/>
          <w:highlight w:val="none"/>
          <w:lang w:val="en-US" w:eastAsia="zh-CN"/>
        </w:rPr>
        <w:t>65</w:t>
      </w:r>
      <w:r>
        <w:rPr>
          <w:rFonts w:hint="eastAsia" w:ascii="宋体" w:cs="宋体"/>
          <w:color w:val="auto"/>
          <w:highlight w:val="none"/>
        </w:rPr>
        <w:t>%；</w:t>
      </w:r>
    </w:p>
    <w:p w14:paraId="3246741F">
      <w:pPr>
        <w:spacing w:line="360" w:lineRule="auto"/>
        <w:ind w:firstLine="420" w:firstLineChars="200"/>
        <w:rPr>
          <w:rFonts w:hint="eastAsia" w:ascii="宋体" w:cs="宋体"/>
          <w:color w:val="auto"/>
          <w:highlight w:val="none"/>
        </w:rPr>
      </w:pPr>
      <w:r>
        <w:rPr>
          <w:rFonts w:hint="eastAsia" w:ascii="宋体" w:cs="宋体"/>
          <w:color w:val="auto"/>
          <w:highlight w:val="none"/>
        </w:rPr>
        <w:t>D.评标委员会基于专业判断，认为投标人报价过低，有可能影响产品质量或者不能诚信履约的其他情形。</w:t>
      </w:r>
    </w:p>
    <w:p w14:paraId="4B07E2D0">
      <w:pPr>
        <w:spacing w:line="360" w:lineRule="auto"/>
        <w:ind w:firstLine="420" w:firstLineChars="200"/>
        <w:rPr>
          <w:rFonts w:hint="eastAsia" w:ascii="宋体" w:cs="宋体"/>
          <w:color w:val="auto"/>
          <w:highlight w:val="none"/>
        </w:rPr>
      </w:pPr>
      <w:r>
        <w:rPr>
          <w:rFonts w:hint="eastAsia" w:ascii="宋体" w:cs="宋体"/>
          <w:color w:val="auto"/>
          <w:highlight w:val="none"/>
        </w:rPr>
        <w:t>相关法律法规对投标人报价有规定的，从其规定。</w:t>
      </w:r>
    </w:p>
    <w:p w14:paraId="4342F6F3">
      <w:pPr>
        <w:spacing w:line="360" w:lineRule="auto"/>
        <w:ind w:firstLine="420" w:firstLineChars="200"/>
        <w:rPr>
          <w:rFonts w:hint="eastAsia" w:ascii="宋体" w:cs="宋体"/>
          <w:color w:val="auto"/>
          <w:highlight w:val="none"/>
        </w:rPr>
      </w:pPr>
      <w:r>
        <w:rPr>
          <w:rFonts w:hint="eastAsia" w:ascii="宋体" w:cs="宋体"/>
          <w:color w:val="auto"/>
          <w:highlight w:val="none"/>
        </w:rPr>
        <w:t>②评标委员会启动异常低价投标审查后，属于上述A项至D项情形的，应当要求相关投标人在评标现场合理的时间内对投标价格作出解释，提供项目具体成本测算等与报价合理性相关的书面说明及必要的证明材料，包括但不限于原材料成本、人工成本、制造费用等，给予相关投标人的合理时间一般不少于30分钟。其中，属于上述C项情形，投标人已随投标文件一并提交相关书面说明及必要的证明材料的，在评标现场可不再重复提交。</w:t>
      </w:r>
    </w:p>
    <w:p w14:paraId="5C109775">
      <w:pPr>
        <w:spacing w:line="360" w:lineRule="auto"/>
        <w:ind w:firstLine="420" w:firstLineChars="200"/>
        <w:rPr>
          <w:rFonts w:hint="eastAsia" w:ascii="宋体" w:cs="宋体"/>
          <w:b/>
          <w:bCs/>
          <w:color w:val="auto"/>
          <w:highlight w:val="none"/>
        </w:rPr>
      </w:pPr>
      <w:r>
        <w:rPr>
          <w:rFonts w:hint="eastAsia" w:ascii="宋体" w:cs="宋体"/>
          <w:color w:val="auto"/>
          <w:highlight w:val="none"/>
        </w:rPr>
        <w:t xml:space="preserve"> ③评标委员会依据专业经验，参考同类项目中标（成交）价格、类似产品市场价格水平、行业人工费用标准、国家有关部门指导行业协会发布的行业平均成本等情况，对报价合理性进行判断。</w:t>
      </w:r>
      <w:r>
        <w:rPr>
          <w:rFonts w:hint="eastAsia" w:ascii="宋体" w:cs="宋体"/>
          <w:b/>
          <w:bCs/>
          <w:color w:val="auto"/>
          <w:highlight w:val="none"/>
        </w:rPr>
        <w:t>投标人不能提供书面说明、证明材料，或者提供的书面说明、证明材料不能证明其报价合理性的，评标委员会应当将其作为无效投标处理。</w:t>
      </w:r>
    </w:p>
    <w:p w14:paraId="5720EE6D">
      <w:pPr>
        <w:spacing w:line="360" w:lineRule="auto"/>
        <w:ind w:firstLine="420" w:firstLineChars="200"/>
        <w:rPr>
          <w:rFonts w:ascii="宋体" w:cs="宋体"/>
          <w:color w:val="auto"/>
          <w:highlight w:val="none"/>
        </w:rPr>
      </w:pPr>
      <w:r>
        <w:rPr>
          <w:rFonts w:hint="eastAsia" w:ascii="宋体" w:cs="宋体"/>
          <w:color w:val="auto"/>
          <w:highlight w:val="none"/>
        </w:rPr>
        <w:t>（5）评标委员会按照招标文件中规定的评标方法和标准计算各投标人的报价得分。在评标过程中，不得去掉报价中的最高报价和最低报价。</w:t>
      </w:r>
    </w:p>
    <w:p w14:paraId="31CAA877">
      <w:pPr>
        <w:spacing w:line="360" w:lineRule="auto"/>
        <w:ind w:firstLine="420" w:firstLineChars="200"/>
        <w:rPr>
          <w:rFonts w:ascii="宋体" w:cs="宋体"/>
          <w:color w:val="auto"/>
          <w:highlight w:val="none"/>
        </w:rPr>
      </w:pPr>
      <w:r>
        <w:rPr>
          <w:rFonts w:hint="eastAsia" w:ascii="宋体" w:cs="宋体"/>
          <w:color w:val="auto"/>
          <w:highlight w:val="none"/>
        </w:rPr>
        <w:t>（6）各投标人的得分为评标委员会各成员的有效评分的算术平均数。</w:t>
      </w:r>
    </w:p>
    <w:p w14:paraId="7666A805">
      <w:pPr>
        <w:spacing w:line="360" w:lineRule="auto"/>
        <w:ind w:firstLine="420" w:firstLineChars="200"/>
        <w:rPr>
          <w:rFonts w:ascii="宋体" w:cs="宋体"/>
          <w:color w:val="auto"/>
          <w:highlight w:val="none"/>
        </w:rPr>
      </w:pPr>
      <w:r>
        <w:rPr>
          <w:rFonts w:hint="eastAsia" w:ascii="宋体" w:cs="宋体"/>
          <w:color w:val="auto"/>
          <w:highlight w:val="none"/>
        </w:rPr>
        <w:t>（7）评标委员会按照招标文件中的规定推荐中标候选人。</w:t>
      </w:r>
    </w:p>
    <w:p w14:paraId="4039F571">
      <w:pPr>
        <w:tabs>
          <w:tab w:val="center" w:pos="4153"/>
          <w:tab w:val="right" w:pos="8306"/>
        </w:tabs>
        <w:spacing w:line="360" w:lineRule="auto"/>
        <w:ind w:firstLine="420" w:firstLineChars="200"/>
        <w:rPr>
          <w:rFonts w:ascii="宋体" w:cs="宋体"/>
          <w:color w:val="auto"/>
          <w:highlight w:val="none"/>
        </w:rPr>
      </w:pPr>
      <w:r>
        <w:rPr>
          <w:rFonts w:hint="eastAsia" w:ascii="宋体" w:cs="宋体"/>
          <w:color w:val="auto"/>
          <w:highlight w:val="none"/>
        </w:rPr>
        <w:t>（8）起草并签署评标报告。评标委员会根据评标委员会各成员签字的原始评标记录和评标结果编写评标报告。评标委员会各成员均应当在评标报告上签字，对自己的评标意见承担法律责任。对评标过程中需要共同认定的事项存在争议的，应当按照少数服从多数的原则</w:t>
      </w:r>
      <w:r>
        <w:rPr>
          <w:rFonts w:hint="eastAsia" w:ascii="宋体" w:cs="宋体"/>
          <w:color w:val="auto"/>
          <w:highlight w:val="none"/>
          <w:lang w:val="en-US" w:eastAsia="zh-CN"/>
        </w:rPr>
        <w:t>作</w:t>
      </w:r>
      <w:r>
        <w:rPr>
          <w:rFonts w:hint="eastAsia" w:ascii="宋体" w:cs="宋体"/>
          <w:color w:val="auto"/>
          <w:highlight w:val="none"/>
        </w:rPr>
        <w:t>出结论。持不同意见的评标委员会成员应当在评标报告上签署不同意见及理由，否则视为同意评标报告。</w:t>
      </w:r>
    </w:p>
    <w:p w14:paraId="0BB855B6">
      <w:pPr>
        <w:spacing w:line="360" w:lineRule="auto"/>
        <w:ind w:firstLine="422" w:firstLineChars="200"/>
        <w:rPr>
          <w:rFonts w:ascii="宋体"/>
          <w:b/>
          <w:color w:val="auto"/>
          <w:szCs w:val="21"/>
          <w:highlight w:val="none"/>
        </w:rPr>
      </w:pPr>
      <w:r>
        <w:rPr>
          <w:rFonts w:hint="eastAsia" w:ascii="宋体"/>
          <w:b/>
          <w:color w:val="auto"/>
          <w:szCs w:val="21"/>
          <w:highlight w:val="none"/>
        </w:rPr>
        <w:t>6.评审复核</w:t>
      </w:r>
    </w:p>
    <w:p w14:paraId="5C38AA94">
      <w:pPr>
        <w:spacing w:line="360" w:lineRule="auto"/>
        <w:ind w:firstLine="420" w:firstLineChars="200"/>
        <w:rPr>
          <w:rFonts w:ascii="宋体"/>
          <w:color w:val="auto"/>
          <w:szCs w:val="21"/>
          <w:highlight w:val="none"/>
        </w:rPr>
      </w:pPr>
      <w:r>
        <w:rPr>
          <w:rFonts w:hint="eastAsia" w:ascii="宋体"/>
          <w:color w:val="auto"/>
          <w:szCs w:val="21"/>
          <w:highlight w:val="none"/>
        </w:rPr>
        <w:t>6.1评标报告签署前，评标委员会要对评审结果进行复核，复核意见要体现在评标报告中。</w:t>
      </w:r>
    </w:p>
    <w:p w14:paraId="11237786">
      <w:pPr>
        <w:widowControl/>
        <w:spacing w:line="560" w:lineRule="exact"/>
        <w:ind w:firstLine="420" w:firstLineChars="200"/>
        <w:jc w:val="left"/>
        <w:textAlignment w:val="baseline"/>
        <w:rPr>
          <w:color w:val="auto"/>
          <w:highlight w:val="none"/>
        </w:rPr>
      </w:pPr>
      <w:r>
        <w:rPr>
          <w:rFonts w:hint="eastAsia" w:ascii="宋体" w:cs="宋体"/>
          <w:color w:val="auto"/>
          <w:highlight w:val="none"/>
        </w:rPr>
        <w:t>6.2</w:t>
      </w:r>
      <w:r>
        <w:rPr>
          <w:rFonts w:hint="eastAsia"/>
          <w:color w:val="auto"/>
          <w:highlight w:val="none"/>
        </w:rPr>
        <w:t>评标结果汇总完成后，除下列情形外，任何人不得修改评标结果：</w:t>
      </w:r>
    </w:p>
    <w:p w14:paraId="3A687CE3">
      <w:pPr>
        <w:widowControl/>
        <w:spacing w:line="560" w:lineRule="exact"/>
        <w:jc w:val="left"/>
        <w:textAlignment w:val="baseline"/>
        <w:rPr>
          <w:color w:val="auto"/>
          <w:highlight w:val="none"/>
        </w:rPr>
      </w:pPr>
      <w:r>
        <w:rPr>
          <w:rFonts w:hint="eastAsia"/>
          <w:color w:val="auto"/>
          <w:highlight w:val="none"/>
        </w:rPr>
        <w:t>　　（一）分值汇总计算错误的；</w:t>
      </w:r>
    </w:p>
    <w:p w14:paraId="2031CA68">
      <w:pPr>
        <w:widowControl/>
        <w:spacing w:line="560" w:lineRule="exact"/>
        <w:jc w:val="left"/>
        <w:textAlignment w:val="baseline"/>
        <w:rPr>
          <w:color w:val="auto"/>
          <w:highlight w:val="none"/>
        </w:rPr>
      </w:pPr>
      <w:r>
        <w:rPr>
          <w:rFonts w:hint="eastAsia"/>
          <w:color w:val="auto"/>
          <w:highlight w:val="none"/>
        </w:rPr>
        <w:t>　　（二）分项评分超出评分标准范围的；</w:t>
      </w:r>
    </w:p>
    <w:p w14:paraId="168A3343">
      <w:pPr>
        <w:widowControl/>
        <w:spacing w:line="560" w:lineRule="exact"/>
        <w:jc w:val="left"/>
        <w:textAlignment w:val="baseline"/>
        <w:rPr>
          <w:color w:val="auto"/>
          <w:highlight w:val="none"/>
        </w:rPr>
      </w:pPr>
      <w:r>
        <w:rPr>
          <w:rFonts w:hint="eastAsia"/>
          <w:color w:val="auto"/>
          <w:highlight w:val="none"/>
        </w:rPr>
        <w:t>　　（三）评标委员会成员对客观评审因素评分不一致的；</w:t>
      </w:r>
    </w:p>
    <w:p w14:paraId="3F9D7D7A">
      <w:pPr>
        <w:widowControl/>
        <w:spacing w:line="560" w:lineRule="exact"/>
        <w:ind w:firstLine="420"/>
        <w:jc w:val="left"/>
        <w:textAlignment w:val="baseline"/>
        <w:rPr>
          <w:color w:val="auto"/>
          <w:highlight w:val="none"/>
        </w:rPr>
      </w:pPr>
      <w:r>
        <w:rPr>
          <w:rFonts w:hint="eastAsia"/>
          <w:color w:val="auto"/>
          <w:highlight w:val="none"/>
        </w:rPr>
        <w:t>（四）经评标委员会认定评分畸高、畸低的。</w:t>
      </w:r>
    </w:p>
    <w:p w14:paraId="2E71E0B5">
      <w:pPr>
        <w:widowControl/>
        <w:spacing w:line="560" w:lineRule="exact"/>
        <w:ind w:firstLine="420"/>
        <w:jc w:val="left"/>
        <w:textAlignment w:val="baseline"/>
        <w:rPr>
          <w:rFonts w:hint="eastAsia"/>
          <w:color w:val="auto"/>
          <w:highlight w:val="none"/>
        </w:rPr>
      </w:pPr>
      <w:r>
        <w:rPr>
          <w:rFonts w:hint="eastAsia"/>
          <w:color w:val="auto"/>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bookmarkStart w:id="230" w:name="_Toc2655"/>
      <w:bookmarkStart w:id="231" w:name="_Toc25387"/>
      <w:bookmarkStart w:id="232" w:name="_Toc17840"/>
      <w:bookmarkStart w:id="233" w:name="_Toc17655"/>
      <w:bookmarkStart w:id="234" w:name="_Toc32041"/>
    </w:p>
    <w:p w14:paraId="1D9CD20F">
      <w:pPr>
        <w:widowControl/>
        <w:spacing w:line="560" w:lineRule="exact"/>
        <w:jc w:val="center"/>
        <w:textAlignment w:val="baseline"/>
        <w:rPr>
          <w:rFonts w:hint="eastAsia" w:ascii="宋体" w:eastAsia="宋体" w:cs="宋体"/>
          <w:b w:val="0"/>
          <w:color w:val="auto"/>
          <w:sz w:val="30"/>
          <w:szCs w:val="30"/>
          <w:highlight w:val="none"/>
        </w:rPr>
        <w:sectPr>
          <w:pgSz w:w="11906" w:h="16838"/>
          <w:pgMar w:top="1134" w:right="1134" w:bottom="1134" w:left="1134" w:header="720" w:footer="720" w:gutter="0"/>
          <w:cols w:space="720" w:num="1"/>
          <w:docGrid w:type="lines" w:linePitch="331" w:charSpace="0"/>
        </w:sectPr>
      </w:pPr>
    </w:p>
    <w:p w14:paraId="094F352F">
      <w:pPr>
        <w:pStyle w:val="16"/>
        <w:tabs>
          <w:tab w:val="left" w:pos="2472"/>
        </w:tabs>
        <w:spacing w:line="460" w:lineRule="exact"/>
        <w:jc w:val="center"/>
        <w:outlineLvl w:val="1"/>
        <w:rPr>
          <w:rFonts w:hint="eastAsia" w:cs="宋体"/>
          <w:b/>
          <w:bCs/>
          <w:color w:val="auto"/>
          <w:sz w:val="32"/>
          <w:szCs w:val="32"/>
          <w:highlight w:val="none"/>
        </w:rPr>
      </w:pPr>
      <w:r>
        <w:rPr>
          <w:rFonts w:hint="eastAsia" w:cs="宋体"/>
          <w:b/>
          <w:bCs/>
          <w:color w:val="auto"/>
          <w:sz w:val="32"/>
          <w:szCs w:val="32"/>
          <w:highlight w:val="none"/>
        </w:rPr>
        <w:t>第三节 评分标准</w:t>
      </w:r>
      <w:bookmarkEnd w:id="230"/>
      <w:bookmarkEnd w:id="231"/>
      <w:bookmarkEnd w:id="232"/>
      <w:bookmarkEnd w:id="233"/>
      <w:bookmarkEnd w:id="234"/>
    </w:p>
    <w:p w14:paraId="0F75453B">
      <w:pPr>
        <w:pStyle w:val="16"/>
        <w:jc w:val="center"/>
        <w:rPr>
          <w:rFonts w:cs="宋体"/>
          <w:b/>
          <w:color w:val="auto"/>
          <w:sz w:val="30"/>
          <w:szCs w:val="30"/>
          <w:highlight w:val="none"/>
        </w:rPr>
      </w:pPr>
      <w:bookmarkStart w:id="235" w:name="_Toc28332"/>
      <w:bookmarkStart w:id="236" w:name="_Toc1251"/>
      <w:bookmarkStart w:id="237" w:name="_Toc30734"/>
      <w:bookmarkStart w:id="238" w:name="_Toc16607"/>
      <w:bookmarkStart w:id="239" w:name="_Toc5054"/>
      <w:r>
        <w:rPr>
          <w:rFonts w:hint="eastAsia" w:cs="宋体"/>
          <w:b/>
          <w:color w:val="auto"/>
          <w:sz w:val="30"/>
          <w:szCs w:val="30"/>
          <w:highlight w:val="none"/>
        </w:rPr>
        <w:t>综合评分法</w:t>
      </w:r>
    </w:p>
    <w:p w14:paraId="789A1AE5">
      <w:pPr>
        <w:pStyle w:val="16"/>
        <w:spacing w:line="360" w:lineRule="auto"/>
        <w:rPr>
          <w:rFonts w:cs="宋体"/>
          <w:bCs/>
          <w:color w:val="auto"/>
          <w:highlight w:val="none"/>
        </w:rPr>
      </w:pPr>
      <w:r>
        <w:rPr>
          <w:rFonts w:hint="eastAsia" w:cs="宋体"/>
          <w:bCs/>
          <w:color w:val="auto"/>
          <w:highlight w:val="none"/>
        </w:rPr>
        <w:t>注：计分方法按四舍五入取至百分位。</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
        <w:gridCol w:w="1588"/>
        <w:gridCol w:w="1587"/>
        <w:gridCol w:w="5915"/>
      </w:tblGrid>
      <w:tr w14:paraId="25FF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0" w:type="dxa"/>
            <w:gridSpan w:val="4"/>
            <w:vAlign w:val="center"/>
          </w:tcPr>
          <w:p w14:paraId="687AA564">
            <w:pPr>
              <w:keepNext w:val="0"/>
              <w:keepLines w:val="0"/>
              <w:pageBreakBefore w:val="0"/>
              <w:widowControl w:val="0"/>
              <w:kinsoku/>
              <w:wordWrap/>
              <w:overflowPunct/>
              <w:topLinePunct w:val="0"/>
              <w:autoSpaceDE/>
              <w:autoSpaceDN/>
              <w:bidi w:val="0"/>
              <w:spacing w:line="400" w:lineRule="exact"/>
              <w:ind w:left="0" w:firstLine="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val="0"/>
                <w:color w:val="auto"/>
                <w:kern w:val="2"/>
                <w:sz w:val="21"/>
                <w:szCs w:val="21"/>
                <w:highlight w:val="none"/>
                <w:lang w:val="en-US" w:eastAsia="zh-CN" w:bidi="ar-SA"/>
              </w:rPr>
              <w:t>标项1适用</w:t>
            </w:r>
          </w:p>
        </w:tc>
      </w:tr>
      <w:tr w14:paraId="71B6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8" w:type="dxa"/>
            <w:gridSpan w:val="2"/>
            <w:vAlign w:val="center"/>
          </w:tcPr>
          <w:p w14:paraId="240169D5">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587" w:type="dxa"/>
            <w:vAlign w:val="center"/>
          </w:tcPr>
          <w:p w14:paraId="71EB0D14">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评审因素</w:t>
            </w:r>
          </w:p>
        </w:tc>
        <w:tc>
          <w:tcPr>
            <w:tcW w:w="5915" w:type="dxa"/>
            <w:vAlign w:val="center"/>
          </w:tcPr>
          <w:p w14:paraId="3642450F">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w:t>
            </w:r>
            <w:r>
              <w:rPr>
                <w:rFonts w:hint="eastAsia" w:ascii="宋体" w:hAnsi="宋体" w:eastAsia="宋体" w:cs="宋体"/>
                <w:b/>
                <w:color w:val="auto"/>
                <w:sz w:val="21"/>
                <w:szCs w:val="21"/>
                <w:highlight w:val="none"/>
                <w:lang w:eastAsia="zh-CN"/>
              </w:rPr>
              <w:t>分</w:t>
            </w:r>
            <w:r>
              <w:rPr>
                <w:rFonts w:hint="eastAsia" w:ascii="宋体" w:hAnsi="宋体" w:eastAsia="宋体" w:cs="宋体"/>
                <w:b/>
                <w:color w:val="auto"/>
                <w:sz w:val="21"/>
                <w:szCs w:val="21"/>
                <w:highlight w:val="none"/>
              </w:rPr>
              <w:t>标准</w:t>
            </w:r>
          </w:p>
        </w:tc>
      </w:tr>
      <w:tr w14:paraId="54076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dxa"/>
            <w:vAlign w:val="center"/>
          </w:tcPr>
          <w:p w14:paraId="0A8A2E6C">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w:t>
            </w:r>
          </w:p>
        </w:tc>
        <w:tc>
          <w:tcPr>
            <w:tcW w:w="1588" w:type="dxa"/>
            <w:vAlign w:val="center"/>
          </w:tcPr>
          <w:p w14:paraId="001E255C">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rPr>
              <w:t>1.</w:t>
            </w:r>
            <w:r>
              <w:rPr>
                <w:rFonts w:hint="eastAsia" w:ascii="宋体" w:hAnsi="宋体" w:eastAsia="宋体" w:cs="宋体"/>
                <w:b/>
                <w:bCs w:val="0"/>
                <w:color w:val="auto"/>
                <w:sz w:val="21"/>
                <w:szCs w:val="21"/>
                <w:highlight w:val="none"/>
              </w:rPr>
              <w:t>价格分</w:t>
            </w:r>
          </w:p>
          <w:p w14:paraId="70EB760C">
            <w:pPr>
              <w:keepNext w:val="0"/>
              <w:keepLines w:val="0"/>
              <w:pageBreakBefore w:val="0"/>
              <w:kinsoku/>
              <w:wordWrap/>
              <w:overflowPunct/>
              <w:topLinePunct w:val="0"/>
              <w:autoSpaceDE/>
              <w:autoSpaceDN/>
              <w:bidi w:val="0"/>
              <w:adjustRightInd w:val="0"/>
              <w:spacing w:line="400" w:lineRule="exact"/>
              <w:jc w:val="both"/>
              <w:textAlignment w:val="baseline"/>
              <w:rPr>
                <w:rFonts w:hint="eastAsia" w:ascii="宋体" w:hAnsi="宋体" w:eastAsia="宋体" w:cs="宋体"/>
                <w:color w:val="auto"/>
                <w:sz w:val="21"/>
                <w:szCs w:val="21"/>
                <w:highlight w:val="none"/>
              </w:rPr>
            </w:pPr>
            <w:r>
              <w:rPr>
                <w:rFonts w:hint="eastAsia" w:ascii="宋体" w:hAnsi="宋体" w:eastAsia="宋体" w:cs="宋体"/>
                <w:b/>
                <w:bCs w:val="0"/>
                <w:color w:val="auto"/>
                <w:sz w:val="21"/>
                <w:szCs w:val="21"/>
                <w:highlight w:val="none"/>
              </w:rPr>
              <w:t>（满分</w:t>
            </w:r>
            <w:r>
              <w:rPr>
                <w:rFonts w:hint="eastAsia" w:ascii="宋体" w:hAnsi="宋体" w:eastAsia="宋体" w:cs="宋体"/>
                <w:b/>
                <w:bCs w:val="0"/>
                <w:color w:val="auto"/>
                <w:sz w:val="21"/>
                <w:szCs w:val="21"/>
                <w:highlight w:val="none"/>
                <w:u w:val="none"/>
                <w:lang w:val="en-US" w:eastAsia="zh-CN"/>
              </w:rPr>
              <w:t xml:space="preserve">30 </w:t>
            </w:r>
            <w:r>
              <w:rPr>
                <w:rFonts w:hint="eastAsia" w:ascii="宋体" w:hAnsi="宋体" w:eastAsia="宋体" w:cs="宋体"/>
                <w:b/>
                <w:bCs w:val="0"/>
                <w:color w:val="auto"/>
                <w:sz w:val="21"/>
                <w:szCs w:val="21"/>
                <w:highlight w:val="none"/>
                <w:u w:val="none"/>
              </w:rPr>
              <w:t>分）</w:t>
            </w:r>
          </w:p>
        </w:tc>
        <w:tc>
          <w:tcPr>
            <w:tcW w:w="1587" w:type="dxa"/>
            <w:vAlign w:val="center"/>
          </w:tcPr>
          <w:p w14:paraId="3835F030">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投标报价</w:t>
            </w:r>
          </w:p>
          <w:p w14:paraId="507B9D44">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（满分</w:t>
            </w: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0分）</w:t>
            </w:r>
          </w:p>
        </w:tc>
        <w:tc>
          <w:tcPr>
            <w:tcW w:w="5915" w:type="dxa"/>
            <w:vAlign w:val="center"/>
          </w:tcPr>
          <w:p w14:paraId="6E815359">
            <w:pPr>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（1）本项目为专门面向中小企业采购的项目，按照《政府采购促进中小企业发展管理办法》（财库〔2020〕46号）的规定，对投标人的投标报价不再执行价格评审优惠的扶持政策。</w:t>
            </w:r>
          </w:p>
          <w:p w14:paraId="70FB2091">
            <w:pPr>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（2）评标报价为投标人的投标报价，评标报价只是作为评审时使用。最终中标人的中标金额等于投标报价。</w:t>
            </w:r>
          </w:p>
          <w:p w14:paraId="2F645022">
            <w:pPr>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（3）满足招标文件要求且评标报价最低的评标报价为评标基准价，基准价得分为</w:t>
            </w:r>
            <w:r>
              <w:rPr>
                <w:rFonts w:hint="eastAsia" w:ascii="宋体" w:hAnsi="宋体" w:eastAsia="宋体" w:cs="宋体"/>
                <w:bCs/>
                <w:color w:val="auto"/>
                <w:sz w:val="21"/>
                <w:szCs w:val="21"/>
                <w:highlight w:val="none"/>
                <w:lang w:val="en-US" w:eastAsia="zh-CN"/>
              </w:rPr>
              <w:t>30</w:t>
            </w:r>
            <w:r>
              <w:rPr>
                <w:rFonts w:hint="eastAsia" w:ascii="宋体" w:hAnsi="宋体" w:eastAsia="宋体" w:cs="宋体"/>
                <w:bCs/>
                <w:color w:val="auto"/>
                <w:sz w:val="21"/>
                <w:szCs w:val="21"/>
                <w:highlight w:val="none"/>
              </w:rPr>
              <w:t>分。</w:t>
            </w:r>
          </w:p>
          <w:p w14:paraId="4D8BF6D4">
            <w:pPr>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（4）价格分计算公式：        </w:t>
            </w:r>
          </w:p>
          <w:p w14:paraId="717651B2">
            <w:pPr>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auto"/>
                <w:kern w:val="2"/>
                <w:sz w:val="21"/>
                <w:szCs w:val="21"/>
                <w:highlight w:val="none"/>
                <w:lang w:val="en-US" w:eastAsia="zh-CN"/>
              </w:rPr>
            </w:pPr>
            <w:r>
              <w:rPr>
                <w:rFonts w:hint="eastAsia" w:ascii="宋体" w:hAnsi="宋体" w:eastAsia="宋体" w:cs="宋体"/>
                <w:bCs/>
                <w:color w:val="auto"/>
                <w:sz w:val="21"/>
                <w:szCs w:val="21"/>
                <w:highlight w:val="none"/>
              </w:rPr>
              <w:t>价格分=(评标基准价／评标报价)×</w:t>
            </w:r>
            <w:r>
              <w:rPr>
                <w:rFonts w:hint="eastAsia" w:ascii="宋体" w:hAnsi="宋体" w:eastAsia="宋体" w:cs="宋体"/>
                <w:bCs/>
                <w:color w:val="auto"/>
                <w:sz w:val="21"/>
                <w:szCs w:val="21"/>
                <w:highlight w:val="none"/>
                <w:lang w:val="en-US" w:eastAsia="zh-CN"/>
              </w:rPr>
              <w:t>30</w:t>
            </w:r>
            <w:r>
              <w:rPr>
                <w:rFonts w:hint="eastAsia" w:ascii="宋体" w:hAnsi="宋体" w:eastAsia="宋体" w:cs="宋体"/>
                <w:bCs/>
                <w:color w:val="auto"/>
                <w:sz w:val="21"/>
                <w:szCs w:val="21"/>
                <w:highlight w:val="none"/>
              </w:rPr>
              <w:t>分</w:t>
            </w:r>
          </w:p>
        </w:tc>
      </w:tr>
      <w:tr w14:paraId="2A19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60" w:type="dxa"/>
            <w:vMerge w:val="restart"/>
            <w:vAlign w:val="center"/>
          </w:tcPr>
          <w:p w14:paraId="3E439C60">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p>
        </w:tc>
        <w:tc>
          <w:tcPr>
            <w:tcW w:w="1588" w:type="dxa"/>
            <w:vMerge w:val="restart"/>
            <w:vAlign w:val="center"/>
          </w:tcPr>
          <w:p w14:paraId="158A35B5">
            <w:pPr>
              <w:keepNext w:val="0"/>
              <w:keepLines w:val="0"/>
              <w:pageBreakBefore w:val="0"/>
              <w:kinsoku/>
              <w:wordWrap/>
              <w:overflowPunct/>
              <w:topLinePunct w:val="0"/>
              <w:autoSpaceDE/>
              <w:autoSpaceDN/>
              <w:bidi w:val="0"/>
              <w:adjustRightInd w:val="0"/>
              <w:spacing w:line="400" w:lineRule="exact"/>
              <w:ind w:left="-105" w:leftChars="-50" w:right="-105" w:rightChars="-50"/>
              <w:jc w:val="center"/>
              <w:textAlignment w:val="baseline"/>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lang w:val="en-US" w:eastAsia="zh-CN"/>
              </w:rPr>
              <w:t>2.</w:t>
            </w:r>
            <w:r>
              <w:rPr>
                <w:rFonts w:hint="eastAsia" w:ascii="宋体" w:hAnsi="宋体" w:eastAsia="宋体" w:cs="宋体"/>
                <w:b/>
                <w:bCs/>
                <w:color w:val="auto"/>
                <w:sz w:val="21"/>
                <w:szCs w:val="21"/>
                <w:highlight w:val="none"/>
                <w:u w:val="none"/>
              </w:rPr>
              <w:t>技术分</w:t>
            </w:r>
          </w:p>
          <w:p w14:paraId="7553C05D">
            <w:pPr>
              <w:keepNext w:val="0"/>
              <w:keepLines w:val="0"/>
              <w:pageBreakBefore w:val="0"/>
              <w:kinsoku/>
              <w:wordWrap/>
              <w:overflowPunct/>
              <w:topLinePunct w:val="0"/>
              <w:autoSpaceDE/>
              <w:autoSpaceDN/>
              <w:bidi w:val="0"/>
              <w:adjustRightInd w:val="0"/>
              <w:spacing w:line="400" w:lineRule="exact"/>
              <w:ind w:left="-105" w:leftChars="-50" w:right="-105" w:rightChars="-50"/>
              <w:jc w:val="center"/>
              <w:textAlignment w:val="baseline"/>
              <w:rPr>
                <w:rFonts w:hint="eastAsia" w:ascii="宋体" w:hAnsi="宋体" w:eastAsia="宋体" w:cs="宋体"/>
                <w:color w:val="auto"/>
                <w:spacing w:val="-18"/>
                <w:sz w:val="21"/>
                <w:szCs w:val="21"/>
                <w:highlight w:val="none"/>
              </w:rPr>
            </w:pPr>
            <w:r>
              <w:rPr>
                <w:rFonts w:hint="eastAsia" w:ascii="宋体" w:hAnsi="宋体" w:eastAsia="宋体" w:cs="宋体"/>
                <w:b/>
                <w:bCs/>
                <w:color w:val="auto"/>
                <w:sz w:val="21"/>
                <w:szCs w:val="21"/>
                <w:highlight w:val="none"/>
                <w:u w:val="none"/>
              </w:rPr>
              <w:t>（满分</w:t>
            </w:r>
            <w:r>
              <w:rPr>
                <w:rFonts w:hint="eastAsia" w:ascii="宋体" w:hAnsi="宋体" w:eastAsia="宋体" w:cs="宋体"/>
                <w:b/>
                <w:bCs/>
                <w:color w:val="auto"/>
                <w:sz w:val="21"/>
                <w:szCs w:val="21"/>
                <w:highlight w:val="none"/>
                <w:u w:val="none"/>
                <w:lang w:val="en-US" w:eastAsia="zh-CN"/>
              </w:rPr>
              <w:t>50</w:t>
            </w:r>
            <w:r>
              <w:rPr>
                <w:rFonts w:hint="eastAsia" w:ascii="宋体" w:hAnsi="宋体" w:eastAsia="宋体" w:cs="宋体"/>
                <w:b/>
                <w:bCs/>
                <w:color w:val="auto"/>
                <w:sz w:val="21"/>
                <w:szCs w:val="21"/>
                <w:highlight w:val="none"/>
                <w:u w:val="none"/>
              </w:rPr>
              <w:t>分）</w:t>
            </w:r>
          </w:p>
        </w:tc>
        <w:tc>
          <w:tcPr>
            <w:tcW w:w="1587" w:type="dxa"/>
            <w:vAlign w:val="center"/>
          </w:tcPr>
          <w:p w14:paraId="0A6202B5">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u w:val="none"/>
                <w:lang w:val="en-US" w:eastAsia="zh-CN"/>
              </w:rPr>
              <w:t>2.1</w:t>
            </w:r>
            <w:r>
              <w:rPr>
                <w:rFonts w:hint="eastAsia" w:ascii="宋体" w:hAnsi="宋体" w:eastAsia="宋体" w:cs="宋体"/>
                <w:b/>
                <w:bCs/>
                <w:color w:val="auto"/>
                <w:sz w:val="21"/>
                <w:szCs w:val="21"/>
                <w:highlight w:val="none"/>
                <w:u w:val="none"/>
              </w:rPr>
              <w:t>技术性能分（满分</w:t>
            </w:r>
            <w:r>
              <w:rPr>
                <w:rFonts w:hint="eastAsia" w:ascii="宋体" w:hAnsi="宋体" w:cs="宋体"/>
                <w:b/>
                <w:bCs/>
                <w:color w:val="auto"/>
                <w:sz w:val="21"/>
                <w:szCs w:val="21"/>
                <w:highlight w:val="none"/>
                <w:u w:val="none"/>
                <w:lang w:val="en-US" w:eastAsia="zh-CN"/>
              </w:rPr>
              <w:t>10</w:t>
            </w:r>
            <w:r>
              <w:rPr>
                <w:rFonts w:hint="eastAsia" w:ascii="宋体" w:hAnsi="宋体" w:eastAsia="宋体" w:cs="宋体"/>
                <w:b/>
                <w:bCs/>
                <w:color w:val="auto"/>
                <w:sz w:val="21"/>
                <w:szCs w:val="21"/>
                <w:highlight w:val="none"/>
                <w:u w:val="none"/>
              </w:rPr>
              <w:t>分）</w:t>
            </w:r>
          </w:p>
        </w:tc>
        <w:tc>
          <w:tcPr>
            <w:tcW w:w="5915" w:type="dxa"/>
            <w:vAlign w:val="center"/>
          </w:tcPr>
          <w:p w14:paraId="363199AA">
            <w:pPr>
              <w:keepNext w:val="0"/>
              <w:keepLines w:val="0"/>
              <w:pageBreakBefore w:val="0"/>
              <w:kinsoku/>
              <w:wordWrap/>
              <w:overflowPunct/>
              <w:topLinePunct w:val="0"/>
              <w:autoSpaceDE/>
              <w:autoSpaceDN/>
              <w:bidi w:val="0"/>
              <w:snapToGrid/>
              <w:spacing w:line="400" w:lineRule="exact"/>
              <w:ind w:firstLine="420" w:firstLineChars="200"/>
              <w:rPr>
                <w:rFonts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投标人一般性技术参数响应满足采购需求的，得基本分10分，负偏离项数＞10项的</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lang w:val="en-US" w:eastAsia="zh-CN"/>
              </w:rPr>
              <w:t>得0分（负偏离不作为投标无效条款）；</w:t>
            </w:r>
          </w:p>
        </w:tc>
      </w:tr>
      <w:tr w14:paraId="49D2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jc w:val="center"/>
        </w:trPr>
        <w:tc>
          <w:tcPr>
            <w:tcW w:w="360" w:type="dxa"/>
            <w:vMerge w:val="continue"/>
          </w:tcPr>
          <w:p w14:paraId="14131D8F"/>
        </w:tc>
        <w:tc>
          <w:tcPr>
            <w:tcW w:w="1588" w:type="dxa"/>
            <w:vMerge w:val="continue"/>
          </w:tcPr>
          <w:p w14:paraId="6FF7BFF3"/>
        </w:tc>
        <w:tc>
          <w:tcPr>
            <w:tcW w:w="1587" w:type="dxa"/>
            <w:tcMar>
              <w:left w:w="57" w:type="dxa"/>
              <w:right w:w="57" w:type="dxa"/>
            </w:tcMar>
            <w:vAlign w:val="center"/>
          </w:tcPr>
          <w:p w14:paraId="50B292A8">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rPr>
              <w:t>2.2</w:t>
            </w:r>
            <w:r>
              <w:rPr>
                <w:rFonts w:hint="eastAsia" w:ascii="宋体" w:hAnsi="宋体" w:eastAsia="宋体" w:cs="宋体"/>
                <w:b/>
                <w:bCs w:val="0"/>
                <w:color w:val="auto"/>
                <w:sz w:val="21"/>
                <w:szCs w:val="21"/>
                <w:highlight w:val="none"/>
              </w:rPr>
              <w:t>项目实施方案分</w:t>
            </w:r>
            <w:r>
              <w:rPr>
                <w:rFonts w:hint="eastAsia" w:ascii="宋体" w:hAnsi="宋体" w:eastAsia="宋体" w:cs="宋体"/>
                <w:b/>
                <w:bCs w:val="0"/>
                <w:color w:val="auto"/>
                <w:sz w:val="21"/>
                <w:szCs w:val="21"/>
                <w:highlight w:val="none"/>
                <w:u w:val="none"/>
              </w:rPr>
              <w:t>（满分</w:t>
            </w:r>
            <w:r>
              <w:rPr>
                <w:rFonts w:hint="eastAsia" w:ascii="宋体" w:hAnsi="宋体" w:cs="宋体"/>
                <w:b/>
                <w:bCs w:val="0"/>
                <w:color w:val="auto"/>
                <w:sz w:val="21"/>
                <w:szCs w:val="21"/>
                <w:highlight w:val="none"/>
                <w:u w:val="none"/>
                <w:lang w:val="en-US" w:eastAsia="zh-CN"/>
              </w:rPr>
              <w:t>15</w:t>
            </w:r>
            <w:r>
              <w:rPr>
                <w:rFonts w:hint="eastAsia" w:ascii="宋体" w:hAnsi="宋体" w:eastAsia="宋体" w:cs="宋体"/>
                <w:b/>
                <w:bCs w:val="0"/>
                <w:color w:val="auto"/>
                <w:sz w:val="21"/>
                <w:szCs w:val="21"/>
                <w:highlight w:val="none"/>
                <w:u w:val="none"/>
              </w:rPr>
              <w:t>分）</w:t>
            </w:r>
          </w:p>
        </w:tc>
        <w:tc>
          <w:tcPr>
            <w:tcW w:w="5915" w:type="dxa"/>
          </w:tcPr>
          <w:p w14:paraId="03BE3E11">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评委根据投标人提供的项目实施方案进行</w:t>
            </w:r>
            <w:r>
              <w:rPr>
                <w:rFonts w:hint="eastAsia" w:ascii="宋体" w:hAnsi="宋体" w:eastAsia="宋体" w:cs="宋体"/>
                <w:color w:val="auto"/>
                <w:sz w:val="21"/>
                <w:szCs w:val="21"/>
                <w:highlight w:val="none"/>
                <w:lang w:val="en-US" w:eastAsia="zh-CN"/>
              </w:rPr>
              <w:t>独立</w:t>
            </w:r>
            <w:r>
              <w:rPr>
                <w:rFonts w:hint="eastAsia" w:ascii="宋体" w:hAnsi="宋体" w:eastAsia="宋体" w:cs="宋体"/>
                <w:color w:val="auto"/>
                <w:sz w:val="21"/>
                <w:szCs w:val="21"/>
                <w:highlight w:val="none"/>
              </w:rPr>
              <w:t>评审：</w:t>
            </w:r>
          </w:p>
          <w:p w14:paraId="34D6BBD1">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分)：仅包含基本实施内容和人员配备，实施方案</w:t>
            </w:r>
            <w:r>
              <w:rPr>
                <w:rFonts w:hint="eastAsia" w:ascii="宋体" w:hAnsi="宋体" w:eastAsia="宋体" w:cs="宋体"/>
                <w:color w:val="auto"/>
                <w:sz w:val="21"/>
                <w:szCs w:val="21"/>
                <w:highlight w:val="none"/>
                <w:lang w:val="en-US" w:eastAsia="zh-CN"/>
              </w:rPr>
              <w:t>内容粗略</w:t>
            </w:r>
            <w:r>
              <w:rPr>
                <w:rFonts w:hint="eastAsia" w:ascii="宋体" w:hAnsi="宋体" w:eastAsia="宋体" w:cs="宋体"/>
                <w:color w:val="auto"/>
                <w:sz w:val="21"/>
                <w:szCs w:val="21"/>
                <w:highlight w:val="none"/>
              </w:rPr>
              <w:t>。</w:t>
            </w:r>
          </w:p>
          <w:p w14:paraId="47631B2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分)：实施人员配备情况有说明，能满足项目实施需要，对设备交付、试运行、验收等能提出具体方案，提供</w:t>
            </w:r>
            <w:r>
              <w:rPr>
                <w:rFonts w:hint="eastAsia" w:ascii="宋体" w:hAnsi="宋体" w:eastAsia="宋体" w:cs="宋体"/>
                <w:color w:val="auto"/>
                <w:sz w:val="21"/>
                <w:szCs w:val="21"/>
                <w:highlight w:val="none"/>
                <w:lang w:val="en-US" w:eastAsia="zh-CN"/>
              </w:rPr>
              <w:t>有</w:t>
            </w:r>
            <w:r>
              <w:rPr>
                <w:rFonts w:hint="eastAsia" w:ascii="宋体" w:hAnsi="宋体" w:eastAsia="宋体" w:cs="宋体"/>
                <w:color w:val="auto"/>
                <w:sz w:val="21"/>
                <w:szCs w:val="21"/>
                <w:highlight w:val="none"/>
              </w:rPr>
              <w:t>进度计划和工期保证措施，有基本的质量控制保证方案。</w:t>
            </w:r>
          </w:p>
          <w:p w14:paraId="038497A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分)：在二档基础上，实施人员配备情况有详细说明且分工明确，有明确的项目组织实施管理机构和实施人员安排计划，</w:t>
            </w:r>
            <w:r>
              <w:rPr>
                <w:rFonts w:hint="eastAsia" w:ascii="宋体" w:hAnsi="宋体" w:eastAsia="宋体" w:cs="宋体"/>
                <w:color w:val="auto"/>
                <w:sz w:val="21"/>
                <w:szCs w:val="21"/>
                <w:highlight w:val="none"/>
                <w:lang w:val="en-US" w:eastAsia="zh-CN"/>
              </w:rPr>
              <w:t>有</w:t>
            </w:r>
            <w:r>
              <w:rPr>
                <w:rFonts w:hint="eastAsia" w:ascii="宋体" w:hAnsi="宋体" w:eastAsia="宋体" w:cs="宋体"/>
                <w:color w:val="auto"/>
                <w:sz w:val="21"/>
                <w:szCs w:val="21"/>
                <w:highlight w:val="none"/>
              </w:rPr>
              <w:t>项目管理制度和保障措施；</w:t>
            </w:r>
            <w:r>
              <w:rPr>
                <w:rFonts w:hint="eastAsia" w:ascii="宋体" w:hAnsi="宋体" w:eastAsia="宋体" w:cs="宋体"/>
                <w:color w:val="auto"/>
                <w:sz w:val="21"/>
                <w:szCs w:val="21"/>
                <w:highlight w:val="none"/>
                <w:lang w:val="en-US" w:eastAsia="zh-CN"/>
              </w:rPr>
              <w:t>有</w:t>
            </w:r>
            <w:r>
              <w:rPr>
                <w:rFonts w:hint="eastAsia" w:ascii="宋体" w:hAnsi="宋体" w:eastAsia="宋体" w:cs="宋体"/>
                <w:color w:val="auto"/>
                <w:sz w:val="21"/>
                <w:szCs w:val="21"/>
                <w:highlight w:val="none"/>
              </w:rPr>
              <w:t>项目组织及部署计划，进度安排、功能测试方案、试运行及验收方案等。</w:t>
            </w:r>
          </w:p>
          <w:p w14:paraId="6135FEFF">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四档</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分)：在三档基础上，实施人员配备组成</w:t>
            </w:r>
            <w:r>
              <w:rPr>
                <w:rFonts w:hint="eastAsia" w:ascii="宋体" w:hAnsi="宋体" w:cs="宋体"/>
                <w:color w:val="auto"/>
                <w:sz w:val="21"/>
                <w:szCs w:val="21"/>
                <w:highlight w:val="none"/>
                <w:lang w:val="en-US" w:eastAsia="zh-CN"/>
              </w:rPr>
              <w:t>有详细说明</w:t>
            </w:r>
            <w:r>
              <w:rPr>
                <w:rFonts w:hint="eastAsia" w:ascii="宋体" w:hAnsi="宋体" w:eastAsia="宋体" w:cs="宋体"/>
                <w:color w:val="auto"/>
                <w:sz w:val="21"/>
                <w:szCs w:val="21"/>
                <w:highlight w:val="none"/>
              </w:rPr>
              <w:t>且分工明确，有明确的项目组织实施管理机构和实施人员安排计划，项目管理制度和保障措施</w:t>
            </w:r>
            <w:r>
              <w:rPr>
                <w:rFonts w:hint="eastAsia" w:ascii="宋体" w:hAnsi="宋体" w:eastAsia="宋体" w:cs="宋体"/>
                <w:color w:val="auto"/>
                <w:sz w:val="21"/>
                <w:szCs w:val="21"/>
                <w:highlight w:val="none"/>
                <w:lang w:val="en-US" w:eastAsia="zh-CN"/>
              </w:rPr>
              <w:t>与本项目相适应</w:t>
            </w:r>
            <w:r>
              <w:rPr>
                <w:rFonts w:hint="eastAsia" w:ascii="宋体" w:hAnsi="宋体" w:eastAsia="宋体" w:cs="宋体"/>
                <w:color w:val="auto"/>
                <w:sz w:val="21"/>
                <w:szCs w:val="21"/>
                <w:highlight w:val="none"/>
              </w:rPr>
              <w:t>；项目组织及部署计划</w:t>
            </w:r>
            <w:r>
              <w:rPr>
                <w:rFonts w:hint="eastAsia" w:ascii="宋体" w:hAnsi="宋体" w:eastAsia="宋体" w:cs="宋体"/>
                <w:color w:val="auto"/>
                <w:sz w:val="21"/>
                <w:szCs w:val="21"/>
                <w:highlight w:val="none"/>
                <w:lang w:val="en-US" w:eastAsia="zh-CN"/>
              </w:rPr>
              <w:t>有针对性</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有与本项目相适应的</w:t>
            </w:r>
            <w:r>
              <w:rPr>
                <w:rFonts w:hint="eastAsia" w:ascii="宋体" w:hAnsi="宋体" w:eastAsia="宋体" w:cs="宋体"/>
                <w:color w:val="auto"/>
                <w:sz w:val="21"/>
                <w:szCs w:val="21"/>
                <w:highlight w:val="none"/>
              </w:rPr>
              <w:t>进度安排、功能测试方案、试运行及验收方案；同时有对应的应急解决方案，并能针对本项目建设提出合理化建议，整体方案</w:t>
            </w:r>
            <w:r>
              <w:rPr>
                <w:rFonts w:hint="eastAsia" w:ascii="宋体" w:hAnsi="宋体" w:eastAsia="宋体" w:cs="宋体"/>
                <w:color w:val="auto"/>
                <w:sz w:val="21"/>
                <w:szCs w:val="21"/>
                <w:highlight w:val="none"/>
                <w:lang w:val="en-US" w:eastAsia="zh-CN"/>
              </w:rPr>
              <w:t>具有针对性</w:t>
            </w:r>
            <w:r>
              <w:rPr>
                <w:rFonts w:hint="eastAsia" w:ascii="宋体" w:hAnsi="宋体" w:eastAsia="宋体" w:cs="宋体"/>
                <w:color w:val="auto"/>
                <w:sz w:val="21"/>
                <w:szCs w:val="21"/>
                <w:highlight w:val="none"/>
              </w:rPr>
              <w:t>。</w:t>
            </w:r>
          </w:p>
          <w:p w14:paraId="28702468">
            <w:pPr>
              <w:keepNext w:val="0"/>
              <w:keepLines w:val="0"/>
              <w:pageBreakBefore w:val="0"/>
              <w:widowControl w:val="0"/>
              <w:kinsoku/>
              <w:wordWrap/>
              <w:overflowPunct/>
              <w:topLinePunct w:val="0"/>
              <w:autoSpaceDE/>
              <w:autoSpaceDN/>
              <w:bidi w:val="0"/>
              <w:snapToGrid w:val="0"/>
              <w:spacing w:line="400" w:lineRule="exact"/>
              <w:ind w:firstLine="422" w:firstLineChars="200"/>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注：未提供项目实施方案或不符合最低入档条件不得分。</w:t>
            </w:r>
          </w:p>
        </w:tc>
      </w:tr>
      <w:tr w14:paraId="2573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dxa"/>
            <w:vMerge w:val="continue"/>
          </w:tcPr>
          <w:p w14:paraId="7FF9E148"/>
        </w:tc>
        <w:tc>
          <w:tcPr>
            <w:tcW w:w="1588" w:type="dxa"/>
            <w:vMerge w:val="continue"/>
          </w:tcPr>
          <w:p w14:paraId="6BE9EBCB"/>
        </w:tc>
        <w:tc>
          <w:tcPr>
            <w:tcW w:w="1587" w:type="dxa"/>
            <w:tcMar>
              <w:left w:w="57" w:type="dxa"/>
              <w:right w:w="57" w:type="dxa"/>
            </w:tcMar>
            <w:vAlign w:val="center"/>
          </w:tcPr>
          <w:p w14:paraId="0D0C25A5">
            <w:pPr>
              <w:keepNext w:val="0"/>
              <w:keepLines w:val="0"/>
              <w:pageBreakBefore w:val="0"/>
              <w:kinsoku/>
              <w:wordWrap/>
              <w:overflowPunct/>
              <w:topLinePunct w:val="0"/>
              <w:autoSpaceDE/>
              <w:autoSpaceDN/>
              <w:bidi w:val="0"/>
              <w:snapToGrid w:val="0"/>
              <w:spacing w:line="400" w:lineRule="exact"/>
              <w:jc w:val="center"/>
              <w:rPr>
                <w:rFonts w:hint="eastAsia" w:ascii="宋体" w:hAnsi="宋体" w:eastAsia="宋体" w:cs="宋体"/>
                <w:b/>
                <w:bCs w:val="0"/>
                <w:color w:val="auto"/>
                <w:sz w:val="21"/>
                <w:szCs w:val="21"/>
                <w:highlight w:val="none"/>
              </w:rPr>
            </w:pPr>
            <w:r>
              <w:rPr>
                <w:rFonts w:hint="eastAsia" w:ascii="宋体" w:hAnsi="宋体" w:eastAsia="宋体" w:cs="宋体"/>
                <w:b/>
                <w:bCs/>
                <w:color w:val="auto"/>
                <w:kern w:val="0"/>
                <w:sz w:val="21"/>
                <w:szCs w:val="21"/>
                <w:highlight w:val="none"/>
                <w:u w:val="none"/>
                <w:lang w:val="en-US" w:eastAsia="zh-CN" w:bidi="ar-SA"/>
              </w:rPr>
              <w:t>2.3培训方案分（满分10分）</w:t>
            </w:r>
          </w:p>
        </w:tc>
        <w:tc>
          <w:tcPr>
            <w:tcW w:w="5915" w:type="dxa"/>
            <w:vAlign w:val="center"/>
          </w:tcPr>
          <w:p w14:paraId="4223711C">
            <w:pPr>
              <w:keepNext w:val="0"/>
              <w:keepLines w:val="0"/>
              <w:pageBreakBefore w:val="0"/>
              <w:widowControl w:val="0"/>
              <w:kinsoku/>
              <w:wordWrap/>
              <w:overflowPunct/>
              <w:topLinePunct w:val="0"/>
              <w:autoSpaceDE/>
              <w:autoSpaceDN/>
              <w:bidi w:val="0"/>
              <w:snapToGrid w:val="0"/>
              <w:spacing w:line="400" w:lineRule="exact"/>
              <w:ind w:firstLine="420" w:firstLineChars="200"/>
              <w:jc w:val="left"/>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由评委按照投标人提供的培训方案，分别从培训内容、培训计划、培训资料、培训师资人员、培训组织方式5个方面进行独立评审：具有以上5个方面内容，培训方式结合线上线下，培训内容详细，培训时间安排合理，培训人员具有相关培训经验，培训资料紧密贴合本项目，整体方案内容详细清晰，完全满足项目需求的，得10分；上述5个方面（培训内容、培训计划、培训资料、培训师资人员、培训组织方式）每缺少1个方面内容或某单个方面内容表述简单粗略，不清晰、或不贴合本项目实施的，扣2分，扣完10分为止。未提供方案不得分。</w:t>
            </w:r>
          </w:p>
          <w:p w14:paraId="79A08550">
            <w:pPr>
              <w:keepNext w:val="0"/>
              <w:keepLines w:val="0"/>
              <w:pageBreakBefore w:val="0"/>
              <w:widowControl w:val="0"/>
              <w:kinsoku/>
              <w:wordWrap/>
              <w:overflowPunct/>
              <w:topLinePunct w:val="0"/>
              <w:autoSpaceDE/>
              <w:autoSpaceDN/>
              <w:bidi w:val="0"/>
              <w:snapToGrid w:val="0"/>
              <w:spacing w:line="400" w:lineRule="exact"/>
              <w:ind w:firstLine="420" w:firstLineChars="200"/>
              <w:jc w:val="left"/>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注：以上内容不重复计分。</w:t>
            </w:r>
          </w:p>
        </w:tc>
      </w:tr>
      <w:tr w14:paraId="5D65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dxa"/>
            <w:vMerge w:val="continue"/>
          </w:tcPr>
          <w:p w14:paraId="55CA8F2B"/>
        </w:tc>
        <w:tc>
          <w:tcPr>
            <w:tcW w:w="1588" w:type="dxa"/>
            <w:vMerge w:val="continue"/>
          </w:tcPr>
          <w:p w14:paraId="6FCB662D"/>
        </w:tc>
        <w:tc>
          <w:tcPr>
            <w:tcW w:w="1587" w:type="dxa"/>
            <w:tcMar>
              <w:left w:w="57" w:type="dxa"/>
              <w:right w:w="57" w:type="dxa"/>
            </w:tcMar>
            <w:vAlign w:val="center"/>
          </w:tcPr>
          <w:p w14:paraId="27F18FEB">
            <w:pPr>
              <w:keepNext w:val="0"/>
              <w:keepLines w:val="0"/>
              <w:pageBreakBefore w:val="0"/>
              <w:widowControl w:val="0"/>
              <w:kinsoku/>
              <w:wordWrap/>
              <w:overflowPunct/>
              <w:topLinePunct w:val="0"/>
              <w:autoSpaceDE/>
              <w:autoSpaceDN/>
              <w:bidi w:val="0"/>
              <w:spacing w:line="400" w:lineRule="exact"/>
              <w:ind w:firstLine="105" w:firstLineChars="50"/>
              <w:jc w:val="center"/>
              <w:rPr>
                <w:rFonts w:hint="eastAsia" w:ascii="宋体" w:hAnsi="宋体" w:eastAsia="宋体" w:cs="宋体"/>
                <w:b/>
                <w:bCs/>
                <w:color w:val="auto"/>
                <w:kern w:val="0"/>
                <w:sz w:val="21"/>
                <w:szCs w:val="21"/>
                <w:highlight w:val="none"/>
                <w:u w:val="none"/>
                <w:lang w:val="en-US" w:eastAsia="zh-CN" w:bidi="ar-SA"/>
              </w:rPr>
            </w:pPr>
            <w:r>
              <w:rPr>
                <w:rFonts w:hint="eastAsia" w:ascii="宋体" w:hAnsi="宋体" w:eastAsia="宋体" w:cs="宋体"/>
                <w:b/>
                <w:bCs/>
                <w:color w:val="auto"/>
                <w:kern w:val="2"/>
                <w:sz w:val="21"/>
                <w:szCs w:val="21"/>
                <w:highlight w:val="none"/>
                <w:lang w:val="en-US" w:eastAsia="zh-CN" w:bidi="ar-SA"/>
              </w:rPr>
              <w:t>2.4售后服务方案分（满分</w:t>
            </w:r>
            <w:r>
              <w:rPr>
                <w:rFonts w:hint="eastAsia" w:ascii="宋体" w:hAnsi="宋体" w:cs="宋体"/>
                <w:b/>
                <w:bCs/>
                <w:color w:val="auto"/>
                <w:kern w:val="2"/>
                <w:sz w:val="21"/>
                <w:szCs w:val="21"/>
                <w:highlight w:val="none"/>
                <w:lang w:val="en-US" w:eastAsia="zh-CN" w:bidi="ar-SA"/>
              </w:rPr>
              <w:t>15</w:t>
            </w:r>
            <w:r>
              <w:rPr>
                <w:rFonts w:hint="eastAsia" w:ascii="宋体" w:hAnsi="宋体" w:eastAsia="宋体" w:cs="宋体"/>
                <w:b/>
                <w:bCs/>
                <w:color w:val="auto"/>
                <w:kern w:val="2"/>
                <w:sz w:val="21"/>
                <w:szCs w:val="21"/>
                <w:highlight w:val="none"/>
                <w:lang w:val="en-US" w:eastAsia="zh-CN" w:bidi="ar-SA"/>
              </w:rPr>
              <w:t>分）</w:t>
            </w:r>
          </w:p>
        </w:tc>
        <w:tc>
          <w:tcPr>
            <w:tcW w:w="5915" w:type="dxa"/>
            <w:vAlign w:val="center"/>
          </w:tcPr>
          <w:p w14:paraId="307477DF">
            <w:pPr>
              <w:keepNext w:val="0"/>
              <w:keepLines w:val="0"/>
              <w:pageBreakBefore w:val="0"/>
              <w:numPr>
                <w:ilvl w:val="0"/>
                <w:numId w:val="0"/>
              </w:numPr>
              <w:kinsoku/>
              <w:wordWrap/>
              <w:overflowPunct/>
              <w:topLinePunct w:val="0"/>
              <w:autoSpaceDE/>
              <w:autoSpaceDN/>
              <w:bidi w:val="0"/>
              <w:spacing w:line="400" w:lineRule="exact"/>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评委根据投标人提供的售后服务方案（包括①售后服务人员配备、②售后服务响应机制、③替代品（备用机）方面、④定期维护 (注明时间)、⑤质保期外维修方案5项内容）按照以下标准进行独立评审（满分</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p w14:paraId="060DC18B">
            <w:pPr>
              <w:keepNext w:val="0"/>
              <w:keepLines w:val="0"/>
              <w:pageBreakBefore w:val="0"/>
              <w:numPr>
                <w:ilvl w:val="0"/>
                <w:numId w:val="0"/>
              </w:numPr>
              <w:kinsoku/>
              <w:wordWrap/>
              <w:overflowPunct/>
              <w:topLinePunct w:val="0"/>
              <w:autoSpaceDE/>
              <w:autoSpaceDN/>
              <w:bidi w:val="0"/>
              <w:spacing w:line="400" w:lineRule="exact"/>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每项内容表述详细清晰、无错漏、对本项目</w:t>
            </w:r>
            <w:r>
              <w:rPr>
                <w:rFonts w:hint="eastAsia" w:ascii="宋体" w:hAnsi="宋体" w:eastAsia="宋体" w:cs="宋体"/>
                <w:color w:val="auto"/>
                <w:sz w:val="21"/>
                <w:szCs w:val="21"/>
                <w:highlight w:val="none"/>
                <w:lang w:val="en-US" w:eastAsia="zh-CN"/>
              </w:rPr>
              <w:t>具有</w:t>
            </w:r>
            <w:r>
              <w:rPr>
                <w:rFonts w:hint="eastAsia" w:ascii="宋体" w:hAnsi="宋体" w:eastAsia="宋体" w:cs="宋体"/>
                <w:color w:val="auto"/>
                <w:sz w:val="21"/>
                <w:szCs w:val="21"/>
                <w:highlight w:val="none"/>
              </w:rPr>
              <w:t>针对性、具有可行性的，得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14:paraId="13EB4BFF">
            <w:pPr>
              <w:keepNext w:val="0"/>
              <w:keepLines w:val="0"/>
              <w:pageBreakBefore w:val="0"/>
              <w:numPr>
                <w:ilvl w:val="0"/>
                <w:numId w:val="0"/>
              </w:numPr>
              <w:kinsoku/>
              <w:wordWrap/>
              <w:overflowPunct/>
              <w:topLinePunct w:val="0"/>
              <w:autoSpaceDE/>
              <w:autoSpaceDN/>
              <w:bidi w:val="0"/>
              <w:spacing w:line="400" w:lineRule="exact"/>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每项内容</w:t>
            </w:r>
            <w:r>
              <w:rPr>
                <w:rFonts w:hint="eastAsia" w:ascii="宋体" w:hAnsi="宋体" w:cs="宋体"/>
                <w:color w:val="auto"/>
                <w:sz w:val="21"/>
                <w:szCs w:val="21"/>
                <w:highlight w:val="none"/>
                <w:lang w:val="en-US" w:eastAsia="zh-CN"/>
              </w:rPr>
              <w:t>有基本描述</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仅满足采购需求的</w:t>
            </w:r>
            <w:r>
              <w:rPr>
                <w:rFonts w:hint="eastAsia" w:ascii="宋体" w:hAnsi="宋体" w:eastAsia="宋体" w:cs="宋体"/>
                <w:color w:val="auto"/>
                <w:sz w:val="21"/>
                <w:szCs w:val="21"/>
                <w:highlight w:val="none"/>
              </w:rPr>
              <w:t>，得1分；</w:t>
            </w:r>
          </w:p>
          <w:p w14:paraId="20BDD559">
            <w:pPr>
              <w:keepNext w:val="0"/>
              <w:keepLines w:val="0"/>
              <w:pageBreakBefore w:val="0"/>
              <w:numPr>
                <w:ilvl w:val="0"/>
                <w:numId w:val="0"/>
              </w:numPr>
              <w:kinsoku/>
              <w:wordWrap/>
              <w:overflowPunct/>
              <w:topLinePunct w:val="0"/>
              <w:autoSpaceDE/>
              <w:autoSpaceDN/>
              <w:bidi w:val="0"/>
              <w:spacing w:line="400" w:lineRule="exact"/>
              <w:ind w:left="0" w:firstLine="420"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rPr>
              <w:t>未提供该项内容的，得0分。</w:t>
            </w:r>
          </w:p>
        </w:tc>
      </w:tr>
      <w:tr w14:paraId="2B25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0" w:type="dxa"/>
            <w:vMerge w:val="restart"/>
            <w:vAlign w:val="center"/>
          </w:tcPr>
          <w:p w14:paraId="7E08DAD6">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p>
        </w:tc>
        <w:tc>
          <w:tcPr>
            <w:tcW w:w="1588" w:type="dxa"/>
            <w:vMerge w:val="restart"/>
            <w:vAlign w:val="center"/>
          </w:tcPr>
          <w:p w14:paraId="3B3A619D">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商务分</w:t>
            </w:r>
          </w:p>
          <w:p w14:paraId="52F1304A">
            <w:pPr>
              <w:keepNext w:val="0"/>
              <w:keepLines w:val="0"/>
              <w:pageBreakBefore w:val="0"/>
              <w:kinsoku/>
              <w:wordWrap/>
              <w:overflowPunct/>
              <w:topLinePunct w:val="0"/>
              <w:autoSpaceDE/>
              <w:autoSpaceDN/>
              <w:bidi w:val="0"/>
              <w:spacing w:line="400" w:lineRule="exact"/>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u w:val="none"/>
              </w:rPr>
              <w:t>（满分</w:t>
            </w:r>
            <w:r>
              <w:rPr>
                <w:rFonts w:hint="eastAsia" w:ascii="宋体" w:hAnsi="宋体" w:eastAsia="宋体" w:cs="宋体"/>
                <w:b/>
                <w:bCs/>
                <w:color w:val="auto"/>
                <w:sz w:val="21"/>
                <w:szCs w:val="21"/>
                <w:highlight w:val="none"/>
                <w:u w:val="none"/>
                <w:lang w:val="en-US" w:eastAsia="zh-CN"/>
              </w:rPr>
              <w:t>20</w:t>
            </w:r>
            <w:r>
              <w:rPr>
                <w:rFonts w:hint="eastAsia" w:ascii="宋体" w:hAnsi="宋体" w:eastAsia="宋体" w:cs="宋体"/>
                <w:b/>
                <w:bCs/>
                <w:color w:val="auto"/>
                <w:sz w:val="21"/>
                <w:szCs w:val="21"/>
                <w:highlight w:val="none"/>
                <w:u w:val="none"/>
              </w:rPr>
              <w:t>分）</w:t>
            </w:r>
          </w:p>
        </w:tc>
        <w:tc>
          <w:tcPr>
            <w:tcW w:w="1587" w:type="dxa"/>
            <w:tcMar>
              <w:left w:w="57" w:type="dxa"/>
              <w:right w:w="57" w:type="dxa"/>
            </w:tcMar>
            <w:vAlign w:val="center"/>
          </w:tcPr>
          <w:p w14:paraId="32CB426F">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3.1</w:t>
            </w:r>
            <w:r>
              <w:rPr>
                <w:rFonts w:hint="eastAsia" w:ascii="宋体" w:hAnsi="宋体" w:eastAsia="宋体" w:cs="宋体"/>
                <w:b/>
                <w:bCs/>
                <w:color w:val="auto"/>
                <w:sz w:val="21"/>
                <w:szCs w:val="21"/>
                <w:highlight w:val="none"/>
              </w:rPr>
              <w:t>质保期</w:t>
            </w:r>
            <w:r>
              <w:rPr>
                <w:rFonts w:hint="eastAsia" w:ascii="宋体" w:hAnsi="宋体" w:eastAsia="宋体" w:cs="宋体"/>
                <w:b/>
                <w:bCs/>
                <w:color w:val="auto"/>
                <w:sz w:val="21"/>
                <w:szCs w:val="21"/>
                <w:highlight w:val="none"/>
                <w:lang w:val="en-US" w:eastAsia="zh-CN"/>
              </w:rPr>
              <w:t>分</w:t>
            </w:r>
          </w:p>
          <w:p w14:paraId="41484E0F">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（满分</w:t>
            </w:r>
            <w:r>
              <w:rPr>
                <w:rFonts w:hint="eastAsia" w:ascii="宋体" w:hAnsi="宋体" w:eastAsia="宋体" w:cs="宋体"/>
                <w:b/>
                <w:bCs/>
                <w:color w:val="auto"/>
                <w:sz w:val="21"/>
                <w:szCs w:val="21"/>
                <w:highlight w:val="none"/>
                <w:u w:val="none"/>
                <w:lang w:val="en-US" w:eastAsia="zh-CN"/>
              </w:rPr>
              <w:t>4</w:t>
            </w:r>
            <w:r>
              <w:rPr>
                <w:rFonts w:hint="eastAsia" w:ascii="宋体" w:hAnsi="宋体" w:eastAsia="宋体" w:cs="宋体"/>
                <w:b/>
                <w:bCs/>
                <w:color w:val="auto"/>
                <w:sz w:val="21"/>
                <w:szCs w:val="21"/>
                <w:highlight w:val="none"/>
              </w:rPr>
              <w:t>分）</w:t>
            </w:r>
          </w:p>
        </w:tc>
        <w:tc>
          <w:tcPr>
            <w:tcW w:w="5915" w:type="dxa"/>
            <w:vAlign w:val="center"/>
          </w:tcPr>
          <w:p w14:paraId="25F2DE41">
            <w:pPr>
              <w:keepNext w:val="0"/>
              <w:keepLines w:val="0"/>
              <w:pageBreakBefore w:val="0"/>
              <w:kinsoku/>
              <w:wordWrap/>
              <w:overflowPunct/>
              <w:topLinePunct w:val="0"/>
              <w:autoSpaceDE/>
              <w:autoSpaceDN/>
              <w:bidi w:val="0"/>
              <w:spacing w:line="400" w:lineRule="exac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满足</w:t>
            </w:r>
            <w:r>
              <w:rPr>
                <w:rFonts w:hint="eastAsia" w:ascii="宋体" w:hAnsi="宋体" w:eastAsia="宋体" w:cs="宋体"/>
                <w:color w:val="auto"/>
                <w:sz w:val="21"/>
                <w:szCs w:val="21"/>
                <w:highlight w:val="none"/>
              </w:rPr>
              <w:t>项目要求的质保期</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得</w:t>
            </w:r>
            <w:r>
              <w:rPr>
                <w:rFonts w:hint="eastAsia" w:ascii="宋体" w:hAnsi="宋体" w:eastAsia="宋体" w:cs="宋体"/>
                <w:color w:val="auto"/>
                <w:sz w:val="21"/>
                <w:szCs w:val="21"/>
                <w:highlight w:val="none"/>
              </w:rPr>
              <w:t>基础</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lang w:val="en-US" w:eastAsia="zh-CN"/>
              </w:rPr>
              <w:t>2分，</w:t>
            </w:r>
            <w:r>
              <w:rPr>
                <w:rFonts w:hint="eastAsia" w:ascii="宋体" w:hAnsi="宋体" w:eastAsia="宋体" w:cs="宋体"/>
                <w:color w:val="auto"/>
                <w:sz w:val="21"/>
                <w:szCs w:val="21"/>
                <w:highlight w:val="none"/>
              </w:rPr>
              <w:t>每延长年得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分，满分</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tc>
      </w:tr>
      <w:tr w14:paraId="40FD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360" w:type="dxa"/>
            <w:vMerge w:val="continue"/>
            <w:vAlign w:val="center"/>
          </w:tcPr>
          <w:p w14:paraId="270EA1F9"/>
        </w:tc>
        <w:tc>
          <w:tcPr>
            <w:tcW w:w="1588" w:type="dxa"/>
            <w:vMerge w:val="continue"/>
            <w:vAlign w:val="center"/>
          </w:tcPr>
          <w:p w14:paraId="053772DF"/>
        </w:tc>
        <w:tc>
          <w:tcPr>
            <w:tcW w:w="1587" w:type="dxa"/>
            <w:tcMar>
              <w:left w:w="57" w:type="dxa"/>
              <w:right w:w="57" w:type="dxa"/>
            </w:tcMar>
            <w:vAlign w:val="center"/>
          </w:tcPr>
          <w:p w14:paraId="4C02D3AA">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val="0"/>
                <w:color w:val="auto"/>
                <w:sz w:val="21"/>
                <w:szCs w:val="21"/>
                <w:highlight w:val="none"/>
                <w:lang w:val="en-US" w:eastAsia="zh-CN"/>
              </w:rPr>
              <w:t>3.2</w:t>
            </w:r>
            <w:r>
              <w:rPr>
                <w:rFonts w:hint="eastAsia" w:ascii="宋体" w:hAnsi="宋体" w:eastAsia="宋体" w:cs="宋体"/>
                <w:b/>
                <w:bCs w:val="0"/>
                <w:color w:val="auto"/>
                <w:sz w:val="21"/>
                <w:szCs w:val="21"/>
                <w:highlight w:val="none"/>
              </w:rPr>
              <w:t>履约能力分（满分</w:t>
            </w:r>
            <w:r>
              <w:rPr>
                <w:rFonts w:hint="eastAsia" w:ascii="宋体" w:hAnsi="宋体" w:eastAsia="宋体" w:cs="宋体"/>
                <w:b/>
                <w:bCs w:val="0"/>
                <w:color w:val="auto"/>
                <w:sz w:val="21"/>
                <w:szCs w:val="21"/>
                <w:highlight w:val="none"/>
                <w:lang w:val="en-US" w:eastAsia="zh-CN"/>
              </w:rPr>
              <w:t>6</w:t>
            </w:r>
            <w:r>
              <w:rPr>
                <w:rFonts w:hint="eastAsia" w:ascii="宋体" w:hAnsi="宋体" w:eastAsia="宋体" w:cs="宋体"/>
                <w:b/>
                <w:bCs w:val="0"/>
                <w:color w:val="auto"/>
                <w:sz w:val="21"/>
                <w:szCs w:val="21"/>
                <w:highlight w:val="none"/>
              </w:rPr>
              <w:t>分）</w:t>
            </w:r>
          </w:p>
        </w:tc>
        <w:tc>
          <w:tcPr>
            <w:tcW w:w="5915" w:type="dxa"/>
            <w:vAlign w:val="center"/>
          </w:tcPr>
          <w:p w14:paraId="168B4ED1">
            <w:pPr>
              <w:keepNext w:val="0"/>
              <w:keepLines w:val="0"/>
              <w:pageBreakBefore w:val="0"/>
              <w:kinsoku/>
              <w:wordWrap/>
              <w:overflowPunct/>
              <w:topLinePunct w:val="0"/>
              <w:autoSpaceDE/>
              <w:autoSpaceDN/>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所投产品的生产厂商有质量管理体系ISO9001认证，</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kern w:val="2"/>
                <w:sz w:val="21"/>
                <w:szCs w:val="21"/>
                <w:highlight w:val="none"/>
              </w:rPr>
              <w:t>ISO13485医疗器械质量管理体系认证</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szCs w:val="21"/>
                <w:highlight w:val="none"/>
              </w:rPr>
              <w:t>或ISO14001环境管理体系认证，</w:t>
            </w:r>
            <w:r>
              <w:rPr>
                <w:rFonts w:hint="eastAsia" w:ascii="宋体" w:hAnsi="宋体" w:eastAsia="宋体" w:cs="宋体"/>
                <w:color w:val="auto"/>
                <w:sz w:val="21"/>
                <w:szCs w:val="21"/>
                <w:highlight w:val="none"/>
              </w:rPr>
              <w:t>每个证书（在有效期内的）计</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分，最高</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分。（需在投标文件中提供有效期内的相关证书复印件，未提供不得分）</w:t>
            </w:r>
          </w:p>
        </w:tc>
      </w:tr>
      <w:tr w14:paraId="226B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dxa"/>
            <w:vMerge w:val="continue"/>
            <w:vAlign w:val="center"/>
          </w:tcPr>
          <w:p w14:paraId="60A8A348"/>
        </w:tc>
        <w:tc>
          <w:tcPr>
            <w:tcW w:w="1588" w:type="dxa"/>
            <w:vMerge w:val="continue"/>
            <w:vAlign w:val="center"/>
          </w:tcPr>
          <w:p w14:paraId="72B4C636"/>
        </w:tc>
        <w:tc>
          <w:tcPr>
            <w:tcW w:w="1587" w:type="dxa"/>
            <w:tcMar>
              <w:left w:w="57" w:type="dxa"/>
              <w:right w:w="57" w:type="dxa"/>
            </w:tcMar>
            <w:vAlign w:val="center"/>
          </w:tcPr>
          <w:p w14:paraId="1EC401B5">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3.3</w:t>
            </w:r>
            <w:r>
              <w:rPr>
                <w:rFonts w:hint="eastAsia" w:ascii="宋体" w:hAnsi="宋体" w:eastAsia="宋体" w:cs="宋体"/>
                <w:b/>
                <w:bCs w:val="0"/>
                <w:color w:val="auto"/>
                <w:sz w:val="21"/>
                <w:szCs w:val="21"/>
                <w:highlight w:val="none"/>
              </w:rPr>
              <w:t>业绩</w:t>
            </w:r>
            <w:r>
              <w:rPr>
                <w:rFonts w:hint="eastAsia" w:ascii="宋体" w:hAnsi="宋体" w:eastAsia="宋体" w:cs="宋体"/>
                <w:b/>
                <w:bCs w:val="0"/>
                <w:color w:val="auto"/>
                <w:sz w:val="21"/>
                <w:szCs w:val="21"/>
                <w:highlight w:val="none"/>
                <w:lang w:val="en-US" w:eastAsia="zh-CN"/>
              </w:rPr>
              <w:t>分</w:t>
            </w:r>
          </w:p>
          <w:p w14:paraId="494DFB74">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val="0"/>
                <w:color w:val="auto"/>
                <w:sz w:val="21"/>
                <w:szCs w:val="21"/>
                <w:highlight w:val="none"/>
              </w:rPr>
              <w:t>（满分</w:t>
            </w:r>
            <w:r>
              <w:rPr>
                <w:rFonts w:hint="eastAsia" w:ascii="宋体" w:hAnsi="宋体" w:eastAsia="宋体" w:cs="宋体"/>
                <w:b/>
                <w:bCs w:val="0"/>
                <w:color w:val="auto"/>
                <w:sz w:val="21"/>
                <w:szCs w:val="21"/>
                <w:highlight w:val="none"/>
                <w:u w:val="none"/>
                <w:lang w:val="en-US" w:eastAsia="zh-CN"/>
              </w:rPr>
              <w:t>10</w:t>
            </w:r>
            <w:r>
              <w:rPr>
                <w:rFonts w:hint="eastAsia" w:ascii="宋体" w:hAnsi="宋体" w:eastAsia="宋体" w:cs="宋体"/>
                <w:b/>
                <w:bCs w:val="0"/>
                <w:color w:val="auto"/>
                <w:sz w:val="21"/>
                <w:szCs w:val="21"/>
                <w:highlight w:val="none"/>
                <w:u w:val="none"/>
              </w:rPr>
              <w:t>分</w:t>
            </w:r>
            <w:r>
              <w:rPr>
                <w:rFonts w:hint="eastAsia" w:ascii="宋体" w:hAnsi="宋体" w:eastAsia="宋体" w:cs="宋体"/>
                <w:b/>
                <w:bCs w:val="0"/>
                <w:color w:val="auto"/>
                <w:sz w:val="21"/>
                <w:szCs w:val="21"/>
                <w:highlight w:val="none"/>
              </w:rPr>
              <w:t>）</w:t>
            </w:r>
          </w:p>
        </w:tc>
        <w:tc>
          <w:tcPr>
            <w:tcW w:w="5915" w:type="dxa"/>
            <w:vAlign w:val="center"/>
          </w:tcPr>
          <w:p w14:paraId="6F2BAB4D">
            <w:pPr>
              <w:keepNext w:val="0"/>
              <w:keepLines w:val="0"/>
              <w:pageBreakBefore w:val="0"/>
              <w:kinsoku/>
              <w:wordWrap/>
              <w:overflowPunct/>
              <w:topLinePunct w:val="0"/>
              <w:autoSpaceDE/>
              <w:autoSpaceDN/>
              <w:bidi w:val="0"/>
              <w:spacing w:line="400" w:lineRule="exact"/>
              <w:rPr>
                <w:rFonts w:hint="eastAsia" w:ascii="宋体" w:hAnsi="宋体" w:eastAsia="宋体" w:cs="宋体"/>
                <w:bCs/>
                <w:color w:val="auto"/>
                <w:kern w:val="2"/>
                <w:sz w:val="21"/>
                <w:szCs w:val="21"/>
                <w:highlight w:val="none"/>
                <w:lang w:val="en-US" w:eastAsia="zh-CN"/>
              </w:rPr>
            </w:pPr>
            <w:r>
              <w:rPr>
                <w:rFonts w:hint="eastAsia" w:ascii="宋体" w:hAnsi="宋体" w:eastAsia="宋体" w:cs="宋体"/>
                <w:color w:val="auto"/>
                <w:sz w:val="21"/>
                <w:szCs w:val="21"/>
                <w:highlight w:val="none"/>
                <w:u w:val="none"/>
              </w:rPr>
              <w:t>20</w:t>
            </w:r>
            <w:r>
              <w:rPr>
                <w:rFonts w:hint="eastAsia" w:ascii="宋体" w:hAnsi="宋体" w:eastAsia="宋体" w:cs="宋体"/>
                <w:color w:val="auto"/>
                <w:sz w:val="21"/>
                <w:szCs w:val="21"/>
                <w:highlight w:val="none"/>
                <w:u w:val="none"/>
                <w:lang w:val="en-US" w:eastAsia="zh-CN"/>
              </w:rPr>
              <w:t>22</w:t>
            </w:r>
            <w:r>
              <w:rPr>
                <w:rFonts w:hint="eastAsia" w:ascii="宋体" w:hAnsi="宋体" w:eastAsia="宋体" w:cs="宋体"/>
                <w:color w:val="auto"/>
                <w:sz w:val="21"/>
                <w:szCs w:val="21"/>
                <w:highlight w:val="none"/>
                <w:u w:val="none"/>
              </w:rPr>
              <w:t>年</w:t>
            </w:r>
            <w:r>
              <w:rPr>
                <w:rFonts w:hint="eastAsia" w:ascii="宋体" w:hAnsi="宋体" w:eastAsia="宋体" w:cs="宋体"/>
                <w:color w:val="auto"/>
                <w:sz w:val="21"/>
                <w:szCs w:val="21"/>
                <w:highlight w:val="none"/>
                <w:u w:val="none"/>
                <w:lang w:val="en-US" w:eastAsia="zh-CN"/>
              </w:rPr>
              <w:t>1</w:t>
            </w:r>
            <w:r>
              <w:rPr>
                <w:rFonts w:hint="eastAsia" w:ascii="宋体" w:hAnsi="宋体" w:eastAsia="宋体" w:cs="宋体"/>
                <w:color w:val="auto"/>
                <w:sz w:val="21"/>
                <w:szCs w:val="21"/>
                <w:highlight w:val="none"/>
                <w:u w:val="none"/>
              </w:rPr>
              <w:t>月</w:t>
            </w:r>
            <w:r>
              <w:rPr>
                <w:rFonts w:hint="eastAsia" w:ascii="宋体" w:hAnsi="宋体" w:eastAsia="宋体" w:cs="宋体"/>
                <w:color w:val="auto"/>
                <w:sz w:val="21"/>
                <w:szCs w:val="21"/>
                <w:highlight w:val="none"/>
                <w:u w:val="none"/>
                <w:lang w:val="en-US" w:eastAsia="zh-CN"/>
              </w:rPr>
              <w:t>1</w:t>
            </w:r>
            <w:r>
              <w:rPr>
                <w:rFonts w:hint="eastAsia" w:ascii="宋体" w:hAnsi="宋体" w:eastAsia="宋体" w:cs="宋体"/>
                <w:color w:val="auto"/>
                <w:sz w:val="21"/>
                <w:szCs w:val="21"/>
                <w:highlight w:val="none"/>
                <w:u w:val="none"/>
              </w:rPr>
              <w:t>日</w:t>
            </w:r>
            <w:r>
              <w:rPr>
                <w:rFonts w:hint="eastAsia" w:ascii="宋体" w:hAnsi="宋体" w:eastAsia="宋体" w:cs="宋体"/>
                <w:color w:val="auto"/>
                <w:sz w:val="21"/>
                <w:szCs w:val="21"/>
                <w:highlight w:val="none"/>
              </w:rPr>
              <w:t>至</w:t>
            </w:r>
            <w:r>
              <w:rPr>
                <w:rFonts w:hint="eastAsia" w:ascii="宋体" w:hAnsi="宋体" w:eastAsia="宋体" w:cs="宋体"/>
                <w:color w:val="auto"/>
                <w:sz w:val="21"/>
                <w:szCs w:val="21"/>
                <w:highlight w:val="none"/>
                <w:lang w:eastAsia="zh-CN"/>
              </w:rPr>
              <w:t>提交投标文件截止时间</w:t>
            </w:r>
            <w:r>
              <w:rPr>
                <w:rFonts w:hint="eastAsia" w:ascii="宋体" w:hAnsi="宋体" w:eastAsia="宋体" w:cs="宋体"/>
                <w:color w:val="auto"/>
                <w:sz w:val="21"/>
                <w:szCs w:val="21"/>
                <w:highlight w:val="none"/>
              </w:rPr>
              <w:t>止</w:t>
            </w:r>
            <w:r>
              <w:rPr>
                <w:rFonts w:hint="eastAsia" w:ascii="宋体" w:hAnsi="宋体" w:eastAsia="宋体" w:cs="宋体"/>
                <w:color w:val="auto"/>
                <w:sz w:val="21"/>
                <w:szCs w:val="21"/>
                <w:highlight w:val="none"/>
                <w:lang w:val="en-US" w:eastAsia="zh-CN"/>
              </w:rPr>
              <w:t>{以合同签订时间或者中标（成交）通知书的落款时间为准}</w:t>
            </w: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eastAsia="zh-CN"/>
              </w:rPr>
              <w:t>或制造商具有与本次采购内容有关的类似项目</w:t>
            </w:r>
            <w:r>
              <w:rPr>
                <w:rFonts w:hint="eastAsia" w:ascii="宋体" w:hAnsi="宋体" w:eastAsia="宋体" w:cs="宋体"/>
                <w:color w:val="auto"/>
                <w:sz w:val="21"/>
                <w:szCs w:val="21"/>
                <w:highlight w:val="none"/>
              </w:rPr>
              <w:t>业绩</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rPr>
              <w:t>并能清晰反映产品名称</w:t>
            </w:r>
            <w:r>
              <w:rPr>
                <w:rFonts w:hint="eastAsia" w:ascii="宋体" w:hAnsi="宋体" w:eastAsia="宋体" w:cs="宋体"/>
                <w:color w:val="auto"/>
                <w:kern w:val="2"/>
                <w:sz w:val="21"/>
                <w:szCs w:val="21"/>
                <w:highlight w:val="none"/>
                <w:lang w:val="en-US" w:eastAsia="zh-CN"/>
              </w:rPr>
              <w:t>的</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sz w:val="21"/>
                <w:szCs w:val="21"/>
                <w:highlight w:val="none"/>
              </w:rPr>
              <w:t>每项得</w:t>
            </w:r>
            <w:r>
              <w:rPr>
                <w:rFonts w:hint="eastAsia" w:ascii="宋体" w:hAnsi="宋体" w:eastAsia="宋体" w:cs="宋体"/>
                <w:color w:val="auto"/>
                <w:sz w:val="21"/>
                <w:szCs w:val="21"/>
                <w:highlight w:val="none"/>
                <w:u w:val="none"/>
                <w:lang w:val="en-US" w:eastAsia="zh-CN"/>
              </w:rPr>
              <w:t>2</w:t>
            </w:r>
            <w:r>
              <w:rPr>
                <w:rFonts w:hint="eastAsia" w:ascii="宋体" w:hAnsi="宋体" w:eastAsia="宋体" w:cs="宋体"/>
                <w:color w:val="auto"/>
                <w:sz w:val="21"/>
                <w:szCs w:val="21"/>
                <w:highlight w:val="none"/>
              </w:rPr>
              <w:t>分，满分</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ascii="宋体" w:hAnsi="宋体" w:eastAsia="宋体" w:cs="宋体"/>
                <w:b/>
                <w:bCs/>
                <w:color w:val="auto"/>
                <w:sz w:val="21"/>
                <w:szCs w:val="21"/>
                <w:highlight w:val="none"/>
                <w:lang w:val="en-US" w:eastAsia="zh-CN"/>
              </w:rPr>
              <w:t>注：</w:t>
            </w:r>
            <w:r>
              <w:rPr>
                <w:rFonts w:hint="eastAsia" w:ascii="宋体" w:hAnsi="宋体" w:eastAsia="宋体" w:cs="宋体"/>
                <w:b/>
                <w:bCs/>
                <w:color w:val="auto"/>
                <w:sz w:val="21"/>
                <w:szCs w:val="21"/>
                <w:highlight w:val="none"/>
                <w:lang w:eastAsia="zh-CN"/>
              </w:rPr>
              <w:t>需在投标文件中</w:t>
            </w:r>
            <w:r>
              <w:rPr>
                <w:rFonts w:hint="eastAsia" w:ascii="宋体" w:hAnsi="宋体" w:eastAsia="宋体" w:cs="宋体"/>
                <w:b/>
                <w:bCs/>
                <w:color w:val="auto"/>
                <w:sz w:val="21"/>
                <w:szCs w:val="21"/>
                <w:highlight w:val="none"/>
              </w:rPr>
              <w:t>提供</w:t>
            </w:r>
            <w:r>
              <w:rPr>
                <w:rFonts w:hint="eastAsia" w:ascii="宋体" w:hAnsi="宋体" w:eastAsia="宋体" w:cs="宋体"/>
                <w:b/>
                <w:bCs/>
                <w:color w:val="auto"/>
                <w:sz w:val="21"/>
                <w:szCs w:val="21"/>
                <w:highlight w:val="none"/>
                <w:lang w:val="en-US" w:eastAsia="zh-CN"/>
              </w:rPr>
              <w:t>前述</w:t>
            </w:r>
            <w:r>
              <w:rPr>
                <w:rFonts w:hint="eastAsia" w:ascii="宋体" w:hAnsi="宋体" w:eastAsia="宋体" w:cs="宋体"/>
                <w:b/>
                <w:bCs/>
                <w:color w:val="auto"/>
                <w:sz w:val="21"/>
                <w:szCs w:val="21"/>
                <w:highlight w:val="none"/>
                <w:lang w:eastAsia="zh-CN"/>
              </w:rPr>
              <w:t>类似项目</w:t>
            </w:r>
            <w:r>
              <w:rPr>
                <w:rFonts w:hint="eastAsia" w:ascii="宋体" w:hAnsi="宋体" w:eastAsia="宋体" w:cs="宋体"/>
                <w:b/>
                <w:bCs/>
                <w:color w:val="auto"/>
                <w:sz w:val="21"/>
                <w:szCs w:val="21"/>
                <w:highlight w:val="none"/>
              </w:rPr>
              <w:t>业绩</w:t>
            </w:r>
            <w:r>
              <w:rPr>
                <w:rFonts w:hint="eastAsia" w:ascii="宋体" w:hAnsi="宋体" w:eastAsia="宋体" w:cs="宋体"/>
                <w:b/>
                <w:bCs/>
                <w:color w:val="auto"/>
                <w:sz w:val="21"/>
                <w:szCs w:val="21"/>
                <w:highlight w:val="none"/>
                <w:lang w:eastAsia="zh-CN"/>
              </w:rPr>
              <w:t>的</w:t>
            </w:r>
            <w:r>
              <w:rPr>
                <w:rFonts w:hint="eastAsia" w:ascii="宋体" w:hAnsi="宋体" w:eastAsia="宋体" w:cs="宋体"/>
                <w:b/>
                <w:bCs/>
                <w:color w:val="auto"/>
                <w:sz w:val="21"/>
                <w:szCs w:val="21"/>
                <w:highlight w:val="none"/>
              </w:rPr>
              <w:t>合同或者中标</w:t>
            </w:r>
            <w:r>
              <w:rPr>
                <w:rFonts w:hint="eastAsia" w:ascii="宋体" w:hAnsi="宋体" w:eastAsia="宋体" w:cs="宋体"/>
                <w:b/>
                <w:bCs/>
                <w:color w:val="auto"/>
                <w:sz w:val="21"/>
                <w:szCs w:val="21"/>
                <w:highlight w:val="none"/>
                <w:lang w:eastAsia="zh-CN"/>
              </w:rPr>
              <w:t>（成交）</w:t>
            </w:r>
            <w:r>
              <w:rPr>
                <w:rFonts w:hint="eastAsia" w:ascii="宋体" w:hAnsi="宋体" w:eastAsia="宋体" w:cs="宋体"/>
                <w:b/>
                <w:bCs/>
                <w:color w:val="auto"/>
                <w:sz w:val="21"/>
                <w:szCs w:val="21"/>
                <w:highlight w:val="none"/>
              </w:rPr>
              <w:t>通知书复印件</w:t>
            </w:r>
            <w:r>
              <w:rPr>
                <w:rFonts w:hint="eastAsia" w:ascii="宋体" w:hAnsi="宋体" w:eastAsia="宋体" w:cs="宋体"/>
                <w:b/>
                <w:bCs/>
                <w:color w:val="auto"/>
                <w:sz w:val="21"/>
                <w:szCs w:val="21"/>
                <w:highlight w:val="none"/>
                <w:lang w:eastAsia="zh-CN"/>
              </w:rPr>
              <w:t>并加盖投标人公章，未按要求提供的不得分。同一个编号的项目有两个或两个以上的分标（</w:t>
            </w:r>
            <w:r>
              <w:rPr>
                <w:rFonts w:hint="eastAsia" w:ascii="宋体" w:hAnsi="宋体" w:eastAsia="宋体" w:cs="宋体"/>
                <w:b/>
                <w:bCs/>
                <w:color w:val="auto"/>
                <w:sz w:val="21"/>
                <w:szCs w:val="21"/>
                <w:highlight w:val="none"/>
                <w:lang w:val="en-US" w:eastAsia="zh-CN"/>
              </w:rPr>
              <w:t>标项）</w:t>
            </w:r>
            <w:r>
              <w:rPr>
                <w:rFonts w:hint="eastAsia" w:ascii="宋体" w:hAnsi="宋体" w:eastAsia="宋体" w:cs="宋体"/>
                <w:b/>
                <w:bCs/>
                <w:color w:val="auto"/>
                <w:sz w:val="21"/>
                <w:szCs w:val="21"/>
                <w:highlight w:val="none"/>
                <w:lang w:eastAsia="zh-CN"/>
              </w:rPr>
              <w:t>中标的只算1个业绩</w:t>
            </w:r>
            <w:r>
              <w:rPr>
                <w:rFonts w:hint="eastAsia" w:ascii="宋体" w:hAnsi="宋体" w:eastAsia="宋体" w:cs="宋体"/>
                <w:color w:val="auto"/>
                <w:sz w:val="21"/>
                <w:szCs w:val="21"/>
                <w:highlight w:val="none"/>
              </w:rPr>
              <w:t>】</w:t>
            </w:r>
          </w:p>
        </w:tc>
      </w:tr>
    </w:tbl>
    <w:p w14:paraId="57B44247">
      <w:pPr>
        <w:rPr>
          <w:rFonts w:hint="eastAsia" w:ascii="宋体" w:eastAsia="宋体" w:cs="宋体"/>
          <w:b w:val="0"/>
          <w:color w:val="auto"/>
          <w:sz w:val="30"/>
          <w:szCs w:val="30"/>
          <w:highlight w:val="none"/>
        </w:rPr>
      </w:pPr>
      <w:r>
        <w:rPr>
          <w:rFonts w:hint="eastAsia" w:ascii="宋体" w:eastAsia="宋体" w:cs="宋体"/>
          <w:b w:val="0"/>
          <w:color w:val="auto"/>
          <w:sz w:val="30"/>
          <w:szCs w:val="30"/>
          <w:highlight w:val="none"/>
        </w:rPr>
        <w:br w:type="page"/>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
        <w:gridCol w:w="1588"/>
        <w:gridCol w:w="1587"/>
        <w:gridCol w:w="5915"/>
      </w:tblGrid>
      <w:tr w14:paraId="3B82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0" w:type="dxa"/>
            <w:gridSpan w:val="4"/>
            <w:vAlign w:val="center"/>
          </w:tcPr>
          <w:p w14:paraId="204B902A">
            <w:pPr>
              <w:keepNext w:val="0"/>
              <w:keepLines w:val="0"/>
              <w:pageBreakBefore w:val="0"/>
              <w:widowControl w:val="0"/>
              <w:kinsoku/>
              <w:wordWrap/>
              <w:overflowPunct/>
              <w:topLinePunct w:val="0"/>
              <w:autoSpaceDE/>
              <w:autoSpaceDN/>
              <w:bidi w:val="0"/>
              <w:spacing w:line="400" w:lineRule="exact"/>
              <w:ind w:left="0" w:firstLine="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val="0"/>
                <w:color w:val="auto"/>
                <w:kern w:val="2"/>
                <w:sz w:val="21"/>
                <w:szCs w:val="21"/>
                <w:highlight w:val="none"/>
                <w:lang w:val="en-US" w:eastAsia="zh-CN" w:bidi="ar-SA"/>
              </w:rPr>
              <w:t>标项2适用</w:t>
            </w:r>
          </w:p>
        </w:tc>
      </w:tr>
      <w:tr w14:paraId="46FD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8" w:type="dxa"/>
            <w:gridSpan w:val="2"/>
            <w:vAlign w:val="center"/>
          </w:tcPr>
          <w:p w14:paraId="5DE3418C">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587" w:type="dxa"/>
            <w:vAlign w:val="center"/>
          </w:tcPr>
          <w:p w14:paraId="7DFBDF96">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评审因素</w:t>
            </w:r>
          </w:p>
        </w:tc>
        <w:tc>
          <w:tcPr>
            <w:tcW w:w="5915" w:type="dxa"/>
            <w:vAlign w:val="center"/>
          </w:tcPr>
          <w:p w14:paraId="39641980">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w:t>
            </w:r>
            <w:r>
              <w:rPr>
                <w:rFonts w:hint="eastAsia" w:ascii="宋体" w:hAnsi="宋体" w:eastAsia="宋体" w:cs="宋体"/>
                <w:b/>
                <w:color w:val="auto"/>
                <w:sz w:val="21"/>
                <w:szCs w:val="21"/>
                <w:highlight w:val="none"/>
                <w:lang w:eastAsia="zh-CN"/>
              </w:rPr>
              <w:t>分</w:t>
            </w:r>
            <w:r>
              <w:rPr>
                <w:rFonts w:hint="eastAsia" w:ascii="宋体" w:hAnsi="宋体" w:eastAsia="宋体" w:cs="宋体"/>
                <w:b/>
                <w:color w:val="auto"/>
                <w:sz w:val="21"/>
                <w:szCs w:val="21"/>
                <w:highlight w:val="none"/>
              </w:rPr>
              <w:t>标准</w:t>
            </w:r>
          </w:p>
        </w:tc>
      </w:tr>
      <w:tr w14:paraId="0985F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dxa"/>
            <w:vAlign w:val="center"/>
          </w:tcPr>
          <w:p w14:paraId="345C6E3D">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w:t>
            </w:r>
          </w:p>
        </w:tc>
        <w:tc>
          <w:tcPr>
            <w:tcW w:w="1588" w:type="dxa"/>
            <w:vAlign w:val="center"/>
          </w:tcPr>
          <w:p w14:paraId="21BF969E">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rPr>
              <w:t>1.</w:t>
            </w:r>
            <w:r>
              <w:rPr>
                <w:rFonts w:hint="eastAsia" w:ascii="宋体" w:hAnsi="宋体" w:eastAsia="宋体" w:cs="宋体"/>
                <w:b/>
                <w:bCs w:val="0"/>
                <w:color w:val="auto"/>
                <w:sz w:val="21"/>
                <w:szCs w:val="21"/>
                <w:highlight w:val="none"/>
              </w:rPr>
              <w:t>价格分</w:t>
            </w:r>
          </w:p>
          <w:p w14:paraId="69F78D0A">
            <w:pPr>
              <w:keepNext w:val="0"/>
              <w:keepLines w:val="0"/>
              <w:pageBreakBefore w:val="0"/>
              <w:kinsoku/>
              <w:wordWrap/>
              <w:overflowPunct/>
              <w:topLinePunct w:val="0"/>
              <w:autoSpaceDE/>
              <w:autoSpaceDN/>
              <w:bidi w:val="0"/>
              <w:adjustRightInd w:val="0"/>
              <w:spacing w:line="400" w:lineRule="exact"/>
              <w:jc w:val="both"/>
              <w:textAlignment w:val="baseline"/>
              <w:rPr>
                <w:rFonts w:hint="eastAsia" w:ascii="宋体" w:hAnsi="宋体" w:eastAsia="宋体" w:cs="宋体"/>
                <w:color w:val="auto"/>
                <w:sz w:val="21"/>
                <w:szCs w:val="21"/>
                <w:highlight w:val="none"/>
              </w:rPr>
            </w:pPr>
            <w:r>
              <w:rPr>
                <w:rFonts w:hint="eastAsia" w:ascii="宋体" w:hAnsi="宋体" w:eastAsia="宋体" w:cs="宋体"/>
                <w:b/>
                <w:bCs w:val="0"/>
                <w:color w:val="auto"/>
                <w:sz w:val="21"/>
                <w:szCs w:val="21"/>
                <w:highlight w:val="none"/>
              </w:rPr>
              <w:t>（满分</w:t>
            </w:r>
            <w:r>
              <w:rPr>
                <w:rFonts w:hint="eastAsia" w:ascii="宋体" w:hAnsi="宋体" w:eastAsia="宋体" w:cs="宋体"/>
                <w:b/>
                <w:bCs w:val="0"/>
                <w:color w:val="auto"/>
                <w:sz w:val="21"/>
                <w:szCs w:val="21"/>
                <w:highlight w:val="none"/>
                <w:u w:val="none"/>
                <w:lang w:val="en-US" w:eastAsia="zh-CN"/>
              </w:rPr>
              <w:t xml:space="preserve">30 </w:t>
            </w:r>
            <w:r>
              <w:rPr>
                <w:rFonts w:hint="eastAsia" w:ascii="宋体" w:hAnsi="宋体" w:eastAsia="宋体" w:cs="宋体"/>
                <w:b/>
                <w:bCs w:val="0"/>
                <w:color w:val="auto"/>
                <w:sz w:val="21"/>
                <w:szCs w:val="21"/>
                <w:highlight w:val="none"/>
                <w:u w:val="none"/>
              </w:rPr>
              <w:t>分）</w:t>
            </w:r>
          </w:p>
        </w:tc>
        <w:tc>
          <w:tcPr>
            <w:tcW w:w="1587" w:type="dxa"/>
            <w:vAlign w:val="center"/>
          </w:tcPr>
          <w:p w14:paraId="5B2C0CDB">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投标报价</w:t>
            </w:r>
          </w:p>
          <w:p w14:paraId="14B423E9">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（满分</w:t>
            </w: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0分）</w:t>
            </w:r>
          </w:p>
        </w:tc>
        <w:tc>
          <w:tcPr>
            <w:tcW w:w="5915" w:type="dxa"/>
            <w:vAlign w:val="center"/>
          </w:tcPr>
          <w:p w14:paraId="7BA30A3E">
            <w:pPr>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（1）本项目为专门面向中小企业采购的项目，按照《政府采购促进中小企业发展管理办法》（财库〔2020〕46号）的规定，对投标人的投标报价不再执行价格评审优惠的扶持政策。</w:t>
            </w:r>
          </w:p>
          <w:p w14:paraId="0D6971AF">
            <w:pPr>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（2）评标报价为投标人的投标报价，评标报价只是作为评审时使用。最终中标人的中标金额等于投标报价。</w:t>
            </w:r>
          </w:p>
          <w:p w14:paraId="3D521FF7">
            <w:pPr>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（3）满足招标文件要求且评标报价最低的评标报价为评标基准价，基准价得分为</w:t>
            </w:r>
            <w:r>
              <w:rPr>
                <w:rFonts w:hint="eastAsia" w:ascii="宋体" w:hAnsi="宋体" w:eastAsia="宋体" w:cs="宋体"/>
                <w:bCs/>
                <w:color w:val="auto"/>
                <w:sz w:val="21"/>
                <w:szCs w:val="21"/>
                <w:highlight w:val="none"/>
                <w:lang w:val="en-US" w:eastAsia="zh-CN"/>
              </w:rPr>
              <w:t>30</w:t>
            </w:r>
            <w:r>
              <w:rPr>
                <w:rFonts w:hint="eastAsia" w:ascii="宋体" w:hAnsi="宋体" w:eastAsia="宋体" w:cs="宋体"/>
                <w:bCs/>
                <w:color w:val="auto"/>
                <w:sz w:val="21"/>
                <w:szCs w:val="21"/>
                <w:highlight w:val="none"/>
              </w:rPr>
              <w:t>分。</w:t>
            </w:r>
          </w:p>
          <w:p w14:paraId="22286AA4">
            <w:pPr>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（4）价格分计算公式：        </w:t>
            </w:r>
          </w:p>
          <w:p w14:paraId="19D95555">
            <w:pPr>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auto"/>
                <w:kern w:val="2"/>
                <w:sz w:val="21"/>
                <w:szCs w:val="21"/>
                <w:highlight w:val="none"/>
                <w:lang w:val="en-US" w:eastAsia="zh-CN"/>
              </w:rPr>
            </w:pPr>
            <w:r>
              <w:rPr>
                <w:rFonts w:hint="eastAsia" w:ascii="宋体" w:hAnsi="宋体" w:eastAsia="宋体" w:cs="宋体"/>
                <w:bCs/>
                <w:color w:val="auto"/>
                <w:sz w:val="21"/>
                <w:szCs w:val="21"/>
                <w:highlight w:val="none"/>
              </w:rPr>
              <w:t>价格分=(评标基准价／评标报价)×</w:t>
            </w:r>
            <w:r>
              <w:rPr>
                <w:rFonts w:hint="eastAsia" w:ascii="宋体" w:hAnsi="宋体" w:eastAsia="宋体" w:cs="宋体"/>
                <w:bCs/>
                <w:color w:val="auto"/>
                <w:sz w:val="21"/>
                <w:szCs w:val="21"/>
                <w:highlight w:val="none"/>
                <w:lang w:val="en-US" w:eastAsia="zh-CN"/>
              </w:rPr>
              <w:t>30</w:t>
            </w:r>
            <w:r>
              <w:rPr>
                <w:rFonts w:hint="eastAsia" w:ascii="宋体" w:hAnsi="宋体" w:eastAsia="宋体" w:cs="宋体"/>
                <w:bCs/>
                <w:color w:val="auto"/>
                <w:sz w:val="21"/>
                <w:szCs w:val="21"/>
                <w:highlight w:val="none"/>
              </w:rPr>
              <w:t>分</w:t>
            </w:r>
          </w:p>
        </w:tc>
      </w:tr>
      <w:tr w14:paraId="56E0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60" w:type="dxa"/>
            <w:vMerge w:val="restart"/>
            <w:vAlign w:val="center"/>
          </w:tcPr>
          <w:p w14:paraId="12168BB3">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p>
        </w:tc>
        <w:tc>
          <w:tcPr>
            <w:tcW w:w="1588" w:type="dxa"/>
            <w:vMerge w:val="restart"/>
            <w:vAlign w:val="center"/>
          </w:tcPr>
          <w:p w14:paraId="027A6A77">
            <w:pPr>
              <w:keepNext w:val="0"/>
              <w:keepLines w:val="0"/>
              <w:pageBreakBefore w:val="0"/>
              <w:kinsoku/>
              <w:wordWrap/>
              <w:overflowPunct/>
              <w:topLinePunct w:val="0"/>
              <w:autoSpaceDE/>
              <w:autoSpaceDN/>
              <w:bidi w:val="0"/>
              <w:adjustRightInd w:val="0"/>
              <w:spacing w:line="400" w:lineRule="exact"/>
              <w:ind w:left="-105" w:leftChars="-50" w:right="-105" w:rightChars="-50"/>
              <w:jc w:val="center"/>
              <w:textAlignment w:val="baseline"/>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lang w:val="en-US" w:eastAsia="zh-CN"/>
              </w:rPr>
              <w:t>2.</w:t>
            </w:r>
            <w:r>
              <w:rPr>
                <w:rFonts w:hint="eastAsia" w:ascii="宋体" w:hAnsi="宋体" w:eastAsia="宋体" w:cs="宋体"/>
                <w:b/>
                <w:bCs/>
                <w:color w:val="auto"/>
                <w:sz w:val="21"/>
                <w:szCs w:val="21"/>
                <w:highlight w:val="none"/>
                <w:u w:val="none"/>
              </w:rPr>
              <w:t>技术分</w:t>
            </w:r>
          </w:p>
          <w:p w14:paraId="0F8EE05D">
            <w:pPr>
              <w:keepNext w:val="0"/>
              <w:keepLines w:val="0"/>
              <w:pageBreakBefore w:val="0"/>
              <w:kinsoku/>
              <w:wordWrap/>
              <w:overflowPunct/>
              <w:topLinePunct w:val="0"/>
              <w:autoSpaceDE/>
              <w:autoSpaceDN/>
              <w:bidi w:val="0"/>
              <w:adjustRightInd w:val="0"/>
              <w:spacing w:line="400" w:lineRule="exact"/>
              <w:ind w:left="-105" w:leftChars="-50" w:right="-105" w:rightChars="-50"/>
              <w:jc w:val="center"/>
              <w:textAlignment w:val="baseline"/>
              <w:rPr>
                <w:rFonts w:hint="eastAsia" w:ascii="宋体" w:hAnsi="宋体" w:eastAsia="宋体" w:cs="宋体"/>
                <w:color w:val="auto"/>
                <w:spacing w:val="-18"/>
                <w:sz w:val="21"/>
                <w:szCs w:val="21"/>
                <w:highlight w:val="none"/>
              </w:rPr>
            </w:pPr>
            <w:r>
              <w:rPr>
                <w:rFonts w:hint="eastAsia" w:ascii="宋体" w:hAnsi="宋体" w:eastAsia="宋体" w:cs="宋体"/>
                <w:b/>
                <w:bCs/>
                <w:color w:val="auto"/>
                <w:sz w:val="21"/>
                <w:szCs w:val="21"/>
                <w:highlight w:val="none"/>
                <w:u w:val="none"/>
              </w:rPr>
              <w:t>（满分</w:t>
            </w:r>
            <w:r>
              <w:rPr>
                <w:rFonts w:hint="eastAsia" w:ascii="宋体" w:hAnsi="宋体" w:eastAsia="宋体" w:cs="宋体"/>
                <w:b/>
                <w:bCs/>
                <w:color w:val="auto"/>
                <w:sz w:val="21"/>
                <w:szCs w:val="21"/>
                <w:highlight w:val="none"/>
                <w:u w:val="none"/>
                <w:lang w:val="en-US" w:eastAsia="zh-CN"/>
              </w:rPr>
              <w:t>50</w:t>
            </w:r>
            <w:r>
              <w:rPr>
                <w:rFonts w:hint="eastAsia" w:ascii="宋体" w:hAnsi="宋体" w:eastAsia="宋体" w:cs="宋体"/>
                <w:b/>
                <w:bCs/>
                <w:color w:val="auto"/>
                <w:sz w:val="21"/>
                <w:szCs w:val="21"/>
                <w:highlight w:val="none"/>
                <w:u w:val="none"/>
              </w:rPr>
              <w:t>分）</w:t>
            </w:r>
          </w:p>
        </w:tc>
        <w:tc>
          <w:tcPr>
            <w:tcW w:w="1587" w:type="dxa"/>
            <w:vAlign w:val="center"/>
          </w:tcPr>
          <w:p w14:paraId="05474E16">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u w:val="none"/>
                <w:lang w:val="en-US" w:eastAsia="zh-CN"/>
              </w:rPr>
              <w:t>2.1</w:t>
            </w:r>
            <w:r>
              <w:rPr>
                <w:rFonts w:hint="eastAsia" w:ascii="宋体" w:hAnsi="宋体" w:eastAsia="宋体" w:cs="宋体"/>
                <w:b/>
                <w:bCs/>
                <w:color w:val="auto"/>
                <w:sz w:val="21"/>
                <w:szCs w:val="21"/>
                <w:highlight w:val="none"/>
                <w:u w:val="none"/>
              </w:rPr>
              <w:t>技术性能分（满分</w:t>
            </w:r>
            <w:r>
              <w:rPr>
                <w:rFonts w:hint="eastAsia" w:ascii="宋体" w:hAnsi="宋体" w:eastAsia="宋体" w:cs="宋体"/>
                <w:b/>
                <w:bCs/>
                <w:color w:val="auto"/>
                <w:sz w:val="21"/>
                <w:szCs w:val="21"/>
                <w:highlight w:val="none"/>
                <w:u w:val="none"/>
                <w:lang w:val="en-US" w:eastAsia="zh-CN"/>
              </w:rPr>
              <w:t>20</w:t>
            </w:r>
            <w:r>
              <w:rPr>
                <w:rFonts w:hint="eastAsia" w:ascii="宋体" w:hAnsi="宋体" w:eastAsia="宋体" w:cs="宋体"/>
                <w:b/>
                <w:bCs/>
                <w:color w:val="auto"/>
                <w:sz w:val="21"/>
                <w:szCs w:val="21"/>
                <w:highlight w:val="none"/>
                <w:u w:val="none"/>
              </w:rPr>
              <w:t>分）</w:t>
            </w:r>
          </w:p>
        </w:tc>
        <w:tc>
          <w:tcPr>
            <w:tcW w:w="5915" w:type="dxa"/>
            <w:vAlign w:val="center"/>
          </w:tcPr>
          <w:p w14:paraId="33B8972A">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bCs/>
                <w:color w:val="auto"/>
                <w:sz w:val="21"/>
                <w:szCs w:val="21"/>
                <w:highlight w:val="none"/>
              </w:rPr>
              <w:t>投标人在技术要求偏离表中</w:t>
            </w:r>
            <w:r>
              <w:rPr>
                <w:rFonts w:hint="eastAsia" w:ascii="宋体" w:hAnsi="宋体" w:eastAsia="宋体" w:cs="宋体"/>
                <w:bCs/>
                <w:color w:val="auto"/>
                <w:szCs w:val="21"/>
                <w:highlight w:val="none"/>
                <w:lang w:val="en-US" w:eastAsia="zh-CN"/>
              </w:rPr>
              <w:t>无负偏离的得</w:t>
            </w:r>
            <w:r>
              <w:rPr>
                <w:rFonts w:hint="eastAsia" w:ascii="宋体" w:hAnsi="宋体" w:eastAsia="宋体" w:cs="宋体"/>
                <w:b/>
                <w:color w:val="auto"/>
                <w:sz w:val="21"/>
                <w:szCs w:val="21"/>
                <w:highlight w:val="none"/>
                <w:u w:val="single"/>
                <w:lang w:val="en-US" w:eastAsia="zh-CN"/>
              </w:rPr>
              <w:t>16</w:t>
            </w:r>
            <w:r>
              <w:rPr>
                <w:rFonts w:hint="eastAsia" w:ascii="宋体" w:hAnsi="宋体" w:eastAsia="宋体" w:cs="宋体"/>
                <w:bCs/>
                <w:color w:val="auto"/>
                <w:szCs w:val="21"/>
                <w:highlight w:val="none"/>
                <w:lang w:val="en-US" w:eastAsia="zh-CN"/>
              </w:rPr>
              <w:t>分，满分</w:t>
            </w:r>
            <w:r>
              <w:rPr>
                <w:rFonts w:hint="eastAsia" w:ascii="宋体" w:hAnsi="宋体" w:eastAsia="宋体" w:cs="宋体"/>
                <w:b/>
                <w:color w:val="auto"/>
                <w:sz w:val="21"/>
                <w:szCs w:val="21"/>
                <w:highlight w:val="none"/>
                <w:u w:val="single"/>
                <w:lang w:val="en-US" w:eastAsia="zh-CN"/>
              </w:rPr>
              <w:t>16</w:t>
            </w:r>
            <w:r>
              <w:rPr>
                <w:rFonts w:hint="eastAsia" w:ascii="宋体" w:hAnsi="宋体" w:eastAsia="宋体" w:cs="宋体"/>
                <w:bCs/>
                <w:color w:val="auto"/>
                <w:szCs w:val="21"/>
                <w:highlight w:val="none"/>
                <w:lang w:val="en-US" w:eastAsia="zh-CN"/>
              </w:rPr>
              <w:t>分 。</w:t>
            </w:r>
          </w:p>
          <w:p w14:paraId="6003CB52">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bCs/>
                <w:color w:val="auto"/>
                <w:sz w:val="21"/>
                <w:szCs w:val="21"/>
                <w:highlight w:val="none"/>
              </w:rPr>
              <w:t>投标人在技术要求偏离表中标明正偏离且被评标委员会评定为正偏离的，每有一项加</w:t>
            </w:r>
            <w:r>
              <w:rPr>
                <w:rFonts w:hint="eastAsia" w:ascii="宋体" w:hAnsi="宋体" w:eastAsia="宋体" w:cs="宋体"/>
                <w:bCs/>
                <w:color w:val="auto"/>
                <w:sz w:val="21"/>
                <w:szCs w:val="21"/>
                <w:highlight w:val="none"/>
                <w:u w:val="single"/>
                <w:lang w:val="en-US" w:eastAsia="zh-CN"/>
              </w:rPr>
              <w:t>1</w:t>
            </w:r>
            <w:r>
              <w:rPr>
                <w:rFonts w:hint="eastAsia" w:ascii="宋体" w:hAnsi="宋体" w:eastAsia="宋体" w:cs="宋体"/>
                <w:bCs/>
                <w:color w:val="auto"/>
                <w:sz w:val="21"/>
                <w:szCs w:val="21"/>
                <w:highlight w:val="none"/>
              </w:rPr>
              <w:t>分；满分</w:t>
            </w:r>
            <w:r>
              <w:rPr>
                <w:rFonts w:hint="eastAsia" w:ascii="宋体" w:hAnsi="宋体" w:eastAsia="宋体" w:cs="宋体"/>
                <w:bCs/>
                <w:color w:val="auto"/>
                <w:sz w:val="21"/>
                <w:szCs w:val="21"/>
                <w:highlight w:val="none"/>
                <w:u w:val="single"/>
                <w:lang w:val="en-US" w:eastAsia="zh-CN"/>
              </w:rPr>
              <w:t>4</w:t>
            </w:r>
            <w:r>
              <w:rPr>
                <w:rFonts w:hint="eastAsia" w:ascii="宋体" w:hAnsi="宋体" w:eastAsia="宋体" w:cs="宋体"/>
                <w:bCs/>
                <w:color w:val="auto"/>
                <w:sz w:val="21"/>
                <w:szCs w:val="21"/>
                <w:highlight w:val="none"/>
              </w:rPr>
              <w:t>分。</w:t>
            </w:r>
          </w:p>
          <w:p w14:paraId="79FB09AE">
            <w:pPr>
              <w:keepNext w:val="0"/>
              <w:keepLines w:val="0"/>
              <w:pageBreakBefore w:val="0"/>
              <w:kinsoku/>
              <w:wordWrap/>
              <w:overflowPunct/>
              <w:topLinePunct w:val="0"/>
              <w:autoSpaceDE/>
              <w:autoSpaceDN/>
              <w:bidi w:val="0"/>
              <w:snapToGrid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投标人技术参数及功能有正偏离的，须在技术要求偏离表中列明，且在投标文件中提供国家认可的有资质的第三方检测机构出具的检测报告复印件或产品生产厂家出具的技术参数说明或投标产品的彩页证明作为佐证，以上佐证材料均需加盖投标人公章，否则评标委员会不予评定为正偏离。</w:t>
            </w:r>
          </w:p>
          <w:p w14:paraId="713B24CD">
            <w:pPr>
              <w:keepNext w:val="0"/>
              <w:keepLines w:val="0"/>
              <w:pageBreakBefore w:val="0"/>
              <w:kinsoku/>
              <w:wordWrap/>
              <w:overflowPunct/>
              <w:topLinePunct w:val="0"/>
              <w:autoSpaceDE/>
              <w:autoSpaceDN/>
              <w:bidi w:val="0"/>
              <w:snapToGrid w:val="0"/>
              <w:spacing w:line="400" w:lineRule="exact"/>
              <w:ind w:firstLine="422"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.如技术要求偏离表中的投标响应与佐证材料不一致的，以佐证材料为准。</w:t>
            </w:r>
          </w:p>
        </w:tc>
      </w:tr>
      <w:tr w14:paraId="6D2D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jc w:val="center"/>
        </w:trPr>
        <w:tc>
          <w:tcPr>
            <w:tcW w:w="360" w:type="dxa"/>
            <w:vMerge w:val="continue"/>
          </w:tcPr>
          <w:p w14:paraId="70B96889"/>
        </w:tc>
        <w:tc>
          <w:tcPr>
            <w:tcW w:w="1588" w:type="dxa"/>
            <w:vMerge w:val="continue"/>
          </w:tcPr>
          <w:p w14:paraId="4086D5E5"/>
        </w:tc>
        <w:tc>
          <w:tcPr>
            <w:tcW w:w="1587" w:type="dxa"/>
            <w:tcMar>
              <w:left w:w="57" w:type="dxa"/>
              <w:right w:w="57" w:type="dxa"/>
            </w:tcMar>
            <w:vAlign w:val="center"/>
          </w:tcPr>
          <w:p w14:paraId="444D7701">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rPr>
              <w:t>2.2</w:t>
            </w:r>
            <w:r>
              <w:rPr>
                <w:rFonts w:hint="eastAsia" w:ascii="宋体" w:hAnsi="宋体" w:eastAsia="宋体" w:cs="宋体"/>
                <w:b/>
                <w:bCs w:val="0"/>
                <w:color w:val="auto"/>
                <w:sz w:val="21"/>
                <w:szCs w:val="21"/>
                <w:highlight w:val="none"/>
              </w:rPr>
              <w:t>项目实施方案分</w:t>
            </w:r>
            <w:r>
              <w:rPr>
                <w:rFonts w:hint="eastAsia" w:ascii="宋体" w:hAnsi="宋体" w:eastAsia="宋体" w:cs="宋体"/>
                <w:b/>
                <w:bCs w:val="0"/>
                <w:color w:val="auto"/>
                <w:sz w:val="21"/>
                <w:szCs w:val="21"/>
                <w:highlight w:val="none"/>
                <w:u w:val="none"/>
              </w:rPr>
              <w:t>（满分</w:t>
            </w:r>
            <w:r>
              <w:rPr>
                <w:rFonts w:hint="eastAsia" w:ascii="宋体" w:hAnsi="宋体" w:eastAsia="宋体" w:cs="宋体"/>
                <w:b/>
                <w:bCs w:val="0"/>
                <w:color w:val="auto"/>
                <w:sz w:val="21"/>
                <w:szCs w:val="21"/>
                <w:highlight w:val="none"/>
                <w:u w:val="none"/>
                <w:lang w:val="en-US" w:eastAsia="zh-CN"/>
              </w:rPr>
              <w:t>10</w:t>
            </w:r>
            <w:r>
              <w:rPr>
                <w:rFonts w:hint="eastAsia" w:ascii="宋体" w:hAnsi="宋体" w:eastAsia="宋体" w:cs="宋体"/>
                <w:b/>
                <w:bCs w:val="0"/>
                <w:color w:val="auto"/>
                <w:sz w:val="21"/>
                <w:szCs w:val="21"/>
                <w:highlight w:val="none"/>
                <w:u w:val="none"/>
              </w:rPr>
              <w:t>分）</w:t>
            </w:r>
          </w:p>
        </w:tc>
        <w:tc>
          <w:tcPr>
            <w:tcW w:w="5915" w:type="dxa"/>
          </w:tcPr>
          <w:p w14:paraId="2734C36B">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评委根据投标人提供的项目实施方案进行</w:t>
            </w:r>
            <w:r>
              <w:rPr>
                <w:rFonts w:hint="eastAsia" w:ascii="宋体" w:hAnsi="宋体" w:eastAsia="宋体" w:cs="宋体"/>
                <w:color w:val="auto"/>
                <w:sz w:val="21"/>
                <w:szCs w:val="21"/>
                <w:highlight w:val="none"/>
                <w:lang w:val="en-US" w:eastAsia="zh-CN"/>
              </w:rPr>
              <w:t>独立</w:t>
            </w:r>
            <w:r>
              <w:rPr>
                <w:rFonts w:hint="eastAsia" w:ascii="宋体" w:hAnsi="宋体" w:eastAsia="宋体" w:cs="宋体"/>
                <w:color w:val="auto"/>
                <w:sz w:val="21"/>
                <w:szCs w:val="21"/>
                <w:highlight w:val="none"/>
              </w:rPr>
              <w:t>评审：</w:t>
            </w:r>
          </w:p>
          <w:p w14:paraId="1ACCD8F4">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分)：仅包含基本实施内容和人员配备，实施方案</w:t>
            </w:r>
            <w:r>
              <w:rPr>
                <w:rFonts w:hint="eastAsia" w:ascii="宋体" w:hAnsi="宋体" w:eastAsia="宋体" w:cs="宋体"/>
                <w:color w:val="auto"/>
                <w:sz w:val="21"/>
                <w:szCs w:val="21"/>
                <w:highlight w:val="none"/>
                <w:lang w:val="en-US" w:eastAsia="zh-CN"/>
              </w:rPr>
              <w:t>内容粗略</w:t>
            </w:r>
            <w:r>
              <w:rPr>
                <w:rFonts w:hint="eastAsia" w:ascii="宋体" w:hAnsi="宋体" w:eastAsia="宋体" w:cs="宋体"/>
                <w:color w:val="auto"/>
                <w:sz w:val="21"/>
                <w:szCs w:val="21"/>
                <w:highlight w:val="none"/>
              </w:rPr>
              <w:t>。</w:t>
            </w:r>
          </w:p>
          <w:p w14:paraId="16433B6D">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分)：实施人员配备</w:t>
            </w:r>
            <w:r>
              <w:rPr>
                <w:rFonts w:hint="eastAsia"/>
                <w:lang w:val="en-US" w:eastAsia="zh-CN"/>
              </w:rPr>
              <w:t>情况</w:t>
            </w:r>
            <w:r>
              <w:rPr>
                <w:rFonts w:hint="eastAsia" w:ascii="宋体" w:hAnsi="宋体" w:cs="宋体"/>
                <w:color w:val="auto"/>
                <w:sz w:val="21"/>
                <w:szCs w:val="21"/>
                <w:highlight w:val="none"/>
                <w:lang w:val="en-US" w:eastAsia="zh-CN"/>
              </w:rPr>
              <w:t>有说明</w:t>
            </w:r>
            <w:r>
              <w:rPr>
                <w:rFonts w:hint="eastAsia" w:ascii="宋体" w:hAnsi="宋体" w:eastAsia="宋体" w:cs="宋体"/>
                <w:color w:val="auto"/>
                <w:sz w:val="21"/>
                <w:szCs w:val="21"/>
                <w:highlight w:val="none"/>
              </w:rPr>
              <w:t>，能满足项目实施需要，对设备交付、试运行、验收等能提出具体方案，提供简单的进度计划和工期保证措施，有基本的质量控制保证方案。</w:t>
            </w:r>
          </w:p>
          <w:p w14:paraId="498F308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分)：在二档基础上，实施人员配备</w:t>
            </w:r>
            <w:r>
              <w:rPr>
                <w:rFonts w:hint="eastAsia" w:ascii="宋体" w:hAnsi="宋体" w:cs="宋体"/>
                <w:color w:val="auto"/>
                <w:sz w:val="21"/>
                <w:szCs w:val="21"/>
                <w:highlight w:val="none"/>
                <w:lang w:val="en-US" w:eastAsia="zh-CN"/>
              </w:rPr>
              <w:t>情况有详细说明</w:t>
            </w:r>
            <w:r>
              <w:rPr>
                <w:rFonts w:hint="eastAsia" w:ascii="宋体" w:hAnsi="宋体" w:eastAsia="宋体" w:cs="宋体"/>
                <w:color w:val="auto"/>
                <w:sz w:val="21"/>
                <w:szCs w:val="21"/>
                <w:highlight w:val="none"/>
              </w:rPr>
              <w:t>且分工明确，有明确的项目组织实施管理机构和实施人员安排计划，</w:t>
            </w:r>
            <w:r>
              <w:rPr>
                <w:rFonts w:hint="eastAsia" w:ascii="宋体" w:hAnsi="宋体" w:eastAsia="宋体" w:cs="宋体"/>
                <w:color w:val="auto"/>
                <w:sz w:val="21"/>
                <w:szCs w:val="21"/>
                <w:highlight w:val="none"/>
                <w:lang w:val="en-US" w:eastAsia="zh-CN"/>
              </w:rPr>
              <w:t>有</w:t>
            </w:r>
            <w:r>
              <w:rPr>
                <w:rFonts w:hint="eastAsia" w:ascii="宋体" w:hAnsi="宋体" w:eastAsia="宋体" w:cs="宋体"/>
                <w:color w:val="auto"/>
                <w:sz w:val="21"/>
                <w:szCs w:val="21"/>
                <w:highlight w:val="none"/>
              </w:rPr>
              <w:t>项目管理制度和保障措施；</w:t>
            </w:r>
            <w:r>
              <w:rPr>
                <w:rFonts w:hint="eastAsia" w:ascii="宋体" w:hAnsi="宋体" w:eastAsia="宋体" w:cs="宋体"/>
                <w:color w:val="auto"/>
                <w:sz w:val="21"/>
                <w:szCs w:val="21"/>
                <w:highlight w:val="none"/>
                <w:lang w:val="en-US" w:eastAsia="zh-CN"/>
              </w:rPr>
              <w:t>有</w:t>
            </w:r>
            <w:r>
              <w:rPr>
                <w:rFonts w:hint="eastAsia" w:ascii="宋体" w:hAnsi="宋体" w:eastAsia="宋体" w:cs="宋体"/>
                <w:color w:val="auto"/>
                <w:sz w:val="21"/>
                <w:szCs w:val="21"/>
                <w:highlight w:val="none"/>
              </w:rPr>
              <w:t>项目组织及部署计划，进度安排、功能测试方案、试运行及验收方案等。</w:t>
            </w:r>
          </w:p>
          <w:p w14:paraId="678CDC7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分)：在三档基础上，实施人员配备组成</w:t>
            </w:r>
            <w:r>
              <w:rPr>
                <w:rFonts w:hint="eastAsia" w:ascii="宋体" w:hAnsi="宋体" w:eastAsia="宋体" w:cs="宋体"/>
                <w:color w:val="auto"/>
                <w:sz w:val="21"/>
                <w:szCs w:val="21"/>
                <w:highlight w:val="none"/>
                <w:lang w:val="en-US" w:eastAsia="zh-CN"/>
              </w:rPr>
              <w:t>有详细说明</w:t>
            </w:r>
            <w:r>
              <w:rPr>
                <w:rFonts w:hint="eastAsia" w:ascii="宋体" w:hAnsi="宋体" w:eastAsia="宋体" w:cs="宋体"/>
                <w:color w:val="auto"/>
                <w:sz w:val="21"/>
                <w:szCs w:val="21"/>
                <w:highlight w:val="none"/>
              </w:rPr>
              <w:t>且分工明确，有明确的项目组织实施管理机构和实施人员安排计划，项目管理制度和保障措施</w:t>
            </w:r>
            <w:r>
              <w:rPr>
                <w:rFonts w:hint="eastAsia" w:ascii="宋体" w:hAnsi="宋体" w:eastAsia="宋体" w:cs="宋体"/>
                <w:color w:val="auto"/>
                <w:sz w:val="21"/>
                <w:szCs w:val="21"/>
                <w:highlight w:val="none"/>
                <w:lang w:val="en-US" w:eastAsia="zh-CN"/>
              </w:rPr>
              <w:t>与本项目相适应</w:t>
            </w:r>
            <w:r>
              <w:rPr>
                <w:rFonts w:hint="eastAsia" w:ascii="宋体" w:hAnsi="宋体" w:eastAsia="宋体" w:cs="宋体"/>
                <w:color w:val="auto"/>
                <w:sz w:val="21"/>
                <w:szCs w:val="21"/>
                <w:highlight w:val="none"/>
              </w:rPr>
              <w:t>；项目组织及部署计划</w:t>
            </w:r>
            <w:r>
              <w:rPr>
                <w:rFonts w:hint="eastAsia" w:ascii="宋体" w:hAnsi="宋体" w:eastAsia="宋体" w:cs="宋体"/>
                <w:color w:val="auto"/>
                <w:sz w:val="21"/>
                <w:szCs w:val="21"/>
                <w:highlight w:val="none"/>
                <w:lang w:val="en-US" w:eastAsia="zh-CN"/>
              </w:rPr>
              <w:t>有针对性</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有与本项目相适应的</w:t>
            </w:r>
            <w:r>
              <w:rPr>
                <w:rFonts w:hint="eastAsia" w:ascii="宋体" w:hAnsi="宋体" w:eastAsia="宋体" w:cs="宋体"/>
                <w:color w:val="auto"/>
                <w:sz w:val="21"/>
                <w:szCs w:val="21"/>
                <w:highlight w:val="none"/>
              </w:rPr>
              <w:t>进度安排、功能测试方案、试运行及验收方案；同时有对应的应急解决方案，并能针对本项目建设提出合理化建议，整体方案</w:t>
            </w:r>
            <w:r>
              <w:rPr>
                <w:rFonts w:hint="eastAsia" w:ascii="宋体" w:hAnsi="宋体" w:cs="宋体"/>
                <w:color w:val="auto"/>
                <w:sz w:val="21"/>
                <w:szCs w:val="21"/>
                <w:highlight w:val="none"/>
                <w:lang w:val="en-US" w:eastAsia="zh-CN"/>
              </w:rPr>
              <w:t>具</w:t>
            </w:r>
            <w:r>
              <w:rPr>
                <w:rFonts w:hint="eastAsia" w:ascii="宋体" w:hAnsi="宋体" w:eastAsia="宋体" w:cs="宋体"/>
                <w:color w:val="auto"/>
                <w:sz w:val="21"/>
                <w:szCs w:val="21"/>
                <w:highlight w:val="none"/>
                <w:lang w:val="en-US" w:eastAsia="zh-CN"/>
              </w:rPr>
              <w:t>有针对性</w:t>
            </w:r>
            <w:r>
              <w:rPr>
                <w:rFonts w:hint="eastAsia" w:ascii="宋体" w:hAnsi="宋体" w:eastAsia="宋体" w:cs="宋体"/>
                <w:color w:val="auto"/>
                <w:sz w:val="21"/>
                <w:szCs w:val="21"/>
                <w:highlight w:val="none"/>
              </w:rPr>
              <w:t>。</w:t>
            </w:r>
          </w:p>
          <w:p w14:paraId="18EFB861">
            <w:pPr>
              <w:keepNext w:val="0"/>
              <w:keepLines w:val="0"/>
              <w:pageBreakBefore w:val="0"/>
              <w:widowControl w:val="0"/>
              <w:kinsoku/>
              <w:wordWrap/>
              <w:overflowPunct/>
              <w:topLinePunct w:val="0"/>
              <w:autoSpaceDE/>
              <w:autoSpaceDN/>
              <w:bidi w:val="0"/>
              <w:snapToGrid w:val="0"/>
              <w:spacing w:line="400" w:lineRule="exact"/>
              <w:ind w:firstLine="422" w:firstLineChars="200"/>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注：未提供项目实施方案或不符合最低入档条件不得分。</w:t>
            </w:r>
          </w:p>
        </w:tc>
      </w:tr>
      <w:tr w14:paraId="1BC9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dxa"/>
            <w:vMerge w:val="continue"/>
          </w:tcPr>
          <w:p w14:paraId="294AB505"/>
        </w:tc>
        <w:tc>
          <w:tcPr>
            <w:tcW w:w="1588" w:type="dxa"/>
            <w:vMerge w:val="continue"/>
          </w:tcPr>
          <w:p w14:paraId="390D8574"/>
        </w:tc>
        <w:tc>
          <w:tcPr>
            <w:tcW w:w="1587" w:type="dxa"/>
            <w:tcMar>
              <w:left w:w="57" w:type="dxa"/>
              <w:right w:w="57" w:type="dxa"/>
            </w:tcMar>
            <w:vAlign w:val="center"/>
          </w:tcPr>
          <w:p w14:paraId="30C753B3">
            <w:pPr>
              <w:keepNext w:val="0"/>
              <w:keepLines w:val="0"/>
              <w:pageBreakBefore w:val="0"/>
              <w:kinsoku/>
              <w:wordWrap/>
              <w:overflowPunct/>
              <w:topLinePunct w:val="0"/>
              <w:autoSpaceDE/>
              <w:autoSpaceDN/>
              <w:bidi w:val="0"/>
              <w:snapToGrid w:val="0"/>
              <w:spacing w:line="400" w:lineRule="exact"/>
              <w:jc w:val="center"/>
              <w:rPr>
                <w:rFonts w:hint="eastAsia" w:ascii="宋体" w:hAnsi="宋体" w:eastAsia="宋体" w:cs="宋体"/>
                <w:b/>
                <w:bCs w:val="0"/>
                <w:color w:val="auto"/>
                <w:sz w:val="21"/>
                <w:szCs w:val="21"/>
                <w:highlight w:val="none"/>
              </w:rPr>
            </w:pPr>
            <w:r>
              <w:rPr>
                <w:rFonts w:hint="eastAsia" w:ascii="宋体" w:hAnsi="宋体" w:eastAsia="宋体" w:cs="宋体"/>
                <w:b/>
                <w:bCs/>
                <w:color w:val="auto"/>
                <w:kern w:val="0"/>
                <w:sz w:val="21"/>
                <w:szCs w:val="21"/>
                <w:highlight w:val="none"/>
                <w:u w:val="none"/>
                <w:lang w:val="en-US" w:eastAsia="zh-CN" w:bidi="ar-SA"/>
              </w:rPr>
              <w:t>2.3培训方案分（满分10分）</w:t>
            </w:r>
          </w:p>
        </w:tc>
        <w:tc>
          <w:tcPr>
            <w:tcW w:w="5915" w:type="dxa"/>
            <w:vAlign w:val="center"/>
          </w:tcPr>
          <w:p w14:paraId="0DB37B38">
            <w:pPr>
              <w:keepNext w:val="0"/>
              <w:keepLines w:val="0"/>
              <w:pageBreakBefore w:val="0"/>
              <w:widowControl/>
              <w:kinsoku/>
              <w:wordWrap/>
              <w:overflowPunct/>
              <w:topLinePunct w:val="0"/>
              <w:autoSpaceDE/>
              <w:autoSpaceDN/>
              <w:bidi w:val="0"/>
              <w:snapToGrid w:val="0"/>
              <w:spacing w:line="400" w:lineRule="exact"/>
              <w:ind w:firstLine="420" w:firstLineChars="200"/>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由评委按照投标人提供的培训方案，分别从</w:t>
            </w:r>
            <w:r>
              <w:rPr>
                <w:rFonts w:hint="eastAsia" w:ascii="宋体" w:hAnsi="宋体" w:eastAsia="宋体" w:cs="宋体"/>
                <w:bCs/>
                <w:color w:val="auto"/>
                <w:kern w:val="0"/>
                <w:sz w:val="21"/>
                <w:szCs w:val="21"/>
                <w:highlight w:val="none"/>
                <w:u w:val="single"/>
                <w:lang w:val="en-US" w:eastAsia="zh-CN" w:bidi="ar-SA"/>
              </w:rPr>
              <w:t>培训内容、培训计划、培训资料、培训师资人员、培训组织方式</w:t>
            </w:r>
            <w:r>
              <w:rPr>
                <w:rFonts w:hint="eastAsia" w:ascii="宋体" w:hAnsi="宋体" w:eastAsia="宋体" w:cs="宋体"/>
                <w:bCs/>
                <w:color w:val="auto"/>
                <w:kern w:val="0"/>
                <w:sz w:val="21"/>
                <w:szCs w:val="21"/>
                <w:highlight w:val="none"/>
                <w:lang w:val="en-US" w:eastAsia="zh-CN" w:bidi="ar-SA"/>
              </w:rPr>
              <w:t>5个方面进行独立评审：具有以上5个方面内容，培训方式结合线上线下，培训内容</w:t>
            </w:r>
            <w:r>
              <w:rPr>
                <w:rFonts w:hint="eastAsia" w:ascii="宋体" w:hAnsi="宋体" w:eastAsia="宋体" w:cs="宋体"/>
                <w:b w:val="0"/>
                <w:bCs/>
                <w:color w:val="auto"/>
                <w:kern w:val="0"/>
                <w:sz w:val="21"/>
                <w:szCs w:val="21"/>
                <w:highlight w:val="none"/>
                <w:lang w:val="en-US" w:eastAsia="zh-CN" w:bidi="ar-SA"/>
              </w:rPr>
              <w:t>详细</w:t>
            </w:r>
            <w:r>
              <w:rPr>
                <w:rFonts w:hint="eastAsia" w:ascii="宋体" w:hAnsi="宋体" w:eastAsia="宋体" w:cs="宋体"/>
                <w:bCs/>
                <w:color w:val="auto"/>
                <w:kern w:val="0"/>
                <w:sz w:val="21"/>
                <w:szCs w:val="21"/>
                <w:highlight w:val="none"/>
                <w:lang w:val="en-US" w:eastAsia="zh-CN" w:bidi="ar-SA"/>
              </w:rPr>
              <w:t>，培训时间安排合理，培训人员</w:t>
            </w:r>
            <w:r>
              <w:rPr>
                <w:rFonts w:hint="eastAsia" w:ascii="宋体" w:hAnsi="宋体" w:cs="宋体"/>
                <w:bCs/>
                <w:color w:val="auto"/>
                <w:kern w:val="0"/>
                <w:sz w:val="21"/>
                <w:szCs w:val="21"/>
                <w:highlight w:val="none"/>
                <w:lang w:val="en-US" w:eastAsia="zh-CN" w:bidi="ar-SA"/>
              </w:rPr>
              <w:t>具有相关培训经验</w:t>
            </w:r>
            <w:r>
              <w:rPr>
                <w:rFonts w:hint="eastAsia" w:ascii="宋体" w:hAnsi="宋体" w:eastAsia="宋体" w:cs="宋体"/>
                <w:bCs/>
                <w:color w:val="auto"/>
                <w:kern w:val="0"/>
                <w:sz w:val="21"/>
                <w:szCs w:val="21"/>
                <w:highlight w:val="none"/>
                <w:lang w:val="en-US" w:eastAsia="zh-CN" w:bidi="ar-SA"/>
              </w:rPr>
              <w:t>，培训资料紧密贴合本项目，整体方案内容详细清晰，完全满足项目需求的，得10分；上述5个方面（培训内容、培训计划、培训资料、培训师资人员、培训组织方式）每缺少1个方面内容或某单个方面内容表述简单粗略，不清晰、或不贴合本项目实施的，扣2分，扣完10分为止。未提供方案不得分。</w:t>
            </w:r>
          </w:p>
          <w:p w14:paraId="394BBF1A">
            <w:pPr>
              <w:keepNext w:val="0"/>
              <w:keepLines w:val="0"/>
              <w:pageBreakBefore w:val="0"/>
              <w:widowControl w:val="0"/>
              <w:kinsoku/>
              <w:wordWrap/>
              <w:overflowPunct/>
              <w:topLinePunct w:val="0"/>
              <w:autoSpaceDE/>
              <w:autoSpaceDN/>
              <w:bidi w:val="0"/>
              <w:snapToGrid w:val="0"/>
              <w:spacing w:line="400" w:lineRule="exact"/>
              <w:ind w:firstLine="422" w:firstLineChars="200"/>
              <w:jc w:val="left"/>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注：以上内容不重复计分。</w:t>
            </w:r>
          </w:p>
        </w:tc>
      </w:tr>
      <w:tr w14:paraId="656C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dxa"/>
            <w:vMerge w:val="continue"/>
          </w:tcPr>
          <w:p w14:paraId="33AC38DA"/>
        </w:tc>
        <w:tc>
          <w:tcPr>
            <w:tcW w:w="1588" w:type="dxa"/>
            <w:vMerge w:val="continue"/>
          </w:tcPr>
          <w:p w14:paraId="6BD866B1"/>
        </w:tc>
        <w:tc>
          <w:tcPr>
            <w:tcW w:w="1587" w:type="dxa"/>
            <w:tcMar>
              <w:left w:w="57" w:type="dxa"/>
              <w:right w:w="57" w:type="dxa"/>
            </w:tcMar>
            <w:vAlign w:val="center"/>
          </w:tcPr>
          <w:p w14:paraId="09FC65F1">
            <w:pPr>
              <w:keepNext w:val="0"/>
              <w:keepLines w:val="0"/>
              <w:pageBreakBefore w:val="0"/>
              <w:widowControl w:val="0"/>
              <w:kinsoku/>
              <w:wordWrap/>
              <w:overflowPunct/>
              <w:topLinePunct w:val="0"/>
              <w:autoSpaceDE/>
              <w:autoSpaceDN/>
              <w:bidi w:val="0"/>
              <w:spacing w:line="400" w:lineRule="exact"/>
              <w:ind w:firstLine="105" w:firstLineChars="50"/>
              <w:jc w:val="center"/>
              <w:rPr>
                <w:rFonts w:hint="eastAsia" w:ascii="宋体" w:hAnsi="宋体" w:eastAsia="宋体" w:cs="宋体"/>
                <w:b/>
                <w:bCs/>
                <w:color w:val="auto"/>
                <w:kern w:val="0"/>
                <w:sz w:val="21"/>
                <w:szCs w:val="21"/>
                <w:highlight w:val="none"/>
                <w:u w:val="none"/>
                <w:lang w:val="en-US" w:eastAsia="zh-CN" w:bidi="ar-SA"/>
              </w:rPr>
            </w:pPr>
            <w:r>
              <w:rPr>
                <w:rFonts w:hint="eastAsia" w:ascii="宋体" w:hAnsi="宋体" w:eastAsia="宋体" w:cs="宋体"/>
                <w:b/>
                <w:bCs/>
                <w:color w:val="auto"/>
                <w:kern w:val="2"/>
                <w:sz w:val="21"/>
                <w:szCs w:val="21"/>
                <w:highlight w:val="none"/>
                <w:lang w:val="en-US" w:eastAsia="zh-CN" w:bidi="ar-SA"/>
              </w:rPr>
              <w:t>2.4售后服务方案分（满分10分）</w:t>
            </w:r>
          </w:p>
        </w:tc>
        <w:tc>
          <w:tcPr>
            <w:tcW w:w="5915" w:type="dxa"/>
            <w:vAlign w:val="center"/>
          </w:tcPr>
          <w:p w14:paraId="662BD893">
            <w:pPr>
              <w:keepNext w:val="0"/>
              <w:keepLines w:val="0"/>
              <w:pageBreakBefore w:val="0"/>
              <w:numPr>
                <w:ilvl w:val="0"/>
                <w:numId w:val="0"/>
              </w:numPr>
              <w:kinsoku/>
              <w:wordWrap/>
              <w:overflowPunct/>
              <w:topLinePunct w:val="0"/>
              <w:autoSpaceDE/>
              <w:autoSpaceDN/>
              <w:bidi w:val="0"/>
              <w:spacing w:line="400" w:lineRule="exact"/>
              <w:ind w:left="0"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评委根据投标人提供的售后服务方案（包括①</w:t>
            </w:r>
            <w:r>
              <w:rPr>
                <w:rFonts w:hint="eastAsia" w:ascii="宋体" w:hAnsi="宋体" w:eastAsia="宋体" w:cs="宋体"/>
                <w:color w:val="auto"/>
                <w:sz w:val="21"/>
                <w:szCs w:val="21"/>
                <w:highlight w:val="none"/>
                <w:u w:val="single"/>
              </w:rPr>
              <w:t>售后服务人员配备、②售后服务响应机制、③替代品</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备用机</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方面</w:t>
            </w:r>
            <w:r>
              <w:rPr>
                <w:rFonts w:hint="eastAsia" w:ascii="宋体" w:hAnsi="宋体" w:eastAsia="宋体" w:cs="宋体"/>
                <w:color w:val="auto"/>
                <w:sz w:val="21"/>
                <w:szCs w:val="21"/>
                <w:highlight w:val="none"/>
                <w:u w:val="single"/>
              </w:rPr>
              <w:t>、④定期维护 (注明时间)</w:t>
            </w:r>
            <w:r>
              <w:rPr>
                <w:rFonts w:hint="eastAsia" w:ascii="宋体" w:hAnsi="宋体" w:eastAsia="宋体" w:cs="宋体"/>
                <w:color w:val="auto"/>
                <w:sz w:val="21"/>
                <w:szCs w:val="21"/>
                <w:highlight w:val="none"/>
                <w:u w:val="single"/>
                <w:lang w:eastAsia="zh-CN"/>
              </w:rPr>
              <w:t>、⑤</w:t>
            </w:r>
            <w:r>
              <w:rPr>
                <w:rFonts w:hint="eastAsia" w:ascii="宋体" w:hAnsi="宋体" w:eastAsia="宋体" w:cs="宋体"/>
                <w:color w:val="auto"/>
                <w:sz w:val="21"/>
                <w:szCs w:val="21"/>
                <w:highlight w:val="none"/>
                <w:u w:val="single"/>
                <w:lang w:val="en-US" w:eastAsia="zh-CN"/>
              </w:rPr>
              <w:t>质保期</w:t>
            </w:r>
            <w:r>
              <w:rPr>
                <w:rFonts w:hint="eastAsia" w:ascii="宋体" w:hAnsi="宋体" w:eastAsia="宋体" w:cs="宋体"/>
                <w:color w:val="auto"/>
                <w:sz w:val="21"/>
                <w:szCs w:val="21"/>
                <w:highlight w:val="none"/>
                <w:u w:val="single"/>
              </w:rPr>
              <w:t>外维修方案</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b/>
                <w:bCs/>
                <w:color w:val="auto"/>
                <w:sz w:val="21"/>
                <w:szCs w:val="21"/>
                <w:highlight w:val="none"/>
              </w:rPr>
              <w:t>项</w:t>
            </w:r>
            <w:r>
              <w:rPr>
                <w:rFonts w:hint="eastAsia" w:ascii="宋体" w:hAnsi="宋体" w:eastAsia="宋体" w:cs="宋体"/>
                <w:color w:val="auto"/>
                <w:sz w:val="21"/>
                <w:szCs w:val="21"/>
                <w:highlight w:val="none"/>
              </w:rPr>
              <w:t>内容）</w:t>
            </w:r>
            <w:r>
              <w:rPr>
                <w:rFonts w:hint="eastAsia" w:ascii="宋体" w:hAnsi="宋体" w:eastAsia="宋体" w:cs="宋体"/>
                <w:color w:val="auto"/>
                <w:sz w:val="21"/>
                <w:szCs w:val="21"/>
                <w:highlight w:val="none"/>
                <w:lang w:val="en-US" w:eastAsia="zh-CN"/>
              </w:rPr>
              <w:t>按照以下标准进行独立评审</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满分10分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lang w:val="en-US" w:eastAsia="zh-CN"/>
              </w:rPr>
              <w:t>：</w:t>
            </w:r>
          </w:p>
          <w:p w14:paraId="6D57F2EE">
            <w:pPr>
              <w:keepNext w:val="0"/>
              <w:keepLines w:val="0"/>
              <w:pageBreakBefore w:val="0"/>
              <w:numPr>
                <w:ilvl w:val="0"/>
                <w:numId w:val="0"/>
              </w:numPr>
              <w:kinsoku/>
              <w:wordWrap/>
              <w:overflowPunct/>
              <w:topLinePunct w:val="0"/>
              <w:autoSpaceDE/>
              <w:autoSpaceDN/>
              <w:bidi w:val="0"/>
              <w:spacing w:line="400" w:lineRule="exact"/>
              <w:ind w:left="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每项内容表述详细清晰、无错漏、对本项目具有针对性、具有可行性的，得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w:t>
            </w:r>
          </w:p>
          <w:p w14:paraId="217FCC27">
            <w:pPr>
              <w:keepNext w:val="0"/>
              <w:keepLines w:val="0"/>
              <w:pageBreakBefore w:val="0"/>
              <w:numPr>
                <w:ilvl w:val="0"/>
                <w:numId w:val="0"/>
              </w:numPr>
              <w:kinsoku/>
              <w:wordWrap/>
              <w:overflowPunct/>
              <w:topLinePunct w:val="0"/>
              <w:autoSpaceDE/>
              <w:autoSpaceDN/>
              <w:bidi w:val="0"/>
              <w:spacing w:line="400" w:lineRule="exact"/>
              <w:ind w:left="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每项内容有基本描述，仅满足采购需求的，得1分；</w:t>
            </w:r>
          </w:p>
          <w:p w14:paraId="122AAC4A">
            <w:pPr>
              <w:keepNext w:val="0"/>
              <w:keepLines w:val="0"/>
              <w:pageBreakBefore w:val="0"/>
              <w:numPr>
                <w:ilvl w:val="0"/>
                <w:numId w:val="0"/>
              </w:numPr>
              <w:kinsoku/>
              <w:wordWrap/>
              <w:overflowPunct/>
              <w:topLinePunct w:val="0"/>
              <w:autoSpaceDE/>
              <w:autoSpaceDN/>
              <w:bidi w:val="0"/>
              <w:spacing w:line="400" w:lineRule="exact"/>
              <w:ind w:left="0" w:firstLine="420"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未提供该项</w:t>
            </w:r>
            <w:r>
              <w:rPr>
                <w:rFonts w:hint="eastAsia" w:ascii="宋体" w:hAnsi="宋体" w:eastAsia="宋体" w:cs="宋体"/>
                <w:color w:val="auto"/>
                <w:sz w:val="21"/>
                <w:szCs w:val="21"/>
                <w:highlight w:val="none"/>
              </w:rPr>
              <w:t>内容</w:t>
            </w:r>
            <w:r>
              <w:rPr>
                <w:rFonts w:hint="eastAsia" w:ascii="宋体" w:hAnsi="宋体" w:eastAsia="宋体" w:cs="宋体"/>
                <w:color w:val="auto"/>
                <w:sz w:val="21"/>
                <w:szCs w:val="21"/>
                <w:highlight w:val="none"/>
                <w:lang w:val="en-US" w:eastAsia="zh-CN"/>
              </w:rPr>
              <w:t>的，得0分。</w:t>
            </w:r>
          </w:p>
        </w:tc>
      </w:tr>
      <w:tr w14:paraId="21030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0" w:type="dxa"/>
            <w:vMerge w:val="restart"/>
            <w:vAlign w:val="center"/>
          </w:tcPr>
          <w:p w14:paraId="157CDF31">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p>
        </w:tc>
        <w:tc>
          <w:tcPr>
            <w:tcW w:w="1588" w:type="dxa"/>
            <w:vMerge w:val="restart"/>
            <w:vAlign w:val="center"/>
          </w:tcPr>
          <w:p w14:paraId="45870968">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商务分</w:t>
            </w:r>
          </w:p>
          <w:p w14:paraId="6242FAB5">
            <w:pPr>
              <w:keepNext w:val="0"/>
              <w:keepLines w:val="0"/>
              <w:pageBreakBefore w:val="0"/>
              <w:kinsoku/>
              <w:wordWrap/>
              <w:overflowPunct/>
              <w:topLinePunct w:val="0"/>
              <w:autoSpaceDE/>
              <w:autoSpaceDN/>
              <w:bidi w:val="0"/>
              <w:spacing w:line="400" w:lineRule="exact"/>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u w:val="none"/>
              </w:rPr>
              <w:t>（满分</w:t>
            </w:r>
            <w:r>
              <w:rPr>
                <w:rFonts w:hint="eastAsia" w:ascii="宋体" w:hAnsi="宋体" w:eastAsia="宋体" w:cs="宋体"/>
                <w:b/>
                <w:bCs/>
                <w:color w:val="auto"/>
                <w:sz w:val="21"/>
                <w:szCs w:val="21"/>
                <w:highlight w:val="none"/>
                <w:u w:val="none"/>
                <w:lang w:val="en-US" w:eastAsia="zh-CN"/>
              </w:rPr>
              <w:t>20</w:t>
            </w:r>
            <w:r>
              <w:rPr>
                <w:rFonts w:hint="eastAsia" w:ascii="宋体" w:hAnsi="宋体" w:eastAsia="宋体" w:cs="宋体"/>
                <w:b/>
                <w:bCs/>
                <w:color w:val="auto"/>
                <w:sz w:val="21"/>
                <w:szCs w:val="21"/>
                <w:highlight w:val="none"/>
                <w:u w:val="none"/>
              </w:rPr>
              <w:t>分）</w:t>
            </w:r>
          </w:p>
        </w:tc>
        <w:tc>
          <w:tcPr>
            <w:tcW w:w="1587" w:type="dxa"/>
            <w:tcMar>
              <w:left w:w="57" w:type="dxa"/>
              <w:right w:w="57" w:type="dxa"/>
            </w:tcMar>
            <w:vAlign w:val="center"/>
          </w:tcPr>
          <w:p w14:paraId="716FACE6">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3.1</w:t>
            </w:r>
            <w:r>
              <w:rPr>
                <w:rFonts w:hint="eastAsia" w:ascii="宋体" w:hAnsi="宋体" w:eastAsia="宋体" w:cs="宋体"/>
                <w:b/>
                <w:bCs/>
                <w:color w:val="auto"/>
                <w:sz w:val="21"/>
                <w:szCs w:val="21"/>
                <w:highlight w:val="none"/>
              </w:rPr>
              <w:t>质保期</w:t>
            </w:r>
            <w:r>
              <w:rPr>
                <w:rFonts w:hint="eastAsia" w:ascii="宋体" w:hAnsi="宋体" w:eastAsia="宋体" w:cs="宋体"/>
                <w:b/>
                <w:bCs/>
                <w:color w:val="auto"/>
                <w:sz w:val="21"/>
                <w:szCs w:val="21"/>
                <w:highlight w:val="none"/>
                <w:lang w:val="en-US" w:eastAsia="zh-CN"/>
              </w:rPr>
              <w:t>分</w:t>
            </w:r>
          </w:p>
          <w:p w14:paraId="2E1023B0">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（满分</w:t>
            </w:r>
            <w:r>
              <w:rPr>
                <w:rFonts w:hint="eastAsia" w:ascii="宋体" w:hAnsi="宋体" w:eastAsia="宋体" w:cs="宋体"/>
                <w:b/>
                <w:bCs/>
                <w:color w:val="auto"/>
                <w:sz w:val="21"/>
                <w:szCs w:val="21"/>
                <w:highlight w:val="none"/>
                <w:u w:val="none"/>
                <w:lang w:val="en-US" w:eastAsia="zh-CN"/>
              </w:rPr>
              <w:t>4</w:t>
            </w:r>
            <w:r>
              <w:rPr>
                <w:rFonts w:hint="eastAsia" w:ascii="宋体" w:hAnsi="宋体" w:eastAsia="宋体" w:cs="宋体"/>
                <w:b/>
                <w:bCs/>
                <w:color w:val="auto"/>
                <w:sz w:val="21"/>
                <w:szCs w:val="21"/>
                <w:highlight w:val="none"/>
              </w:rPr>
              <w:t>分）</w:t>
            </w:r>
          </w:p>
        </w:tc>
        <w:tc>
          <w:tcPr>
            <w:tcW w:w="5915" w:type="dxa"/>
            <w:vAlign w:val="center"/>
          </w:tcPr>
          <w:p w14:paraId="2CE46480">
            <w:pPr>
              <w:keepNext w:val="0"/>
              <w:keepLines w:val="0"/>
              <w:pageBreakBefore w:val="0"/>
              <w:kinsoku/>
              <w:wordWrap/>
              <w:overflowPunct/>
              <w:topLinePunct w:val="0"/>
              <w:autoSpaceDE/>
              <w:autoSpaceDN/>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w:t>
            </w:r>
            <w:r>
              <w:rPr>
                <w:rFonts w:hint="eastAsia" w:ascii="宋体" w:hAnsi="宋体" w:cs="宋体"/>
                <w:color w:val="auto"/>
                <w:sz w:val="21"/>
                <w:szCs w:val="21"/>
                <w:highlight w:val="none"/>
                <w:lang w:val="en-US" w:eastAsia="zh-CN"/>
              </w:rPr>
              <w:t>满足</w:t>
            </w:r>
            <w:r>
              <w:rPr>
                <w:rFonts w:hint="eastAsia" w:ascii="宋体" w:hAnsi="宋体" w:eastAsia="宋体" w:cs="宋体"/>
                <w:color w:val="auto"/>
                <w:sz w:val="21"/>
                <w:szCs w:val="21"/>
                <w:highlight w:val="none"/>
                <w:lang w:eastAsia="zh-CN"/>
              </w:rPr>
              <w:t>标</w:t>
            </w:r>
            <w:r>
              <w:rPr>
                <w:rFonts w:hint="eastAsia" w:ascii="宋体" w:hAnsi="宋体" w:eastAsia="宋体" w:cs="宋体"/>
                <w:color w:val="auto"/>
                <w:sz w:val="21"/>
                <w:szCs w:val="21"/>
                <w:highlight w:val="none"/>
              </w:rPr>
              <w:t>项要求的质保期基础上每延长</w:t>
            </w:r>
            <w:r>
              <w:rPr>
                <w:rFonts w:hint="eastAsia" w:ascii="宋体" w:hAnsi="宋体" w:eastAsia="宋体" w:cs="宋体"/>
                <w:color w:val="auto"/>
                <w:sz w:val="21"/>
                <w:szCs w:val="21"/>
                <w:highlight w:val="none"/>
                <w:lang w:val="en-US" w:eastAsia="zh-CN"/>
              </w:rPr>
              <w:t>半</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分，满分</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tc>
      </w:tr>
      <w:tr w14:paraId="3774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360" w:type="dxa"/>
            <w:vMerge w:val="continue"/>
            <w:vAlign w:val="center"/>
          </w:tcPr>
          <w:p w14:paraId="37BC2EAF"/>
        </w:tc>
        <w:tc>
          <w:tcPr>
            <w:tcW w:w="1588" w:type="dxa"/>
            <w:vMerge w:val="continue"/>
            <w:vAlign w:val="center"/>
          </w:tcPr>
          <w:p w14:paraId="7BF666DE"/>
        </w:tc>
        <w:tc>
          <w:tcPr>
            <w:tcW w:w="1587" w:type="dxa"/>
            <w:tcMar>
              <w:left w:w="57" w:type="dxa"/>
              <w:right w:w="57" w:type="dxa"/>
            </w:tcMar>
            <w:vAlign w:val="center"/>
          </w:tcPr>
          <w:p w14:paraId="4380EE37">
            <w:pPr>
              <w:keepNext w:val="0"/>
              <w:keepLines w:val="0"/>
              <w:pageBreakBefore w:val="0"/>
              <w:kinsoku/>
              <w:wordWrap/>
              <w:overflowPunct/>
              <w:topLinePunct w:val="0"/>
              <w:autoSpaceDE/>
              <w:autoSpaceDN/>
              <w:bidi w:val="0"/>
              <w:adjustRightInd w:val="0"/>
              <w:spacing w:line="400" w:lineRule="exact"/>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val="0"/>
                <w:color w:val="auto"/>
                <w:sz w:val="21"/>
                <w:szCs w:val="21"/>
                <w:highlight w:val="none"/>
                <w:lang w:val="en-US" w:eastAsia="zh-CN"/>
              </w:rPr>
              <w:t>3.2</w:t>
            </w:r>
            <w:r>
              <w:rPr>
                <w:rFonts w:hint="eastAsia" w:ascii="宋体" w:hAnsi="宋体" w:eastAsia="宋体" w:cs="宋体"/>
                <w:b/>
                <w:bCs w:val="0"/>
                <w:color w:val="auto"/>
                <w:sz w:val="21"/>
                <w:szCs w:val="21"/>
                <w:highlight w:val="none"/>
              </w:rPr>
              <w:t>履约能力分（满分</w:t>
            </w:r>
            <w:r>
              <w:rPr>
                <w:rFonts w:hint="eastAsia" w:ascii="宋体" w:hAnsi="宋体" w:eastAsia="宋体" w:cs="宋体"/>
                <w:b/>
                <w:bCs w:val="0"/>
                <w:color w:val="auto"/>
                <w:sz w:val="21"/>
                <w:szCs w:val="21"/>
                <w:highlight w:val="none"/>
                <w:lang w:val="en-US" w:eastAsia="zh-CN"/>
              </w:rPr>
              <w:t>6</w:t>
            </w:r>
            <w:r>
              <w:rPr>
                <w:rFonts w:hint="eastAsia" w:ascii="宋体" w:hAnsi="宋体" w:eastAsia="宋体" w:cs="宋体"/>
                <w:b/>
                <w:bCs w:val="0"/>
                <w:color w:val="auto"/>
                <w:sz w:val="21"/>
                <w:szCs w:val="21"/>
                <w:highlight w:val="none"/>
              </w:rPr>
              <w:t>分）</w:t>
            </w:r>
          </w:p>
        </w:tc>
        <w:tc>
          <w:tcPr>
            <w:tcW w:w="5915" w:type="dxa"/>
            <w:vAlign w:val="center"/>
          </w:tcPr>
          <w:p w14:paraId="58525D81">
            <w:pPr>
              <w:keepNext w:val="0"/>
              <w:keepLines w:val="0"/>
              <w:pageBreakBefore w:val="0"/>
              <w:kinsoku/>
              <w:wordWrap/>
              <w:overflowPunct/>
              <w:topLinePunct w:val="0"/>
              <w:autoSpaceDE/>
              <w:autoSpaceDN/>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所投产品的生产厂商有质量管理体系ISO9001认证，</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kern w:val="2"/>
                <w:sz w:val="21"/>
                <w:szCs w:val="21"/>
                <w:highlight w:val="none"/>
              </w:rPr>
              <w:t>ISO13485医疗器械质量管理体系认证</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szCs w:val="21"/>
                <w:highlight w:val="none"/>
              </w:rPr>
              <w:t>或ISO14001环境管理体系认证，</w:t>
            </w:r>
            <w:r>
              <w:rPr>
                <w:rFonts w:hint="eastAsia" w:ascii="宋体" w:hAnsi="宋体" w:eastAsia="宋体" w:cs="宋体"/>
                <w:color w:val="auto"/>
                <w:sz w:val="21"/>
                <w:szCs w:val="21"/>
                <w:highlight w:val="none"/>
              </w:rPr>
              <w:t>每个证书（在有效期内的）计</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分，最高</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分。（需在投标文件中提供有效期内的相关证书复印件，未提供不得分）</w:t>
            </w:r>
          </w:p>
        </w:tc>
      </w:tr>
      <w:tr w14:paraId="2FBB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dxa"/>
            <w:vMerge w:val="continue"/>
            <w:vAlign w:val="center"/>
          </w:tcPr>
          <w:p w14:paraId="23BDE4E5"/>
        </w:tc>
        <w:tc>
          <w:tcPr>
            <w:tcW w:w="1588" w:type="dxa"/>
            <w:vMerge w:val="continue"/>
            <w:vAlign w:val="center"/>
          </w:tcPr>
          <w:p w14:paraId="44780F53"/>
        </w:tc>
        <w:tc>
          <w:tcPr>
            <w:tcW w:w="1587" w:type="dxa"/>
            <w:tcMar>
              <w:left w:w="57" w:type="dxa"/>
              <w:right w:w="57" w:type="dxa"/>
            </w:tcMar>
            <w:vAlign w:val="center"/>
          </w:tcPr>
          <w:p w14:paraId="1E713B59">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3.3</w:t>
            </w:r>
            <w:r>
              <w:rPr>
                <w:rFonts w:hint="eastAsia" w:ascii="宋体" w:hAnsi="宋体" w:eastAsia="宋体" w:cs="宋体"/>
                <w:b/>
                <w:bCs w:val="0"/>
                <w:color w:val="auto"/>
                <w:sz w:val="21"/>
                <w:szCs w:val="21"/>
                <w:highlight w:val="none"/>
              </w:rPr>
              <w:t>业绩</w:t>
            </w:r>
            <w:r>
              <w:rPr>
                <w:rFonts w:hint="eastAsia" w:ascii="宋体" w:hAnsi="宋体" w:eastAsia="宋体" w:cs="宋体"/>
                <w:b/>
                <w:bCs w:val="0"/>
                <w:color w:val="auto"/>
                <w:sz w:val="21"/>
                <w:szCs w:val="21"/>
                <w:highlight w:val="none"/>
                <w:lang w:val="en-US" w:eastAsia="zh-CN"/>
              </w:rPr>
              <w:t>分</w:t>
            </w:r>
          </w:p>
          <w:p w14:paraId="1254A892">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val="0"/>
                <w:color w:val="auto"/>
                <w:sz w:val="21"/>
                <w:szCs w:val="21"/>
                <w:highlight w:val="none"/>
              </w:rPr>
              <w:t>（满分</w:t>
            </w:r>
            <w:r>
              <w:rPr>
                <w:rFonts w:hint="eastAsia" w:ascii="宋体" w:hAnsi="宋体" w:eastAsia="宋体" w:cs="宋体"/>
                <w:b/>
                <w:bCs w:val="0"/>
                <w:color w:val="auto"/>
                <w:sz w:val="21"/>
                <w:szCs w:val="21"/>
                <w:highlight w:val="none"/>
                <w:u w:val="none"/>
                <w:lang w:val="en-US" w:eastAsia="zh-CN"/>
              </w:rPr>
              <w:t>10</w:t>
            </w:r>
            <w:r>
              <w:rPr>
                <w:rFonts w:hint="eastAsia" w:ascii="宋体" w:hAnsi="宋体" w:eastAsia="宋体" w:cs="宋体"/>
                <w:b/>
                <w:bCs w:val="0"/>
                <w:color w:val="auto"/>
                <w:sz w:val="21"/>
                <w:szCs w:val="21"/>
                <w:highlight w:val="none"/>
                <w:u w:val="none"/>
              </w:rPr>
              <w:t>分</w:t>
            </w:r>
            <w:r>
              <w:rPr>
                <w:rFonts w:hint="eastAsia" w:ascii="宋体" w:hAnsi="宋体" w:eastAsia="宋体" w:cs="宋体"/>
                <w:b/>
                <w:bCs w:val="0"/>
                <w:color w:val="auto"/>
                <w:sz w:val="21"/>
                <w:szCs w:val="21"/>
                <w:highlight w:val="none"/>
              </w:rPr>
              <w:t>）</w:t>
            </w:r>
          </w:p>
        </w:tc>
        <w:tc>
          <w:tcPr>
            <w:tcW w:w="5915" w:type="dxa"/>
            <w:vAlign w:val="center"/>
          </w:tcPr>
          <w:p w14:paraId="5988D9D2">
            <w:pPr>
              <w:keepNext w:val="0"/>
              <w:keepLines w:val="0"/>
              <w:pageBreakBefore w:val="0"/>
              <w:kinsoku/>
              <w:wordWrap/>
              <w:overflowPunct/>
              <w:topLinePunct w:val="0"/>
              <w:autoSpaceDE/>
              <w:autoSpaceDN/>
              <w:bidi w:val="0"/>
              <w:spacing w:line="400" w:lineRule="exact"/>
              <w:rPr>
                <w:rFonts w:hint="eastAsia" w:ascii="宋体" w:hAnsi="宋体" w:eastAsia="宋体" w:cs="宋体"/>
                <w:bCs/>
                <w:color w:val="auto"/>
                <w:kern w:val="2"/>
                <w:sz w:val="21"/>
                <w:szCs w:val="21"/>
                <w:highlight w:val="none"/>
                <w:lang w:val="en-US" w:eastAsia="zh-CN"/>
              </w:rPr>
            </w:pPr>
            <w:r>
              <w:rPr>
                <w:rFonts w:hint="eastAsia" w:ascii="宋体" w:hAnsi="宋体" w:eastAsia="宋体" w:cs="宋体"/>
                <w:color w:val="auto"/>
                <w:sz w:val="21"/>
                <w:szCs w:val="21"/>
                <w:highlight w:val="none"/>
                <w:u w:val="none"/>
              </w:rPr>
              <w:t>20</w:t>
            </w:r>
            <w:r>
              <w:rPr>
                <w:rFonts w:hint="eastAsia" w:ascii="宋体" w:hAnsi="宋体" w:eastAsia="宋体" w:cs="宋体"/>
                <w:color w:val="auto"/>
                <w:sz w:val="21"/>
                <w:szCs w:val="21"/>
                <w:highlight w:val="none"/>
                <w:u w:val="none"/>
                <w:lang w:val="en-US" w:eastAsia="zh-CN"/>
              </w:rPr>
              <w:t>22</w:t>
            </w:r>
            <w:r>
              <w:rPr>
                <w:rFonts w:hint="eastAsia" w:ascii="宋体" w:hAnsi="宋体" w:eastAsia="宋体" w:cs="宋体"/>
                <w:color w:val="auto"/>
                <w:sz w:val="21"/>
                <w:szCs w:val="21"/>
                <w:highlight w:val="none"/>
                <w:u w:val="none"/>
              </w:rPr>
              <w:t>年</w:t>
            </w:r>
            <w:r>
              <w:rPr>
                <w:rFonts w:hint="eastAsia" w:ascii="宋体" w:hAnsi="宋体" w:eastAsia="宋体" w:cs="宋体"/>
                <w:color w:val="auto"/>
                <w:sz w:val="21"/>
                <w:szCs w:val="21"/>
                <w:highlight w:val="none"/>
                <w:u w:val="none"/>
                <w:lang w:val="en-US" w:eastAsia="zh-CN"/>
              </w:rPr>
              <w:t>1</w:t>
            </w:r>
            <w:r>
              <w:rPr>
                <w:rFonts w:hint="eastAsia" w:ascii="宋体" w:hAnsi="宋体" w:eastAsia="宋体" w:cs="宋体"/>
                <w:color w:val="auto"/>
                <w:sz w:val="21"/>
                <w:szCs w:val="21"/>
                <w:highlight w:val="none"/>
                <w:u w:val="none"/>
              </w:rPr>
              <w:t>月</w:t>
            </w:r>
            <w:r>
              <w:rPr>
                <w:rFonts w:hint="eastAsia" w:ascii="宋体" w:hAnsi="宋体" w:eastAsia="宋体" w:cs="宋体"/>
                <w:color w:val="auto"/>
                <w:sz w:val="21"/>
                <w:szCs w:val="21"/>
                <w:highlight w:val="none"/>
                <w:u w:val="none"/>
                <w:lang w:val="en-US" w:eastAsia="zh-CN"/>
              </w:rPr>
              <w:t>1</w:t>
            </w:r>
            <w:r>
              <w:rPr>
                <w:rFonts w:hint="eastAsia" w:ascii="宋体" w:hAnsi="宋体" w:eastAsia="宋体" w:cs="宋体"/>
                <w:color w:val="auto"/>
                <w:sz w:val="21"/>
                <w:szCs w:val="21"/>
                <w:highlight w:val="none"/>
                <w:u w:val="none"/>
              </w:rPr>
              <w:t>日</w:t>
            </w:r>
            <w:r>
              <w:rPr>
                <w:rFonts w:hint="eastAsia" w:ascii="宋体" w:hAnsi="宋体" w:eastAsia="宋体" w:cs="宋体"/>
                <w:color w:val="auto"/>
                <w:sz w:val="21"/>
                <w:szCs w:val="21"/>
                <w:highlight w:val="none"/>
              </w:rPr>
              <w:t>至</w:t>
            </w:r>
            <w:r>
              <w:rPr>
                <w:rFonts w:hint="eastAsia" w:ascii="宋体" w:hAnsi="宋体" w:eastAsia="宋体" w:cs="宋体"/>
                <w:color w:val="auto"/>
                <w:sz w:val="21"/>
                <w:szCs w:val="21"/>
                <w:highlight w:val="none"/>
                <w:lang w:eastAsia="zh-CN"/>
              </w:rPr>
              <w:t>提交投标文件截止时间</w:t>
            </w:r>
            <w:r>
              <w:rPr>
                <w:rFonts w:hint="eastAsia" w:ascii="宋体" w:hAnsi="宋体" w:eastAsia="宋体" w:cs="宋体"/>
                <w:color w:val="auto"/>
                <w:sz w:val="21"/>
                <w:szCs w:val="21"/>
                <w:highlight w:val="none"/>
              </w:rPr>
              <w:t>止</w:t>
            </w:r>
            <w:r>
              <w:rPr>
                <w:rFonts w:hint="eastAsia" w:ascii="宋体" w:hAnsi="宋体" w:eastAsia="宋体" w:cs="宋体"/>
                <w:color w:val="auto"/>
                <w:sz w:val="21"/>
                <w:szCs w:val="21"/>
                <w:highlight w:val="none"/>
                <w:lang w:val="en-US" w:eastAsia="zh-CN"/>
              </w:rPr>
              <w:t>{以合同签订时间或者中标（成交）通知书的落款时间为准}</w:t>
            </w: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eastAsia="zh-CN"/>
              </w:rPr>
              <w:t>或制造商具有与本次采购内容有关的类似项目</w:t>
            </w:r>
            <w:r>
              <w:rPr>
                <w:rFonts w:hint="eastAsia" w:ascii="宋体" w:hAnsi="宋体" w:eastAsia="宋体" w:cs="宋体"/>
                <w:color w:val="auto"/>
                <w:sz w:val="21"/>
                <w:szCs w:val="21"/>
                <w:highlight w:val="none"/>
              </w:rPr>
              <w:t>业绩</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rPr>
              <w:t>并能清晰反映产品名称</w:t>
            </w:r>
            <w:r>
              <w:rPr>
                <w:rFonts w:hint="eastAsia" w:ascii="宋体" w:hAnsi="宋体" w:eastAsia="宋体" w:cs="宋体"/>
                <w:color w:val="auto"/>
                <w:kern w:val="2"/>
                <w:sz w:val="21"/>
                <w:szCs w:val="21"/>
                <w:highlight w:val="none"/>
                <w:lang w:val="en-US" w:eastAsia="zh-CN"/>
              </w:rPr>
              <w:t>的</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sz w:val="21"/>
                <w:szCs w:val="21"/>
                <w:highlight w:val="none"/>
              </w:rPr>
              <w:t>每项得</w:t>
            </w:r>
            <w:r>
              <w:rPr>
                <w:rFonts w:hint="eastAsia" w:ascii="宋体" w:hAnsi="宋体" w:eastAsia="宋体" w:cs="宋体"/>
                <w:color w:val="auto"/>
                <w:sz w:val="21"/>
                <w:szCs w:val="21"/>
                <w:highlight w:val="none"/>
                <w:u w:val="none"/>
                <w:lang w:val="en-US" w:eastAsia="zh-CN"/>
              </w:rPr>
              <w:t>2</w:t>
            </w:r>
            <w:r>
              <w:rPr>
                <w:rFonts w:hint="eastAsia" w:ascii="宋体" w:hAnsi="宋体" w:eastAsia="宋体" w:cs="宋体"/>
                <w:color w:val="auto"/>
                <w:sz w:val="21"/>
                <w:szCs w:val="21"/>
                <w:highlight w:val="none"/>
              </w:rPr>
              <w:t>分，满分</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ascii="宋体" w:hAnsi="宋体" w:eastAsia="宋体" w:cs="宋体"/>
                <w:b/>
                <w:bCs/>
                <w:color w:val="auto"/>
                <w:sz w:val="21"/>
                <w:szCs w:val="21"/>
                <w:highlight w:val="none"/>
                <w:lang w:val="en-US" w:eastAsia="zh-CN"/>
              </w:rPr>
              <w:t>注：</w:t>
            </w:r>
            <w:r>
              <w:rPr>
                <w:rFonts w:hint="eastAsia" w:ascii="宋体" w:hAnsi="宋体" w:eastAsia="宋体" w:cs="宋体"/>
                <w:b/>
                <w:bCs/>
                <w:color w:val="auto"/>
                <w:sz w:val="21"/>
                <w:szCs w:val="21"/>
                <w:highlight w:val="none"/>
                <w:lang w:eastAsia="zh-CN"/>
              </w:rPr>
              <w:t>需在投标文件中</w:t>
            </w:r>
            <w:r>
              <w:rPr>
                <w:rFonts w:hint="eastAsia" w:ascii="宋体" w:hAnsi="宋体" w:eastAsia="宋体" w:cs="宋体"/>
                <w:b/>
                <w:bCs/>
                <w:color w:val="auto"/>
                <w:sz w:val="21"/>
                <w:szCs w:val="21"/>
                <w:highlight w:val="none"/>
              </w:rPr>
              <w:t>提供</w:t>
            </w:r>
            <w:r>
              <w:rPr>
                <w:rFonts w:hint="eastAsia" w:ascii="宋体" w:hAnsi="宋体" w:eastAsia="宋体" w:cs="宋体"/>
                <w:b/>
                <w:bCs/>
                <w:color w:val="auto"/>
                <w:sz w:val="21"/>
                <w:szCs w:val="21"/>
                <w:highlight w:val="none"/>
                <w:lang w:val="en-US" w:eastAsia="zh-CN"/>
              </w:rPr>
              <w:t>前述</w:t>
            </w:r>
            <w:r>
              <w:rPr>
                <w:rFonts w:hint="eastAsia" w:ascii="宋体" w:hAnsi="宋体" w:eastAsia="宋体" w:cs="宋体"/>
                <w:b/>
                <w:bCs/>
                <w:color w:val="auto"/>
                <w:sz w:val="21"/>
                <w:szCs w:val="21"/>
                <w:highlight w:val="none"/>
                <w:lang w:eastAsia="zh-CN"/>
              </w:rPr>
              <w:t>类似项目</w:t>
            </w:r>
            <w:r>
              <w:rPr>
                <w:rFonts w:hint="eastAsia" w:ascii="宋体" w:hAnsi="宋体" w:eastAsia="宋体" w:cs="宋体"/>
                <w:b/>
                <w:bCs/>
                <w:color w:val="auto"/>
                <w:sz w:val="21"/>
                <w:szCs w:val="21"/>
                <w:highlight w:val="none"/>
              </w:rPr>
              <w:t>业绩</w:t>
            </w:r>
            <w:r>
              <w:rPr>
                <w:rFonts w:hint="eastAsia" w:ascii="宋体" w:hAnsi="宋体" w:eastAsia="宋体" w:cs="宋体"/>
                <w:b/>
                <w:bCs/>
                <w:color w:val="auto"/>
                <w:sz w:val="21"/>
                <w:szCs w:val="21"/>
                <w:highlight w:val="none"/>
                <w:lang w:eastAsia="zh-CN"/>
              </w:rPr>
              <w:t>的</w:t>
            </w:r>
            <w:r>
              <w:rPr>
                <w:rFonts w:hint="eastAsia" w:ascii="宋体" w:hAnsi="宋体" w:eastAsia="宋体" w:cs="宋体"/>
                <w:b/>
                <w:bCs/>
                <w:color w:val="auto"/>
                <w:sz w:val="21"/>
                <w:szCs w:val="21"/>
                <w:highlight w:val="none"/>
              </w:rPr>
              <w:t>合同或者中标</w:t>
            </w:r>
            <w:r>
              <w:rPr>
                <w:rFonts w:hint="eastAsia" w:ascii="宋体" w:hAnsi="宋体" w:eastAsia="宋体" w:cs="宋体"/>
                <w:b/>
                <w:bCs/>
                <w:color w:val="auto"/>
                <w:sz w:val="21"/>
                <w:szCs w:val="21"/>
                <w:highlight w:val="none"/>
                <w:lang w:eastAsia="zh-CN"/>
              </w:rPr>
              <w:t>（成交）</w:t>
            </w:r>
            <w:r>
              <w:rPr>
                <w:rFonts w:hint="eastAsia" w:ascii="宋体" w:hAnsi="宋体" w:eastAsia="宋体" w:cs="宋体"/>
                <w:b/>
                <w:bCs/>
                <w:color w:val="auto"/>
                <w:sz w:val="21"/>
                <w:szCs w:val="21"/>
                <w:highlight w:val="none"/>
              </w:rPr>
              <w:t>通知书复印件</w:t>
            </w:r>
            <w:r>
              <w:rPr>
                <w:rFonts w:hint="eastAsia" w:ascii="宋体" w:hAnsi="宋体" w:eastAsia="宋体" w:cs="宋体"/>
                <w:b/>
                <w:bCs/>
                <w:color w:val="auto"/>
                <w:sz w:val="21"/>
                <w:szCs w:val="21"/>
                <w:highlight w:val="none"/>
                <w:lang w:eastAsia="zh-CN"/>
              </w:rPr>
              <w:t>并加盖投标人公章，未按要求提供的不得分。同一个编号的项目有两个或两个以上的分标（</w:t>
            </w:r>
            <w:r>
              <w:rPr>
                <w:rFonts w:hint="eastAsia" w:ascii="宋体" w:hAnsi="宋体" w:eastAsia="宋体" w:cs="宋体"/>
                <w:b/>
                <w:bCs/>
                <w:color w:val="auto"/>
                <w:sz w:val="21"/>
                <w:szCs w:val="21"/>
                <w:highlight w:val="none"/>
                <w:lang w:val="en-US" w:eastAsia="zh-CN"/>
              </w:rPr>
              <w:t>标项）</w:t>
            </w:r>
            <w:r>
              <w:rPr>
                <w:rFonts w:hint="eastAsia" w:ascii="宋体" w:hAnsi="宋体" w:eastAsia="宋体" w:cs="宋体"/>
                <w:b/>
                <w:bCs/>
                <w:color w:val="auto"/>
                <w:sz w:val="21"/>
                <w:szCs w:val="21"/>
                <w:highlight w:val="none"/>
                <w:lang w:eastAsia="zh-CN"/>
              </w:rPr>
              <w:t>中标的只算1个业绩</w:t>
            </w:r>
            <w:r>
              <w:rPr>
                <w:rFonts w:hint="eastAsia" w:ascii="宋体" w:hAnsi="宋体" w:eastAsia="宋体" w:cs="宋体"/>
                <w:color w:val="auto"/>
                <w:sz w:val="21"/>
                <w:szCs w:val="21"/>
                <w:highlight w:val="none"/>
              </w:rPr>
              <w:t>】</w:t>
            </w:r>
          </w:p>
        </w:tc>
      </w:tr>
      <w:tr w14:paraId="31529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0" w:type="dxa"/>
            <w:gridSpan w:val="4"/>
            <w:vAlign w:val="center"/>
          </w:tcPr>
          <w:p w14:paraId="4D2BD391">
            <w:pPr>
              <w:keepNext w:val="0"/>
              <w:keepLines w:val="0"/>
              <w:pageBreakBefore w:val="0"/>
              <w:widowControl w:val="0"/>
              <w:kinsoku/>
              <w:wordWrap/>
              <w:overflowPunct/>
              <w:topLinePunct w:val="0"/>
              <w:autoSpaceDE/>
              <w:autoSpaceDN/>
              <w:bidi w:val="0"/>
              <w:spacing w:line="400" w:lineRule="exact"/>
              <w:ind w:firstLine="420"/>
              <w:jc w:val="both"/>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总得分=1+2+3。</w:t>
            </w:r>
          </w:p>
        </w:tc>
      </w:tr>
    </w:tbl>
    <w:p w14:paraId="1F47A29A">
      <w:pPr>
        <w:pStyle w:val="3"/>
        <w:spacing w:before="0" w:after="0" w:line="360" w:lineRule="auto"/>
        <w:jc w:val="center"/>
        <w:rPr>
          <w:rFonts w:ascii="宋体" w:eastAsia="宋体" w:cs="宋体"/>
          <w:b w:val="0"/>
          <w:color w:val="auto"/>
          <w:sz w:val="30"/>
          <w:szCs w:val="30"/>
          <w:highlight w:val="none"/>
        </w:rPr>
      </w:pPr>
      <w:r>
        <w:rPr>
          <w:rFonts w:hint="eastAsia" w:ascii="宋体" w:eastAsia="宋体" w:cs="宋体"/>
          <w:b w:val="0"/>
          <w:color w:val="auto"/>
          <w:sz w:val="30"/>
          <w:szCs w:val="30"/>
          <w:highlight w:val="none"/>
        </w:rPr>
        <w:t>第四节 中标候选人推荐原则</w:t>
      </w:r>
      <w:bookmarkEnd w:id="235"/>
      <w:bookmarkEnd w:id="236"/>
      <w:bookmarkEnd w:id="237"/>
      <w:bookmarkEnd w:id="238"/>
      <w:bookmarkEnd w:id="239"/>
    </w:p>
    <w:p w14:paraId="48D31251">
      <w:pPr>
        <w:pStyle w:val="16"/>
        <w:numPr>
          <w:ilvl w:val="0"/>
          <w:numId w:val="3"/>
        </w:numPr>
        <w:spacing w:line="360" w:lineRule="auto"/>
        <w:contextualSpacing/>
        <w:rPr>
          <w:rFonts w:cs="宋体"/>
          <w:b/>
          <w:bCs/>
          <w:color w:val="auto"/>
          <w:sz w:val="24"/>
          <w:szCs w:val="24"/>
          <w:highlight w:val="none"/>
        </w:rPr>
      </w:pPr>
      <w:r>
        <w:rPr>
          <w:rFonts w:hint="eastAsia" w:cs="宋体"/>
          <w:b/>
          <w:bCs/>
          <w:color w:val="auto"/>
          <w:sz w:val="24"/>
          <w:szCs w:val="24"/>
          <w:highlight w:val="none"/>
        </w:rPr>
        <w:t>综合评分法</w:t>
      </w:r>
    </w:p>
    <w:p w14:paraId="1E7E298D">
      <w:pPr>
        <w:pStyle w:val="16"/>
        <w:spacing w:line="360" w:lineRule="auto"/>
        <w:ind w:firstLine="420" w:firstLineChars="200"/>
        <w:rPr>
          <w:rFonts w:cs="宋体"/>
          <w:color w:val="auto"/>
          <w:highlight w:val="none"/>
        </w:rPr>
      </w:pPr>
      <w:r>
        <w:rPr>
          <w:rFonts w:hint="eastAsia" w:cs="宋体"/>
          <w:color w:val="auto"/>
          <w:highlight w:val="none"/>
        </w:rPr>
        <w:t>1.评标委员会将根据评审后总得分由高到低排列次序并推荐中标候选人。总得分相同的，以投标报价由低到高顺序排列，得分相同且投标报价相同的并列。投标文件满足招标文件全部实质性要求，且按照评审因素的量化指标评审得分最高的投标人为排名第一的中标候选人。</w:t>
      </w:r>
    </w:p>
    <w:p w14:paraId="3B0D465B">
      <w:pPr>
        <w:pStyle w:val="16"/>
        <w:spacing w:line="360" w:lineRule="auto"/>
        <w:ind w:firstLine="420" w:firstLineChars="200"/>
        <w:rPr>
          <w:rFonts w:hint="eastAsia" w:cs="宋体"/>
          <w:color w:val="auto"/>
          <w:highlight w:val="none"/>
        </w:rPr>
      </w:pPr>
      <w:r>
        <w:rPr>
          <w:rFonts w:hint="eastAsia" w:cs="宋体"/>
          <w:color w:val="auto"/>
          <w:highlight w:val="none"/>
        </w:rPr>
        <w:t>2.根据《政府采购货物和服务招标投标管理办法》（财政部令第87号）第三十一条第二款规定，采用综合评分法的采购项目，提供相同品牌产品且通过资格审查、符合性审查的不同投标人参加同一合同项下投标的，按一家投标人计算，评审后得分最高的同品牌投标人获得中标人推荐资格；评审得分相同的，按照“投标人须知前附表”8.4条款的规定推荐，确定后其他同品牌投标人不作为中标候选人。</w:t>
      </w:r>
    </w:p>
    <w:p w14:paraId="53040FF7">
      <w:pPr>
        <w:pStyle w:val="8"/>
        <w:rPr>
          <w:color w:val="auto"/>
          <w:highlight w:val="none"/>
        </w:rPr>
      </w:pPr>
    </w:p>
    <w:p w14:paraId="4E88B80C">
      <w:pPr>
        <w:pStyle w:val="3"/>
        <w:spacing w:before="0" w:after="0" w:line="360" w:lineRule="auto"/>
        <w:ind w:firstLine="600" w:firstLineChars="200"/>
        <w:jc w:val="center"/>
        <w:rPr>
          <w:rFonts w:ascii="宋体" w:eastAsia="宋体" w:cs="宋体"/>
          <w:b w:val="0"/>
          <w:color w:val="auto"/>
          <w:sz w:val="30"/>
          <w:szCs w:val="30"/>
          <w:highlight w:val="none"/>
        </w:rPr>
      </w:pPr>
      <w:bookmarkStart w:id="240" w:name="_Toc24005"/>
      <w:bookmarkStart w:id="241" w:name="_Toc29998"/>
      <w:bookmarkStart w:id="242" w:name="_Toc8014"/>
      <w:bookmarkStart w:id="243" w:name="_Toc21738"/>
      <w:bookmarkStart w:id="244" w:name="_Toc671"/>
      <w:r>
        <w:rPr>
          <w:rFonts w:hint="eastAsia" w:ascii="宋体" w:eastAsia="宋体" w:cs="宋体"/>
          <w:b w:val="0"/>
          <w:color w:val="auto"/>
          <w:sz w:val="30"/>
          <w:szCs w:val="30"/>
          <w:highlight w:val="none"/>
        </w:rPr>
        <w:t>第五节 评标报告</w:t>
      </w:r>
      <w:bookmarkEnd w:id="240"/>
      <w:bookmarkEnd w:id="241"/>
      <w:bookmarkEnd w:id="242"/>
      <w:bookmarkEnd w:id="243"/>
      <w:bookmarkEnd w:id="244"/>
    </w:p>
    <w:p w14:paraId="55CE6105">
      <w:pPr>
        <w:pStyle w:val="70"/>
        <w:spacing w:before="0"/>
        <w:rPr>
          <w:rFonts w:ascii="宋体" w:cs="宋体"/>
          <w:b/>
          <w:bCs/>
          <w:color w:val="auto"/>
          <w:szCs w:val="24"/>
          <w:highlight w:val="none"/>
        </w:rPr>
      </w:pPr>
      <w:r>
        <w:rPr>
          <w:rFonts w:hint="eastAsia" w:ascii="宋体" w:cs="宋体"/>
          <w:b/>
          <w:bCs/>
          <w:color w:val="auto"/>
          <w:szCs w:val="24"/>
          <w:highlight w:val="none"/>
        </w:rPr>
        <w:t>（一）评标报告与推荐中标候选人</w:t>
      </w:r>
    </w:p>
    <w:p w14:paraId="781A131F">
      <w:pPr>
        <w:pStyle w:val="16"/>
        <w:tabs>
          <w:tab w:val="left" w:pos="2472"/>
        </w:tabs>
        <w:spacing w:line="360" w:lineRule="auto"/>
        <w:ind w:firstLine="420" w:firstLineChars="200"/>
        <w:rPr>
          <w:rFonts w:cs="宋体"/>
          <w:color w:val="auto"/>
          <w:highlight w:val="none"/>
        </w:rPr>
      </w:pPr>
      <w:r>
        <w:rPr>
          <w:rFonts w:hint="eastAsia" w:cs="宋体"/>
          <w:color w:val="auto"/>
          <w:highlight w:val="none"/>
        </w:rPr>
        <w:t>评标委员会根据原始评标记录和评标结果编写评标报告，并通过电子交易平台向采购人、采购代理机构提交。</w:t>
      </w:r>
    </w:p>
    <w:p w14:paraId="1780EFAF">
      <w:pPr>
        <w:widowControl/>
        <w:spacing w:line="360" w:lineRule="auto"/>
        <w:ind w:firstLine="482" w:firstLineChars="200"/>
        <w:jc w:val="left"/>
        <w:rPr>
          <w:rFonts w:ascii="宋体" w:cs="宋体"/>
          <w:b/>
          <w:bCs/>
          <w:color w:val="auto"/>
          <w:sz w:val="24"/>
          <w:highlight w:val="none"/>
        </w:rPr>
      </w:pPr>
      <w:r>
        <w:rPr>
          <w:rFonts w:hint="eastAsia" w:ascii="宋体" w:cs="宋体"/>
          <w:b/>
          <w:bCs/>
          <w:color w:val="auto"/>
          <w:sz w:val="24"/>
          <w:highlight w:val="none"/>
        </w:rPr>
        <w:t>（二）评标争议事项处理</w:t>
      </w:r>
    </w:p>
    <w:p w14:paraId="1BDE4C74">
      <w:pPr>
        <w:pStyle w:val="16"/>
        <w:tabs>
          <w:tab w:val="left" w:pos="2472"/>
        </w:tabs>
        <w:spacing w:line="360" w:lineRule="auto"/>
        <w:ind w:firstLine="420" w:firstLineChars="200"/>
        <w:rPr>
          <w:rFonts w:cs="宋体"/>
          <w:color w:val="auto"/>
          <w:highlight w:val="none"/>
        </w:rPr>
      </w:pPr>
      <w:r>
        <w:rPr>
          <w:rFonts w:hint="eastAsia" w:cs="宋体"/>
          <w:color w:val="auto"/>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3E29030B">
      <w:pPr>
        <w:widowControl/>
        <w:jc w:val="left"/>
        <w:rPr>
          <w:rFonts w:ascii="宋体" w:cs="宋体"/>
          <w:b/>
          <w:color w:val="auto"/>
          <w:sz w:val="36"/>
          <w:szCs w:val="20"/>
          <w:highlight w:val="none"/>
        </w:rPr>
        <w:sectPr>
          <w:pgSz w:w="11906" w:h="16838"/>
          <w:pgMar w:top="1134" w:right="1134" w:bottom="1134" w:left="1134" w:header="720" w:footer="720" w:gutter="0"/>
          <w:cols w:space="720" w:num="1"/>
          <w:docGrid w:type="lines" w:linePitch="331" w:charSpace="0"/>
        </w:sectPr>
      </w:pPr>
    </w:p>
    <w:p w14:paraId="78802BB6">
      <w:pPr>
        <w:pStyle w:val="16"/>
        <w:tabs>
          <w:tab w:val="left" w:pos="2472"/>
        </w:tabs>
        <w:spacing w:line="460" w:lineRule="exact"/>
        <w:jc w:val="center"/>
        <w:rPr>
          <w:rFonts w:cs="宋体"/>
          <w:b/>
          <w:color w:val="auto"/>
          <w:sz w:val="36"/>
          <w:highlight w:val="none"/>
        </w:rPr>
      </w:pPr>
    </w:p>
    <w:p w14:paraId="1D802389">
      <w:pPr>
        <w:pStyle w:val="16"/>
        <w:tabs>
          <w:tab w:val="left" w:pos="2472"/>
        </w:tabs>
        <w:spacing w:line="460" w:lineRule="exact"/>
        <w:jc w:val="center"/>
        <w:rPr>
          <w:rFonts w:cs="宋体"/>
          <w:b/>
          <w:color w:val="auto"/>
          <w:sz w:val="36"/>
          <w:highlight w:val="none"/>
        </w:rPr>
      </w:pPr>
    </w:p>
    <w:p w14:paraId="654355CC">
      <w:pPr>
        <w:pStyle w:val="16"/>
        <w:tabs>
          <w:tab w:val="left" w:pos="2472"/>
        </w:tabs>
        <w:spacing w:line="460" w:lineRule="exact"/>
        <w:jc w:val="center"/>
        <w:rPr>
          <w:rFonts w:cs="宋体"/>
          <w:b/>
          <w:color w:val="auto"/>
          <w:sz w:val="36"/>
          <w:highlight w:val="none"/>
        </w:rPr>
      </w:pPr>
    </w:p>
    <w:p w14:paraId="424CE474">
      <w:pPr>
        <w:pStyle w:val="16"/>
        <w:tabs>
          <w:tab w:val="left" w:pos="2472"/>
        </w:tabs>
        <w:spacing w:line="460" w:lineRule="exact"/>
        <w:jc w:val="center"/>
        <w:rPr>
          <w:rFonts w:cs="宋体"/>
          <w:b/>
          <w:color w:val="auto"/>
          <w:sz w:val="36"/>
          <w:highlight w:val="none"/>
        </w:rPr>
      </w:pPr>
    </w:p>
    <w:p w14:paraId="1D068EA9">
      <w:pPr>
        <w:pStyle w:val="16"/>
        <w:tabs>
          <w:tab w:val="left" w:pos="2472"/>
        </w:tabs>
        <w:spacing w:line="460" w:lineRule="exact"/>
        <w:jc w:val="center"/>
        <w:rPr>
          <w:rFonts w:cs="宋体"/>
          <w:b/>
          <w:color w:val="auto"/>
          <w:sz w:val="36"/>
          <w:highlight w:val="none"/>
        </w:rPr>
      </w:pPr>
    </w:p>
    <w:p w14:paraId="57AC7554">
      <w:pPr>
        <w:pStyle w:val="16"/>
        <w:tabs>
          <w:tab w:val="left" w:pos="2472"/>
        </w:tabs>
        <w:spacing w:line="460" w:lineRule="exact"/>
        <w:jc w:val="center"/>
        <w:rPr>
          <w:rFonts w:cs="宋体"/>
          <w:b/>
          <w:color w:val="auto"/>
          <w:sz w:val="36"/>
          <w:highlight w:val="none"/>
        </w:rPr>
      </w:pPr>
    </w:p>
    <w:p w14:paraId="70BD1689">
      <w:pPr>
        <w:pStyle w:val="16"/>
        <w:tabs>
          <w:tab w:val="left" w:pos="2472"/>
        </w:tabs>
        <w:spacing w:line="460" w:lineRule="exact"/>
        <w:jc w:val="center"/>
        <w:rPr>
          <w:rFonts w:cs="宋体"/>
          <w:b/>
          <w:color w:val="auto"/>
          <w:sz w:val="36"/>
          <w:highlight w:val="none"/>
        </w:rPr>
      </w:pPr>
    </w:p>
    <w:p w14:paraId="7A9133B6">
      <w:pPr>
        <w:pStyle w:val="16"/>
        <w:tabs>
          <w:tab w:val="left" w:pos="2472"/>
        </w:tabs>
        <w:spacing w:line="460" w:lineRule="exact"/>
        <w:jc w:val="center"/>
        <w:rPr>
          <w:rFonts w:cs="宋体"/>
          <w:b/>
          <w:color w:val="auto"/>
          <w:sz w:val="36"/>
          <w:highlight w:val="none"/>
        </w:rPr>
      </w:pPr>
    </w:p>
    <w:p w14:paraId="33643AAE">
      <w:pPr>
        <w:pStyle w:val="16"/>
        <w:tabs>
          <w:tab w:val="left" w:pos="2472"/>
        </w:tabs>
        <w:spacing w:line="460" w:lineRule="exact"/>
        <w:jc w:val="center"/>
        <w:rPr>
          <w:rFonts w:cs="宋体"/>
          <w:b/>
          <w:color w:val="auto"/>
          <w:sz w:val="36"/>
          <w:highlight w:val="none"/>
        </w:rPr>
      </w:pPr>
    </w:p>
    <w:p w14:paraId="3EF16693">
      <w:pPr>
        <w:pStyle w:val="16"/>
        <w:tabs>
          <w:tab w:val="left" w:pos="2472"/>
        </w:tabs>
        <w:spacing w:line="460" w:lineRule="exact"/>
        <w:jc w:val="center"/>
        <w:rPr>
          <w:rFonts w:cs="宋体"/>
          <w:b/>
          <w:color w:val="auto"/>
          <w:sz w:val="36"/>
          <w:highlight w:val="none"/>
        </w:rPr>
      </w:pPr>
    </w:p>
    <w:p w14:paraId="7F650B1B">
      <w:pPr>
        <w:pStyle w:val="16"/>
        <w:tabs>
          <w:tab w:val="left" w:pos="2472"/>
        </w:tabs>
        <w:spacing w:line="460" w:lineRule="exact"/>
        <w:jc w:val="center"/>
        <w:rPr>
          <w:rFonts w:cs="宋体"/>
          <w:b/>
          <w:color w:val="auto"/>
          <w:sz w:val="36"/>
          <w:highlight w:val="none"/>
        </w:rPr>
      </w:pPr>
    </w:p>
    <w:p w14:paraId="0EBFF6B3">
      <w:pPr>
        <w:pStyle w:val="16"/>
        <w:tabs>
          <w:tab w:val="left" w:pos="2472"/>
        </w:tabs>
        <w:spacing w:line="460" w:lineRule="exact"/>
        <w:jc w:val="center"/>
        <w:rPr>
          <w:rFonts w:cs="宋体"/>
          <w:b/>
          <w:color w:val="auto"/>
          <w:sz w:val="36"/>
          <w:highlight w:val="none"/>
        </w:rPr>
      </w:pPr>
    </w:p>
    <w:p w14:paraId="58307802">
      <w:pPr>
        <w:pStyle w:val="16"/>
        <w:tabs>
          <w:tab w:val="left" w:pos="2472"/>
        </w:tabs>
        <w:spacing w:line="460" w:lineRule="exact"/>
        <w:jc w:val="center"/>
        <w:rPr>
          <w:rFonts w:cs="宋体"/>
          <w:b/>
          <w:color w:val="auto"/>
          <w:sz w:val="36"/>
          <w:highlight w:val="none"/>
        </w:rPr>
      </w:pPr>
    </w:p>
    <w:p w14:paraId="5ED06564">
      <w:pPr>
        <w:pStyle w:val="16"/>
        <w:tabs>
          <w:tab w:val="left" w:pos="2472"/>
        </w:tabs>
        <w:spacing w:line="460" w:lineRule="exact"/>
        <w:jc w:val="center"/>
        <w:outlineLvl w:val="0"/>
        <w:rPr>
          <w:rFonts w:cs="宋体"/>
          <w:b/>
          <w:color w:val="auto"/>
          <w:sz w:val="36"/>
          <w:highlight w:val="none"/>
        </w:rPr>
      </w:pPr>
      <w:bookmarkStart w:id="245" w:name="_Toc24905"/>
      <w:bookmarkStart w:id="246" w:name="_Toc4982"/>
      <w:bookmarkStart w:id="247" w:name="_Toc30669"/>
      <w:bookmarkStart w:id="248" w:name="_Toc14385"/>
      <w:bookmarkStart w:id="249" w:name="_Toc14956"/>
      <w:bookmarkStart w:id="250" w:name="_Toc5426"/>
      <w:bookmarkStart w:id="251" w:name="_Toc15462"/>
      <w:bookmarkStart w:id="252" w:name="_Toc17443"/>
      <w:bookmarkStart w:id="253" w:name="_Toc1169"/>
      <w:bookmarkStart w:id="254" w:name="_Toc27349"/>
      <w:bookmarkStart w:id="255" w:name="_Toc1174"/>
      <w:r>
        <w:rPr>
          <w:rFonts w:hint="eastAsia" w:cs="宋体"/>
          <w:b/>
          <w:color w:val="auto"/>
          <w:sz w:val="36"/>
          <w:highlight w:val="none"/>
        </w:rPr>
        <w:t>第五章 拟签订的合同文本</w:t>
      </w:r>
      <w:bookmarkEnd w:id="245"/>
      <w:bookmarkEnd w:id="246"/>
      <w:bookmarkEnd w:id="247"/>
      <w:bookmarkEnd w:id="248"/>
      <w:bookmarkEnd w:id="249"/>
      <w:bookmarkEnd w:id="250"/>
      <w:bookmarkEnd w:id="251"/>
      <w:bookmarkEnd w:id="252"/>
      <w:bookmarkEnd w:id="253"/>
      <w:bookmarkEnd w:id="254"/>
      <w:bookmarkEnd w:id="255"/>
    </w:p>
    <w:p w14:paraId="7BD991C6">
      <w:pPr>
        <w:widowControl/>
        <w:jc w:val="left"/>
        <w:rPr>
          <w:rFonts w:ascii="宋体" w:cs="宋体"/>
          <w:bCs/>
          <w:color w:val="auto"/>
          <w:szCs w:val="20"/>
          <w:highlight w:val="none"/>
        </w:rPr>
        <w:sectPr>
          <w:pgSz w:w="11906" w:h="16838"/>
          <w:pgMar w:top="1134" w:right="1134" w:bottom="1134" w:left="1134" w:header="720" w:footer="720" w:gutter="0"/>
          <w:cols w:space="720" w:num="1"/>
          <w:docGrid w:type="lines" w:linePitch="331" w:charSpace="0"/>
        </w:sectPr>
      </w:pPr>
    </w:p>
    <w:p w14:paraId="78586484">
      <w:pPr>
        <w:snapToGrid w:val="0"/>
        <w:jc w:val="center"/>
        <w:rPr>
          <w:rFonts w:hint="eastAsia" w:ascii="宋体" w:hAnsi="宋体"/>
          <w:b/>
          <w:bCs/>
          <w:color w:val="auto"/>
          <w:sz w:val="32"/>
          <w:szCs w:val="32"/>
          <w:highlight w:val="none"/>
        </w:rPr>
      </w:pPr>
      <w:r>
        <w:rPr>
          <w:rFonts w:hint="eastAsia" w:ascii="宋体" w:hAnsi="宋体"/>
          <w:b/>
          <w:bCs/>
          <w:color w:val="auto"/>
          <w:sz w:val="32"/>
          <w:szCs w:val="32"/>
          <w:highlight w:val="none"/>
        </w:rPr>
        <w:t>《广西壮族自治区政府采购合同》</w:t>
      </w:r>
      <w:r>
        <w:rPr>
          <w:rFonts w:hint="eastAsia" w:ascii="宋体" w:hAnsi="宋体"/>
          <w:b/>
          <w:color w:val="auto"/>
          <w:sz w:val="32"/>
          <w:szCs w:val="32"/>
          <w:highlight w:val="none"/>
        </w:rPr>
        <w:t>文本</w:t>
      </w:r>
    </w:p>
    <w:p w14:paraId="4AE1A9CE">
      <w:pPr>
        <w:snapToGrid w:val="0"/>
        <w:spacing w:line="400" w:lineRule="exact"/>
        <w:ind w:right="480" w:firstLine="5250" w:firstLineChars="2500"/>
        <w:rPr>
          <w:rFonts w:hint="eastAsia" w:ascii="宋体" w:hAnsi="宋体"/>
          <w:bCs/>
          <w:color w:val="auto"/>
          <w:szCs w:val="21"/>
          <w:highlight w:val="none"/>
          <w:u w:val="single"/>
        </w:rPr>
      </w:pPr>
      <w:r>
        <w:rPr>
          <w:rFonts w:hint="eastAsia" w:ascii="宋体" w:hAnsi="宋体"/>
          <w:bCs/>
          <w:color w:val="auto"/>
          <w:szCs w:val="21"/>
          <w:highlight w:val="none"/>
        </w:rPr>
        <w:t>合同编号：</w:t>
      </w:r>
    </w:p>
    <w:p w14:paraId="4DCD51F4">
      <w:pPr>
        <w:snapToGrid w:val="0"/>
        <w:spacing w:line="360" w:lineRule="exact"/>
        <w:rPr>
          <w:rFonts w:hint="eastAsia" w:ascii="宋体" w:hAnsi="宋体"/>
          <w:color w:val="auto"/>
          <w:szCs w:val="21"/>
          <w:highlight w:val="none"/>
        </w:rPr>
      </w:pPr>
    </w:p>
    <w:p w14:paraId="32DDA34E">
      <w:pPr>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采购人（甲方）：</w:t>
      </w:r>
      <w:r>
        <w:rPr>
          <w:rFonts w:hint="eastAsia" w:ascii="宋体" w:hAnsi="宋体"/>
          <w:color w:val="auto"/>
          <w:szCs w:val="21"/>
          <w:highlight w:val="none"/>
          <w:u w:val="single"/>
          <w:lang w:eastAsia="zh-CN"/>
        </w:rPr>
        <w:t>天等县卫生健康局</w:t>
      </w:r>
      <w:r>
        <w:rPr>
          <w:rFonts w:hint="eastAsia" w:ascii="宋体" w:hAnsi="宋体"/>
          <w:color w:val="auto"/>
          <w:szCs w:val="21"/>
          <w:highlight w:val="none"/>
          <w:u w:val="single"/>
        </w:rPr>
        <w:t xml:space="preserve"> </w:t>
      </w:r>
    </w:p>
    <w:p w14:paraId="4C5A7183">
      <w:pPr>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供应商（乙方）：</w:t>
      </w:r>
      <w:r>
        <w:rPr>
          <w:rFonts w:hint="eastAsia" w:ascii="宋体" w:hAnsi="宋体"/>
          <w:color w:val="auto"/>
          <w:szCs w:val="21"/>
          <w:highlight w:val="none"/>
          <w:u w:val="single"/>
        </w:rPr>
        <w:t xml:space="preserve">                          </w:t>
      </w:r>
    </w:p>
    <w:p w14:paraId="6A31AD6B">
      <w:pPr>
        <w:snapToGrid w:val="0"/>
        <w:spacing w:line="360" w:lineRule="auto"/>
        <w:rPr>
          <w:rFonts w:hint="eastAsia" w:ascii="宋体" w:hAnsi="宋体"/>
          <w:color w:val="auto"/>
          <w:szCs w:val="21"/>
          <w:highlight w:val="none"/>
          <w:u w:val="single"/>
        </w:rPr>
      </w:pPr>
      <w:r>
        <w:rPr>
          <w:rFonts w:hint="eastAsia" w:ascii="宋体" w:hAnsi="宋体"/>
          <w:color w:val="auto"/>
          <w:spacing w:val="-20"/>
          <w:szCs w:val="21"/>
          <w:highlight w:val="none"/>
        </w:rPr>
        <w:t>采 购 计 划 号：</w:t>
      </w:r>
      <w:r>
        <w:rPr>
          <w:rFonts w:hint="eastAsia" w:ascii="宋体" w:hAnsi="宋体"/>
          <w:color w:val="auto"/>
          <w:szCs w:val="21"/>
          <w:highlight w:val="none"/>
          <w:u w:val="single"/>
        </w:rPr>
        <w:t xml:space="preserve">                         </w:t>
      </w:r>
    </w:p>
    <w:p w14:paraId="7696DB9E">
      <w:pPr>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项目编号：</w:t>
      </w:r>
      <w:r>
        <w:rPr>
          <w:rFonts w:hint="eastAsia" w:ascii="宋体" w:hAnsi="宋体"/>
          <w:color w:val="auto"/>
          <w:szCs w:val="21"/>
          <w:highlight w:val="none"/>
          <w:u w:val="single"/>
        </w:rPr>
        <w:t xml:space="preserve">                       </w:t>
      </w:r>
    </w:p>
    <w:p w14:paraId="60BE8CE2">
      <w:pPr>
        <w:snapToGrid w:val="0"/>
        <w:spacing w:line="360" w:lineRule="auto"/>
        <w:rPr>
          <w:rFonts w:hint="eastAsia" w:ascii="宋体" w:hAnsi="宋体"/>
          <w:color w:val="auto"/>
          <w:highlight w:val="none"/>
          <w:u w:val="single"/>
        </w:rPr>
      </w:pPr>
      <w:r>
        <w:rPr>
          <w:rFonts w:hint="eastAsia" w:ascii="宋体" w:hAnsi="宋体"/>
          <w:color w:val="auto"/>
          <w:szCs w:val="21"/>
          <w:highlight w:val="none"/>
        </w:rPr>
        <w:t>合同</w:t>
      </w:r>
      <w:r>
        <w:rPr>
          <w:rFonts w:hint="eastAsia" w:ascii="宋体" w:hAnsi="宋体"/>
          <w:color w:val="auto"/>
          <w:highlight w:val="none"/>
        </w:rPr>
        <w:t>类型：</w:t>
      </w:r>
      <w:r>
        <w:rPr>
          <w:rFonts w:hint="eastAsia" w:ascii="宋体" w:hAnsi="宋体"/>
          <w:color w:val="auto"/>
          <w:highlight w:val="none"/>
          <w:u w:val="single"/>
        </w:rPr>
        <w:t>买卖合同</w:t>
      </w:r>
    </w:p>
    <w:p w14:paraId="27B980BB">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本合同为中小企业预留合同：</w:t>
      </w:r>
      <w:r>
        <w:rPr>
          <w:rFonts w:hint="eastAsia" w:ascii="宋体" w:hAnsi="宋体"/>
          <w:color w:val="auto"/>
          <w:szCs w:val="21"/>
          <w:highlight w:val="none"/>
          <w:u w:val="single"/>
        </w:rPr>
        <w:t>否</w:t>
      </w:r>
      <w:r>
        <w:rPr>
          <w:rFonts w:hint="eastAsia" w:ascii="宋体" w:hAnsi="宋体"/>
          <w:color w:val="auto"/>
          <w:szCs w:val="21"/>
          <w:highlight w:val="none"/>
        </w:rPr>
        <w:t>。</w:t>
      </w:r>
    </w:p>
    <w:p w14:paraId="1DF4D1B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根据《中华人民共和国政府采购法》、《政府采购货物和服务招标投标管理办法》、《中华人民共和国民法典》等法律、法规规定，按照招标文件规定条款和乙方投标文件及其承诺，甲乙双方签订本合同。</w:t>
      </w:r>
    </w:p>
    <w:p w14:paraId="5521421B">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第一条　合同标的</w:t>
      </w:r>
    </w:p>
    <w:p w14:paraId="6B5AE384">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供货一览表</w:t>
      </w:r>
    </w:p>
    <w:tbl>
      <w:tblPr>
        <w:tblStyle w:val="29"/>
        <w:tblW w:w="981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1183"/>
        <w:gridCol w:w="1113"/>
        <w:gridCol w:w="1255"/>
        <w:gridCol w:w="1313"/>
        <w:gridCol w:w="1863"/>
        <w:gridCol w:w="1107"/>
      </w:tblGrid>
      <w:tr w14:paraId="62AA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vAlign w:val="center"/>
          </w:tcPr>
          <w:p w14:paraId="28E17CF3">
            <w:pPr>
              <w:rPr>
                <w:rFonts w:hint="eastAsia" w:ascii="宋体" w:hAnsi="宋体" w:cs="宋体"/>
                <w:color w:val="auto"/>
                <w:szCs w:val="22"/>
                <w:highlight w:val="none"/>
              </w:rPr>
            </w:pPr>
            <w:r>
              <w:rPr>
                <w:rFonts w:hint="eastAsia" w:ascii="宋体" w:hAnsi="宋体" w:cs="宋体"/>
                <w:color w:val="auto"/>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3EA8ED51">
            <w:pPr>
              <w:rPr>
                <w:rFonts w:hint="eastAsia" w:ascii="宋体" w:hAnsi="宋体" w:eastAsia="宋体" w:cs="宋体"/>
                <w:color w:val="auto"/>
                <w:szCs w:val="22"/>
                <w:highlight w:val="none"/>
                <w:lang w:eastAsia="zh-CN"/>
              </w:rPr>
            </w:pPr>
            <w:r>
              <w:rPr>
                <w:rFonts w:hint="eastAsia" w:ascii="宋体" w:hAnsi="宋体" w:cs="宋体"/>
                <w:color w:val="auto"/>
                <w:szCs w:val="22"/>
                <w:highlight w:val="none"/>
                <w:lang w:eastAsia="zh-CN"/>
              </w:rPr>
              <w:t>标的名称</w:t>
            </w:r>
          </w:p>
        </w:tc>
        <w:tc>
          <w:tcPr>
            <w:tcW w:w="1183" w:type="dxa"/>
            <w:tcBorders>
              <w:top w:val="single" w:color="auto" w:sz="4" w:space="0"/>
              <w:left w:val="single" w:color="auto" w:sz="4" w:space="0"/>
              <w:bottom w:val="single" w:color="auto" w:sz="4" w:space="0"/>
              <w:right w:val="single" w:color="auto" w:sz="4" w:space="0"/>
            </w:tcBorders>
            <w:vAlign w:val="center"/>
          </w:tcPr>
          <w:p w14:paraId="2D2EA12C">
            <w:pPr>
              <w:jc w:val="center"/>
              <w:rPr>
                <w:rFonts w:hint="eastAsia" w:ascii="宋体" w:hAnsi="宋体" w:cs="宋体"/>
                <w:color w:val="auto"/>
                <w:szCs w:val="22"/>
                <w:highlight w:val="none"/>
              </w:rPr>
            </w:pPr>
            <w:r>
              <w:rPr>
                <w:rFonts w:hint="eastAsia" w:ascii="宋体" w:hAnsi="宋体" w:cs="宋体"/>
                <w:color w:val="auto"/>
                <w:szCs w:val="22"/>
                <w:highlight w:val="none"/>
              </w:rPr>
              <w:t>规格型号</w:t>
            </w:r>
          </w:p>
        </w:tc>
        <w:tc>
          <w:tcPr>
            <w:tcW w:w="1113" w:type="dxa"/>
            <w:tcBorders>
              <w:top w:val="single" w:color="auto" w:sz="4" w:space="0"/>
              <w:left w:val="single" w:color="auto" w:sz="4" w:space="0"/>
              <w:bottom w:val="single" w:color="auto" w:sz="4" w:space="0"/>
              <w:right w:val="single" w:color="auto" w:sz="4" w:space="0"/>
            </w:tcBorders>
            <w:vAlign w:val="center"/>
          </w:tcPr>
          <w:p w14:paraId="58608623">
            <w:pPr>
              <w:jc w:val="center"/>
              <w:rPr>
                <w:rFonts w:hint="eastAsia" w:ascii="宋体" w:hAnsi="宋体" w:eastAsia="宋体" w:cs="宋体"/>
                <w:color w:val="auto"/>
                <w:szCs w:val="22"/>
                <w:highlight w:val="none"/>
                <w:lang w:eastAsia="zh-CN"/>
              </w:rPr>
            </w:pPr>
            <w:r>
              <w:rPr>
                <w:rFonts w:hint="eastAsia" w:ascii="宋体" w:hAnsi="宋体" w:cs="宋体"/>
                <w:color w:val="auto"/>
                <w:szCs w:val="22"/>
                <w:highlight w:val="none"/>
                <w:lang w:eastAsia="zh-CN"/>
              </w:rPr>
              <w:t>品牌（如有）</w:t>
            </w:r>
          </w:p>
        </w:tc>
        <w:tc>
          <w:tcPr>
            <w:tcW w:w="1255" w:type="dxa"/>
            <w:tcBorders>
              <w:top w:val="single" w:color="auto" w:sz="4" w:space="0"/>
              <w:left w:val="single" w:color="auto" w:sz="4" w:space="0"/>
              <w:bottom w:val="single" w:color="auto" w:sz="4" w:space="0"/>
              <w:right w:val="single" w:color="auto" w:sz="4" w:space="0"/>
            </w:tcBorders>
            <w:vAlign w:val="center"/>
          </w:tcPr>
          <w:p w14:paraId="5DF63A13">
            <w:pPr>
              <w:jc w:val="center"/>
              <w:rPr>
                <w:rFonts w:hint="eastAsia" w:ascii="宋体" w:hAnsi="宋体" w:cs="宋体"/>
                <w:color w:val="auto"/>
                <w:szCs w:val="22"/>
                <w:highlight w:val="none"/>
                <w:lang w:eastAsia="zh-CN"/>
              </w:rPr>
            </w:pPr>
            <w:r>
              <w:rPr>
                <w:rFonts w:hint="eastAsia" w:ascii="宋体" w:hAnsi="宋体" w:cs="宋体"/>
                <w:color w:val="auto"/>
                <w:szCs w:val="22"/>
                <w:highlight w:val="none"/>
              </w:rPr>
              <w:t>数量</w:t>
            </w:r>
            <w:r>
              <w:rPr>
                <w:rFonts w:hint="eastAsia" w:ascii="宋体" w:hAnsi="宋体" w:cs="宋体"/>
                <w:color w:val="auto"/>
                <w:szCs w:val="22"/>
                <w:highlight w:val="none"/>
                <w:lang w:eastAsia="zh-CN"/>
              </w:rPr>
              <w:t>及单位</w:t>
            </w:r>
          </w:p>
          <w:p w14:paraId="63663A47">
            <w:pPr>
              <w:jc w:val="center"/>
              <w:rPr>
                <w:rFonts w:hint="eastAsia" w:ascii="宋体" w:hAnsi="宋体" w:cs="宋体"/>
                <w:color w:val="auto"/>
                <w:szCs w:val="22"/>
                <w:highlight w:val="none"/>
              </w:rPr>
            </w:pPr>
            <w:r>
              <w:rPr>
                <w:rFonts w:hint="eastAsia" w:ascii="宋体" w:hAnsi="宋体" w:cs="宋体"/>
                <w:color w:val="auto"/>
                <w:szCs w:val="22"/>
                <w:highlight w:val="none"/>
              </w:rPr>
              <w:t>①</w:t>
            </w:r>
          </w:p>
        </w:tc>
        <w:tc>
          <w:tcPr>
            <w:tcW w:w="1313" w:type="dxa"/>
            <w:tcBorders>
              <w:top w:val="single" w:color="auto" w:sz="4" w:space="0"/>
              <w:left w:val="single" w:color="auto" w:sz="4" w:space="0"/>
              <w:bottom w:val="single" w:color="auto" w:sz="4" w:space="0"/>
              <w:right w:val="single" w:color="auto" w:sz="4" w:space="0"/>
            </w:tcBorders>
            <w:vAlign w:val="center"/>
          </w:tcPr>
          <w:p w14:paraId="6909C09E">
            <w:pPr>
              <w:jc w:val="center"/>
              <w:rPr>
                <w:rFonts w:hint="eastAsia" w:ascii="宋体" w:hAnsi="宋体" w:cs="宋体"/>
                <w:color w:val="auto"/>
                <w:szCs w:val="22"/>
                <w:highlight w:val="none"/>
              </w:rPr>
            </w:pPr>
            <w:r>
              <w:rPr>
                <w:rFonts w:hint="eastAsia" w:ascii="宋体" w:hAnsi="宋体" w:cs="宋体"/>
                <w:color w:val="auto"/>
                <w:szCs w:val="22"/>
                <w:highlight w:val="none"/>
              </w:rPr>
              <w:t>单价(元)</w:t>
            </w:r>
          </w:p>
          <w:p w14:paraId="13AC390D">
            <w:pPr>
              <w:jc w:val="center"/>
              <w:rPr>
                <w:rFonts w:hint="eastAsia" w:ascii="宋体" w:hAnsi="宋体" w:cs="宋体"/>
                <w:color w:val="auto"/>
                <w:szCs w:val="22"/>
                <w:highlight w:val="none"/>
              </w:rPr>
            </w:pPr>
            <w:r>
              <w:rPr>
                <w:rFonts w:hint="eastAsia" w:ascii="宋体" w:hAnsi="宋体" w:cs="宋体"/>
                <w:color w:val="auto"/>
                <w:szCs w:val="22"/>
                <w:highlight w:val="none"/>
              </w:rPr>
              <w:t>②</w:t>
            </w:r>
          </w:p>
        </w:tc>
        <w:tc>
          <w:tcPr>
            <w:tcW w:w="1863" w:type="dxa"/>
            <w:tcBorders>
              <w:top w:val="single" w:color="auto" w:sz="4" w:space="0"/>
              <w:left w:val="single" w:color="auto" w:sz="4" w:space="0"/>
              <w:bottom w:val="single" w:color="auto" w:sz="4" w:space="0"/>
              <w:right w:val="single" w:color="auto" w:sz="4" w:space="0"/>
            </w:tcBorders>
            <w:vAlign w:val="center"/>
          </w:tcPr>
          <w:p w14:paraId="55E4EBB1">
            <w:pPr>
              <w:jc w:val="center"/>
              <w:rPr>
                <w:rFonts w:hint="eastAsia" w:ascii="宋体" w:hAnsi="宋体" w:cs="宋体"/>
                <w:color w:val="auto"/>
                <w:szCs w:val="22"/>
                <w:highlight w:val="none"/>
              </w:rPr>
            </w:pPr>
            <w:r>
              <w:rPr>
                <w:rFonts w:hint="eastAsia" w:ascii="宋体" w:hAnsi="宋体" w:cs="宋体"/>
                <w:color w:val="auto"/>
                <w:szCs w:val="22"/>
                <w:highlight w:val="none"/>
              </w:rPr>
              <w:t>单项合</w:t>
            </w:r>
            <w:r>
              <w:rPr>
                <w:rFonts w:hint="eastAsia" w:ascii="宋体" w:hAnsi="宋体" w:cs="宋体"/>
                <w:color w:val="auto"/>
                <w:szCs w:val="22"/>
                <w:highlight w:val="none"/>
                <w:lang w:eastAsia="zh-CN"/>
              </w:rPr>
              <w:t>计</w:t>
            </w:r>
            <w:r>
              <w:rPr>
                <w:rFonts w:hint="eastAsia" w:ascii="宋体" w:hAnsi="宋体" w:cs="宋体"/>
                <w:color w:val="auto"/>
                <w:szCs w:val="22"/>
                <w:highlight w:val="none"/>
              </w:rPr>
              <w:t>（元）</w:t>
            </w:r>
          </w:p>
          <w:p w14:paraId="2CD89885">
            <w:pPr>
              <w:jc w:val="center"/>
              <w:rPr>
                <w:rFonts w:hint="eastAsia" w:ascii="宋体" w:hAnsi="宋体" w:cs="宋体"/>
                <w:color w:val="auto"/>
                <w:szCs w:val="22"/>
                <w:highlight w:val="none"/>
              </w:rPr>
            </w:pPr>
            <w:r>
              <w:rPr>
                <w:rFonts w:hint="eastAsia" w:ascii="宋体" w:hAnsi="宋体" w:cs="宋体"/>
                <w:color w:val="auto"/>
                <w:szCs w:val="22"/>
                <w:highlight w:val="none"/>
              </w:rPr>
              <w:t>③＝①×②</w:t>
            </w:r>
          </w:p>
        </w:tc>
        <w:tc>
          <w:tcPr>
            <w:tcW w:w="1107" w:type="dxa"/>
            <w:tcBorders>
              <w:top w:val="single" w:color="auto" w:sz="4" w:space="0"/>
              <w:left w:val="single" w:color="auto" w:sz="4" w:space="0"/>
              <w:bottom w:val="single" w:color="auto" w:sz="4" w:space="0"/>
              <w:right w:val="single" w:color="auto" w:sz="4" w:space="0"/>
            </w:tcBorders>
            <w:vAlign w:val="center"/>
          </w:tcPr>
          <w:p w14:paraId="79FDDF97">
            <w:pPr>
              <w:ind w:firstLine="0"/>
              <w:jc w:val="cente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制造商及产地</w:t>
            </w:r>
          </w:p>
        </w:tc>
      </w:tr>
      <w:tr w14:paraId="7F7F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vAlign w:val="center"/>
          </w:tcPr>
          <w:p w14:paraId="559AF3B1">
            <w:pPr>
              <w:jc w:val="center"/>
              <w:rPr>
                <w:rFonts w:hint="eastAsia" w:ascii="宋体" w:hAnsi="宋体" w:cs="宋体"/>
                <w:color w:val="auto"/>
                <w:szCs w:val="22"/>
                <w:highlight w:val="none"/>
              </w:rPr>
            </w:pPr>
            <w:r>
              <w:rPr>
                <w:rFonts w:hint="eastAsia" w:ascii="宋体" w:hAnsi="宋体" w:cs="宋体"/>
                <w:color w:val="auto"/>
                <w:szCs w:val="22"/>
                <w:highlight w:val="none"/>
              </w:rPr>
              <w:t>1</w:t>
            </w:r>
          </w:p>
        </w:tc>
        <w:tc>
          <w:tcPr>
            <w:tcW w:w="1260" w:type="dxa"/>
            <w:tcBorders>
              <w:top w:val="single" w:color="auto" w:sz="4" w:space="0"/>
              <w:left w:val="single" w:color="auto" w:sz="4" w:space="0"/>
              <w:bottom w:val="single" w:color="auto" w:sz="4" w:space="0"/>
              <w:right w:val="single" w:color="auto" w:sz="4" w:space="0"/>
            </w:tcBorders>
            <w:vAlign w:val="center"/>
          </w:tcPr>
          <w:p w14:paraId="4E9183B5">
            <w:pPr>
              <w:rPr>
                <w:rFonts w:hint="eastAsia" w:ascii="宋体" w:hAnsi="宋体" w:cs="宋体"/>
                <w:color w:val="auto"/>
                <w:szCs w:val="22"/>
                <w:highlight w:val="none"/>
              </w:rPr>
            </w:pPr>
          </w:p>
        </w:tc>
        <w:tc>
          <w:tcPr>
            <w:tcW w:w="1183" w:type="dxa"/>
            <w:tcBorders>
              <w:top w:val="single" w:color="auto" w:sz="4" w:space="0"/>
              <w:left w:val="single" w:color="auto" w:sz="4" w:space="0"/>
              <w:bottom w:val="single" w:color="auto" w:sz="4" w:space="0"/>
              <w:right w:val="single" w:color="auto" w:sz="4" w:space="0"/>
            </w:tcBorders>
            <w:vAlign w:val="center"/>
          </w:tcPr>
          <w:p w14:paraId="48B15DAF">
            <w:pPr>
              <w:rPr>
                <w:rFonts w:hint="eastAsia" w:ascii="宋体" w:hAnsi="宋体" w:cs="宋体"/>
                <w:color w:val="auto"/>
                <w:szCs w:val="22"/>
                <w:highlight w:val="none"/>
              </w:rPr>
            </w:pPr>
          </w:p>
        </w:tc>
        <w:tc>
          <w:tcPr>
            <w:tcW w:w="1113" w:type="dxa"/>
            <w:tcBorders>
              <w:top w:val="single" w:color="auto" w:sz="4" w:space="0"/>
              <w:left w:val="single" w:color="auto" w:sz="4" w:space="0"/>
              <w:bottom w:val="single" w:color="auto" w:sz="4" w:space="0"/>
              <w:right w:val="single" w:color="auto" w:sz="4" w:space="0"/>
            </w:tcBorders>
            <w:vAlign w:val="center"/>
          </w:tcPr>
          <w:p w14:paraId="34C81DDA">
            <w:pPr>
              <w:rPr>
                <w:rFonts w:hint="eastAsia" w:ascii="宋体" w:hAnsi="宋体" w:cs="宋体"/>
                <w:color w:val="auto"/>
                <w:szCs w:val="22"/>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78CAB057">
            <w:pPr>
              <w:rPr>
                <w:rFonts w:hint="eastAsia" w:ascii="宋体" w:hAnsi="宋体" w:cs="宋体"/>
                <w:color w:val="auto"/>
                <w:szCs w:val="22"/>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1370186E">
            <w:pPr>
              <w:rPr>
                <w:rFonts w:hint="eastAsia" w:ascii="宋体" w:hAnsi="宋体" w:cs="宋体"/>
                <w:color w:val="auto"/>
                <w:szCs w:val="22"/>
                <w:highlight w:val="none"/>
              </w:rPr>
            </w:pPr>
          </w:p>
        </w:tc>
        <w:tc>
          <w:tcPr>
            <w:tcW w:w="1863" w:type="dxa"/>
            <w:tcBorders>
              <w:top w:val="single" w:color="auto" w:sz="4" w:space="0"/>
              <w:left w:val="single" w:color="auto" w:sz="4" w:space="0"/>
              <w:bottom w:val="single" w:color="auto" w:sz="4" w:space="0"/>
              <w:right w:val="single" w:color="auto" w:sz="4" w:space="0"/>
            </w:tcBorders>
            <w:vAlign w:val="center"/>
          </w:tcPr>
          <w:p w14:paraId="6B683361">
            <w:pPr>
              <w:rPr>
                <w:rFonts w:hint="eastAsia" w:ascii="宋体" w:hAnsi="宋体" w:cs="宋体"/>
                <w:color w:val="auto"/>
                <w:szCs w:val="22"/>
                <w:highlight w:val="none"/>
              </w:rPr>
            </w:pPr>
          </w:p>
        </w:tc>
        <w:tc>
          <w:tcPr>
            <w:tcW w:w="1107" w:type="dxa"/>
            <w:tcBorders>
              <w:top w:val="single" w:color="auto" w:sz="4" w:space="0"/>
              <w:left w:val="single" w:color="auto" w:sz="4" w:space="0"/>
              <w:bottom w:val="single" w:color="auto" w:sz="4" w:space="0"/>
              <w:right w:val="single" w:color="auto" w:sz="4" w:space="0"/>
            </w:tcBorders>
          </w:tcPr>
          <w:p w14:paraId="244C45E5">
            <w:pPr>
              <w:rPr>
                <w:rFonts w:hint="eastAsia" w:ascii="宋体" w:hAnsi="宋体" w:cs="宋体"/>
                <w:color w:val="auto"/>
                <w:szCs w:val="22"/>
                <w:highlight w:val="none"/>
              </w:rPr>
            </w:pPr>
          </w:p>
        </w:tc>
      </w:tr>
      <w:tr w14:paraId="64EC8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vAlign w:val="center"/>
          </w:tcPr>
          <w:p w14:paraId="7EE56CB6">
            <w:pPr>
              <w:jc w:val="center"/>
              <w:rPr>
                <w:rFonts w:hint="eastAsia" w:ascii="宋体" w:hAnsi="宋体" w:cs="宋体"/>
                <w:color w:val="auto"/>
                <w:szCs w:val="22"/>
                <w:highlight w:val="none"/>
              </w:rPr>
            </w:pPr>
            <w:r>
              <w:rPr>
                <w:rFonts w:hint="eastAsia" w:ascii="宋体" w:hAnsi="宋体" w:cs="宋体"/>
                <w:color w:val="auto"/>
                <w:szCs w:val="22"/>
                <w:highlight w:val="none"/>
              </w:rPr>
              <w:t>2</w:t>
            </w:r>
          </w:p>
        </w:tc>
        <w:tc>
          <w:tcPr>
            <w:tcW w:w="1260" w:type="dxa"/>
            <w:tcBorders>
              <w:top w:val="single" w:color="auto" w:sz="4" w:space="0"/>
              <w:left w:val="single" w:color="auto" w:sz="4" w:space="0"/>
              <w:bottom w:val="single" w:color="auto" w:sz="4" w:space="0"/>
              <w:right w:val="single" w:color="auto" w:sz="4" w:space="0"/>
            </w:tcBorders>
            <w:vAlign w:val="center"/>
          </w:tcPr>
          <w:p w14:paraId="361F8F98">
            <w:pPr>
              <w:rPr>
                <w:rFonts w:hint="eastAsia" w:ascii="宋体" w:hAnsi="宋体" w:cs="宋体"/>
                <w:color w:val="auto"/>
                <w:szCs w:val="22"/>
                <w:highlight w:val="none"/>
              </w:rPr>
            </w:pPr>
          </w:p>
        </w:tc>
        <w:tc>
          <w:tcPr>
            <w:tcW w:w="1183" w:type="dxa"/>
            <w:tcBorders>
              <w:top w:val="single" w:color="auto" w:sz="4" w:space="0"/>
              <w:left w:val="single" w:color="auto" w:sz="4" w:space="0"/>
              <w:bottom w:val="single" w:color="auto" w:sz="4" w:space="0"/>
              <w:right w:val="single" w:color="auto" w:sz="4" w:space="0"/>
            </w:tcBorders>
            <w:vAlign w:val="center"/>
          </w:tcPr>
          <w:p w14:paraId="762CFFCF">
            <w:pPr>
              <w:rPr>
                <w:rFonts w:hint="eastAsia" w:ascii="宋体" w:hAnsi="宋体" w:cs="宋体"/>
                <w:color w:val="auto"/>
                <w:szCs w:val="22"/>
                <w:highlight w:val="none"/>
              </w:rPr>
            </w:pPr>
          </w:p>
        </w:tc>
        <w:tc>
          <w:tcPr>
            <w:tcW w:w="1113" w:type="dxa"/>
            <w:tcBorders>
              <w:top w:val="single" w:color="auto" w:sz="4" w:space="0"/>
              <w:left w:val="single" w:color="auto" w:sz="4" w:space="0"/>
              <w:bottom w:val="single" w:color="auto" w:sz="4" w:space="0"/>
              <w:right w:val="single" w:color="auto" w:sz="4" w:space="0"/>
            </w:tcBorders>
            <w:vAlign w:val="center"/>
          </w:tcPr>
          <w:p w14:paraId="216A15D5">
            <w:pPr>
              <w:rPr>
                <w:rFonts w:hint="eastAsia" w:ascii="宋体" w:hAnsi="宋体" w:cs="宋体"/>
                <w:color w:val="auto"/>
                <w:szCs w:val="22"/>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141FF93E">
            <w:pPr>
              <w:rPr>
                <w:rFonts w:hint="eastAsia" w:ascii="宋体" w:hAnsi="宋体" w:cs="宋体"/>
                <w:color w:val="auto"/>
                <w:szCs w:val="22"/>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343E0CEF">
            <w:pPr>
              <w:rPr>
                <w:rFonts w:hint="eastAsia" w:ascii="宋体" w:hAnsi="宋体" w:cs="宋体"/>
                <w:color w:val="auto"/>
                <w:szCs w:val="22"/>
                <w:highlight w:val="none"/>
              </w:rPr>
            </w:pPr>
          </w:p>
        </w:tc>
        <w:tc>
          <w:tcPr>
            <w:tcW w:w="1863" w:type="dxa"/>
            <w:tcBorders>
              <w:top w:val="single" w:color="auto" w:sz="4" w:space="0"/>
              <w:left w:val="single" w:color="auto" w:sz="4" w:space="0"/>
              <w:bottom w:val="single" w:color="auto" w:sz="4" w:space="0"/>
              <w:right w:val="single" w:color="auto" w:sz="4" w:space="0"/>
            </w:tcBorders>
            <w:vAlign w:val="center"/>
          </w:tcPr>
          <w:p w14:paraId="42C0F857">
            <w:pPr>
              <w:rPr>
                <w:rFonts w:hint="eastAsia" w:ascii="宋体" w:hAnsi="宋体" w:cs="宋体"/>
                <w:color w:val="auto"/>
                <w:szCs w:val="22"/>
                <w:highlight w:val="none"/>
              </w:rPr>
            </w:pPr>
          </w:p>
        </w:tc>
        <w:tc>
          <w:tcPr>
            <w:tcW w:w="1107" w:type="dxa"/>
            <w:tcBorders>
              <w:top w:val="single" w:color="auto" w:sz="4" w:space="0"/>
              <w:left w:val="single" w:color="auto" w:sz="4" w:space="0"/>
              <w:bottom w:val="single" w:color="auto" w:sz="4" w:space="0"/>
              <w:right w:val="single" w:color="auto" w:sz="4" w:space="0"/>
            </w:tcBorders>
          </w:tcPr>
          <w:p w14:paraId="588870CD">
            <w:pPr>
              <w:rPr>
                <w:rFonts w:hint="eastAsia" w:ascii="宋体" w:hAnsi="宋体" w:cs="宋体"/>
                <w:color w:val="auto"/>
                <w:szCs w:val="22"/>
                <w:highlight w:val="none"/>
              </w:rPr>
            </w:pPr>
          </w:p>
        </w:tc>
      </w:tr>
      <w:tr w14:paraId="2425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719" w:type="dxa"/>
            <w:tcBorders>
              <w:top w:val="single" w:color="auto" w:sz="4" w:space="0"/>
              <w:left w:val="single" w:color="auto" w:sz="4" w:space="0"/>
              <w:bottom w:val="single" w:color="auto" w:sz="4" w:space="0"/>
              <w:right w:val="single" w:color="auto" w:sz="4" w:space="0"/>
            </w:tcBorders>
            <w:vAlign w:val="center"/>
          </w:tcPr>
          <w:p w14:paraId="02BDA8CB">
            <w:pPr>
              <w:jc w:val="center"/>
              <w:rPr>
                <w:rFonts w:hint="eastAsia" w:ascii="宋体" w:hAnsi="宋体" w:cs="宋体"/>
                <w:color w:val="auto"/>
                <w:szCs w:val="22"/>
                <w:highlight w:val="none"/>
              </w:rPr>
            </w:pPr>
            <w:r>
              <w:rPr>
                <w:rFonts w:hint="eastAsia" w:ascii="宋体" w:hAnsi="宋体" w:cs="宋体"/>
                <w:color w:val="auto"/>
                <w:szCs w:val="22"/>
                <w:highlight w:val="none"/>
              </w:rPr>
              <w:t>...</w:t>
            </w:r>
          </w:p>
        </w:tc>
        <w:tc>
          <w:tcPr>
            <w:tcW w:w="1260" w:type="dxa"/>
            <w:tcBorders>
              <w:top w:val="single" w:color="auto" w:sz="4" w:space="0"/>
              <w:left w:val="single" w:color="auto" w:sz="4" w:space="0"/>
              <w:bottom w:val="single" w:color="auto" w:sz="4" w:space="0"/>
              <w:right w:val="single" w:color="auto" w:sz="4" w:space="0"/>
            </w:tcBorders>
            <w:vAlign w:val="center"/>
          </w:tcPr>
          <w:p w14:paraId="56CA0319">
            <w:pPr>
              <w:rPr>
                <w:rFonts w:hint="eastAsia" w:ascii="宋体" w:hAnsi="宋体" w:cs="宋体"/>
                <w:color w:val="auto"/>
                <w:szCs w:val="22"/>
                <w:highlight w:val="none"/>
              </w:rPr>
            </w:pPr>
          </w:p>
        </w:tc>
        <w:tc>
          <w:tcPr>
            <w:tcW w:w="1183" w:type="dxa"/>
            <w:tcBorders>
              <w:top w:val="single" w:color="auto" w:sz="4" w:space="0"/>
              <w:left w:val="single" w:color="auto" w:sz="4" w:space="0"/>
              <w:bottom w:val="single" w:color="auto" w:sz="4" w:space="0"/>
              <w:right w:val="single" w:color="auto" w:sz="4" w:space="0"/>
            </w:tcBorders>
            <w:vAlign w:val="center"/>
          </w:tcPr>
          <w:p w14:paraId="09EE2B4D">
            <w:pPr>
              <w:rPr>
                <w:rFonts w:hint="eastAsia" w:ascii="宋体" w:hAnsi="宋体" w:cs="宋体"/>
                <w:color w:val="auto"/>
                <w:szCs w:val="22"/>
                <w:highlight w:val="none"/>
              </w:rPr>
            </w:pPr>
          </w:p>
        </w:tc>
        <w:tc>
          <w:tcPr>
            <w:tcW w:w="1113" w:type="dxa"/>
            <w:tcBorders>
              <w:top w:val="single" w:color="auto" w:sz="4" w:space="0"/>
              <w:left w:val="single" w:color="auto" w:sz="4" w:space="0"/>
              <w:bottom w:val="single" w:color="auto" w:sz="4" w:space="0"/>
              <w:right w:val="single" w:color="auto" w:sz="4" w:space="0"/>
            </w:tcBorders>
            <w:vAlign w:val="center"/>
          </w:tcPr>
          <w:p w14:paraId="69D38CC8">
            <w:pPr>
              <w:rPr>
                <w:rFonts w:hint="eastAsia" w:ascii="宋体" w:hAnsi="宋体" w:cs="宋体"/>
                <w:color w:val="auto"/>
                <w:szCs w:val="22"/>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4775235F">
            <w:pPr>
              <w:rPr>
                <w:rFonts w:hint="eastAsia" w:ascii="宋体" w:hAnsi="宋体" w:cs="宋体"/>
                <w:color w:val="auto"/>
                <w:szCs w:val="22"/>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241C5E82">
            <w:pPr>
              <w:rPr>
                <w:rFonts w:hint="eastAsia" w:ascii="宋体" w:hAnsi="宋体" w:cs="宋体"/>
                <w:color w:val="auto"/>
                <w:szCs w:val="22"/>
                <w:highlight w:val="none"/>
              </w:rPr>
            </w:pPr>
          </w:p>
        </w:tc>
        <w:tc>
          <w:tcPr>
            <w:tcW w:w="1863" w:type="dxa"/>
            <w:tcBorders>
              <w:top w:val="single" w:color="auto" w:sz="4" w:space="0"/>
              <w:left w:val="single" w:color="auto" w:sz="4" w:space="0"/>
              <w:bottom w:val="single" w:color="auto" w:sz="4" w:space="0"/>
              <w:right w:val="single" w:color="auto" w:sz="4" w:space="0"/>
            </w:tcBorders>
            <w:vAlign w:val="center"/>
          </w:tcPr>
          <w:p w14:paraId="0110FB8E">
            <w:pPr>
              <w:rPr>
                <w:rFonts w:hint="eastAsia" w:ascii="宋体" w:hAnsi="宋体" w:cs="宋体"/>
                <w:color w:val="auto"/>
                <w:szCs w:val="22"/>
                <w:highlight w:val="none"/>
              </w:rPr>
            </w:pPr>
          </w:p>
        </w:tc>
        <w:tc>
          <w:tcPr>
            <w:tcW w:w="1107" w:type="dxa"/>
            <w:tcBorders>
              <w:top w:val="single" w:color="auto" w:sz="4" w:space="0"/>
              <w:left w:val="single" w:color="auto" w:sz="4" w:space="0"/>
              <w:bottom w:val="single" w:color="auto" w:sz="4" w:space="0"/>
              <w:right w:val="single" w:color="auto" w:sz="4" w:space="0"/>
            </w:tcBorders>
          </w:tcPr>
          <w:p w14:paraId="24E54A43">
            <w:pPr>
              <w:rPr>
                <w:rFonts w:hint="eastAsia" w:ascii="宋体" w:hAnsi="宋体" w:cs="宋体"/>
                <w:color w:val="auto"/>
                <w:szCs w:val="22"/>
                <w:highlight w:val="none"/>
              </w:rPr>
            </w:pPr>
          </w:p>
        </w:tc>
      </w:tr>
      <w:tr w14:paraId="24F2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30723976">
            <w:pPr>
              <w:ind w:firstLine="0"/>
              <w:jc w:val="both"/>
              <w:rPr>
                <w:rFonts w:hint="eastAsia" w:ascii="宋体" w:hAnsi="宋体" w:cs="宋体"/>
                <w:color w:val="auto"/>
                <w:szCs w:val="22"/>
                <w:highlight w:val="none"/>
              </w:rPr>
            </w:pPr>
            <w:r>
              <w:rPr>
                <w:rFonts w:hint="eastAsia" w:hAnsi="宋体" w:cs="宋体"/>
                <w:color w:val="auto"/>
                <w:highlight w:val="none"/>
                <w:lang w:val="en-US" w:eastAsia="zh-CN"/>
              </w:rPr>
              <w:t>合同总金额</w:t>
            </w:r>
            <w:r>
              <w:rPr>
                <w:rFonts w:hint="eastAsia" w:ascii="宋体" w:hAnsi="宋体" w:cs="宋体"/>
                <w:color w:val="auto"/>
                <w:szCs w:val="22"/>
                <w:highlight w:val="none"/>
              </w:rPr>
              <w:t xml:space="preserve">（包含税费等所有费用）：（大写）人民币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w:t>
            </w:r>
            <w:r>
              <w:rPr>
                <w:rFonts w:hint="eastAsia" w:ascii="宋体" w:hAnsi="宋体" w:cs="宋体"/>
                <w:color w:val="auto"/>
                <w:szCs w:val="22"/>
                <w:highlight w:val="none"/>
                <w:lang w:eastAsia="zh-CN"/>
              </w:rPr>
              <w:t>小写</w:t>
            </w:r>
            <w:r>
              <w:rPr>
                <w:rFonts w:hint="eastAsia" w:ascii="宋体" w:hAnsi="宋体" w:cs="宋体"/>
                <w:color w:val="auto"/>
                <w:szCs w:val="22"/>
                <w:highlight w:val="none"/>
              </w:rPr>
              <w:t>）</w:t>
            </w:r>
            <w:r>
              <w:rPr>
                <w:rFonts w:hint="eastAsia" w:ascii="宋体" w:hAnsi="宋体" w:cs="宋体"/>
                <w:color w:val="auto"/>
                <w:szCs w:val="22"/>
                <w:highlight w:val="none"/>
                <w:lang w:eastAsia="zh-CN"/>
              </w:rPr>
              <w:t>¥</w:t>
            </w:r>
            <w:r>
              <w:rPr>
                <w:rFonts w:hint="eastAsia" w:ascii="宋体" w:hAnsi="宋体" w:cs="宋体"/>
                <w:color w:val="auto"/>
                <w:szCs w:val="22"/>
                <w:highlight w:val="none"/>
              </w:rPr>
              <w:t xml:space="preserve">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u w:val="single"/>
                <w:lang w:val="en-US" w:eastAsia="zh-CN"/>
              </w:rPr>
              <w:t xml:space="preserve">   </w:t>
            </w:r>
            <w:r>
              <w:rPr>
                <w:rFonts w:hint="eastAsia" w:ascii="宋体" w:hAnsi="宋体" w:cs="宋体"/>
                <w:color w:val="auto"/>
                <w:szCs w:val="22"/>
                <w:highlight w:val="none"/>
                <w:u w:val="single"/>
              </w:rPr>
              <w:t xml:space="preserve">  </w:t>
            </w:r>
          </w:p>
        </w:tc>
      </w:tr>
    </w:tbl>
    <w:p w14:paraId="652528F6">
      <w:pPr>
        <w:snapToGrid w:val="0"/>
        <w:spacing w:line="400" w:lineRule="exact"/>
        <w:ind w:right="52"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合同合计金额</w:t>
      </w:r>
      <w:r>
        <w:rPr>
          <w:rFonts w:hint="eastAsia" w:ascii="宋体" w:hAnsi="宋体"/>
          <w:color w:val="auto"/>
          <w:szCs w:val="21"/>
          <w:highlight w:val="none"/>
          <w:lang w:val="en-US" w:eastAsia="zh-CN"/>
        </w:rPr>
        <w:t>包含</w:t>
      </w:r>
      <w:r>
        <w:rPr>
          <w:rFonts w:hint="eastAsia" w:ascii="宋体" w:hAnsi="宋体"/>
          <w:color w:val="auto"/>
          <w:szCs w:val="21"/>
          <w:highlight w:val="none"/>
        </w:rPr>
        <w:t>设备（材料）采购运输及安装（施工）、调试、验收、技术指导、售后服务费，技术规范中特别要求的或出厂标准供应的备品备件（备品备件费）、拆装特殊工具（工具费）和易损件、包装固定费、运输费、运输保险费、税收在内的直至系统运行交付使用的一切全部费用。</w:t>
      </w:r>
    </w:p>
    <w:p w14:paraId="30F94F8A">
      <w:pPr>
        <w:snapToGrid w:val="0"/>
        <w:spacing w:line="400" w:lineRule="exact"/>
        <w:ind w:right="52" w:firstLine="420" w:firstLineChars="200"/>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.乙方在投标时如有漏报单价或每单价报价中漏报、少报费用的，视为该等单价及/或费用已隐含在投标报价中，合同履行过程中不得再向甲方主张支付该等单价及/或费用。</w:t>
      </w:r>
    </w:p>
    <w:p w14:paraId="781E1DCC">
      <w:pPr>
        <w:snapToGrid w:val="0"/>
        <w:spacing w:line="400" w:lineRule="exact"/>
        <w:ind w:right="52" w:firstLine="420" w:firstLineChars="200"/>
        <w:rPr>
          <w:rFonts w:hint="eastAsia" w:ascii="宋体" w:hAnsi="宋体"/>
          <w:color w:val="auto"/>
          <w:szCs w:val="21"/>
          <w:highlight w:val="none"/>
        </w:rPr>
      </w:pPr>
      <w:r>
        <w:rPr>
          <w:rFonts w:hint="eastAsia" w:ascii="宋体" w:hAnsi="宋体"/>
          <w:color w:val="auto"/>
          <w:szCs w:val="21"/>
          <w:highlight w:val="none"/>
        </w:rPr>
        <w:t>4.采购合同履行中，甲方需追加与合同标的相同的货物的，在不改变合同其他条款的前提下，可以与乙方协商签订补充合同，但所有补充合同的采购金额不得超过原合同采购金额的10%。</w:t>
      </w:r>
    </w:p>
    <w:p w14:paraId="46A11F1B">
      <w:pPr>
        <w:snapToGrid w:val="0"/>
        <w:spacing w:line="400" w:lineRule="exact"/>
        <w:ind w:firstLine="422" w:firstLineChars="200"/>
        <w:rPr>
          <w:rFonts w:ascii="宋体" w:hAnsi="宋体"/>
          <w:color w:val="auto"/>
          <w:szCs w:val="21"/>
          <w:highlight w:val="none"/>
        </w:rPr>
      </w:pPr>
      <w:r>
        <w:rPr>
          <w:rFonts w:hint="eastAsia" w:ascii="宋体" w:hAnsi="宋体"/>
          <w:b/>
          <w:color w:val="auto"/>
          <w:szCs w:val="21"/>
          <w:highlight w:val="none"/>
        </w:rPr>
        <w:t>第二条　质量保证</w:t>
      </w:r>
    </w:p>
    <w:p w14:paraId="2A7C3483">
      <w:pPr>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乙方所提供的货物型号、技术规格、技术参数等质量必须与招投标文件和承诺相一致。乙方提供的节能和环保产品必须是列入政府采购清单的产品。</w:t>
      </w:r>
    </w:p>
    <w:p w14:paraId="0812C705">
      <w:pPr>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乙方所提供的货物必须是全新、未使用的原装产品，且在正常安装、使用和保养条件下，其使用寿命期内各项指标均达到质量要求。</w:t>
      </w:r>
    </w:p>
    <w:p w14:paraId="3474C9F7">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3.满足乙方在投标文件中对质量承诺和对采购人项目总体要求。</w:t>
      </w:r>
    </w:p>
    <w:p w14:paraId="136CE99F">
      <w:pPr>
        <w:snapToGrid w:val="0"/>
        <w:spacing w:line="400" w:lineRule="exact"/>
        <w:ind w:firstLine="422" w:firstLineChars="200"/>
        <w:rPr>
          <w:rFonts w:ascii="宋体" w:hAnsi="宋体"/>
          <w:color w:val="auto"/>
          <w:szCs w:val="21"/>
          <w:highlight w:val="none"/>
        </w:rPr>
      </w:pPr>
      <w:r>
        <w:rPr>
          <w:rFonts w:hint="eastAsia" w:ascii="宋体" w:hAnsi="宋体"/>
          <w:b/>
          <w:color w:val="auto"/>
          <w:szCs w:val="21"/>
          <w:highlight w:val="none"/>
        </w:rPr>
        <w:t>第三条　权利保证</w:t>
      </w:r>
    </w:p>
    <w:p w14:paraId="3B8A5F54">
      <w:pPr>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乙方对其向甲方交付的</w:t>
      </w:r>
      <w:r>
        <w:rPr>
          <w:rFonts w:ascii="宋体" w:hAnsi="宋体"/>
          <w:color w:val="auto"/>
          <w:szCs w:val="21"/>
          <w:highlight w:val="none"/>
        </w:rPr>
        <w:t>货物</w:t>
      </w:r>
      <w:r>
        <w:rPr>
          <w:rFonts w:hint="eastAsia" w:ascii="宋体" w:hAnsi="宋体"/>
          <w:color w:val="auto"/>
          <w:szCs w:val="21"/>
          <w:highlight w:val="none"/>
        </w:rPr>
        <w:t>承担</w:t>
      </w:r>
      <w:r>
        <w:rPr>
          <w:rFonts w:ascii="宋体" w:hAnsi="宋体"/>
          <w:color w:val="auto"/>
          <w:szCs w:val="21"/>
          <w:highlight w:val="none"/>
        </w:rPr>
        <w:t>权利瑕疵担保义务。</w:t>
      </w:r>
    </w:p>
    <w:p w14:paraId="7391EB4D">
      <w:pPr>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乙方应保证所提供货物在使用时不会侵犯任何第三方的专利权、商标权、工业设计权或其他权利。乙方提供的货物如侵犯了第三方合法权益而引发的任何纠纷或诉讼，均由乙方负责交涉并承担全部责任。若因此导致甲方经济损失的，乙方应当予以赔偿，赔偿范围包括但不限于实际发生的经济损失以及甲方为解决纠纷、维护自身合法权益而产生的律师费、诉讼费、保全费、财产保全保函费、差旅费等。</w:t>
      </w:r>
    </w:p>
    <w:p w14:paraId="27ECB865">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w:t>
      </w:r>
      <w:r>
        <w:rPr>
          <w:rFonts w:hint="eastAsia" w:ascii="宋体" w:hAnsi="宋体"/>
          <w:color w:val="auto"/>
          <w:szCs w:val="21"/>
          <w:highlight w:val="none"/>
        </w:rPr>
        <w:t>乙方应按采购文件规定的时间向甲方提供使用货物的有关完整技术资料。</w:t>
      </w:r>
    </w:p>
    <w:p w14:paraId="4879A36F">
      <w:pPr>
        <w:snapToGrid w:val="0"/>
        <w:spacing w:line="400" w:lineRule="exact"/>
        <w:ind w:firstLine="420" w:firstLineChars="200"/>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如乙方违反上述规定泄露甲方相关资料、保密信息的，乙方应当支付甲方因此造成的损失，甲方损失能够计算的按照实际损失赔偿，甲方的损失无法具体计算的，乙方应当按照合同价款2%进行赔偿。乙方还应当向甲方支付合同价款20%的违约金。</w:t>
      </w:r>
    </w:p>
    <w:p w14:paraId="41F4D4F1">
      <w:pPr>
        <w:snapToGrid w:val="0"/>
        <w:spacing w:line="400" w:lineRule="exact"/>
        <w:ind w:firstLine="420" w:firstLineChars="200"/>
        <w:rPr>
          <w:rFonts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乙方保证所交付的货物的所有权完全属于乙方且无任何抵押、质押、查封等产权瑕疵，如乙方提供的货物存在产权瑕疵则应当向甲方支付因此造成的损失。</w:t>
      </w:r>
    </w:p>
    <w:p w14:paraId="4D90CD7B">
      <w:pPr>
        <w:snapToGrid w:val="0"/>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6</w:t>
      </w:r>
      <w:r>
        <w:rPr>
          <w:rFonts w:hint="eastAsia" w:ascii="宋体" w:hAnsi="宋体"/>
          <w:color w:val="auto"/>
          <w:szCs w:val="21"/>
          <w:highlight w:val="none"/>
        </w:rPr>
        <w:t>.乙方对自身提供的报价文件、资质、承诺等均客观、真实，不得虚构或隐瞒事实影响本合同的履行，否则乙方应当对甲方承担缔约过失责任，赔偿甲方的损失。</w:t>
      </w:r>
    </w:p>
    <w:p w14:paraId="037E85F5">
      <w:pPr>
        <w:snapToGrid w:val="0"/>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第四条　包装和运输</w:t>
      </w:r>
    </w:p>
    <w:p w14:paraId="496BF462">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乙方提供的货物均应按符合采购文件要求的包装材料、包装标准、包装方式进行包装，包装应满足运输距离、防潮、防震、防锈和防破损装卸等要求，以保证货物安全运达甲方指定地点，且每一包装单元内应附详细的装箱单和质量合格证。甲方验收后发现货物或货物包装不符合要求的，甲方有权拒收并且不视为违约。</w:t>
      </w:r>
    </w:p>
    <w:p w14:paraId="488F8B00">
      <w:pPr>
        <w:snapToGrid w:val="0"/>
        <w:spacing w:line="400" w:lineRule="exact"/>
        <w:ind w:firstLine="420" w:firstLineChars="200"/>
        <w:rPr>
          <w:rFonts w:hint="eastAsia" w:ascii="宋体" w:hAnsi="宋体"/>
          <w:color w:val="auto"/>
          <w:szCs w:val="21"/>
          <w:highlight w:val="none"/>
          <w:u w:val="single"/>
        </w:rPr>
      </w:pPr>
      <w:r>
        <w:rPr>
          <w:rFonts w:hint="eastAsia" w:ascii="宋体" w:hAnsi="宋体"/>
          <w:color w:val="auto"/>
          <w:szCs w:val="21"/>
          <w:highlight w:val="none"/>
        </w:rPr>
        <w:t>2.货物的运输方式：</w:t>
      </w:r>
      <w:r>
        <w:rPr>
          <w:rFonts w:hint="eastAsia" w:ascii="宋体" w:hAnsi="宋体"/>
          <w:color w:val="auto"/>
          <w:szCs w:val="21"/>
          <w:highlight w:val="none"/>
          <w:u w:val="single"/>
        </w:rPr>
        <w:t>乙方自定；交货地点：广西区内甲方指定地点。</w:t>
      </w:r>
    </w:p>
    <w:p w14:paraId="52D19276">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3.乙方负责货物运输、卸货，货物运输合理损耗及计算方法：</w:t>
      </w:r>
      <w:r>
        <w:rPr>
          <w:rFonts w:hint="eastAsia" w:ascii="宋体" w:hAnsi="宋体"/>
          <w:color w:val="auto"/>
          <w:szCs w:val="21"/>
          <w:highlight w:val="none"/>
          <w:u w:val="single"/>
        </w:rPr>
        <w:t>由乙方负责</w:t>
      </w:r>
      <w:r>
        <w:rPr>
          <w:rFonts w:hint="eastAsia" w:ascii="宋体" w:hAnsi="宋体"/>
          <w:color w:val="auto"/>
          <w:szCs w:val="21"/>
          <w:highlight w:val="none"/>
        </w:rPr>
        <w:t>。</w:t>
      </w:r>
    </w:p>
    <w:p w14:paraId="1846023A">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4.乙方在货物发运手续办理完毕后二十四小时内或货到甲方四十八小时前通知甲方，以准备接货。</w:t>
      </w:r>
    </w:p>
    <w:p w14:paraId="2BF0C3CF">
      <w:pPr>
        <w:snapToGrid w:val="0"/>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第五条　产品的交付和验收</w:t>
      </w:r>
    </w:p>
    <w:p w14:paraId="60B04CEE">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交货时间及地点：</w:t>
      </w:r>
      <w:r>
        <w:rPr>
          <w:rFonts w:hint="eastAsia" w:ascii="宋体" w:hAnsi="宋体"/>
          <w:color w:val="auto"/>
          <w:szCs w:val="21"/>
          <w:highlight w:val="none"/>
          <w:u w:val="single"/>
        </w:rPr>
        <w:t xml:space="preserve">                                </w:t>
      </w:r>
      <w:r>
        <w:rPr>
          <w:rFonts w:hint="eastAsia" w:ascii="宋体" w:hAnsi="宋体"/>
          <w:color w:val="auto"/>
          <w:szCs w:val="21"/>
          <w:highlight w:val="none"/>
        </w:rPr>
        <w:t>。全部产品从乙方到甲方指定地点所发生包括但不限于运费、保险费、装卸费、仓储费及其他一切费用由乙方承担。货物装卸、转运需要装卸、运输工具的由乙方自行负责。</w:t>
      </w:r>
    </w:p>
    <w:p w14:paraId="23477472">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2.乙方应严格执行合同约定的供货周期，保质、保量的完成产品的供货。在货物到达指定地点后，甲方有权依据招标文件规定的技术要求、国家有关质量标准与投标文件的承诺对数量、包装、规格、品牌、质量、</w:t>
      </w:r>
      <w:r>
        <w:rPr>
          <w:rFonts w:hint="eastAsia" w:ascii="宋体" w:hAnsi="宋体"/>
          <w:color w:val="auto"/>
          <w:szCs w:val="21"/>
          <w:highlight w:val="none"/>
          <w:lang w:eastAsia="zh-CN"/>
        </w:rPr>
        <w:t>随附</w:t>
      </w:r>
      <w:r>
        <w:rPr>
          <w:rFonts w:hint="eastAsia" w:ascii="宋体" w:hAnsi="宋体"/>
          <w:color w:val="auto"/>
          <w:szCs w:val="21"/>
          <w:highlight w:val="none"/>
        </w:rPr>
        <w:t>单证等清点进行到货验收，对于不符合要求的货物，甲方有权拒绝接收并要求乙方另行发货。乙方另行发出的货物后未在本条第1款约定的时间内完成安装调试的，按逾期交付处理。未经到货验收的货物乙方不得安装调试，已经安装的甲方有权拒绝进行产品验收。</w:t>
      </w:r>
    </w:p>
    <w:p w14:paraId="454D22BA">
      <w:pPr>
        <w:snapToGrid w:val="0"/>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.乙方应在货物托运前24小时及货物预计抵达指定交货地点的24小时前以书面方式通知甲方进行到货验收及场地准备工作，并取得甲方收到通知的回执。</w:t>
      </w:r>
    </w:p>
    <w:p w14:paraId="51A8DFDF">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书面通知应包括但不限于合同编号、产品名称及装箱清单、运输方式、运输服务商及联系方式、运单号、发运人、发运时间、预计到达时间。</w:t>
      </w:r>
    </w:p>
    <w:p w14:paraId="580FB936">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未按约定提前通知的，甲方有权拒绝到货验收，乙方自行承担责任和风险。</w:t>
      </w:r>
    </w:p>
    <w:p w14:paraId="07838945">
      <w:pPr>
        <w:snapToGrid w:val="0"/>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.甲方可根据实际需要情况调整乙方交货时间和地点，但要求提前供货的应</w:t>
      </w:r>
      <w:r>
        <w:rPr>
          <w:rFonts w:hint="eastAsia" w:ascii="宋体" w:hAnsi="宋体"/>
          <w:color w:val="auto"/>
          <w:szCs w:val="21"/>
          <w:highlight w:val="none"/>
          <w:lang w:val="en-US" w:eastAsia="zh-CN"/>
        </w:rPr>
        <w:t>给予</w:t>
      </w:r>
      <w:r>
        <w:rPr>
          <w:rFonts w:hint="eastAsia" w:ascii="宋体" w:hAnsi="宋体"/>
          <w:color w:val="auto"/>
          <w:szCs w:val="21"/>
          <w:highlight w:val="none"/>
        </w:rPr>
        <w:t>乙方必要、合理准备时间。</w:t>
      </w:r>
    </w:p>
    <w:p w14:paraId="3260699F">
      <w:pPr>
        <w:snapToGrid w:val="0"/>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乙方交货同时应将所提供货物的装箱清单、产品合格证书、用户手册、原厂保修卡、随机资料、工具和备品、备件等交付给甲方，如有缺失应予补齐；乙方不能补齐的，按本条第2款约定的交货不合格处理。除另有约定外，本合同不接受分批交付。</w:t>
      </w:r>
    </w:p>
    <w:p w14:paraId="37C4B9D8">
      <w:pPr>
        <w:snapToGrid w:val="0"/>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6</w:t>
      </w:r>
      <w:r>
        <w:rPr>
          <w:rFonts w:hint="eastAsia" w:ascii="宋体" w:hAnsi="宋体"/>
          <w:color w:val="auto"/>
          <w:szCs w:val="21"/>
          <w:highlight w:val="none"/>
        </w:rPr>
        <w:t>.乙方交货前应对产品作出全面检查和对验收文件进行整理，并列出清单，作为甲方收货验收和使用的技术条件依据，检验的结果应随货物交甲方。</w:t>
      </w:r>
    </w:p>
    <w:p w14:paraId="6D35A582">
      <w:pPr>
        <w:snapToGrid w:val="0"/>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乙方提供的中标产品使用年限介于0年到10年之间的，交货验收时要求生产日期不早于12个月，中标产品使用年限大于等于10年的，交货验收时要求生产日期不早于24个月，如生产日期早于上述要求，甲方有权拒绝验收货物，且乙方应向甲方支付货款的5%的违约金。</w:t>
      </w:r>
    </w:p>
    <w:p w14:paraId="7FBE09C8">
      <w:pPr>
        <w:snapToGrid w:val="0"/>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8</w:t>
      </w:r>
      <w:r>
        <w:rPr>
          <w:rFonts w:hint="eastAsia" w:ascii="宋体" w:hAnsi="宋体"/>
          <w:color w:val="auto"/>
          <w:szCs w:val="21"/>
          <w:highlight w:val="none"/>
        </w:rPr>
        <w:t>.乙方应完成产品交付并安装调试至能够正常使用，甲方应当在全部货物完成安装调试之日起七个工作日内组织验收。如因甲方原因暂时不能安装调试的货物，经双方签字确认后可延期组织验收。货物验收合格后由甲、乙双方签署货物验收合格单（加盖甲方公章方为有效），甲、乙双方各执一份。</w:t>
      </w:r>
    </w:p>
    <w:p w14:paraId="6511F122">
      <w:pPr>
        <w:snapToGrid w:val="0"/>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9</w:t>
      </w:r>
      <w:r>
        <w:rPr>
          <w:rFonts w:hint="eastAsia" w:ascii="宋体" w:hAnsi="宋体"/>
          <w:color w:val="auto"/>
          <w:szCs w:val="21"/>
          <w:highlight w:val="none"/>
        </w:rPr>
        <w:t>.对技术复杂的货物，甲方应请国家认可的专业检测机构参与初步验收及最终验收，并由其出具质量检测报告。</w:t>
      </w:r>
    </w:p>
    <w:p w14:paraId="6FB4BEBF">
      <w:pPr>
        <w:snapToGrid w:val="0"/>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10</w:t>
      </w:r>
      <w:r>
        <w:rPr>
          <w:rFonts w:hint="eastAsia" w:ascii="宋体" w:hAnsi="宋体"/>
          <w:color w:val="auto"/>
          <w:szCs w:val="21"/>
          <w:highlight w:val="none"/>
        </w:rPr>
        <w:t>.根据规定或因产品技术性强而需要相关部门检测结果作为验收依据或需要有相关部门组织、参加的，应委托相关部门先行检测或邀请相关部门组织、参加产品验收。检测、验收所需费用由乙方负责。压力容器的检验检定应在乙方送货前完成。</w:t>
      </w:r>
    </w:p>
    <w:p w14:paraId="50330ABC">
      <w:pPr>
        <w:snapToGrid w:val="0"/>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11</w:t>
      </w:r>
      <w:r>
        <w:rPr>
          <w:rFonts w:hint="eastAsia" w:ascii="宋体" w:hAnsi="宋体"/>
          <w:color w:val="auto"/>
          <w:szCs w:val="21"/>
          <w:highlight w:val="none"/>
        </w:rPr>
        <w:t>.甲方委托第三方组织的验收项目，其验收时间以该项目验收方案确定的验收时间为准，验收结果以该项目验收报告结论为准。在验收过程中发现乙方有违约情形的，甲方有权暂不支付已到达支付条件的货款，待乙方违约问题解决后再行办理货款结算。</w:t>
      </w:r>
    </w:p>
    <w:p w14:paraId="19505F72">
      <w:pPr>
        <w:snapToGrid w:val="0"/>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12</w:t>
      </w:r>
      <w:r>
        <w:rPr>
          <w:rFonts w:hint="eastAsia" w:ascii="宋体" w:hAnsi="宋体"/>
          <w:color w:val="auto"/>
          <w:szCs w:val="21"/>
          <w:highlight w:val="none"/>
        </w:rPr>
        <w:t>.甲乙双方对产品质量有争议协商不成且必须通过检测才能判断时，甲方有权委托具有相应资质的检测单位按照相关标准进行检测，质量检测合格的检测费用由甲方承担，质量检测不合格的检测费用由乙方承担，乙方应当在5日内更换符合本合同质量要求的合格产品，由此产生的费用由乙方承担，并承担相应违约责任。</w:t>
      </w:r>
    </w:p>
    <w:p w14:paraId="23158020">
      <w:pPr>
        <w:snapToGrid w:val="0"/>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13</w:t>
      </w:r>
      <w:r>
        <w:rPr>
          <w:rFonts w:hint="eastAsia" w:ascii="宋体" w:hAnsi="宋体"/>
          <w:color w:val="auto"/>
          <w:szCs w:val="21"/>
          <w:highlight w:val="none"/>
        </w:rPr>
        <w:t>.验收时乙方必须在现场，验收完毕后作出验收结果报告；验收费用按招标文件约定承担方负责。</w:t>
      </w:r>
    </w:p>
    <w:p w14:paraId="29E81D37">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4</w:t>
      </w:r>
      <w:r>
        <w:rPr>
          <w:rFonts w:hint="eastAsia" w:ascii="宋体" w:hAnsi="宋体"/>
          <w:color w:val="auto"/>
          <w:szCs w:val="21"/>
          <w:highlight w:val="none"/>
        </w:rPr>
        <w:t>.甲方对验收有异议的，在验收后十个工作日内以书面形式向乙方提出，乙方应自收到甲方书面异议后五个工作日内及时予以解决。</w:t>
      </w:r>
    </w:p>
    <w:p w14:paraId="384FACE4">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5</w:t>
      </w:r>
      <w:r>
        <w:rPr>
          <w:rFonts w:hint="eastAsia" w:ascii="宋体" w:hAnsi="宋体"/>
          <w:color w:val="auto"/>
          <w:szCs w:val="21"/>
          <w:highlight w:val="none"/>
        </w:rPr>
        <w:t>.货物安装调试完毕并经甲方验收合格前货物毁损、灭失的风险均由乙方承担。</w:t>
      </w:r>
    </w:p>
    <w:p w14:paraId="222708C1">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6</w:t>
      </w:r>
      <w:r>
        <w:rPr>
          <w:rFonts w:hint="eastAsia" w:ascii="宋体" w:hAnsi="宋体"/>
          <w:color w:val="auto"/>
          <w:szCs w:val="21"/>
          <w:highlight w:val="none"/>
        </w:rPr>
        <w:t>.其他未尽事宜参照《关于印发广西壮族自治区政府采购项目履约验收管理办法的通知》[桂财采〔2015〕22号]以及《财政部关于进一步加强政府采购需求和履约验收管理的指导意见》[财库〔2016〕205号]规定执行。</w:t>
      </w:r>
    </w:p>
    <w:p w14:paraId="3D47690B">
      <w:pPr>
        <w:snapToGrid w:val="0"/>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第六条  安装调试和培训</w:t>
      </w:r>
    </w:p>
    <w:p w14:paraId="2A2805DB">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1.甲方在乙方对货物进行安装调试时应提供必要安装条件（如场地、电源、水源等）。</w:t>
      </w:r>
    </w:p>
    <w:p w14:paraId="540EDE63">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2.产品到货验收完毕后，乙方可对产品进行安装调试，并培训甲方的使用操作人员，直到设备运行符合技术要求，甲方使用人员熟练掌握全部功能及基本维修，甲方方可进行最终验收。</w:t>
      </w:r>
    </w:p>
    <w:p w14:paraId="62D6D8F2">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乙方对甲方人员的培训不再另行收费，甲方不支付乙方培训甲方的任何费用。培训时间、地点：</w:t>
      </w:r>
      <w:r>
        <w:rPr>
          <w:rFonts w:hint="eastAsia" w:ascii="宋体" w:hAnsi="宋体"/>
          <w:color w:val="auto"/>
          <w:szCs w:val="21"/>
          <w:highlight w:val="none"/>
          <w:u w:val="single"/>
        </w:rPr>
        <w:t>由甲方决定，乙方无条件满足甲方要求</w:t>
      </w:r>
      <w:r>
        <w:rPr>
          <w:rFonts w:hint="eastAsia" w:ascii="宋体" w:hAnsi="宋体"/>
          <w:color w:val="auto"/>
          <w:szCs w:val="21"/>
          <w:highlight w:val="none"/>
        </w:rPr>
        <w:t>。</w:t>
      </w:r>
    </w:p>
    <w:p w14:paraId="66576241">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产品安装期间乙方应严格做好安全防护措施，设置安全警示标识，及时消除安全隐患，做到安全施工、文明施工，承担相关费用。安装期间发生安全事故的，责任由乙方承担，由此造成甲方、乙方人员或者第三方损失的，乙方予以赔偿。</w:t>
      </w:r>
    </w:p>
    <w:p w14:paraId="114A19ED">
      <w:pPr>
        <w:snapToGrid w:val="0"/>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第七条　付款方式</w:t>
      </w:r>
    </w:p>
    <w:p w14:paraId="709D453A">
      <w:pPr>
        <w:snapToGrid w:val="0"/>
        <w:spacing w:line="400" w:lineRule="exact"/>
        <w:ind w:firstLine="420" w:firstLineChars="200"/>
        <w:rPr>
          <w:rFonts w:hint="eastAsia" w:ascii="宋体" w:hAnsi="宋体" w:cs="宋体"/>
          <w:color w:val="auto"/>
          <w:highlight w:val="none"/>
        </w:rPr>
      </w:pPr>
      <w:r>
        <w:rPr>
          <w:rFonts w:hint="eastAsia" w:ascii="宋体" w:hAnsi="宋体"/>
          <w:color w:val="auto"/>
          <w:szCs w:val="21"/>
          <w:highlight w:val="none"/>
          <w:u w:val="single"/>
        </w:rPr>
        <w:t>1.</w:t>
      </w:r>
      <w:r>
        <w:rPr>
          <w:rFonts w:hint="eastAsia" w:ascii="宋体" w:hAnsi="宋体" w:cs="宋体"/>
          <w:color w:val="auto"/>
          <w:highlight w:val="none"/>
        </w:rPr>
        <w:t>当采购数量与实际使用数量不一致时，乙方应根据实际使用量供货，合同的最终结算金额按实际使用量乘以成交单价进行计算，但不得超出合同价的10%。</w:t>
      </w:r>
    </w:p>
    <w:p w14:paraId="342A2DC0">
      <w:pPr>
        <w:snapToGrid w:val="0"/>
        <w:spacing w:line="400" w:lineRule="exact"/>
        <w:ind w:firstLine="420" w:firstLineChars="200"/>
        <w:rPr>
          <w:rFonts w:hint="eastAsia" w:ascii="宋体" w:hAnsi="宋体"/>
          <w:color w:val="auto"/>
          <w:szCs w:val="21"/>
          <w:highlight w:val="none"/>
          <w:u w:val="single"/>
        </w:rPr>
      </w:pPr>
      <w:r>
        <w:rPr>
          <w:rFonts w:hint="eastAsia" w:ascii="宋体" w:hAnsi="宋体"/>
          <w:color w:val="auto"/>
          <w:szCs w:val="21"/>
          <w:highlight w:val="none"/>
          <w:u w:val="single"/>
        </w:rPr>
        <w:t>2.付款：</w:t>
      </w:r>
      <w:r>
        <w:rPr>
          <w:rFonts w:hint="eastAsia" w:ascii="宋体" w:hAnsi="宋体"/>
          <w:color w:val="auto"/>
          <w:szCs w:val="21"/>
          <w:highlight w:val="none"/>
          <w:u w:val="single"/>
          <w:lang w:val="en-US" w:eastAsia="zh-CN"/>
        </w:rPr>
        <w:t>本项目无预付款，货物甲方（采购方）书面验收合格后，乙方将发票交甲方，甲方向财政局提交用款申请，待财政局批复后支付合同款。鉴于本项目合同款项系使用财政资金支付，甲方付款须以财政预算资金下达为前提，如因财政预算调整或未下达导致甲方无法按约付款，付款期限自动顺延至预算批复后，甲方在验收合格后向财政部门申请付款，即视为甲方已履行支付义务，具体付款时间以财政部门批复并支付为准</w:t>
      </w:r>
      <w:r>
        <w:rPr>
          <w:rFonts w:hint="eastAsia" w:ascii="宋体" w:hAnsi="宋体"/>
          <w:color w:val="auto"/>
          <w:szCs w:val="21"/>
          <w:highlight w:val="none"/>
          <w:u w:val="single"/>
        </w:rPr>
        <w:t>。</w:t>
      </w:r>
    </w:p>
    <w:p w14:paraId="2CB2D781">
      <w:pPr>
        <w:snapToGrid w:val="0"/>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第八条　履约保证金</w:t>
      </w:r>
    </w:p>
    <w:p w14:paraId="272DF8F1">
      <w:pPr>
        <w:snapToGrid w:val="0"/>
        <w:spacing w:line="400" w:lineRule="exact"/>
        <w:ind w:firstLine="420" w:firstLineChars="200"/>
        <w:rPr>
          <w:rFonts w:ascii="宋体" w:hAnsi="宋体" w:eastAsia="宋体"/>
          <w:color w:val="auto"/>
          <w:szCs w:val="21"/>
          <w:highlight w:val="none"/>
          <w:lang w:val="en-US" w:eastAsia="zh-CN"/>
        </w:rPr>
      </w:pPr>
      <w:r>
        <w:rPr>
          <w:rFonts w:hint="eastAsia" w:ascii="宋体" w:hAnsi="宋体"/>
          <w:color w:val="auto"/>
          <w:szCs w:val="21"/>
          <w:highlight w:val="none"/>
          <w:lang w:val="en-US" w:eastAsia="zh-CN"/>
        </w:rPr>
        <w:t>本项目不收取履约保证金。</w:t>
      </w:r>
    </w:p>
    <w:p w14:paraId="2E3C4F3F">
      <w:pPr>
        <w:snapToGrid w:val="0"/>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第九条  税费</w:t>
      </w:r>
    </w:p>
    <w:p w14:paraId="1CF3CD8E">
      <w:pPr>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本合同执行中相关的一切税费均由乙方负担。</w:t>
      </w:r>
    </w:p>
    <w:p w14:paraId="0B4761D7">
      <w:pPr>
        <w:snapToGrid w:val="0"/>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第十条  质量保证及售后服务</w:t>
      </w:r>
    </w:p>
    <w:p w14:paraId="22393F10">
      <w:pPr>
        <w:snapToGrid w:val="0"/>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1.本合同产品的质量保证期为自产品验收合格次日起至少</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u w:val="single"/>
          <w:lang w:val="en-US" w:eastAsia="zh-CN"/>
        </w:rPr>
        <w:t xml:space="preserve">  </w:t>
      </w:r>
      <w:r>
        <w:rPr>
          <w:rFonts w:hint="eastAsia" w:ascii="宋体" w:hAnsi="宋体" w:cs="Arial"/>
          <w:color w:val="auto"/>
          <w:szCs w:val="21"/>
          <w:highlight w:val="none"/>
          <w:u w:val="single"/>
        </w:rPr>
        <w:t xml:space="preserve"> 年</w:t>
      </w:r>
      <w:r>
        <w:rPr>
          <w:rFonts w:hint="eastAsia" w:ascii="宋体" w:hAnsi="宋体" w:cs="Arial"/>
          <w:color w:val="auto"/>
          <w:szCs w:val="21"/>
          <w:highlight w:val="none"/>
        </w:rPr>
        <w:t>（制造商承诺保修期超过此期限的以较长时间为准）。在质量保证期内，货物出现质量问题，乙方应当在甲方通知起</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u w:val="single"/>
          <w:lang w:val="en-US" w:eastAsia="zh-CN"/>
        </w:rPr>
        <w:t xml:space="preserve">   </w:t>
      </w:r>
      <w:r>
        <w:rPr>
          <w:rFonts w:hint="eastAsia" w:ascii="宋体" w:hAnsi="宋体" w:cs="Arial"/>
          <w:color w:val="auto"/>
          <w:szCs w:val="21"/>
          <w:highlight w:val="none"/>
          <w:u w:val="single"/>
        </w:rPr>
        <w:t>小时</w:t>
      </w:r>
      <w:r>
        <w:rPr>
          <w:rFonts w:hint="eastAsia" w:ascii="宋体" w:hAnsi="宋体" w:cs="Arial"/>
          <w:color w:val="auto"/>
          <w:szCs w:val="21"/>
          <w:highlight w:val="none"/>
        </w:rPr>
        <w:t>内响应，如经远程技术指导不能解决故障的，</w:t>
      </w:r>
      <w:r>
        <w:rPr>
          <w:rFonts w:hint="eastAsia" w:ascii="宋体" w:hAnsi="宋体" w:cs="Arial"/>
          <w:b/>
          <w:color w:val="auto"/>
          <w:szCs w:val="21"/>
          <w:highlight w:val="none"/>
          <w:u w:val="single"/>
        </w:rPr>
        <w:t xml:space="preserve"> </w:t>
      </w:r>
      <w:r>
        <w:rPr>
          <w:rFonts w:hint="eastAsia" w:ascii="宋体" w:hAnsi="宋体" w:cs="Arial"/>
          <w:b/>
          <w:color w:val="auto"/>
          <w:szCs w:val="21"/>
          <w:highlight w:val="none"/>
          <w:u w:val="single"/>
          <w:lang w:val="en-US" w:eastAsia="zh-CN"/>
        </w:rPr>
        <w:t xml:space="preserve">   </w:t>
      </w:r>
      <w:r>
        <w:rPr>
          <w:rFonts w:hint="eastAsia" w:ascii="宋体" w:hAnsi="宋体" w:cs="Arial"/>
          <w:b/>
          <w:color w:val="auto"/>
          <w:szCs w:val="21"/>
          <w:highlight w:val="none"/>
          <w:u w:val="single"/>
        </w:rPr>
        <w:t>小时内</w:t>
      </w:r>
      <w:r>
        <w:rPr>
          <w:rFonts w:hint="eastAsia" w:ascii="宋体" w:hAnsi="宋体" w:cs="Arial"/>
          <w:color w:val="auto"/>
          <w:szCs w:val="21"/>
          <w:highlight w:val="none"/>
        </w:rPr>
        <w:t>免费上门进行维护、维修、更换，接到通知后</w:t>
      </w:r>
      <w:r>
        <w:rPr>
          <w:rFonts w:hint="eastAsia" w:ascii="宋体" w:hAnsi="宋体" w:cs="Arial"/>
          <w:b/>
          <w:color w:val="auto"/>
          <w:szCs w:val="21"/>
          <w:highlight w:val="none"/>
          <w:u w:val="single"/>
        </w:rPr>
        <w:t xml:space="preserve">  </w:t>
      </w:r>
      <w:r>
        <w:rPr>
          <w:rFonts w:hint="eastAsia" w:ascii="宋体" w:hAnsi="宋体" w:cs="Arial"/>
          <w:b/>
          <w:color w:val="auto"/>
          <w:szCs w:val="21"/>
          <w:highlight w:val="none"/>
          <w:u w:val="single"/>
          <w:lang w:val="en-US" w:eastAsia="zh-CN"/>
        </w:rPr>
        <w:t xml:space="preserve">   </w:t>
      </w:r>
      <w:r>
        <w:rPr>
          <w:rFonts w:hint="eastAsia" w:ascii="宋体" w:hAnsi="宋体" w:cs="Arial"/>
          <w:b/>
          <w:color w:val="auto"/>
          <w:szCs w:val="21"/>
          <w:highlight w:val="none"/>
          <w:u w:val="single"/>
        </w:rPr>
        <w:t xml:space="preserve"> 小时内</w:t>
      </w:r>
      <w:r>
        <w:rPr>
          <w:rFonts w:hint="eastAsia" w:ascii="宋体" w:hAnsi="宋体" w:cs="Arial"/>
          <w:color w:val="auto"/>
          <w:szCs w:val="21"/>
          <w:highlight w:val="none"/>
        </w:rPr>
        <w:t>完成维修工作，并提供维护报告。维护维修更换零配件的应提供使用原厂、全新零配件并经甲方确认。</w:t>
      </w:r>
    </w:p>
    <w:p w14:paraId="6A3BFC01">
      <w:pPr>
        <w:snapToGrid w:val="0"/>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2.乙方对其交付产品的质量承担保证责任，因产品设计、生产、存储、运输、工艺、材料缺陷或安装、质保不当等原因发生质量故障的，无论产品的保修期是否经过，均由乙方承担责任，赔偿由此给甲方、第三人造成的全部损失。</w:t>
      </w:r>
    </w:p>
    <w:p w14:paraId="437A2164">
      <w:pPr>
        <w:snapToGrid w:val="0"/>
        <w:spacing w:line="400" w:lineRule="exact"/>
        <w:ind w:firstLine="420" w:firstLineChars="200"/>
        <w:rPr>
          <w:rFonts w:hint="eastAsia" w:ascii="宋体" w:hAnsi="宋体" w:cs="Arial"/>
          <w:color w:val="auto"/>
          <w:szCs w:val="21"/>
          <w:highlight w:val="none"/>
        </w:rPr>
      </w:pPr>
      <w:r>
        <w:rPr>
          <w:rFonts w:ascii="宋体" w:hAnsi="宋体" w:cs="Arial"/>
          <w:color w:val="auto"/>
          <w:szCs w:val="21"/>
          <w:highlight w:val="none"/>
        </w:rPr>
        <w:t>3</w:t>
      </w:r>
      <w:r>
        <w:rPr>
          <w:rFonts w:hint="eastAsia" w:ascii="宋体" w:hAnsi="宋体" w:cs="Arial"/>
          <w:color w:val="auto"/>
          <w:szCs w:val="21"/>
          <w:highlight w:val="none"/>
        </w:rPr>
        <w:t>.按质保要求，产品满三个月之后，质量保证期内，如发生重要或核心部件两次及以上故障，或相同故障经三次维修不能解决的，甲方有权要求乙方无条件退款退货并赔偿损失。</w:t>
      </w:r>
    </w:p>
    <w:p w14:paraId="483DF18B">
      <w:pPr>
        <w:snapToGrid w:val="0"/>
        <w:spacing w:line="400" w:lineRule="exact"/>
        <w:ind w:firstLine="420" w:firstLineChars="200"/>
        <w:rPr>
          <w:rFonts w:hint="eastAsia" w:ascii="宋体" w:hAnsi="宋体" w:cs="Arial"/>
          <w:color w:val="auto"/>
          <w:szCs w:val="21"/>
          <w:highlight w:val="none"/>
        </w:rPr>
      </w:pPr>
      <w:r>
        <w:rPr>
          <w:rFonts w:ascii="宋体" w:hAnsi="宋体" w:cs="Arial"/>
          <w:color w:val="auto"/>
          <w:szCs w:val="21"/>
          <w:highlight w:val="none"/>
        </w:rPr>
        <w:t>4</w:t>
      </w:r>
      <w:r>
        <w:rPr>
          <w:rFonts w:hint="eastAsia" w:ascii="宋体" w:hAnsi="宋体" w:cs="Arial"/>
          <w:color w:val="auto"/>
          <w:szCs w:val="21"/>
          <w:highlight w:val="none"/>
        </w:rPr>
        <w:t>.质量保证期内，超过约定期限未能修复设备的，乙方应在两日内提供不低于合同设备功能标准的备用设备，保证甲方业务工作的连续性。</w:t>
      </w:r>
    </w:p>
    <w:p w14:paraId="7564FCE1">
      <w:pPr>
        <w:snapToGrid w:val="0"/>
        <w:spacing w:line="400" w:lineRule="exact"/>
        <w:ind w:firstLine="420" w:firstLineChars="200"/>
        <w:rPr>
          <w:rFonts w:ascii="宋体" w:hAnsi="宋体" w:cs="Arial"/>
          <w:color w:val="auto"/>
          <w:szCs w:val="21"/>
          <w:highlight w:val="none"/>
        </w:rPr>
      </w:pPr>
      <w:r>
        <w:rPr>
          <w:rFonts w:ascii="宋体" w:hAnsi="宋体" w:cs="Arial"/>
          <w:color w:val="auto"/>
          <w:szCs w:val="21"/>
          <w:highlight w:val="none"/>
        </w:rPr>
        <w:t>5</w:t>
      </w:r>
      <w:r>
        <w:rPr>
          <w:rFonts w:hint="eastAsia" w:ascii="宋体" w:hAnsi="宋体" w:cs="Arial"/>
          <w:color w:val="auto"/>
          <w:szCs w:val="21"/>
          <w:highlight w:val="none"/>
        </w:rPr>
        <w:t>.乙方逾期未按本条约定进行维修、更换或维修、更换后设备达不到设计、标称的功能、参数的，甲方有权自行或委托第三人进行维修、更换，由此产生的费用由乙方承担。经过甲方或第三人维修、更换后的产品，乙方继续按本合同约定承担质量保修责任。乙方未及时履行保修义务导致的损失均由乙方承担。</w:t>
      </w:r>
    </w:p>
    <w:p w14:paraId="214E490F">
      <w:pPr>
        <w:snapToGrid w:val="0"/>
        <w:spacing w:line="400" w:lineRule="exact"/>
        <w:ind w:left="-61" w:firstLine="514"/>
        <w:rPr>
          <w:rFonts w:ascii="宋体" w:hAnsi="宋体" w:cs="Arial"/>
          <w:color w:val="auto"/>
          <w:szCs w:val="21"/>
          <w:highlight w:val="none"/>
        </w:rPr>
      </w:pPr>
      <w:r>
        <w:rPr>
          <w:rFonts w:ascii="宋体" w:hAnsi="宋体" w:cs="Arial"/>
          <w:color w:val="auto"/>
          <w:szCs w:val="21"/>
          <w:highlight w:val="none"/>
        </w:rPr>
        <w:t>6</w:t>
      </w:r>
      <w:r>
        <w:rPr>
          <w:rFonts w:hint="eastAsia" w:ascii="宋体" w:hAnsi="宋体" w:cs="Arial"/>
          <w:color w:val="auto"/>
          <w:szCs w:val="21"/>
          <w:highlight w:val="none"/>
        </w:rPr>
        <w:t>.产品重要或核心零部件经过维修后，自维修合格之日起，质量保证期重新开始计算。</w:t>
      </w:r>
    </w:p>
    <w:p w14:paraId="2BFAE44A">
      <w:pPr>
        <w:snapToGrid w:val="0"/>
        <w:spacing w:line="400" w:lineRule="exact"/>
        <w:ind w:left="-61" w:firstLine="514"/>
        <w:rPr>
          <w:rFonts w:hint="eastAsia" w:ascii="宋体" w:hAnsi="宋体" w:cs="Arial"/>
          <w:color w:val="auto"/>
          <w:szCs w:val="21"/>
          <w:highlight w:val="none"/>
        </w:rPr>
      </w:pPr>
      <w:r>
        <w:rPr>
          <w:rFonts w:hint="eastAsia" w:ascii="宋体" w:hAnsi="宋体" w:cs="Arial"/>
          <w:color w:val="auto"/>
          <w:szCs w:val="21"/>
          <w:highlight w:val="none"/>
        </w:rPr>
        <w:t>7.在保修期内，乙方负责对货物出现的质量、故障及安全问题负责处理解决并承担一切费用。若甲方因乙方拒绝承担该项责任而另行委托第三方维修，由此产生的费用由乙方承担。</w:t>
      </w:r>
    </w:p>
    <w:p w14:paraId="231F0505">
      <w:pPr>
        <w:snapToGrid w:val="0"/>
        <w:spacing w:line="400" w:lineRule="exact"/>
        <w:ind w:left="-61" w:firstLine="514"/>
        <w:rPr>
          <w:rFonts w:hint="eastAsia" w:ascii="宋体" w:hAnsi="宋体" w:cs="Arial"/>
          <w:color w:val="auto"/>
          <w:szCs w:val="21"/>
          <w:highlight w:val="none"/>
        </w:rPr>
      </w:pPr>
      <w:r>
        <w:rPr>
          <w:rFonts w:hint="eastAsia" w:ascii="宋体" w:hAnsi="宋体" w:cs="Arial"/>
          <w:color w:val="auto"/>
          <w:szCs w:val="21"/>
          <w:highlight w:val="none"/>
        </w:rPr>
        <w:t>8.对于经维修、更换后仍存在质量、故障及安全问题的货物，甲方有权根据实际情况按以下办法处理：</w:t>
      </w:r>
    </w:p>
    <w:p w14:paraId="141E60F7">
      <w:pPr>
        <w:snapToGrid w:val="0"/>
        <w:spacing w:line="400" w:lineRule="exact"/>
        <w:ind w:left="-61" w:firstLine="514"/>
        <w:rPr>
          <w:rFonts w:hint="eastAsia" w:ascii="宋体" w:hAnsi="宋体" w:cs="Arial"/>
          <w:color w:val="auto"/>
          <w:szCs w:val="21"/>
          <w:highlight w:val="none"/>
        </w:rPr>
      </w:pPr>
      <w:r>
        <w:rPr>
          <w:rFonts w:hint="eastAsia" w:ascii="宋体" w:hAnsi="宋体" w:cs="Arial"/>
          <w:color w:val="auto"/>
          <w:szCs w:val="21"/>
          <w:highlight w:val="none"/>
        </w:rPr>
        <w:t>（1）更换：由乙方承担所发生的全部费用。</w:t>
      </w:r>
    </w:p>
    <w:p w14:paraId="5F4BB106">
      <w:pPr>
        <w:snapToGrid w:val="0"/>
        <w:spacing w:line="400" w:lineRule="exact"/>
        <w:ind w:left="-61" w:firstLine="514"/>
        <w:rPr>
          <w:rFonts w:hint="eastAsia" w:ascii="宋体" w:hAnsi="宋体" w:cs="Arial"/>
          <w:color w:val="auto"/>
          <w:szCs w:val="21"/>
          <w:highlight w:val="none"/>
        </w:rPr>
      </w:pPr>
      <w:r>
        <w:rPr>
          <w:rFonts w:hint="eastAsia" w:ascii="宋体" w:hAnsi="宋体" w:cs="Arial"/>
          <w:color w:val="auto"/>
          <w:szCs w:val="21"/>
          <w:highlight w:val="none"/>
        </w:rPr>
        <w:t>（2）贬值处理：由甲乙双方合议定价，无法合议定价的以评估价进行认定，因评估而产生的费用由乙方承担，乙方不愿承担评估费的则甲方有权按照本条第三款规定的退货处理。</w:t>
      </w:r>
    </w:p>
    <w:p w14:paraId="49407868">
      <w:pPr>
        <w:snapToGrid w:val="0"/>
        <w:spacing w:line="400" w:lineRule="exact"/>
        <w:ind w:left="-61" w:firstLine="514"/>
        <w:rPr>
          <w:rFonts w:hint="eastAsia" w:ascii="宋体" w:hAnsi="宋体" w:cs="Arial"/>
          <w:color w:val="auto"/>
          <w:szCs w:val="21"/>
          <w:highlight w:val="none"/>
        </w:rPr>
      </w:pPr>
      <w:r>
        <w:rPr>
          <w:rFonts w:hint="eastAsia" w:ascii="宋体" w:hAnsi="宋体" w:cs="Arial"/>
          <w:color w:val="auto"/>
          <w:szCs w:val="21"/>
          <w:highlight w:val="none"/>
        </w:rPr>
        <w:t>（3）退货：乙方应退还甲方支付存在质量、故障及安全问题的货物的货款，同时应承担该货物的直接费用（人工、运输、保险、检验、货款利息及银行手续费等）。</w:t>
      </w:r>
    </w:p>
    <w:p w14:paraId="15558870">
      <w:pPr>
        <w:snapToGrid w:val="0"/>
        <w:spacing w:line="400" w:lineRule="exact"/>
        <w:ind w:left="-61" w:firstLine="514"/>
        <w:rPr>
          <w:rFonts w:hint="eastAsia" w:ascii="宋体" w:hAnsi="宋体" w:cs="Arial"/>
          <w:color w:val="auto"/>
          <w:szCs w:val="21"/>
          <w:highlight w:val="none"/>
        </w:rPr>
      </w:pPr>
      <w:r>
        <w:rPr>
          <w:rFonts w:hint="eastAsia" w:ascii="宋体" w:hAnsi="宋体" w:cs="Arial"/>
          <w:color w:val="auto"/>
          <w:szCs w:val="21"/>
          <w:highlight w:val="none"/>
        </w:rPr>
        <w:t>9.货物因人为因素出现的故障不在免费保修范围内。货物质量保证期届满后的维修或人为因素引发的故障由乙方按投标文件承诺执行，乙方不得拒绝维修。</w:t>
      </w:r>
    </w:p>
    <w:p w14:paraId="568E1A25">
      <w:pPr>
        <w:snapToGrid w:val="0"/>
        <w:spacing w:line="400" w:lineRule="exact"/>
        <w:ind w:left="-61" w:firstLine="514"/>
        <w:rPr>
          <w:rFonts w:ascii="宋体" w:hAnsi="宋体" w:cs="Arial"/>
          <w:color w:val="auto"/>
          <w:szCs w:val="21"/>
          <w:highlight w:val="none"/>
        </w:rPr>
      </w:pPr>
      <w:r>
        <w:rPr>
          <w:rFonts w:ascii="宋体" w:hAnsi="宋体" w:cs="Arial"/>
          <w:color w:val="auto"/>
          <w:szCs w:val="21"/>
          <w:highlight w:val="none"/>
        </w:rPr>
        <w:t>10</w:t>
      </w:r>
      <w:r>
        <w:rPr>
          <w:rFonts w:hint="eastAsia" w:ascii="宋体" w:hAnsi="宋体" w:cs="Arial"/>
          <w:color w:val="auto"/>
          <w:szCs w:val="21"/>
          <w:highlight w:val="none"/>
        </w:rPr>
        <w:t>.采购文件及乙方在质量保证或售后服务承诺中对质量保修及售后服务有其他更高的要求且对甲方维护权利更有利约定的以该约定为准。</w:t>
      </w:r>
    </w:p>
    <w:p w14:paraId="3CC6FAA2">
      <w:pPr>
        <w:snapToGrid w:val="0"/>
        <w:spacing w:line="400" w:lineRule="exact"/>
        <w:ind w:left="-61" w:firstLine="514"/>
        <w:rPr>
          <w:rFonts w:hint="eastAsia" w:ascii="宋体" w:hAnsi="宋体" w:cs="Arial"/>
          <w:color w:val="auto"/>
          <w:szCs w:val="21"/>
          <w:highlight w:val="none"/>
        </w:rPr>
      </w:pPr>
      <w:r>
        <w:rPr>
          <w:rFonts w:ascii="宋体" w:hAnsi="宋体" w:cs="Arial"/>
          <w:color w:val="auto"/>
          <w:szCs w:val="21"/>
          <w:highlight w:val="none"/>
        </w:rPr>
        <w:t>11</w:t>
      </w:r>
      <w:r>
        <w:rPr>
          <w:rFonts w:hint="eastAsia" w:ascii="宋体" w:hAnsi="宋体" w:cs="Arial"/>
          <w:color w:val="auto"/>
          <w:szCs w:val="21"/>
          <w:highlight w:val="none"/>
        </w:rPr>
        <w:t>.乙方提供的服务承诺和售后服务及保修期责任等其它具体约定事项。（见合同附件）</w:t>
      </w:r>
    </w:p>
    <w:p w14:paraId="5F3DF69D">
      <w:pPr>
        <w:pStyle w:val="16"/>
        <w:snapToGrid w:val="0"/>
        <w:spacing w:line="400" w:lineRule="exact"/>
        <w:ind w:firstLine="422" w:firstLineChars="200"/>
        <w:rPr>
          <w:rFonts w:hint="eastAsia" w:hAnsi="宋体"/>
          <w:b/>
          <w:color w:val="auto"/>
          <w:sz w:val="21"/>
          <w:highlight w:val="none"/>
        </w:rPr>
      </w:pPr>
      <w:r>
        <w:rPr>
          <w:rFonts w:hint="eastAsia" w:hAnsi="宋体"/>
          <w:b/>
          <w:color w:val="auto"/>
          <w:sz w:val="21"/>
          <w:highlight w:val="none"/>
        </w:rPr>
        <w:t>第十一条  违约责任</w:t>
      </w:r>
    </w:p>
    <w:p w14:paraId="010EEF94">
      <w:pPr>
        <w:pStyle w:val="16"/>
        <w:snapToGrid w:val="0"/>
        <w:spacing w:line="40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1.若乙方未按本合同约定或甲方发货通知要求的期限交货、安装或完成本合同约定的其他工作的，每逾期一天，乙方应按本合同总价款的3‰向甲方支付违约金，逾期违约金累计不超过违约货款额5%；逾期15天，甲方有权选择单方解除本合同并要求乙方支付合同总价款30%的违约金。甲方无故延期付货款的，每天向乙方偿付延期货款额3‰违约金，甲方违约金支付总额不超过延期货款额1%。</w:t>
      </w:r>
    </w:p>
    <w:p w14:paraId="79E8BA0A">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2</w:t>
      </w:r>
      <w:r>
        <w:rPr>
          <w:rFonts w:hint="eastAsia" w:ascii="宋体" w:hAnsi="宋体" w:cs="Arial"/>
          <w:bCs/>
          <w:color w:val="auto"/>
          <w:szCs w:val="21"/>
          <w:highlight w:val="none"/>
          <w:lang w:val="en-US" w:eastAsia="zh-CN"/>
        </w:rPr>
        <w:t>.</w:t>
      </w:r>
      <w:r>
        <w:rPr>
          <w:rFonts w:hint="eastAsia" w:ascii="宋体" w:hAnsi="宋体" w:cs="Arial"/>
          <w:bCs/>
          <w:color w:val="auto"/>
          <w:szCs w:val="21"/>
          <w:highlight w:val="none"/>
        </w:rPr>
        <w:t>经过甲方验收，乙方交付的产品数量、包装、规格、品牌、质量、随附单证等与合同约定不一致的，视为交付不合格，甲方有权采取下列任何一种措施追究乙方违约责任：</w:t>
      </w:r>
    </w:p>
    <w:p w14:paraId="6C568F04">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1）拒绝接受不合格产品，要求乙方在5日内无条件更换、补足或修理、重做，由此产生的费用由乙方承担，因此延误交货期的乙方承担相应的违约责任，逾期15日仍未更换、补足或更换、补足后仍不符合合同约定的，甲方有权选择单方解除本合同或部分解除本合同并要求乙方支付解除合同部分价款30%作为违约金；</w:t>
      </w:r>
    </w:p>
    <w:p w14:paraId="2933DF37">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（2）已经接收的产品要求乙方在5日内无条件退货并退还甲方已支付的全部价款并支付退货部分价款30%的违约金；</w:t>
      </w:r>
    </w:p>
    <w:p w14:paraId="5190FEDC">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（3）选择不退换货的，甲方有权根据情况以质论价减少价款并要求乙方支付本合同总价款的10%作为违约金。</w:t>
      </w:r>
    </w:p>
    <w:p w14:paraId="1C581713">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3.乙方应当保证有权销售本合同的所有产品，不会因此侵犯第三人的所有权、知识产权等一切权利也未对产品设置任何负担，属于第三人拥有知识产权的已经取得第三人合法授权，甲方有权不受限制的使用。若因违反本款约定引起的第三方权利纠纷的由乙方负责交涉并承担全部责任，如甲方因此向第三方承担了相关责任有权向乙方追偿全部损失。若因此导致甲方经济损失的，乙方应当予以赔偿，赔偿范围包括但不限于实际发生的经济损失、使用该产品所需的授权费以及解决争议发生的一切费用（包括但不限于律师费、诉讼费、鉴定费、保全费、财产保全保函费、差旅费等）均由乙方承担。如果不能取得使用许可需要另行购买产品的，所需费用由乙方承担，并赔偿甲方因此受到的损失。</w:t>
      </w:r>
    </w:p>
    <w:p w14:paraId="2FAF16B6">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4.因包装、运输引起的货物损坏，按质量不合格处罚，甲方有权要求乙方重新交付合格的货物并要求乙方向甲方支付违约货款额5%违约金并赔偿甲方经济损失。</w:t>
      </w:r>
    </w:p>
    <w:p w14:paraId="5BE60C4B">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5.货物验收结果为不合格且乙方无法通过更换、重做等补救措施达到合格标准的，视为乙方根本性违约，甲方有权解除本合同，乙方应退还甲方已付全部费用并向甲方支付合同合计金额30%的违约金。</w:t>
      </w:r>
    </w:p>
    <w:p w14:paraId="62362E66">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6.乙方未按本合同和投标文件中规定的服务承诺提供售后服务的，乙方应按本合同合计金额5%向甲方支付违约金。</w:t>
      </w:r>
    </w:p>
    <w:p w14:paraId="26A911B5">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7.乙方未经甲方同意，不得更换项目人员，否则，更换一个应赔偿甲方500元违约金，更换项目人员超过半数的，甲方有权解除合同并要求乙方支付合同金额的30%的违约金。</w:t>
      </w:r>
    </w:p>
    <w:p w14:paraId="512EE867">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8.本合同签订及履行过程中，未经甲方书面同意，乙方不得将本合同的权利义务以任何方式转让给第三人，否则甲方有权选择单方解除本合同并要求乙方支付合同总价款30%的违约金，并赔偿给甲方造成的损失。</w:t>
      </w:r>
    </w:p>
    <w:p w14:paraId="3E2B1978">
      <w:pPr>
        <w:snapToGrid w:val="0"/>
        <w:spacing w:line="380" w:lineRule="exact"/>
        <w:ind w:firstLine="420" w:firstLineChars="200"/>
        <w:rPr>
          <w:rFonts w:hint="eastAsia" w:ascii="宋体" w:hAnsi="宋体" w:cs="Arial"/>
          <w:bCs/>
          <w:color w:val="auto"/>
          <w:szCs w:val="21"/>
          <w:highlight w:val="none"/>
        </w:rPr>
      </w:pPr>
      <w:r>
        <w:rPr>
          <w:rFonts w:ascii="宋体" w:hAnsi="宋体" w:cs="Arial"/>
          <w:bCs/>
          <w:color w:val="auto"/>
          <w:szCs w:val="21"/>
          <w:highlight w:val="none"/>
        </w:rPr>
        <w:t>9</w:t>
      </w:r>
      <w:r>
        <w:rPr>
          <w:rFonts w:hint="eastAsia" w:ascii="宋体" w:hAnsi="宋体" w:cs="Arial"/>
          <w:bCs/>
          <w:color w:val="auto"/>
          <w:szCs w:val="21"/>
          <w:highlight w:val="none"/>
        </w:rPr>
        <w:t>.本合同签订后，乙方要求提前解除合同的，应向甲方支付本合同总价款30%的违约金，退还甲方已支付的全部费用并赔偿由此给甲方造成的全部损失。</w:t>
      </w:r>
    </w:p>
    <w:p w14:paraId="0BA5152E">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1</w:t>
      </w:r>
      <w:r>
        <w:rPr>
          <w:rFonts w:ascii="宋体" w:hAnsi="宋体" w:cs="Arial"/>
          <w:bCs/>
          <w:color w:val="auto"/>
          <w:szCs w:val="21"/>
          <w:highlight w:val="none"/>
        </w:rPr>
        <w:t>0</w:t>
      </w:r>
      <w:r>
        <w:rPr>
          <w:rFonts w:hint="eastAsia" w:ascii="宋体" w:hAnsi="宋体" w:cs="Arial"/>
          <w:bCs/>
          <w:color w:val="auto"/>
          <w:szCs w:val="21"/>
          <w:highlight w:val="none"/>
        </w:rPr>
        <w:t>.按本合同约定甲方选择解除合同的，自甲方解除合同的书面通知送达乙方之日起合同解除，乙方应赔偿由此给甲方造成的全部损失。甲方不支付乙方任何费用，乙方对解除合同有异议的异议期为7日。乙方应当在合同解除后5日内退还甲方支付的所有费用（如有），自费运回所交付的货物，付清违约金、赔偿金。</w:t>
      </w:r>
    </w:p>
    <w:p w14:paraId="66394D44">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1</w:t>
      </w:r>
      <w:r>
        <w:rPr>
          <w:rFonts w:ascii="宋体" w:hAnsi="宋体" w:cs="Arial"/>
          <w:bCs/>
          <w:color w:val="auto"/>
          <w:szCs w:val="21"/>
          <w:highlight w:val="none"/>
        </w:rPr>
        <w:t>1</w:t>
      </w:r>
      <w:r>
        <w:rPr>
          <w:rFonts w:hint="eastAsia" w:ascii="宋体" w:hAnsi="宋体" w:cs="Arial"/>
          <w:bCs/>
          <w:color w:val="auto"/>
          <w:szCs w:val="21"/>
          <w:highlight w:val="none"/>
        </w:rPr>
        <w:t>.乙方应当支付给甲方的违约金、赔偿金，甲方有权从履约保证金及未支付的货款中扣除，违约金不足以赔偿给甲方因乙方违约而遭受的损失的，甲方仍有权向乙方进行追偿。</w:t>
      </w:r>
    </w:p>
    <w:p w14:paraId="241790A3">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1</w:t>
      </w:r>
      <w:r>
        <w:rPr>
          <w:rFonts w:ascii="宋体" w:hAnsi="宋体" w:cs="Arial"/>
          <w:bCs/>
          <w:color w:val="auto"/>
          <w:szCs w:val="21"/>
          <w:highlight w:val="none"/>
        </w:rPr>
        <w:t>2</w:t>
      </w:r>
      <w:r>
        <w:rPr>
          <w:rFonts w:hint="eastAsia" w:ascii="宋体" w:hAnsi="宋体" w:cs="Arial"/>
          <w:bCs/>
          <w:color w:val="auto"/>
          <w:szCs w:val="21"/>
          <w:highlight w:val="none"/>
        </w:rPr>
        <w:t>.甲乙双方有其它违约行为的，由违约方向对方支付违约内容涉及货款额的5%，违约内容涉及货款额的5%不足以赔偿经济损失的按实际赔偿。</w:t>
      </w:r>
    </w:p>
    <w:p w14:paraId="4D8F1EE2">
      <w:pPr>
        <w:snapToGrid w:val="0"/>
        <w:spacing w:line="380" w:lineRule="exact"/>
        <w:ind w:firstLine="420" w:firstLineChars="200"/>
        <w:rPr>
          <w:rFonts w:hint="eastAsia" w:ascii="宋体" w:hAnsi="宋体" w:cs="Arial"/>
          <w:bCs/>
          <w:color w:val="auto"/>
          <w:szCs w:val="21"/>
          <w:highlight w:val="none"/>
        </w:rPr>
      </w:pPr>
      <w:r>
        <w:rPr>
          <w:rFonts w:hint="eastAsia" w:ascii="宋体" w:hAnsi="宋体" w:cs="Arial"/>
          <w:bCs/>
          <w:color w:val="auto"/>
          <w:szCs w:val="21"/>
          <w:highlight w:val="none"/>
        </w:rPr>
        <w:t>1</w:t>
      </w:r>
      <w:r>
        <w:rPr>
          <w:rFonts w:ascii="宋体" w:hAnsi="宋体" w:cs="Arial"/>
          <w:bCs/>
          <w:color w:val="auto"/>
          <w:szCs w:val="21"/>
          <w:highlight w:val="none"/>
        </w:rPr>
        <w:t>3</w:t>
      </w:r>
      <w:r>
        <w:rPr>
          <w:rFonts w:hint="eastAsia" w:ascii="宋体" w:hAnsi="宋体" w:cs="Arial"/>
          <w:bCs/>
          <w:color w:val="auto"/>
          <w:szCs w:val="21"/>
          <w:highlight w:val="none"/>
        </w:rPr>
        <w:t>.本合同约定的违约责任或经济损失包括但不限于直接损失、预期利益损失、向第三人支付的违约金、赔偿金、因维权所产生的律师费、诉讼费、保全费、保全保函费、执行费、鉴定费、公证费、评估费等。</w:t>
      </w:r>
    </w:p>
    <w:p w14:paraId="310AEDEA">
      <w:pPr>
        <w:pStyle w:val="16"/>
        <w:snapToGrid w:val="0"/>
        <w:spacing w:line="400" w:lineRule="exact"/>
        <w:ind w:firstLine="413" w:firstLineChars="196"/>
        <w:rPr>
          <w:rFonts w:hint="eastAsia" w:hAnsi="宋体" w:eastAsia="宋体"/>
          <w:b/>
          <w:color w:val="auto"/>
          <w:sz w:val="21"/>
          <w:highlight w:val="none"/>
          <w:lang w:val="en-US" w:eastAsia="zh-CN"/>
        </w:rPr>
      </w:pPr>
      <w:r>
        <w:rPr>
          <w:rFonts w:hAnsi="宋体"/>
          <w:b/>
          <w:color w:val="auto"/>
          <w:sz w:val="21"/>
          <w:highlight w:val="none"/>
        </w:rPr>
        <w:t>第十</w:t>
      </w:r>
      <w:r>
        <w:rPr>
          <w:rFonts w:hint="eastAsia" w:hAnsi="宋体"/>
          <w:b/>
          <w:color w:val="auto"/>
          <w:sz w:val="21"/>
          <w:highlight w:val="none"/>
        </w:rPr>
        <w:t>二</w:t>
      </w:r>
      <w:r>
        <w:rPr>
          <w:rFonts w:hAnsi="宋体"/>
          <w:b/>
          <w:color w:val="auto"/>
          <w:sz w:val="21"/>
          <w:highlight w:val="none"/>
        </w:rPr>
        <w:t>条  不可抗力事件处</w:t>
      </w:r>
      <w:r>
        <w:rPr>
          <w:rFonts w:hint="eastAsia" w:hAnsi="宋体"/>
          <w:b/>
          <w:color w:val="auto"/>
          <w:sz w:val="21"/>
          <w:highlight w:val="none"/>
          <w:lang w:val="en-US" w:eastAsia="zh-CN"/>
        </w:rPr>
        <w:t>理</w:t>
      </w:r>
    </w:p>
    <w:p w14:paraId="6E8C0CE7">
      <w:pPr>
        <w:pStyle w:val="16"/>
        <w:snapToGrid w:val="0"/>
        <w:spacing w:line="400" w:lineRule="exact"/>
        <w:ind w:firstLine="420" w:firstLineChars="200"/>
        <w:rPr>
          <w:rFonts w:hint="eastAsia" w:hAnsi="宋体"/>
          <w:color w:val="auto"/>
          <w:sz w:val="21"/>
          <w:highlight w:val="none"/>
        </w:rPr>
      </w:pPr>
      <w:r>
        <w:rPr>
          <w:rFonts w:hint="eastAsia" w:hAnsi="宋体"/>
          <w:color w:val="auto"/>
          <w:sz w:val="21"/>
          <w:highlight w:val="none"/>
        </w:rPr>
        <w:t>1.在合同有效期内，任何一方因不可抗力事件导致不能履行合同，则合同履行期可延长，其延长期与不可抗力影响期相同。</w:t>
      </w:r>
    </w:p>
    <w:p w14:paraId="37C544EC">
      <w:pPr>
        <w:pStyle w:val="16"/>
        <w:snapToGrid w:val="0"/>
        <w:spacing w:line="400" w:lineRule="exact"/>
        <w:ind w:firstLine="420" w:firstLineChars="200"/>
        <w:rPr>
          <w:rFonts w:hint="eastAsia" w:hAnsi="宋体"/>
          <w:color w:val="auto"/>
          <w:sz w:val="21"/>
          <w:highlight w:val="none"/>
        </w:rPr>
      </w:pPr>
      <w:r>
        <w:rPr>
          <w:rFonts w:hint="eastAsia" w:hAnsi="宋体"/>
          <w:color w:val="auto"/>
          <w:sz w:val="21"/>
          <w:highlight w:val="none"/>
        </w:rPr>
        <w:t>2.不可抗力事件发生后，应立即通知对方，并寄送有关权威机构出具的证明。</w:t>
      </w:r>
    </w:p>
    <w:p w14:paraId="08AED7A1">
      <w:pPr>
        <w:pStyle w:val="16"/>
        <w:snapToGrid w:val="0"/>
        <w:spacing w:line="400" w:lineRule="exact"/>
        <w:ind w:firstLine="420" w:firstLineChars="200"/>
        <w:rPr>
          <w:rFonts w:hAnsi="宋体"/>
          <w:color w:val="auto"/>
          <w:sz w:val="21"/>
          <w:highlight w:val="none"/>
        </w:rPr>
      </w:pPr>
      <w:r>
        <w:rPr>
          <w:rFonts w:hint="eastAsia" w:hAnsi="宋体"/>
          <w:color w:val="auto"/>
          <w:sz w:val="21"/>
          <w:highlight w:val="none"/>
        </w:rPr>
        <w:t>3.不可抗力事件延续一百二十天以上，双方应通过友好协商，确定是否继续履行合同。</w:t>
      </w:r>
    </w:p>
    <w:p w14:paraId="449FA501">
      <w:pPr>
        <w:snapToGrid w:val="0"/>
        <w:spacing w:line="400" w:lineRule="exact"/>
        <w:ind w:firstLine="422" w:firstLineChars="200"/>
        <w:rPr>
          <w:rFonts w:ascii="宋体" w:hAnsi="宋体"/>
          <w:color w:val="auto"/>
          <w:szCs w:val="21"/>
          <w:highlight w:val="none"/>
        </w:rPr>
      </w:pPr>
      <w:r>
        <w:rPr>
          <w:rFonts w:hint="eastAsia" w:ascii="宋体" w:hAnsi="宋体"/>
          <w:b/>
          <w:color w:val="auto"/>
          <w:szCs w:val="21"/>
          <w:highlight w:val="none"/>
        </w:rPr>
        <w:t>第十三条  合同争议解决</w:t>
      </w:r>
    </w:p>
    <w:p w14:paraId="7FB1B3DF">
      <w:pPr>
        <w:snapToGrid w:val="0"/>
        <w:spacing w:line="400" w:lineRule="exact"/>
        <w:ind w:left="-61" w:firstLine="514"/>
        <w:rPr>
          <w:rFonts w:hint="eastAsia" w:ascii="宋体" w:hAnsi="宋体"/>
          <w:color w:val="auto"/>
          <w:szCs w:val="21"/>
          <w:highlight w:val="none"/>
        </w:rPr>
      </w:pPr>
      <w:r>
        <w:rPr>
          <w:rFonts w:hint="eastAsia" w:ascii="宋体" w:hAnsi="宋体"/>
          <w:color w:val="auto"/>
          <w:szCs w:val="21"/>
          <w:highlight w:val="none"/>
        </w:rPr>
        <w:t>1.因履行本合同引起的或与本合同有关的争议，甲乙双方应首先通过友好协商解决，如果协商不能解决，可向甲方所在地人民法院提起诉讼。</w:t>
      </w:r>
    </w:p>
    <w:p w14:paraId="46BF76A0">
      <w:pPr>
        <w:snapToGrid w:val="0"/>
        <w:spacing w:line="400" w:lineRule="exact"/>
        <w:ind w:left="-61" w:firstLine="514"/>
        <w:rPr>
          <w:rFonts w:ascii="宋体" w:hAnsi="宋体"/>
          <w:color w:val="auto"/>
          <w:szCs w:val="21"/>
          <w:highlight w:val="none"/>
        </w:rPr>
      </w:pPr>
      <w:r>
        <w:rPr>
          <w:rFonts w:hint="eastAsia" w:ascii="宋体" w:hAnsi="宋体"/>
          <w:color w:val="auto"/>
          <w:szCs w:val="21"/>
          <w:highlight w:val="none"/>
        </w:rPr>
        <w:t>2.诉讼期间，甲方为保障正常的运营，可选择由乙方继续提供服务（如售后服务）、甲方按照服务时间结算费用或者另行委托第三方提供服务、公开招标等方式，不视为甲方违约。</w:t>
      </w:r>
    </w:p>
    <w:p w14:paraId="0E93A863">
      <w:pPr>
        <w:snapToGrid w:val="0"/>
        <w:spacing w:line="400" w:lineRule="exact"/>
        <w:ind w:firstLine="422" w:firstLineChars="200"/>
        <w:rPr>
          <w:rFonts w:ascii="宋体" w:hAnsi="宋体"/>
          <w:b/>
          <w:color w:val="auto"/>
          <w:szCs w:val="21"/>
          <w:highlight w:val="none"/>
        </w:rPr>
      </w:pPr>
      <w:r>
        <w:rPr>
          <w:rFonts w:hint="eastAsia" w:ascii="宋体" w:hAnsi="宋体"/>
          <w:b/>
          <w:color w:val="auto"/>
          <w:szCs w:val="21"/>
          <w:highlight w:val="none"/>
        </w:rPr>
        <w:t>第十四条　合同的变更、终止与转让</w:t>
      </w:r>
    </w:p>
    <w:p w14:paraId="45BFBB81">
      <w:pPr>
        <w:snapToGrid w:val="0"/>
        <w:spacing w:line="400" w:lineRule="exact"/>
        <w:ind w:left="-61" w:firstLine="514"/>
        <w:rPr>
          <w:rFonts w:hint="eastAsia" w:ascii="宋体" w:hAnsi="宋体"/>
          <w:color w:val="auto"/>
          <w:szCs w:val="21"/>
          <w:highlight w:val="none"/>
        </w:rPr>
      </w:pPr>
      <w:r>
        <w:rPr>
          <w:rFonts w:hint="eastAsia" w:ascii="宋体" w:hAnsi="宋体"/>
          <w:color w:val="auto"/>
          <w:szCs w:val="21"/>
          <w:highlight w:val="none"/>
        </w:rPr>
        <w:t>1.除《中华人民共和国政府采购法》第五十条规定的情形外，本合同一经签订，甲乙双方不得擅自变更、中止或终止。</w:t>
      </w:r>
    </w:p>
    <w:p w14:paraId="67B1A212">
      <w:pPr>
        <w:snapToGrid w:val="0"/>
        <w:spacing w:line="400" w:lineRule="exact"/>
        <w:ind w:left="-61" w:firstLine="514"/>
        <w:rPr>
          <w:rFonts w:ascii="宋体" w:hAnsi="宋体"/>
          <w:color w:val="auto"/>
          <w:szCs w:val="21"/>
          <w:highlight w:val="none"/>
        </w:rPr>
      </w:pPr>
      <w:r>
        <w:rPr>
          <w:rFonts w:hint="eastAsia" w:ascii="宋体" w:hAnsi="宋体"/>
          <w:color w:val="auto"/>
          <w:szCs w:val="21"/>
          <w:highlight w:val="none"/>
        </w:rPr>
        <w:t>2.未经甲方书面同意，乙方不得擅自转让（无进口资格的乙方委托进口货物除外）其应履行的合同义务。</w:t>
      </w:r>
    </w:p>
    <w:p w14:paraId="4D87BD53">
      <w:pPr>
        <w:snapToGrid w:val="0"/>
        <w:spacing w:line="380" w:lineRule="exact"/>
        <w:ind w:firstLine="422" w:firstLineChars="200"/>
        <w:outlineLvl w:val="3"/>
        <w:rPr>
          <w:rFonts w:ascii="宋体" w:hAnsi="宋体" w:cs="Arial"/>
          <w:b/>
          <w:color w:val="auto"/>
          <w:szCs w:val="21"/>
          <w:highlight w:val="none"/>
        </w:rPr>
      </w:pPr>
      <w:r>
        <w:rPr>
          <w:rFonts w:hint="eastAsia" w:ascii="宋体" w:hAnsi="宋体" w:cs="Arial"/>
          <w:b/>
          <w:color w:val="auto"/>
          <w:szCs w:val="21"/>
          <w:highlight w:val="none"/>
        </w:rPr>
        <w:t>第十五条  通知与送达</w:t>
      </w:r>
    </w:p>
    <w:p w14:paraId="79424A71">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1.本协议项下合同一方对另外一方的任何通知或请求，应当发送至接收方在合同中约定的地址、联系人和通信终端。一方当事人变更名称、地址、联系人或通信终端等信息的，应当在变更后3日内及时书面通知对方当事人，对方当事人实际收到变更通知前的送达仍为有效送达，电子送达与书面送达具有同等法律效力。</w:t>
      </w:r>
    </w:p>
    <w:p w14:paraId="180F0058">
      <w:pPr>
        <w:snapToGrid w:val="0"/>
        <w:spacing w:line="380" w:lineRule="exact"/>
        <w:ind w:firstLine="420" w:firstLineChars="200"/>
        <w:outlineLvl w:val="2"/>
        <w:rPr>
          <w:rFonts w:ascii="宋体" w:hAnsi="宋体" w:cs="Arial"/>
          <w:bCs/>
          <w:color w:val="auto"/>
          <w:szCs w:val="21"/>
          <w:highlight w:val="none"/>
        </w:rPr>
      </w:pPr>
      <w:r>
        <w:rPr>
          <w:rFonts w:hint="eastAsia" w:ascii="宋体" w:hAnsi="宋体" w:cs="Arial"/>
          <w:bCs/>
          <w:color w:val="auto"/>
          <w:szCs w:val="21"/>
          <w:highlight w:val="none"/>
        </w:rPr>
        <w:t>2.任何一方当事人向对/他方所发出的通知或请求送达时间：</w:t>
      </w:r>
    </w:p>
    <w:p w14:paraId="3FDF0A64">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（1）如果是传真，则在发送当日视为送达；</w:t>
      </w:r>
    </w:p>
    <w:p w14:paraId="05809B52">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（2）如果是短信/微信/电子邮件，自电子文件内容在发送方正确填写地址且未被系统退回的情况下，进入对方数据电文接收系统当日视为送达。</w:t>
      </w:r>
    </w:p>
    <w:p w14:paraId="7A69649E">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（3）如果是信函，在挂号信交邮后第三日视为送达；</w:t>
      </w:r>
    </w:p>
    <w:p w14:paraId="7A910197">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（4）如果是派人专程送达，则在收件人签收之日视为收到；</w:t>
      </w:r>
    </w:p>
    <w:p w14:paraId="2F6B84C3">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（5）如果同时使用几种通知方式的，以其中较快到达接收方者为准。</w:t>
      </w:r>
    </w:p>
    <w:p w14:paraId="73797DAC">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（6）若送达日为非工作日，则视为在下一工作日送达。</w:t>
      </w:r>
    </w:p>
    <w:p w14:paraId="4E4CC6BF">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3.本合同约定的地址、联系人及电子通信终端等信息亦为双方工作联系往来、法律文书及争议解决时人民法院和/或仲裁机构的法律文书送达地址。人民法院和/或仲裁机构的诉讼文书（含裁判文书）向任何合同任何一方当事人的上述地址和/或工商登记公示地址（居民身份证登记地址）送达的，视为有效送达。当事人对电子通信终端的联系送达适用于争议解决时的送达。</w:t>
      </w:r>
    </w:p>
    <w:p w14:paraId="415E2CB5">
      <w:pPr>
        <w:snapToGrid w:val="0"/>
        <w:spacing w:line="380" w:lineRule="exact"/>
        <w:ind w:firstLine="420" w:firstLineChars="200"/>
        <w:rPr>
          <w:rFonts w:ascii="宋体" w:hAnsi="宋体" w:cs="Arial"/>
          <w:b/>
          <w:color w:val="auto"/>
          <w:szCs w:val="21"/>
          <w:highlight w:val="none"/>
        </w:rPr>
      </w:pPr>
      <w:r>
        <w:rPr>
          <w:rFonts w:hint="eastAsia" w:ascii="宋体" w:hAnsi="宋体" w:cs="Arial"/>
          <w:bCs/>
          <w:color w:val="auto"/>
          <w:szCs w:val="21"/>
          <w:highlight w:val="none"/>
        </w:rPr>
        <w:t>4.合同送达条款与争议解决条款均为独立条款，不受合同整体或其他条款的效力的影响。</w:t>
      </w:r>
    </w:p>
    <w:p w14:paraId="41A5A9EC">
      <w:pPr>
        <w:snapToGrid w:val="0"/>
        <w:spacing w:line="380" w:lineRule="exact"/>
        <w:ind w:firstLine="422" w:firstLineChars="200"/>
        <w:outlineLvl w:val="3"/>
        <w:rPr>
          <w:rFonts w:ascii="宋体" w:hAnsi="宋体" w:cs="Arial"/>
          <w:b/>
          <w:color w:val="auto"/>
          <w:szCs w:val="21"/>
          <w:highlight w:val="none"/>
        </w:rPr>
      </w:pPr>
      <w:r>
        <w:rPr>
          <w:rFonts w:hint="eastAsia" w:ascii="宋体" w:hAnsi="宋体" w:cs="Arial"/>
          <w:b/>
          <w:color w:val="auto"/>
          <w:szCs w:val="21"/>
          <w:highlight w:val="none"/>
        </w:rPr>
        <w:t>第十六条  合同组成及相互关系</w:t>
      </w:r>
    </w:p>
    <w:p w14:paraId="49688737">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 xml:space="preserve">1.本合同的采购文件（含招标答疑）、符合招标要求的投标文件、中标通知书、本合同履行过程中双方签章确认的协议或其他文件均为本合同的组成部分，若合同组成文件之间发生矛盾的，以下排列顺序为合同组成文件之间的优先解释顺序： </w:t>
      </w:r>
    </w:p>
    <w:p w14:paraId="08B2EC05">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（1）本合同及其附件；</w:t>
      </w:r>
    </w:p>
    <w:p w14:paraId="043A64DF">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（2）中标通知书；</w:t>
      </w:r>
    </w:p>
    <w:p w14:paraId="7C7BEED1">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（3）符合招标要求的投标文件；</w:t>
      </w:r>
    </w:p>
    <w:p w14:paraId="140D866F">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（4）采购文件(招标答疑)；</w:t>
      </w:r>
    </w:p>
    <w:p w14:paraId="4861A138">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（5）标准、规范及有关技术文件；</w:t>
      </w:r>
    </w:p>
    <w:p w14:paraId="1FBB828C">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（6）其他合同文件。</w:t>
      </w:r>
    </w:p>
    <w:p w14:paraId="777D6F92">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2.本合同履行过程中双方签章确认的协议或其他文件均为本合同的组成部分。</w:t>
      </w:r>
    </w:p>
    <w:p w14:paraId="4C34B88B">
      <w:pPr>
        <w:snapToGrid w:val="0"/>
        <w:spacing w:line="380" w:lineRule="exact"/>
        <w:ind w:firstLine="420" w:firstLineChars="200"/>
        <w:rPr>
          <w:rFonts w:ascii="宋体" w:hAnsi="宋体" w:cs="Arial"/>
          <w:bCs/>
          <w:color w:val="auto"/>
          <w:szCs w:val="21"/>
          <w:highlight w:val="none"/>
        </w:rPr>
      </w:pPr>
      <w:r>
        <w:rPr>
          <w:rFonts w:hint="eastAsia" w:ascii="宋体" w:hAnsi="宋体" w:cs="Arial"/>
          <w:bCs/>
          <w:color w:val="auto"/>
          <w:szCs w:val="21"/>
          <w:highlight w:val="none"/>
        </w:rPr>
        <w:t>3.前述文件应认为是互为补充和解释的，如有互相矛盾之处，以前述文件所列顺序作为其优先解释的顺序，但如果某一文件对甲方权利维护更有利或对乙方有更高、更严格要求的以该文件内容为准。</w:t>
      </w:r>
    </w:p>
    <w:p w14:paraId="2664202F">
      <w:pPr>
        <w:snapToGrid w:val="0"/>
        <w:spacing w:line="380" w:lineRule="exact"/>
        <w:ind w:firstLine="420" w:firstLineChars="200"/>
        <w:rPr>
          <w:rFonts w:ascii="宋体" w:hAnsi="宋体" w:cs="Arial"/>
          <w:color w:val="auto"/>
          <w:szCs w:val="21"/>
          <w:highlight w:val="none"/>
        </w:rPr>
      </w:pPr>
      <w:r>
        <w:rPr>
          <w:rFonts w:hint="eastAsia" w:ascii="宋体" w:hAnsi="宋体" w:cs="Arial"/>
          <w:bCs/>
          <w:color w:val="auto"/>
          <w:szCs w:val="21"/>
          <w:highlight w:val="none"/>
        </w:rPr>
        <w:t>4.前述各项文件包括双方就该合同组成文件所作出的补充和修改，属于同一项文件的，应以最新签署的为准。</w:t>
      </w:r>
      <w:r>
        <w:rPr>
          <w:rFonts w:hint="eastAsia" w:ascii="宋体" w:hAnsi="宋体" w:cs="Arial"/>
          <w:color w:val="auto"/>
          <w:szCs w:val="21"/>
          <w:highlight w:val="none"/>
        </w:rPr>
        <w:t>前述文件应认为是互为补充和解释的，如有互相矛盾之处，以前述文件所列顺序作为其优先解释的顺序，但如果某一文件对甲方权利维护更有利或对乙方有更高、更严格要求的以该文件内容为准。</w:t>
      </w:r>
    </w:p>
    <w:p w14:paraId="6BBE0C07">
      <w:pPr>
        <w:snapToGrid w:val="0"/>
        <w:spacing w:line="380" w:lineRule="exact"/>
        <w:ind w:firstLine="422" w:firstLineChars="200"/>
        <w:rPr>
          <w:rFonts w:ascii="宋体" w:hAnsi="宋体" w:cs="Arial"/>
          <w:b/>
          <w:color w:val="auto"/>
          <w:szCs w:val="21"/>
          <w:highlight w:val="none"/>
        </w:rPr>
      </w:pPr>
      <w:r>
        <w:rPr>
          <w:rFonts w:hint="eastAsia" w:ascii="宋体" w:hAnsi="宋体" w:cs="Arial"/>
          <w:b/>
          <w:color w:val="auto"/>
          <w:szCs w:val="21"/>
          <w:highlight w:val="none"/>
        </w:rPr>
        <w:t>第十七条　合同生效及其它</w:t>
      </w:r>
    </w:p>
    <w:p w14:paraId="7002527F">
      <w:pPr>
        <w:snapToGrid w:val="0"/>
        <w:spacing w:line="380" w:lineRule="exact"/>
        <w:ind w:firstLine="420" w:firstLineChars="200"/>
        <w:rPr>
          <w:rFonts w:ascii="宋体" w:hAnsi="宋体" w:cs="Arial"/>
          <w:color w:val="auto"/>
          <w:szCs w:val="21"/>
          <w:highlight w:val="none"/>
        </w:rPr>
      </w:pPr>
      <w:r>
        <w:rPr>
          <w:rFonts w:hint="eastAsia" w:ascii="宋体" w:hAnsi="宋体" w:cs="Arial"/>
          <w:color w:val="auto"/>
          <w:szCs w:val="21"/>
          <w:highlight w:val="none"/>
        </w:rPr>
        <w:t>1.本合同履行期限为：</w:t>
      </w:r>
      <w:r>
        <w:rPr>
          <w:rFonts w:hint="eastAsia" w:ascii="宋体" w:hAnsi="宋体" w:cs="Arial"/>
          <w:color w:val="auto"/>
          <w:szCs w:val="21"/>
          <w:highlight w:val="none"/>
          <w:u w:val="single"/>
        </w:rPr>
        <w:t>按照本合同约定</w:t>
      </w:r>
      <w:r>
        <w:rPr>
          <w:rFonts w:hint="eastAsia" w:ascii="宋体" w:hAnsi="宋体" w:cs="Arial"/>
          <w:color w:val="auto"/>
          <w:szCs w:val="21"/>
          <w:highlight w:val="none"/>
        </w:rPr>
        <w:t>；合同履行地点为：</w:t>
      </w:r>
      <w:r>
        <w:rPr>
          <w:rFonts w:hint="eastAsia" w:ascii="宋体" w:hAnsi="宋体" w:cs="Arial"/>
          <w:color w:val="auto"/>
          <w:szCs w:val="21"/>
          <w:highlight w:val="none"/>
          <w:u w:val="single"/>
        </w:rPr>
        <w:t>广西</w:t>
      </w:r>
      <w:r>
        <w:rPr>
          <w:rFonts w:hint="eastAsia" w:ascii="宋体" w:hAnsi="宋体" w:cs="Arial"/>
          <w:color w:val="auto"/>
          <w:szCs w:val="21"/>
          <w:highlight w:val="none"/>
          <w:u w:val="single"/>
          <w:lang w:val="en-US" w:eastAsia="zh-CN"/>
        </w:rPr>
        <w:t>崇左</w:t>
      </w:r>
      <w:r>
        <w:rPr>
          <w:rFonts w:hint="eastAsia" w:ascii="宋体" w:hAnsi="宋体" w:cs="Arial"/>
          <w:color w:val="auto"/>
          <w:szCs w:val="21"/>
          <w:highlight w:val="none"/>
          <w:u w:val="single"/>
        </w:rPr>
        <w:t>市</w:t>
      </w:r>
      <w:r>
        <w:rPr>
          <w:rFonts w:hint="eastAsia" w:ascii="宋体" w:hAnsi="宋体" w:cs="Arial"/>
          <w:color w:val="auto"/>
          <w:szCs w:val="21"/>
          <w:highlight w:val="none"/>
        </w:rPr>
        <w:t>；合同履行的方式：</w:t>
      </w:r>
      <w:r>
        <w:rPr>
          <w:rFonts w:hint="eastAsia" w:ascii="宋体" w:hAnsi="宋体" w:cs="Arial"/>
          <w:color w:val="auto"/>
          <w:szCs w:val="21"/>
          <w:highlight w:val="none"/>
          <w:u w:val="single"/>
        </w:rPr>
        <w:t>按照本合同约定</w:t>
      </w:r>
      <w:r>
        <w:rPr>
          <w:rFonts w:hint="eastAsia" w:ascii="宋体" w:hAnsi="宋体" w:cs="Arial"/>
          <w:color w:val="auto"/>
          <w:szCs w:val="21"/>
          <w:highlight w:val="none"/>
        </w:rPr>
        <w:t>。</w:t>
      </w:r>
    </w:p>
    <w:p w14:paraId="75DE748D">
      <w:pPr>
        <w:snapToGrid w:val="0"/>
        <w:spacing w:line="380" w:lineRule="exact"/>
        <w:ind w:firstLine="420" w:firstLineChars="200"/>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rPr>
        <w:t>.合同经双方法定代表人或授权代表签字并加盖单位公章后生效。本合同一式五份，具有同等法律效力。</w:t>
      </w:r>
      <w:r>
        <w:rPr>
          <w:rFonts w:hint="eastAsia" w:ascii="宋体" w:hAnsi="宋体" w:cs="Arial"/>
          <w:color w:val="auto"/>
          <w:spacing w:val="4"/>
          <w:szCs w:val="21"/>
          <w:highlight w:val="none"/>
        </w:rPr>
        <w:t>采购代理机构</w:t>
      </w:r>
      <w:r>
        <w:rPr>
          <w:rFonts w:hint="eastAsia" w:ascii="宋体" w:hAnsi="宋体" w:cs="Arial"/>
          <w:color w:val="auto"/>
          <w:szCs w:val="21"/>
          <w:highlight w:val="none"/>
        </w:rPr>
        <w:t>一份，甲方三份，乙方一份。</w:t>
      </w:r>
    </w:p>
    <w:p w14:paraId="052F2982">
      <w:pPr>
        <w:snapToGrid w:val="0"/>
        <w:spacing w:line="380" w:lineRule="exact"/>
        <w:ind w:firstLine="420" w:firstLineChars="200"/>
        <w:rPr>
          <w:rFonts w:ascii="宋体" w:hAnsi="宋体" w:cs="Arial"/>
          <w:color w:val="auto"/>
          <w:szCs w:val="21"/>
          <w:highlight w:val="none"/>
        </w:rPr>
      </w:pPr>
      <w:r>
        <w:rPr>
          <w:rFonts w:ascii="宋体" w:hAnsi="宋体" w:cs="Arial"/>
          <w:color w:val="auto"/>
          <w:szCs w:val="21"/>
          <w:highlight w:val="none"/>
        </w:rPr>
        <w:t>3</w:t>
      </w:r>
      <w:r>
        <w:rPr>
          <w:rFonts w:hint="eastAsia" w:ascii="宋体" w:hAnsi="宋体" w:cs="Arial"/>
          <w:color w:val="auto"/>
          <w:szCs w:val="21"/>
          <w:highlight w:val="none"/>
        </w:rPr>
        <w:t>.合同执行中涉及采购资金和采购内容修改或补充的，须签书面补充协议方可作为主合同不可分割的一部分。</w:t>
      </w:r>
    </w:p>
    <w:p w14:paraId="5BA950A9">
      <w:pPr>
        <w:snapToGrid w:val="0"/>
        <w:spacing w:line="400" w:lineRule="exact"/>
        <w:ind w:firstLine="420" w:firstLineChars="200"/>
        <w:rPr>
          <w:rFonts w:hint="eastAsia" w:ascii="宋体" w:hAnsi="宋体"/>
          <w:color w:val="auto"/>
          <w:szCs w:val="21"/>
          <w:highlight w:val="none"/>
        </w:rPr>
      </w:pPr>
      <w:r>
        <w:rPr>
          <w:rFonts w:ascii="宋体" w:hAnsi="宋体" w:cs="Arial"/>
          <w:color w:val="auto"/>
          <w:szCs w:val="21"/>
          <w:highlight w:val="none"/>
        </w:rPr>
        <w:t>4</w:t>
      </w:r>
      <w:r>
        <w:rPr>
          <w:rFonts w:hint="eastAsia" w:ascii="宋体" w:hAnsi="宋体" w:cs="Arial"/>
          <w:color w:val="auto"/>
          <w:szCs w:val="21"/>
          <w:highlight w:val="none"/>
        </w:rPr>
        <w:t>.本合同未尽事宜，遵照《中华人民共和国民法典》有关条文执行。</w:t>
      </w:r>
    </w:p>
    <w:tbl>
      <w:tblPr>
        <w:tblStyle w:val="29"/>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4"/>
        <w:gridCol w:w="4814"/>
      </w:tblGrid>
      <w:tr w14:paraId="0B2C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2500" w:type="pct"/>
            <w:tcBorders>
              <w:top w:val="single" w:color="auto" w:sz="4" w:space="0"/>
              <w:left w:val="single" w:color="auto" w:sz="4" w:space="0"/>
              <w:bottom w:val="single" w:color="auto" w:sz="4" w:space="0"/>
              <w:right w:val="single" w:color="auto" w:sz="4" w:space="0"/>
            </w:tcBorders>
            <w:vAlign w:val="center"/>
          </w:tcPr>
          <w:p w14:paraId="51CBEFC0">
            <w:pPr>
              <w:snapToGrid w:val="0"/>
              <w:spacing w:line="400" w:lineRule="exact"/>
              <w:rPr>
                <w:rFonts w:ascii="宋体" w:hAnsi="宋体"/>
                <w:color w:val="auto"/>
                <w:szCs w:val="21"/>
                <w:highlight w:val="none"/>
              </w:rPr>
            </w:pPr>
            <w:r>
              <w:rPr>
                <w:rFonts w:hint="eastAsia" w:ascii="宋体" w:hAnsi="宋体"/>
                <w:color w:val="auto"/>
                <w:szCs w:val="21"/>
                <w:highlight w:val="none"/>
              </w:rPr>
              <w:t xml:space="preserve">甲方（章）           </w:t>
            </w:r>
          </w:p>
          <w:p w14:paraId="57F9FD0B">
            <w:pPr>
              <w:snapToGrid w:val="0"/>
              <w:spacing w:line="400" w:lineRule="exact"/>
              <w:rPr>
                <w:rFonts w:ascii="宋体" w:hAnsi="宋体"/>
                <w:color w:val="auto"/>
                <w:szCs w:val="21"/>
                <w:highlight w:val="none"/>
              </w:rPr>
            </w:pPr>
          </w:p>
          <w:p w14:paraId="0B0B3F05">
            <w:pPr>
              <w:snapToGrid w:val="0"/>
              <w:spacing w:line="400" w:lineRule="exact"/>
              <w:ind w:firstLine="945" w:firstLineChars="450"/>
              <w:jc w:val="right"/>
              <w:rPr>
                <w:rFonts w:ascii="宋体" w:hAnsi="宋体"/>
                <w:color w:val="auto"/>
                <w:szCs w:val="21"/>
                <w:highlight w:val="none"/>
              </w:rPr>
            </w:pPr>
            <w:r>
              <w:rPr>
                <w:rFonts w:hint="eastAsia" w:ascii="宋体" w:hAnsi="宋体"/>
                <w:color w:val="auto"/>
                <w:szCs w:val="21"/>
                <w:highlight w:val="none"/>
              </w:rPr>
              <w:t>年   月   日</w:t>
            </w:r>
          </w:p>
        </w:tc>
        <w:tc>
          <w:tcPr>
            <w:tcW w:w="2500" w:type="pct"/>
            <w:tcBorders>
              <w:top w:val="single" w:color="auto" w:sz="4" w:space="0"/>
              <w:left w:val="single" w:color="auto" w:sz="4" w:space="0"/>
              <w:bottom w:val="single" w:color="auto" w:sz="4" w:space="0"/>
              <w:right w:val="single" w:color="auto" w:sz="4" w:space="0"/>
            </w:tcBorders>
            <w:vAlign w:val="center"/>
          </w:tcPr>
          <w:p w14:paraId="0F9A8938">
            <w:pPr>
              <w:snapToGrid w:val="0"/>
              <w:spacing w:line="400" w:lineRule="exact"/>
              <w:rPr>
                <w:rFonts w:ascii="宋体" w:hAnsi="宋体"/>
                <w:color w:val="auto"/>
                <w:szCs w:val="21"/>
                <w:highlight w:val="none"/>
              </w:rPr>
            </w:pPr>
            <w:r>
              <w:rPr>
                <w:rFonts w:hint="eastAsia" w:ascii="宋体" w:hAnsi="宋体"/>
                <w:color w:val="auto"/>
                <w:szCs w:val="21"/>
                <w:highlight w:val="none"/>
              </w:rPr>
              <w:t xml:space="preserve">乙方（章）              </w:t>
            </w:r>
          </w:p>
          <w:p w14:paraId="68C94B20">
            <w:pPr>
              <w:snapToGrid w:val="0"/>
              <w:spacing w:line="400" w:lineRule="exact"/>
              <w:rPr>
                <w:rFonts w:ascii="宋体" w:hAnsi="宋体"/>
                <w:color w:val="auto"/>
                <w:szCs w:val="21"/>
                <w:highlight w:val="none"/>
              </w:rPr>
            </w:pPr>
          </w:p>
          <w:p w14:paraId="3AD2E6B4">
            <w:pPr>
              <w:snapToGrid w:val="0"/>
              <w:spacing w:line="400" w:lineRule="exact"/>
              <w:jc w:val="right"/>
              <w:rPr>
                <w:rFonts w:ascii="宋体" w:hAnsi="宋体"/>
                <w:color w:val="auto"/>
                <w:szCs w:val="21"/>
                <w:highlight w:val="none"/>
              </w:rPr>
            </w:pPr>
            <w:r>
              <w:rPr>
                <w:rFonts w:hint="eastAsia" w:ascii="宋体" w:hAnsi="宋体"/>
                <w:color w:val="auto"/>
                <w:szCs w:val="21"/>
                <w:highlight w:val="none"/>
              </w:rPr>
              <w:t xml:space="preserve"> 年   月   日</w:t>
            </w:r>
          </w:p>
        </w:tc>
      </w:tr>
      <w:tr w14:paraId="469F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14:paraId="188CDF54">
            <w:pPr>
              <w:snapToGrid w:val="0"/>
              <w:spacing w:line="400" w:lineRule="exact"/>
              <w:rPr>
                <w:rFonts w:ascii="宋体" w:hAnsi="宋体"/>
                <w:color w:val="auto"/>
                <w:szCs w:val="21"/>
                <w:highlight w:val="none"/>
              </w:rPr>
            </w:pPr>
            <w:r>
              <w:rPr>
                <w:rFonts w:hint="eastAsia" w:ascii="宋体" w:hAnsi="宋体"/>
                <w:color w:val="auto"/>
                <w:szCs w:val="21"/>
                <w:highlight w:val="none"/>
              </w:rPr>
              <w:t>单位地址：</w:t>
            </w:r>
          </w:p>
        </w:tc>
        <w:tc>
          <w:tcPr>
            <w:tcW w:w="2500" w:type="pct"/>
            <w:tcBorders>
              <w:top w:val="single" w:color="auto" w:sz="4" w:space="0"/>
              <w:left w:val="single" w:color="auto" w:sz="4" w:space="0"/>
              <w:bottom w:val="single" w:color="auto" w:sz="4" w:space="0"/>
              <w:right w:val="single" w:color="auto" w:sz="4" w:space="0"/>
            </w:tcBorders>
            <w:vAlign w:val="center"/>
          </w:tcPr>
          <w:p w14:paraId="573FE26D">
            <w:pPr>
              <w:snapToGrid w:val="0"/>
              <w:spacing w:line="400" w:lineRule="exact"/>
              <w:rPr>
                <w:rFonts w:ascii="宋体" w:hAnsi="宋体"/>
                <w:color w:val="auto"/>
                <w:szCs w:val="21"/>
                <w:highlight w:val="none"/>
              </w:rPr>
            </w:pPr>
            <w:r>
              <w:rPr>
                <w:rFonts w:hint="eastAsia" w:ascii="宋体" w:hAnsi="宋体"/>
                <w:color w:val="auto"/>
                <w:szCs w:val="21"/>
                <w:highlight w:val="none"/>
              </w:rPr>
              <w:t>单位地址：</w:t>
            </w:r>
          </w:p>
        </w:tc>
      </w:tr>
      <w:tr w14:paraId="6CEF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14:paraId="3B272AB3">
            <w:pPr>
              <w:snapToGrid w:val="0"/>
              <w:spacing w:line="400" w:lineRule="exact"/>
              <w:rPr>
                <w:rFonts w:ascii="宋体" w:hAnsi="宋体"/>
                <w:color w:val="auto"/>
                <w:szCs w:val="21"/>
                <w:highlight w:val="none"/>
              </w:rPr>
            </w:pPr>
            <w:r>
              <w:rPr>
                <w:rFonts w:hint="eastAsia" w:ascii="宋体" w:hAnsi="宋体"/>
                <w:color w:val="auto"/>
                <w:szCs w:val="21"/>
                <w:highlight w:val="none"/>
              </w:rPr>
              <w:t>法定代表人：</w:t>
            </w:r>
          </w:p>
        </w:tc>
        <w:tc>
          <w:tcPr>
            <w:tcW w:w="2500" w:type="pct"/>
            <w:tcBorders>
              <w:top w:val="single" w:color="auto" w:sz="4" w:space="0"/>
              <w:left w:val="single" w:color="auto" w:sz="4" w:space="0"/>
              <w:bottom w:val="single" w:color="auto" w:sz="4" w:space="0"/>
              <w:right w:val="single" w:color="auto" w:sz="4" w:space="0"/>
            </w:tcBorders>
            <w:vAlign w:val="center"/>
          </w:tcPr>
          <w:p w14:paraId="4D9D84A9">
            <w:pPr>
              <w:snapToGrid w:val="0"/>
              <w:spacing w:line="400" w:lineRule="exact"/>
              <w:rPr>
                <w:rFonts w:ascii="宋体" w:hAnsi="宋体"/>
                <w:color w:val="auto"/>
                <w:szCs w:val="21"/>
                <w:highlight w:val="none"/>
              </w:rPr>
            </w:pPr>
            <w:r>
              <w:rPr>
                <w:rFonts w:hint="eastAsia" w:ascii="宋体" w:hAnsi="宋体"/>
                <w:color w:val="auto"/>
                <w:szCs w:val="21"/>
                <w:highlight w:val="none"/>
              </w:rPr>
              <w:t>法定代表人：</w:t>
            </w:r>
          </w:p>
        </w:tc>
      </w:tr>
      <w:tr w14:paraId="613AD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14:paraId="396F8BE0">
            <w:pPr>
              <w:snapToGrid w:val="0"/>
              <w:spacing w:line="400" w:lineRule="exact"/>
              <w:rPr>
                <w:rFonts w:ascii="宋体" w:hAnsi="宋体"/>
                <w:color w:val="auto"/>
                <w:szCs w:val="21"/>
                <w:highlight w:val="none"/>
              </w:rPr>
            </w:pPr>
            <w:r>
              <w:rPr>
                <w:rFonts w:hint="eastAsia" w:ascii="宋体" w:hAnsi="宋体"/>
                <w:color w:val="auto"/>
                <w:szCs w:val="21"/>
                <w:highlight w:val="none"/>
              </w:rPr>
              <w:t>委托代理人：</w:t>
            </w:r>
          </w:p>
        </w:tc>
        <w:tc>
          <w:tcPr>
            <w:tcW w:w="2500" w:type="pct"/>
            <w:tcBorders>
              <w:top w:val="single" w:color="auto" w:sz="4" w:space="0"/>
              <w:left w:val="single" w:color="auto" w:sz="4" w:space="0"/>
              <w:bottom w:val="single" w:color="auto" w:sz="4" w:space="0"/>
              <w:right w:val="single" w:color="auto" w:sz="4" w:space="0"/>
            </w:tcBorders>
            <w:vAlign w:val="center"/>
          </w:tcPr>
          <w:p w14:paraId="4FA5C362">
            <w:pPr>
              <w:snapToGrid w:val="0"/>
              <w:spacing w:line="400" w:lineRule="exact"/>
              <w:rPr>
                <w:rFonts w:ascii="宋体" w:hAnsi="宋体"/>
                <w:color w:val="auto"/>
                <w:szCs w:val="21"/>
                <w:highlight w:val="none"/>
              </w:rPr>
            </w:pPr>
            <w:r>
              <w:rPr>
                <w:rFonts w:hint="eastAsia" w:ascii="宋体" w:hAnsi="宋体"/>
                <w:color w:val="auto"/>
                <w:szCs w:val="21"/>
                <w:highlight w:val="none"/>
              </w:rPr>
              <w:t>委托代理人：</w:t>
            </w:r>
          </w:p>
        </w:tc>
      </w:tr>
      <w:tr w14:paraId="0774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14:paraId="559357D9">
            <w:pPr>
              <w:snapToGrid w:val="0"/>
              <w:spacing w:line="400" w:lineRule="exact"/>
              <w:rPr>
                <w:rFonts w:ascii="宋体" w:hAnsi="宋体"/>
                <w:color w:val="auto"/>
                <w:szCs w:val="21"/>
                <w:highlight w:val="none"/>
              </w:rPr>
            </w:pPr>
            <w:r>
              <w:rPr>
                <w:rFonts w:hint="eastAsia" w:ascii="宋体" w:hAnsi="宋体"/>
                <w:color w:val="auto"/>
                <w:szCs w:val="21"/>
                <w:highlight w:val="none"/>
              </w:rPr>
              <w:t>电话：</w:t>
            </w:r>
          </w:p>
        </w:tc>
        <w:tc>
          <w:tcPr>
            <w:tcW w:w="2500" w:type="pct"/>
            <w:tcBorders>
              <w:top w:val="single" w:color="auto" w:sz="4" w:space="0"/>
              <w:left w:val="single" w:color="auto" w:sz="4" w:space="0"/>
              <w:bottom w:val="single" w:color="auto" w:sz="4" w:space="0"/>
              <w:right w:val="single" w:color="auto" w:sz="4" w:space="0"/>
            </w:tcBorders>
            <w:vAlign w:val="center"/>
          </w:tcPr>
          <w:p w14:paraId="1785E20D">
            <w:pPr>
              <w:snapToGrid w:val="0"/>
              <w:spacing w:line="400" w:lineRule="exact"/>
              <w:rPr>
                <w:rFonts w:ascii="宋体" w:hAnsi="宋体"/>
                <w:color w:val="auto"/>
                <w:szCs w:val="21"/>
                <w:highlight w:val="none"/>
              </w:rPr>
            </w:pPr>
            <w:r>
              <w:rPr>
                <w:rFonts w:hint="eastAsia" w:ascii="宋体" w:hAnsi="宋体"/>
                <w:color w:val="auto"/>
                <w:szCs w:val="21"/>
                <w:highlight w:val="none"/>
              </w:rPr>
              <w:t>电话：</w:t>
            </w:r>
          </w:p>
        </w:tc>
      </w:tr>
      <w:tr w14:paraId="3606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14:paraId="5B7C84EC">
            <w:pPr>
              <w:snapToGrid w:val="0"/>
              <w:spacing w:line="400" w:lineRule="exact"/>
              <w:rPr>
                <w:rFonts w:ascii="宋体" w:hAnsi="宋体"/>
                <w:color w:val="auto"/>
                <w:szCs w:val="21"/>
                <w:highlight w:val="none"/>
              </w:rPr>
            </w:pPr>
            <w:r>
              <w:rPr>
                <w:rFonts w:hint="eastAsia" w:ascii="宋体" w:hAnsi="宋体"/>
                <w:color w:val="auto"/>
                <w:szCs w:val="21"/>
                <w:highlight w:val="none"/>
              </w:rPr>
              <w:t>电子邮箱：</w:t>
            </w:r>
          </w:p>
        </w:tc>
        <w:tc>
          <w:tcPr>
            <w:tcW w:w="2500" w:type="pct"/>
            <w:tcBorders>
              <w:top w:val="single" w:color="auto" w:sz="4" w:space="0"/>
              <w:left w:val="single" w:color="auto" w:sz="4" w:space="0"/>
              <w:bottom w:val="single" w:color="auto" w:sz="4" w:space="0"/>
              <w:right w:val="single" w:color="auto" w:sz="4" w:space="0"/>
            </w:tcBorders>
            <w:vAlign w:val="center"/>
          </w:tcPr>
          <w:p w14:paraId="0C9F1898">
            <w:pPr>
              <w:snapToGrid w:val="0"/>
              <w:spacing w:line="400" w:lineRule="exact"/>
              <w:rPr>
                <w:rFonts w:ascii="宋体" w:hAnsi="宋体"/>
                <w:color w:val="auto"/>
                <w:szCs w:val="21"/>
                <w:highlight w:val="none"/>
              </w:rPr>
            </w:pPr>
            <w:r>
              <w:rPr>
                <w:rFonts w:hint="eastAsia" w:ascii="宋体" w:hAnsi="宋体"/>
                <w:color w:val="auto"/>
                <w:szCs w:val="21"/>
                <w:highlight w:val="none"/>
              </w:rPr>
              <w:t>电子邮箱：</w:t>
            </w:r>
          </w:p>
        </w:tc>
      </w:tr>
      <w:tr w14:paraId="3961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14:paraId="1A43A1BC">
            <w:pPr>
              <w:snapToGrid w:val="0"/>
              <w:spacing w:line="400" w:lineRule="exact"/>
              <w:rPr>
                <w:rFonts w:ascii="宋体" w:hAnsi="宋体"/>
                <w:color w:val="auto"/>
                <w:szCs w:val="21"/>
                <w:highlight w:val="none"/>
              </w:rPr>
            </w:pPr>
            <w:r>
              <w:rPr>
                <w:rFonts w:hint="eastAsia" w:ascii="宋体" w:hAnsi="宋体"/>
                <w:color w:val="auto"/>
                <w:szCs w:val="21"/>
                <w:highlight w:val="none"/>
              </w:rPr>
              <w:t>开户银行：</w:t>
            </w:r>
          </w:p>
        </w:tc>
        <w:tc>
          <w:tcPr>
            <w:tcW w:w="2500" w:type="pct"/>
            <w:tcBorders>
              <w:top w:val="single" w:color="auto" w:sz="4" w:space="0"/>
              <w:left w:val="single" w:color="auto" w:sz="4" w:space="0"/>
              <w:bottom w:val="single" w:color="auto" w:sz="4" w:space="0"/>
              <w:right w:val="single" w:color="auto" w:sz="4" w:space="0"/>
            </w:tcBorders>
            <w:vAlign w:val="center"/>
          </w:tcPr>
          <w:p w14:paraId="4D938A32">
            <w:pPr>
              <w:snapToGrid w:val="0"/>
              <w:spacing w:line="400" w:lineRule="exact"/>
              <w:rPr>
                <w:rFonts w:ascii="宋体" w:hAnsi="宋体"/>
                <w:color w:val="auto"/>
                <w:szCs w:val="21"/>
                <w:highlight w:val="none"/>
              </w:rPr>
            </w:pPr>
            <w:r>
              <w:rPr>
                <w:rFonts w:hint="eastAsia" w:ascii="宋体" w:hAnsi="宋体"/>
                <w:color w:val="auto"/>
                <w:szCs w:val="21"/>
                <w:highlight w:val="none"/>
              </w:rPr>
              <w:t>开户银行：</w:t>
            </w:r>
          </w:p>
        </w:tc>
      </w:tr>
      <w:tr w14:paraId="03B92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14:paraId="608257E5">
            <w:pPr>
              <w:snapToGrid w:val="0"/>
              <w:spacing w:line="400" w:lineRule="exact"/>
              <w:rPr>
                <w:rFonts w:ascii="宋体" w:hAnsi="宋体"/>
                <w:color w:val="auto"/>
                <w:szCs w:val="21"/>
                <w:highlight w:val="none"/>
              </w:rPr>
            </w:pPr>
            <w:r>
              <w:rPr>
                <w:rFonts w:hint="eastAsia" w:ascii="宋体" w:hAnsi="宋体"/>
                <w:color w:val="auto"/>
                <w:szCs w:val="21"/>
                <w:highlight w:val="none"/>
              </w:rPr>
              <w:t>账号：</w:t>
            </w:r>
          </w:p>
        </w:tc>
        <w:tc>
          <w:tcPr>
            <w:tcW w:w="2500" w:type="pct"/>
            <w:tcBorders>
              <w:top w:val="single" w:color="auto" w:sz="4" w:space="0"/>
              <w:left w:val="single" w:color="auto" w:sz="4" w:space="0"/>
              <w:bottom w:val="single" w:color="auto" w:sz="4" w:space="0"/>
              <w:right w:val="single" w:color="auto" w:sz="4" w:space="0"/>
            </w:tcBorders>
            <w:vAlign w:val="center"/>
          </w:tcPr>
          <w:p w14:paraId="262B3F76">
            <w:pPr>
              <w:snapToGrid w:val="0"/>
              <w:spacing w:line="400" w:lineRule="exact"/>
              <w:rPr>
                <w:rFonts w:ascii="宋体" w:hAnsi="宋体"/>
                <w:color w:val="auto"/>
                <w:szCs w:val="21"/>
                <w:highlight w:val="none"/>
              </w:rPr>
            </w:pPr>
            <w:r>
              <w:rPr>
                <w:rFonts w:hint="eastAsia" w:ascii="宋体" w:hAnsi="宋体"/>
                <w:color w:val="auto"/>
                <w:szCs w:val="21"/>
                <w:highlight w:val="none"/>
              </w:rPr>
              <w:t>账号：</w:t>
            </w:r>
          </w:p>
        </w:tc>
      </w:tr>
      <w:tr w14:paraId="6E28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14:paraId="0FCF2975">
            <w:pPr>
              <w:snapToGrid w:val="0"/>
              <w:rPr>
                <w:rFonts w:ascii="宋体" w:hAnsi="宋体"/>
                <w:color w:val="auto"/>
                <w:szCs w:val="21"/>
                <w:highlight w:val="none"/>
              </w:rPr>
            </w:pPr>
            <w:r>
              <w:rPr>
                <w:rFonts w:hint="eastAsia" w:ascii="宋体" w:hAnsi="宋体"/>
                <w:color w:val="auto"/>
                <w:szCs w:val="21"/>
                <w:highlight w:val="none"/>
              </w:rPr>
              <w:t>纳税人识别号或统一社会信用代码：</w:t>
            </w:r>
          </w:p>
        </w:tc>
        <w:tc>
          <w:tcPr>
            <w:tcW w:w="2500" w:type="pct"/>
            <w:tcBorders>
              <w:top w:val="single" w:color="auto" w:sz="4" w:space="0"/>
              <w:left w:val="single" w:color="auto" w:sz="4" w:space="0"/>
              <w:bottom w:val="single" w:color="auto" w:sz="4" w:space="0"/>
              <w:right w:val="single" w:color="auto" w:sz="4" w:space="0"/>
            </w:tcBorders>
            <w:vAlign w:val="center"/>
          </w:tcPr>
          <w:p w14:paraId="66C150CE">
            <w:pPr>
              <w:snapToGrid w:val="0"/>
              <w:rPr>
                <w:rFonts w:ascii="宋体" w:hAnsi="宋体"/>
                <w:color w:val="auto"/>
                <w:szCs w:val="21"/>
                <w:highlight w:val="none"/>
              </w:rPr>
            </w:pPr>
            <w:r>
              <w:rPr>
                <w:rFonts w:hint="eastAsia" w:ascii="宋体" w:hAnsi="宋体"/>
                <w:color w:val="auto"/>
                <w:szCs w:val="21"/>
                <w:highlight w:val="none"/>
              </w:rPr>
              <w:t>纳税人识别号或统一社会信用代码：</w:t>
            </w:r>
          </w:p>
        </w:tc>
      </w:tr>
      <w:tr w14:paraId="339F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14:paraId="479B96DB">
            <w:pPr>
              <w:snapToGrid w:val="0"/>
              <w:spacing w:line="400" w:lineRule="exact"/>
              <w:rPr>
                <w:rFonts w:ascii="宋体" w:hAnsi="宋体"/>
                <w:color w:val="auto"/>
                <w:szCs w:val="21"/>
                <w:highlight w:val="none"/>
              </w:rPr>
            </w:pPr>
            <w:r>
              <w:rPr>
                <w:rFonts w:hint="eastAsia" w:ascii="宋体" w:hAnsi="宋体"/>
                <w:color w:val="auto"/>
                <w:szCs w:val="21"/>
                <w:highlight w:val="none"/>
              </w:rPr>
              <w:t>邮政编码：</w:t>
            </w:r>
          </w:p>
        </w:tc>
        <w:tc>
          <w:tcPr>
            <w:tcW w:w="2500" w:type="pct"/>
            <w:tcBorders>
              <w:top w:val="single" w:color="auto" w:sz="4" w:space="0"/>
              <w:left w:val="single" w:color="auto" w:sz="4" w:space="0"/>
              <w:bottom w:val="single" w:color="auto" w:sz="4" w:space="0"/>
              <w:right w:val="single" w:color="auto" w:sz="4" w:space="0"/>
            </w:tcBorders>
            <w:vAlign w:val="center"/>
          </w:tcPr>
          <w:p w14:paraId="372F2B02">
            <w:pPr>
              <w:snapToGrid w:val="0"/>
              <w:spacing w:line="400" w:lineRule="exact"/>
              <w:rPr>
                <w:rFonts w:ascii="宋体" w:hAnsi="宋体"/>
                <w:color w:val="auto"/>
                <w:szCs w:val="21"/>
                <w:highlight w:val="none"/>
              </w:rPr>
            </w:pPr>
            <w:r>
              <w:rPr>
                <w:rFonts w:hint="eastAsia" w:ascii="宋体" w:hAnsi="宋体"/>
                <w:color w:val="auto"/>
                <w:szCs w:val="21"/>
                <w:highlight w:val="none"/>
              </w:rPr>
              <w:t>邮政编码：</w:t>
            </w:r>
          </w:p>
        </w:tc>
      </w:tr>
    </w:tbl>
    <w:p w14:paraId="300E259F">
      <w:pPr>
        <w:snapToGrid w:val="0"/>
        <w:spacing w:line="400" w:lineRule="exact"/>
        <w:jc w:val="center"/>
        <w:rPr>
          <w:rFonts w:ascii="宋体" w:cs="宋体"/>
          <w:b/>
          <w:bCs/>
          <w:color w:val="auto"/>
          <w:sz w:val="32"/>
          <w:szCs w:val="32"/>
          <w:highlight w:val="none"/>
        </w:rPr>
      </w:pPr>
    </w:p>
    <w:p w14:paraId="709C68AA">
      <w:pPr>
        <w:snapToGrid w:val="0"/>
        <w:spacing w:line="400" w:lineRule="exact"/>
        <w:jc w:val="center"/>
        <w:rPr>
          <w:rFonts w:hint="eastAsia" w:ascii="宋体" w:cs="宋体"/>
          <w:b/>
          <w:bCs/>
          <w:color w:val="auto"/>
          <w:sz w:val="32"/>
          <w:szCs w:val="32"/>
          <w:highlight w:val="none"/>
        </w:rPr>
      </w:pPr>
      <w:bookmarkStart w:id="256" w:name="_Hlk159659464"/>
    </w:p>
    <w:p w14:paraId="720A7951">
      <w:pPr>
        <w:snapToGrid w:val="0"/>
        <w:spacing w:line="400" w:lineRule="exact"/>
        <w:jc w:val="center"/>
        <w:rPr>
          <w:rFonts w:hint="eastAsia" w:ascii="宋体" w:cs="宋体"/>
          <w:b/>
          <w:bCs/>
          <w:color w:val="auto"/>
          <w:sz w:val="32"/>
          <w:szCs w:val="32"/>
          <w:highlight w:val="none"/>
        </w:rPr>
      </w:pPr>
    </w:p>
    <w:p w14:paraId="1F99D9E3">
      <w:pPr>
        <w:snapToGrid w:val="0"/>
        <w:spacing w:line="400" w:lineRule="exact"/>
        <w:jc w:val="center"/>
        <w:rPr>
          <w:rFonts w:hint="eastAsia" w:ascii="宋体" w:cs="宋体"/>
          <w:b/>
          <w:bCs/>
          <w:color w:val="auto"/>
          <w:sz w:val="32"/>
          <w:szCs w:val="32"/>
          <w:highlight w:val="none"/>
        </w:rPr>
      </w:pPr>
    </w:p>
    <w:p w14:paraId="3F92317F">
      <w:pPr>
        <w:snapToGrid w:val="0"/>
        <w:spacing w:line="400" w:lineRule="exact"/>
        <w:jc w:val="center"/>
        <w:rPr>
          <w:rFonts w:hint="eastAsia" w:ascii="宋体" w:cs="宋体"/>
          <w:b/>
          <w:bCs/>
          <w:color w:val="auto"/>
          <w:sz w:val="32"/>
          <w:szCs w:val="32"/>
          <w:highlight w:val="none"/>
        </w:rPr>
      </w:pPr>
    </w:p>
    <w:p w14:paraId="6816891D">
      <w:pPr>
        <w:snapToGrid w:val="0"/>
        <w:spacing w:line="400" w:lineRule="exact"/>
        <w:jc w:val="center"/>
        <w:rPr>
          <w:rFonts w:hint="eastAsia" w:ascii="宋体" w:cs="宋体"/>
          <w:b/>
          <w:bCs/>
          <w:color w:val="auto"/>
          <w:sz w:val="32"/>
          <w:szCs w:val="32"/>
          <w:highlight w:val="none"/>
        </w:rPr>
      </w:pPr>
    </w:p>
    <w:bookmarkEnd w:id="256"/>
    <w:p w14:paraId="2BB07DFF">
      <w:pPr>
        <w:widowControl/>
        <w:spacing w:beforeAutospacing="1" w:line="360" w:lineRule="auto"/>
        <w:jc w:val="left"/>
        <w:rPr>
          <w:rFonts w:ascii="宋体" w:cs="宋体"/>
          <w:color w:val="auto"/>
          <w:highlight w:val="none"/>
        </w:rPr>
        <w:sectPr>
          <w:pgSz w:w="11906" w:h="16838"/>
          <w:pgMar w:top="1134" w:right="1134" w:bottom="1134" w:left="1134" w:header="720" w:footer="720" w:gutter="0"/>
          <w:cols w:space="720" w:num="1"/>
          <w:docGrid w:type="lines" w:linePitch="331" w:charSpace="0"/>
        </w:sectPr>
      </w:pPr>
    </w:p>
    <w:p w14:paraId="4EF8E1E9">
      <w:pPr>
        <w:pStyle w:val="16"/>
        <w:spacing w:line="360" w:lineRule="auto"/>
        <w:ind w:left="178" w:leftChars="85"/>
        <w:rPr>
          <w:rFonts w:cs="宋体"/>
          <w:color w:val="auto"/>
          <w:highlight w:val="none"/>
        </w:rPr>
      </w:pPr>
    </w:p>
    <w:p w14:paraId="30CD9ADB">
      <w:pPr>
        <w:pStyle w:val="16"/>
        <w:tabs>
          <w:tab w:val="left" w:pos="2472"/>
        </w:tabs>
        <w:spacing w:line="460" w:lineRule="exact"/>
        <w:jc w:val="center"/>
        <w:rPr>
          <w:rFonts w:cs="宋体"/>
          <w:b/>
          <w:color w:val="auto"/>
          <w:sz w:val="36"/>
          <w:highlight w:val="none"/>
        </w:rPr>
      </w:pPr>
    </w:p>
    <w:p w14:paraId="13E104D7">
      <w:pPr>
        <w:pStyle w:val="16"/>
        <w:tabs>
          <w:tab w:val="left" w:pos="2472"/>
        </w:tabs>
        <w:spacing w:line="460" w:lineRule="exact"/>
        <w:jc w:val="center"/>
        <w:rPr>
          <w:rFonts w:cs="宋体"/>
          <w:b/>
          <w:color w:val="auto"/>
          <w:sz w:val="36"/>
          <w:highlight w:val="none"/>
        </w:rPr>
      </w:pPr>
    </w:p>
    <w:p w14:paraId="5AE2CD1F">
      <w:pPr>
        <w:pStyle w:val="16"/>
        <w:tabs>
          <w:tab w:val="left" w:pos="2472"/>
        </w:tabs>
        <w:spacing w:line="460" w:lineRule="exact"/>
        <w:jc w:val="center"/>
        <w:rPr>
          <w:rFonts w:cs="宋体"/>
          <w:b/>
          <w:color w:val="auto"/>
          <w:sz w:val="36"/>
          <w:highlight w:val="none"/>
        </w:rPr>
      </w:pPr>
    </w:p>
    <w:p w14:paraId="01FA6158">
      <w:pPr>
        <w:pStyle w:val="16"/>
        <w:tabs>
          <w:tab w:val="left" w:pos="2472"/>
        </w:tabs>
        <w:spacing w:line="460" w:lineRule="exact"/>
        <w:jc w:val="center"/>
        <w:rPr>
          <w:rFonts w:cs="宋体"/>
          <w:b/>
          <w:color w:val="auto"/>
          <w:sz w:val="36"/>
          <w:highlight w:val="none"/>
        </w:rPr>
      </w:pPr>
    </w:p>
    <w:p w14:paraId="3FEFE2C0">
      <w:pPr>
        <w:pStyle w:val="16"/>
        <w:tabs>
          <w:tab w:val="left" w:pos="2472"/>
        </w:tabs>
        <w:spacing w:line="460" w:lineRule="exact"/>
        <w:jc w:val="center"/>
        <w:rPr>
          <w:rFonts w:cs="宋体"/>
          <w:b/>
          <w:color w:val="auto"/>
          <w:sz w:val="36"/>
          <w:highlight w:val="none"/>
        </w:rPr>
      </w:pPr>
    </w:p>
    <w:p w14:paraId="471F924E">
      <w:pPr>
        <w:pStyle w:val="16"/>
        <w:tabs>
          <w:tab w:val="left" w:pos="2472"/>
        </w:tabs>
        <w:spacing w:line="460" w:lineRule="exact"/>
        <w:jc w:val="center"/>
        <w:rPr>
          <w:rFonts w:cs="宋体"/>
          <w:b/>
          <w:color w:val="auto"/>
          <w:sz w:val="36"/>
          <w:highlight w:val="none"/>
        </w:rPr>
      </w:pPr>
    </w:p>
    <w:p w14:paraId="2F39756A">
      <w:pPr>
        <w:pStyle w:val="16"/>
        <w:tabs>
          <w:tab w:val="left" w:pos="2472"/>
        </w:tabs>
        <w:spacing w:line="460" w:lineRule="exact"/>
        <w:jc w:val="center"/>
        <w:rPr>
          <w:rFonts w:cs="宋体"/>
          <w:b/>
          <w:color w:val="auto"/>
          <w:sz w:val="36"/>
          <w:highlight w:val="none"/>
        </w:rPr>
      </w:pPr>
    </w:p>
    <w:p w14:paraId="291B8B1C">
      <w:pPr>
        <w:pStyle w:val="16"/>
        <w:tabs>
          <w:tab w:val="left" w:pos="2472"/>
        </w:tabs>
        <w:spacing w:line="460" w:lineRule="exact"/>
        <w:jc w:val="center"/>
        <w:rPr>
          <w:rFonts w:cs="宋体"/>
          <w:b/>
          <w:color w:val="auto"/>
          <w:sz w:val="36"/>
          <w:highlight w:val="none"/>
        </w:rPr>
      </w:pPr>
    </w:p>
    <w:p w14:paraId="5BA20060">
      <w:pPr>
        <w:pStyle w:val="16"/>
        <w:tabs>
          <w:tab w:val="left" w:pos="2472"/>
        </w:tabs>
        <w:spacing w:line="460" w:lineRule="exact"/>
        <w:jc w:val="center"/>
        <w:rPr>
          <w:rFonts w:cs="宋体"/>
          <w:b/>
          <w:color w:val="auto"/>
          <w:sz w:val="36"/>
          <w:highlight w:val="none"/>
        </w:rPr>
      </w:pPr>
    </w:p>
    <w:p w14:paraId="3F11A12D">
      <w:pPr>
        <w:pStyle w:val="16"/>
        <w:tabs>
          <w:tab w:val="left" w:pos="2472"/>
        </w:tabs>
        <w:spacing w:line="460" w:lineRule="exact"/>
        <w:jc w:val="center"/>
        <w:outlineLvl w:val="0"/>
        <w:rPr>
          <w:rFonts w:cs="宋体"/>
          <w:b/>
          <w:color w:val="auto"/>
          <w:sz w:val="36"/>
          <w:highlight w:val="none"/>
        </w:rPr>
      </w:pPr>
      <w:bookmarkStart w:id="257" w:name="_Toc27021"/>
      <w:bookmarkStart w:id="258" w:name="_Toc10298"/>
      <w:bookmarkStart w:id="259" w:name="_Toc20288"/>
      <w:bookmarkStart w:id="260" w:name="_Toc23759"/>
      <w:bookmarkStart w:id="261" w:name="_Toc14291"/>
      <w:bookmarkStart w:id="262" w:name="_Toc8784"/>
      <w:bookmarkStart w:id="263" w:name="_Toc21691"/>
      <w:bookmarkStart w:id="264" w:name="_Toc7880"/>
      <w:bookmarkStart w:id="265" w:name="_Toc8074"/>
      <w:bookmarkStart w:id="266" w:name="_Toc6930"/>
      <w:bookmarkStart w:id="267" w:name="_Toc19166"/>
      <w:r>
        <w:rPr>
          <w:rFonts w:hint="eastAsia" w:cs="宋体"/>
          <w:b/>
          <w:color w:val="auto"/>
          <w:sz w:val="36"/>
          <w:highlight w:val="none"/>
        </w:rPr>
        <w:t>第六章 投标文件格式</w:t>
      </w:r>
      <w:bookmarkEnd w:id="257"/>
      <w:bookmarkEnd w:id="258"/>
      <w:bookmarkEnd w:id="259"/>
      <w:bookmarkEnd w:id="260"/>
      <w:bookmarkEnd w:id="261"/>
      <w:bookmarkEnd w:id="262"/>
      <w:bookmarkEnd w:id="263"/>
      <w:bookmarkEnd w:id="264"/>
      <w:bookmarkEnd w:id="265"/>
      <w:bookmarkEnd w:id="266"/>
      <w:bookmarkEnd w:id="267"/>
    </w:p>
    <w:p w14:paraId="244B4D1E">
      <w:pPr>
        <w:widowControl/>
        <w:spacing w:beforeAutospacing="1" w:line="360" w:lineRule="auto"/>
        <w:jc w:val="left"/>
        <w:rPr>
          <w:rFonts w:ascii="宋体" w:cs="宋体"/>
          <w:color w:val="auto"/>
          <w:szCs w:val="20"/>
          <w:highlight w:val="none"/>
        </w:rPr>
        <w:sectPr>
          <w:pgSz w:w="11906" w:h="16838"/>
          <w:pgMar w:top="1134" w:right="1134" w:bottom="1134" w:left="1134" w:header="720" w:footer="720" w:gutter="0"/>
          <w:cols w:space="720" w:num="1"/>
          <w:docGrid w:type="lines" w:linePitch="331" w:charSpace="0"/>
        </w:sectPr>
      </w:pPr>
    </w:p>
    <w:p w14:paraId="26903AA8">
      <w:pPr>
        <w:pStyle w:val="16"/>
        <w:jc w:val="center"/>
        <w:outlineLvl w:val="1"/>
        <w:rPr>
          <w:rFonts w:cs="宋体"/>
          <w:b/>
          <w:bCs/>
          <w:color w:val="auto"/>
          <w:sz w:val="28"/>
          <w:szCs w:val="28"/>
          <w:highlight w:val="none"/>
        </w:rPr>
      </w:pPr>
      <w:bookmarkStart w:id="268" w:name="_Toc26915"/>
      <w:bookmarkStart w:id="269" w:name="_Toc247"/>
      <w:bookmarkStart w:id="270" w:name="_Toc29743"/>
      <w:bookmarkStart w:id="271" w:name="_Toc30455"/>
      <w:bookmarkStart w:id="272" w:name="_Toc16447"/>
      <w:r>
        <w:rPr>
          <w:rFonts w:hint="eastAsia" w:cs="宋体"/>
          <w:b/>
          <w:bCs/>
          <w:color w:val="auto"/>
          <w:sz w:val="28"/>
          <w:szCs w:val="28"/>
          <w:highlight w:val="none"/>
        </w:rPr>
        <w:t>第一节 资格文件格式</w:t>
      </w:r>
      <w:bookmarkEnd w:id="268"/>
      <w:bookmarkEnd w:id="269"/>
      <w:bookmarkEnd w:id="270"/>
      <w:bookmarkEnd w:id="271"/>
      <w:bookmarkEnd w:id="272"/>
    </w:p>
    <w:p w14:paraId="6E717D81">
      <w:pPr>
        <w:pStyle w:val="16"/>
        <w:spacing w:line="360" w:lineRule="auto"/>
        <w:ind w:firstLine="420"/>
        <w:rPr>
          <w:rFonts w:cs="宋体"/>
          <w:color w:val="auto"/>
          <w:sz w:val="24"/>
          <w:szCs w:val="24"/>
          <w:highlight w:val="none"/>
        </w:rPr>
      </w:pPr>
    </w:p>
    <w:p w14:paraId="7F4C3E69">
      <w:pPr>
        <w:pStyle w:val="16"/>
        <w:spacing w:line="360" w:lineRule="auto"/>
        <w:ind w:firstLine="420"/>
        <w:rPr>
          <w:rFonts w:cs="宋体"/>
          <w:b/>
          <w:bCs/>
          <w:color w:val="auto"/>
          <w:sz w:val="24"/>
          <w:szCs w:val="24"/>
          <w:highlight w:val="none"/>
        </w:rPr>
      </w:pPr>
      <w:r>
        <w:rPr>
          <w:rFonts w:hint="eastAsia" w:cs="宋体"/>
          <w:b/>
          <w:bCs/>
          <w:color w:val="auto"/>
          <w:sz w:val="28"/>
          <w:szCs w:val="28"/>
          <w:highlight w:val="none"/>
        </w:rPr>
        <w:t>1.资格文件封面的格式</w:t>
      </w:r>
      <w:r>
        <w:rPr>
          <w:rFonts w:hint="eastAsia" w:cs="宋体"/>
          <w:b/>
          <w:color w:val="auto"/>
          <w:sz w:val="28"/>
          <w:szCs w:val="28"/>
          <w:highlight w:val="none"/>
        </w:rPr>
        <w:t>（参照此格式自拟）</w:t>
      </w:r>
      <w:r>
        <w:rPr>
          <w:rFonts w:hint="eastAsia" w:cs="宋体"/>
          <w:b/>
          <w:bCs/>
          <w:color w:val="auto"/>
          <w:sz w:val="28"/>
          <w:szCs w:val="28"/>
          <w:highlight w:val="none"/>
        </w:rPr>
        <w:t>：</w:t>
      </w:r>
      <w:r>
        <w:rPr>
          <w:rFonts w:hint="eastAsia" w:cs="宋体"/>
          <w:b/>
          <w:bCs/>
          <w:color w:val="auto"/>
          <w:sz w:val="24"/>
          <w:szCs w:val="24"/>
          <w:highlight w:val="none"/>
        </w:rPr>
        <w:t xml:space="preserve"> </w:t>
      </w:r>
    </w:p>
    <w:p w14:paraId="50F2C7AB">
      <w:pPr>
        <w:pStyle w:val="8"/>
        <w:rPr>
          <w:color w:val="auto"/>
          <w:highlight w:val="none"/>
        </w:rPr>
      </w:pPr>
    </w:p>
    <w:p w14:paraId="1B456130">
      <w:pPr>
        <w:snapToGrid w:val="0"/>
        <w:spacing w:before="166" w:beforeLines="50" w:after="50"/>
        <w:rPr>
          <w:rFonts w:ascii="宋体" w:cs="宋体"/>
          <w:bCs/>
          <w:color w:val="auto"/>
          <w:sz w:val="32"/>
          <w:szCs w:val="20"/>
          <w:highlight w:val="none"/>
        </w:rPr>
      </w:pPr>
      <w:r>
        <w:rPr>
          <w:rFonts w:hint="eastAsia" w:ascii="宋体" w:cs="宋体"/>
          <w:color w:val="auto"/>
          <w:sz w:val="24"/>
          <w:highlight w:val="none"/>
        </w:rPr>
        <w:t xml:space="preserve">                                                         </w:t>
      </w:r>
      <w:r>
        <w:rPr>
          <w:rFonts w:hint="eastAsia" w:ascii="宋体" w:cs="宋体"/>
          <w:bCs/>
          <w:color w:val="auto"/>
          <w:highlight w:val="none"/>
        </w:rPr>
        <w:t>电子投标文件</w:t>
      </w:r>
    </w:p>
    <w:p w14:paraId="19D46A72">
      <w:pPr>
        <w:snapToGrid w:val="0"/>
        <w:spacing w:before="166" w:beforeLines="50" w:after="50"/>
        <w:rPr>
          <w:rFonts w:ascii="宋体" w:cs="宋体"/>
          <w:color w:val="auto"/>
          <w:sz w:val="24"/>
          <w:szCs w:val="20"/>
          <w:highlight w:val="none"/>
        </w:rPr>
      </w:pPr>
    </w:p>
    <w:p w14:paraId="67A301E8">
      <w:pPr>
        <w:snapToGrid w:val="0"/>
        <w:spacing w:before="166" w:beforeLines="50" w:after="50"/>
        <w:jc w:val="center"/>
        <w:rPr>
          <w:rFonts w:ascii="宋体" w:cs="宋体"/>
          <w:b/>
          <w:color w:val="auto"/>
          <w:sz w:val="32"/>
          <w:szCs w:val="32"/>
          <w:highlight w:val="none"/>
        </w:rPr>
      </w:pPr>
    </w:p>
    <w:p w14:paraId="1E95F34D">
      <w:pPr>
        <w:snapToGrid w:val="0"/>
        <w:spacing w:before="166" w:beforeLines="50" w:after="50"/>
        <w:jc w:val="center"/>
        <w:rPr>
          <w:rFonts w:ascii="宋体" w:cs="宋体"/>
          <w:b/>
          <w:color w:val="auto"/>
          <w:sz w:val="24"/>
          <w:szCs w:val="20"/>
          <w:highlight w:val="none"/>
        </w:rPr>
      </w:pPr>
      <w:r>
        <w:rPr>
          <w:rFonts w:hint="eastAsia" w:ascii="宋体" w:cs="宋体"/>
          <w:b/>
          <w:color w:val="auto"/>
          <w:sz w:val="32"/>
          <w:szCs w:val="32"/>
          <w:highlight w:val="none"/>
        </w:rPr>
        <w:t>资格文件</w:t>
      </w:r>
    </w:p>
    <w:p w14:paraId="215A2991">
      <w:pPr>
        <w:snapToGrid w:val="0"/>
        <w:spacing w:before="166" w:beforeLines="50" w:after="50"/>
        <w:rPr>
          <w:rFonts w:ascii="宋体" w:cs="宋体"/>
          <w:bCs/>
          <w:color w:val="auto"/>
          <w:sz w:val="24"/>
          <w:szCs w:val="20"/>
          <w:highlight w:val="none"/>
        </w:rPr>
      </w:pPr>
    </w:p>
    <w:p w14:paraId="2E86B90B">
      <w:pPr>
        <w:snapToGrid w:val="0"/>
        <w:spacing w:before="166" w:beforeLines="50" w:after="50"/>
        <w:rPr>
          <w:rFonts w:ascii="宋体" w:cs="宋体"/>
          <w:bCs/>
          <w:color w:val="auto"/>
          <w:sz w:val="24"/>
          <w:szCs w:val="20"/>
          <w:highlight w:val="none"/>
        </w:rPr>
      </w:pPr>
    </w:p>
    <w:p w14:paraId="69E51FC3">
      <w:pPr>
        <w:snapToGrid w:val="0"/>
        <w:spacing w:before="166" w:beforeLines="50" w:after="50"/>
        <w:rPr>
          <w:rFonts w:ascii="宋体" w:cs="宋体"/>
          <w:bCs/>
          <w:color w:val="auto"/>
          <w:sz w:val="24"/>
          <w:szCs w:val="20"/>
          <w:highlight w:val="none"/>
        </w:rPr>
      </w:pPr>
    </w:p>
    <w:p w14:paraId="6A74407E">
      <w:pPr>
        <w:snapToGrid w:val="0"/>
        <w:spacing w:before="166" w:beforeLines="50" w:after="50"/>
        <w:rPr>
          <w:rFonts w:ascii="宋体" w:cs="宋体"/>
          <w:bCs/>
          <w:color w:val="auto"/>
          <w:sz w:val="24"/>
          <w:szCs w:val="20"/>
          <w:highlight w:val="none"/>
        </w:rPr>
      </w:pPr>
    </w:p>
    <w:p w14:paraId="41D6B68A">
      <w:pPr>
        <w:snapToGrid w:val="0"/>
        <w:spacing w:before="166" w:beforeLines="50" w:after="50"/>
        <w:rPr>
          <w:rFonts w:ascii="宋体" w:cs="宋体"/>
          <w:bCs/>
          <w:color w:val="auto"/>
          <w:sz w:val="24"/>
          <w:szCs w:val="20"/>
          <w:highlight w:val="none"/>
        </w:rPr>
      </w:pPr>
    </w:p>
    <w:p w14:paraId="2A5C2B50">
      <w:pPr>
        <w:snapToGrid w:val="0"/>
        <w:spacing w:before="166" w:beforeLines="50" w:after="50"/>
        <w:rPr>
          <w:rFonts w:ascii="宋体" w:cs="宋体"/>
          <w:bCs/>
          <w:color w:val="auto"/>
          <w:sz w:val="24"/>
          <w:szCs w:val="20"/>
          <w:highlight w:val="none"/>
        </w:rPr>
      </w:pPr>
    </w:p>
    <w:p w14:paraId="424AF337">
      <w:pPr>
        <w:snapToGrid w:val="0"/>
        <w:spacing w:before="166" w:beforeLines="50" w:after="50"/>
        <w:rPr>
          <w:rFonts w:ascii="宋体" w:cs="宋体"/>
          <w:bCs/>
          <w:color w:val="auto"/>
          <w:sz w:val="24"/>
          <w:szCs w:val="20"/>
          <w:highlight w:val="none"/>
        </w:rPr>
      </w:pPr>
    </w:p>
    <w:p w14:paraId="37CBB31D">
      <w:pPr>
        <w:snapToGrid w:val="0"/>
        <w:spacing w:before="166" w:beforeLines="50" w:after="50"/>
        <w:ind w:firstLine="540" w:firstLineChars="225"/>
        <w:rPr>
          <w:rFonts w:ascii="宋体" w:cs="宋体"/>
          <w:bCs/>
          <w:color w:val="auto"/>
          <w:sz w:val="24"/>
          <w:szCs w:val="20"/>
          <w:highlight w:val="none"/>
        </w:rPr>
      </w:pPr>
      <w:r>
        <w:rPr>
          <w:rFonts w:hint="eastAsia" w:ascii="宋体" w:cs="宋体"/>
          <w:bCs/>
          <w:color w:val="auto"/>
          <w:sz w:val="24"/>
          <w:highlight w:val="none"/>
        </w:rPr>
        <w:t>项目名称：</w:t>
      </w:r>
    </w:p>
    <w:p w14:paraId="7C3E7D58">
      <w:pPr>
        <w:snapToGrid w:val="0"/>
        <w:spacing w:before="166" w:beforeLines="50" w:after="50"/>
        <w:ind w:firstLine="540" w:firstLineChars="225"/>
        <w:rPr>
          <w:rFonts w:ascii="宋体" w:cs="宋体"/>
          <w:bCs/>
          <w:color w:val="auto"/>
          <w:sz w:val="24"/>
          <w:highlight w:val="none"/>
        </w:rPr>
      </w:pPr>
    </w:p>
    <w:p w14:paraId="404DCE6E">
      <w:pPr>
        <w:snapToGrid w:val="0"/>
        <w:spacing w:before="166" w:beforeLines="50" w:after="50"/>
        <w:ind w:firstLine="540" w:firstLineChars="225"/>
        <w:rPr>
          <w:rFonts w:ascii="宋体" w:cs="宋体"/>
          <w:bCs/>
          <w:color w:val="auto"/>
          <w:sz w:val="24"/>
          <w:highlight w:val="none"/>
        </w:rPr>
      </w:pPr>
      <w:r>
        <w:rPr>
          <w:rFonts w:hint="eastAsia" w:ascii="宋体" w:cs="宋体"/>
          <w:bCs/>
          <w:color w:val="auto"/>
          <w:sz w:val="24"/>
          <w:highlight w:val="none"/>
        </w:rPr>
        <w:t>项目编号：</w:t>
      </w:r>
    </w:p>
    <w:p w14:paraId="30053CC5">
      <w:pPr>
        <w:snapToGrid w:val="0"/>
        <w:spacing w:before="166" w:beforeLines="50" w:after="50"/>
        <w:ind w:firstLine="540" w:firstLineChars="225"/>
        <w:rPr>
          <w:rFonts w:ascii="宋体" w:cs="宋体"/>
          <w:bCs/>
          <w:color w:val="auto"/>
          <w:sz w:val="24"/>
          <w:highlight w:val="none"/>
        </w:rPr>
      </w:pPr>
    </w:p>
    <w:p w14:paraId="6A6AAFE9">
      <w:pPr>
        <w:snapToGrid w:val="0"/>
        <w:spacing w:before="166" w:beforeLines="50" w:after="50"/>
        <w:ind w:firstLine="540" w:firstLineChars="225"/>
        <w:rPr>
          <w:rFonts w:ascii="宋体" w:cs="宋体"/>
          <w:bCs/>
          <w:color w:val="auto"/>
          <w:sz w:val="24"/>
          <w:highlight w:val="none"/>
        </w:rPr>
      </w:pPr>
      <w:r>
        <w:rPr>
          <w:rFonts w:hint="eastAsia" w:ascii="宋体" w:cs="宋体"/>
          <w:bCs/>
          <w:color w:val="auto"/>
          <w:sz w:val="24"/>
          <w:highlight w:val="none"/>
        </w:rPr>
        <w:t>所投分标（如有则填写，无分标时填写“无”或者留空）：</w:t>
      </w:r>
    </w:p>
    <w:p w14:paraId="37782E83">
      <w:pPr>
        <w:snapToGrid w:val="0"/>
        <w:spacing w:before="166" w:beforeLines="50" w:after="50"/>
        <w:ind w:firstLine="540" w:firstLineChars="225"/>
        <w:rPr>
          <w:rFonts w:ascii="宋体" w:cs="宋体"/>
          <w:bCs/>
          <w:color w:val="auto"/>
          <w:sz w:val="24"/>
          <w:highlight w:val="none"/>
        </w:rPr>
      </w:pPr>
    </w:p>
    <w:p w14:paraId="154C1EC1">
      <w:pPr>
        <w:snapToGrid w:val="0"/>
        <w:spacing w:before="166" w:beforeLines="50" w:after="50"/>
        <w:ind w:firstLine="540" w:firstLineChars="225"/>
        <w:rPr>
          <w:rFonts w:ascii="宋体" w:cs="宋体"/>
          <w:bCs/>
          <w:color w:val="auto"/>
          <w:sz w:val="24"/>
          <w:highlight w:val="none"/>
        </w:rPr>
      </w:pPr>
      <w:r>
        <w:rPr>
          <w:rFonts w:hint="eastAsia" w:ascii="宋体" w:cs="宋体"/>
          <w:bCs/>
          <w:color w:val="auto"/>
          <w:sz w:val="24"/>
          <w:highlight w:val="none"/>
        </w:rPr>
        <w:t>投标人名称：</w:t>
      </w:r>
    </w:p>
    <w:p w14:paraId="38A56DCC">
      <w:pPr>
        <w:pStyle w:val="7"/>
        <w:snapToGrid w:val="0"/>
        <w:spacing w:before="50" w:after="50"/>
        <w:ind w:firstLine="540" w:firstLineChars="225"/>
        <w:rPr>
          <w:rFonts w:ascii="宋体" w:cs="宋体"/>
          <w:bCs/>
          <w:color w:val="auto"/>
          <w:sz w:val="24"/>
          <w:szCs w:val="24"/>
          <w:highlight w:val="none"/>
        </w:rPr>
      </w:pPr>
    </w:p>
    <w:p w14:paraId="0C84C1BE">
      <w:pPr>
        <w:pStyle w:val="7"/>
        <w:snapToGrid w:val="0"/>
        <w:spacing w:before="50" w:after="50"/>
        <w:ind w:firstLine="960" w:firstLineChars="400"/>
        <w:rPr>
          <w:rFonts w:ascii="宋体" w:cs="宋体"/>
          <w:bCs/>
          <w:color w:val="auto"/>
          <w:sz w:val="24"/>
          <w:szCs w:val="24"/>
          <w:highlight w:val="none"/>
        </w:rPr>
      </w:pPr>
    </w:p>
    <w:p w14:paraId="5A4A517C">
      <w:pPr>
        <w:snapToGrid w:val="0"/>
        <w:spacing w:before="166" w:beforeLines="50" w:after="50"/>
        <w:ind w:firstLine="645"/>
        <w:jc w:val="center"/>
        <w:rPr>
          <w:rFonts w:ascii="宋体" w:cs="宋体"/>
          <w:color w:val="auto"/>
          <w:sz w:val="24"/>
          <w:highlight w:val="none"/>
        </w:rPr>
      </w:pPr>
      <w:r>
        <w:rPr>
          <w:rFonts w:hint="eastAsia" w:ascii="宋体" w:cs="宋体"/>
          <w:color w:val="auto"/>
          <w:sz w:val="24"/>
          <w:highlight w:val="none"/>
        </w:rPr>
        <w:t>年    月    日</w:t>
      </w:r>
    </w:p>
    <w:p w14:paraId="0CECA022">
      <w:pPr>
        <w:widowControl/>
        <w:spacing w:line="360" w:lineRule="auto"/>
        <w:jc w:val="left"/>
        <w:rPr>
          <w:rFonts w:ascii="宋体" w:cs="宋体"/>
          <w:color w:val="auto"/>
          <w:sz w:val="30"/>
          <w:szCs w:val="20"/>
          <w:highlight w:val="none"/>
        </w:rPr>
        <w:sectPr>
          <w:pgSz w:w="11906" w:h="16838"/>
          <w:pgMar w:top="1134" w:right="1134" w:bottom="1134" w:left="1134" w:header="720" w:footer="720" w:gutter="0"/>
          <w:cols w:space="720" w:num="1"/>
          <w:docGrid w:type="lines" w:linePitch="331" w:charSpace="0"/>
        </w:sectPr>
      </w:pPr>
    </w:p>
    <w:p w14:paraId="51D81B77">
      <w:pPr>
        <w:rPr>
          <w:rFonts w:ascii="宋体" w:cs="宋体"/>
          <w:b/>
          <w:color w:val="auto"/>
          <w:kern w:val="0"/>
          <w:sz w:val="28"/>
          <w:szCs w:val="28"/>
          <w:highlight w:val="none"/>
        </w:rPr>
      </w:pPr>
      <w:r>
        <w:rPr>
          <w:rFonts w:hint="eastAsia" w:ascii="宋体" w:cs="宋体"/>
          <w:b/>
          <w:color w:val="auto"/>
          <w:kern w:val="0"/>
          <w:sz w:val="28"/>
          <w:szCs w:val="28"/>
          <w:highlight w:val="none"/>
        </w:rPr>
        <w:t>2.资格文件目录</w:t>
      </w:r>
    </w:p>
    <w:p w14:paraId="4E5C3D14">
      <w:pPr>
        <w:snapToGrid w:val="0"/>
        <w:spacing w:line="360" w:lineRule="auto"/>
        <w:rPr>
          <w:rFonts w:ascii="宋体" w:cs="宋体"/>
          <w:color w:val="auto"/>
          <w:kern w:val="0"/>
          <w:sz w:val="24"/>
          <w:highlight w:val="none"/>
        </w:rPr>
      </w:pPr>
      <w:r>
        <w:rPr>
          <w:rFonts w:hint="eastAsia" w:ascii="宋体" w:cs="宋体"/>
          <w:color w:val="auto"/>
          <w:kern w:val="0"/>
          <w:sz w:val="24"/>
          <w:highlight w:val="none"/>
        </w:rPr>
        <w:t>根据招标文件规定及投标人提供的材料自行编写目录（部分格式后附）。</w:t>
      </w:r>
    </w:p>
    <w:p w14:paraId="0A15E931">
      <w:pPr>
        <w:snapToGrid w:val="0"/>
        <w:spacing w:line="360" w:lineRule="auto"/>
        <w:rPr>
          <w:rFonts w:ascii="宋体" w:cs="宋体"/>
          <w:b/>
          <w:color w:val="auto"/>
          <w:kern w:val="0"/>
          <w:sz w:val="32"/>
          <w:szCs w:val="32"/>
          <w:highlight w:val="none"/>
          <w:lang w:val="zh-CN"/>
        </w:rPr>
      </w:pPr>
    </w:p>
    <w:p w14:paraId="55FC3DA3">
      <w:pPr>
        <w:snapToGrid w:val="0"/>
        <w:spacing w:line="360" w:lineRule="auto"/>
        <w:ind w:firstLine="5160" w:firstLineChars="2150"/>
        <w:rPr>
          <w:rFonts w:ascii="宋体" w:cs="宋体"/>
          <w:color w:val="auto"/>
          <w:kern w:val="0"/>
          <w:sz w:val="24"/>
          <w:highlight w:val="none"/>
          <w:lang w:val="zh-CN"/>
        </w:rPr>
      </w:pPr>
    </w:p>
    <w:p w14:paraId="7CFD9CB0">
      <w:pPr>
        <w:snapToGrid w:val="0"/>
        <w:spacing w:line="360" w:lineRule="auto"/>
        <w:ind w:right="480"/>
        <w:jc w:val="center"/>
        <w:rPr>
          <w:rFonts w:ascii="宋体" w:cs="宋体"/>
          <w:b/>
          <w:color w:val="auto"/>
          <w:kern w:val="0"/>
          <w:sz w:val="32"/>
          <w:szCs w:val="32"/>
          <w:highlight w:val="none"/>
          <w:lang w:val="zh-CN"/>
        </w:rPr>
      </w:pPr>
    </w:p>
    <w:p w14:paraId="43AFDB82">
      <w:pPr>
        <w:snapToGrid w:val="0"/>
        <w:spacing w:before="50" w:after="166" w:afterLines="50" w:line="360" w:lineRule="auto"/>
        <w:jc w:val="both"/>
        <w:rPr>
          <w:rFonts w:hint="eastAsia" w:ascii="宋体" w:cs="宋体"/>
          <w:b/>
          <w:color w:val="auto"/>
          <w:kern w:val="0"/>
          <w:sz w:val="32"/>
          <w:szCs w:val="32"/>
          <w:highlight w:val="none"/>
        </w:rPr>
        <w:sectPr>
          <w:pgSz w:w="11906" w:h="16838"/>
          <w:pgMar w:top="1134" w:right="1134" w:bottom="1134" w:left="1134" w:header="720" w:footer="720" w:gutter="0"/>
          <w:cols w:space="720" w:num="1"/>
          <w:docGrid w:type="lines" w:linePitch="331" w:charSpace="0"/>
        </w:sectPr>
      </w:pPr>
    </w:p>
    <w:p w14:paraId="58DAF875">
      <w:pPr>
        <w:widowControl/>
        <w:snapToGrid w:val="0"/>
        <w:spacing w:before="50" w:after="166" w:afterLines="50" w:line="360" w:lineRule="auto"/>
        <w:jc w:val="both"/>
        <w:rPr>
          <w:rFonts w:hint="eastAsia" w:ascii="宋体" w:hAnsi="Times New Roman" w:eastAsia="宋体" w:cs="宋体"/>
          <w:b/>
          <w:color w:val="auto"/>
          <w:kern w:val="0"/>
          <w:sz w:val="32"/>
          <w:szCs w:val="32"/>
          <w:highlight w:val="none"/>
        </w:rPr>
      </w:pPr>
      <w:r>
        <w:rPr>
          <w:rFonts w:hint="eastAsia" w:ascii="宋体" w:hAnsi="Times New Roman" w:eastAsia="宋体" w:cs="宋体"/>
          <w:b/>
          <w:bCs w:val="0"/>
          <w:color w:val="auto"/>
          <w:kern w:val="0"/>
          <w:sz w:val="32"/>
          <w:szCs w:val="32"/>
          <w:highlight w:val="none"/>
          <w:lang w:val="en-US" w:eastAsia="zh-CN"/>
        </w:rPr>
        <w:t>3.</w:t>
      </w:r>
      <w:r>
        <w:rPr>
          <w:rFonts w:hint="eastAsia" w:ascii="宋体" w:hAnsi="Times New Roman" w:eastAsia="宋体" w:cs="宋体"/>
          <w:b/>
          <w:bCs w:val="0"/>
          <w:color w:val="auto"/>
          <w:kern w:val="0"/>
          <w:sz w:val="32"/>
          <w:szCs w:val="32"/>
          <w:highlight w:val="none"/>
        </w:rPr>
        <w:t>崇左市政府采购供应商信用承诺函（格式）</w:t>
      </w:r>
    </w:p>
    <w:p w14:paraId="371794AE">
      <w:pPr>
        <w:widowControl/>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崇左市政府采购供应商信用承诺函</w:t>
      </w:r>
    </w:p>
    <w:p w14:paraId="04352C03">
      <w:pPr>
        <w:snapToGrid w:val="0"/>
        <w:spacing w:before="120" w:after="50" w:line="360" w:lineRule="auto"/>
        <w:ind w:firstLine="645"/>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致            （采购代理机构名称）: </w:t>
      </w:r>
    </w:p>
    <w:p w14:paraId="613E4932">
      <w:pPr>
        <w:snapToGrid w:val="0"/>
        <w:spacing w:before="120" w:after="50" w:line="360" w:lineRule="auto"/>
        <w:ind w:firstLine="645"/>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我方自愿参加         （项目名称）项目（项目编号：   ）的政府采购活动，严格 遵守《中华人民共和国政府采购法》及相关法律法规，依法诚信经营，无条件遵守本次政府采购活动的各项规定，并郑重承诺： </w:t>
      </w:r>
    </w:p>
    <w:p w14:paraId="1449906C">
      <w:pPr>
        <w:snapToGrid w:val="0"/>
        <w:spacing w:before="120" w:after="50" w:line="360" w:lineRule="auto"/>
        <w:ind w:firstLine="645"/>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1.我方具有独立承担民事责任的能力或我方属于银行、保险、石油石化、电力、电信等有行业特殊情况的法人的分支机构在参加本次政府采购活动前已取得总公司的授权。 </w:t>
      </w:r>
    </w:p>
    <w:p w14:paraId="1AB78A90">
      <w:pPr>
        <w:snapToGrid w:val="0"/>
        <w:spacing w:before="120" w:after="50" w:line="360" w:lineRule="auto"/>
        <w:ind w:firstLine="645"/>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2.我方具有符合采购文件资格要求的财务状况报告。 </w:t>
      </w:r>
    </w:p>
    <w:p w14:paraId="31B1510A">
      <w:pPr>
        <w:snapToGrid w:val="0"/>
        <w:spacing w:before="120" w:after="50" w:line="360" w:lineRule="auto"/>
        <w:ind w:firstLine="645"/>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3.我方具有符合采购文件资格要求的依法缴纳税收和社会保障资金的良好记录。 </w:t>
      </w:r>
    </w:p>
    <w:p w14:paraId="4A25CD05">
      <w:pPr>
        <w:snapToGrid w:val="0"/>
        <w:spacing w:before="120" w:after="50" w:line="360" w:lineRule="auto"/>
        <w:ind w:firstLine="645"/>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4.我方具有符合采购文件资格要求履行合同所必需的设备和专业技术能力。 </w:t>
      </w:r>
    </w:p>
    <w:p w14:paraId="420746CA">
      <w:pPr>
        <w:snapToGrid w:val="0"/>
        <w:spacing w:before="120" w:after="50" w:line="360" w:lineRule="auto"/>
        <w:ind w:firstLine="645"/>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5.我方参加政府采购活动前 3 年内在经营活动中没有重大违法记录。 </w:t>
      </w:r>
    </w:p>
    <w:p w14:paraId="2B80D9CC">
      <w:pPr>
        <w:snapToGrid w:val="0"/>
        <w:spacing w:before="120" w:after="50" w:line="360" w:lineRule="auto"/>
        <w:ind w:firstLine="645"/>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我方对以上承诺内容的真实性负责。如有虚假，将依法承担相应责任。 </w:t>
      </w:r>
    </w:p>
    <w:p w14:paraId="01C8EE15">
      <w:pPr>
        <w:snapToGrid w:val="0"/>
        <w:spacing w:before="120" w:after="50" w:line="360" w:lineRule="auto"/>
        <w:ind w:firstLine="645"/>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供应商名称（盖公章）： </w:t>
      </w:r>
    </w:p>
    <w:p w14:paraId="0797619E">
      <w:pPr>
        <w:snapToGrid w:val="0"/>
        <w:spacing w:before="120" w:after="50" w:line="360" w:lineRule="auto"/>
        <w:ind w:firstLine="645"/>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日期： </w:t>
      </w:r>
    </w:p>
    <w:p w14:paraId="653978A6">
      <w:pPr>
        <w:snapToGrid w:val="0"/>
        <w:spacing w:before="120" w:after="50" w:line="360" w:lineRule="auto"/>
        <w:ind w:firstLine="645"/>
        <w:rPr>
          <w:rFonts w:hint="eastAsia" w:ascii="宋体" w:hAnsi="宋体" w:eastAsia="宋体" w:cs="宋体"/>
          <w:color w:val="auto"/>
          <w:sz w:val="24"/>
          <w:highlight w:val="none"/>
        </w:rPr>
      </w:pPr>
      <w:r>
        <w:rPr>
          <w:rFonts w:hint="eastAsia" w:ascii="宋体" w:hAnsi="宋体" w:eastAsia="宋体" w:cs="宋体"/>
          <w:color w:val="auto"/>
          <w:sz w:val="24"/>
          <w:highlight w:val="none"/>
        </w:rPr>
        <w:t>注：1.参与政府采购活动的供应商可按第 1 点的内容：“我方具有独立承担民事责任的能 力或我方属于银行、保险、石油石化、电力、电信等有行业特殊情况的法人的分支机构 在参加本次政府采购活动前已取得总公司的授权。”进行承诺，也可以根据自身的真实情况选择以下 2 种方式进行承诺：一是“我方具有独立承担民事责任的能力”进行承诺； 二是“我方属于银行、保险、石油石化、电力、电信等有行业特殊情况的法人的分支机 构在参加本次政府采购活动前已取得总公司的授权”进行承诺。参加政府采购活动的供 应商只要第 1 点承诺的内容包含有：具有独立承担民事责任的能力、在参加本次政府采购活动前已取得总公司的授权等内容的即为有效的承诺。</w:t>
      </w:r>
    </w:p>
    <w:p w14:paraId="2E3B7099">
      <w:pPr>
        <w:ind w:firstLine="720" w:firstLineChars="300"/>
        <w:rPr>
          <w:rFonts w:hint="eastAsia" w:ascii="宋体" w:hAnsi="宋体" w:eastAsia="宋体" w:cs="宋体"/>
          <w:color w:val="auto"/>
          <w:sz w:val="24"/>
          <w:highlight w:val="none"/>
        </w:rPr>
      </w:pPr>
      <w:r>
        <w:rPr>
          <w:rFonts w:hint="eastAsia" w:ascii="宋体" w:hAnsi="宋体" w:eastAsia="宋体" w:cs="宋体"/>
          <w:color w:val="auto"/>
          <w:sz w:val="24"/>
          <w:highlight w:val="none"/>
        </w:rPr>
        <w:t>2.第 1 点所指的行业特殊情况使用了“等”字表示列举未尽，即行业特殊情况包含但不限于银行、保险、石油石化、电力、电信。</w:t>
      </w:r>
    </w:p>
    <w:p w14:paraId="0DB73F8E">
      <w:pPr>
        <w:snapToGrid w:val="0"/>
        <w:spacing w:before="50" w:after="166" w:afterLines="50" w:line="360" w:lineRule="auto"/>
        <w:jc w:val="both"/>
        <w:rPr>
          <w:rFonts w:hint="eastAsia" w:ascii="宋体" w:hAnsi="宋体" w:eastAsia="宋体" w:cs="宋体"/>
          <w:b/>
          <w:color w:val="auto"/>
          <w:kern w:val="0"/>
          <w:sz w:val="32"/>
          <w:szCs w:val="32"/>
          <w:highlight w:val="none"/>
        </w:rPr>
        <w:sectPr>
          <w:pgSz w:w="11906" w:h="16838"/>
          <w:pgMar w:top="1134" w:right="1134" w:bottom="1134" w:left="1134" w:header="720" w:footer="720" w:gutter="0"/>
          <w:cols w:space="720" w:num="1"/>
          <w:docGrid w:type="lines" w:linePitch="331" w:charSpace="0"/>
        </w:sectPr>
      </w:pPr>
    </w:p>
    <w:p w14:paraId="147B2753">
      <w:pPr>
        <w:snapToGrid w:val="0"/>
        <w:spacing w:before="50" w:after="166" w:afterLines="50" w:line="360" w:lineRule="auto"/>
        <w:jc w:val="both"/>
        <w:rPr>
          <w:rFonts w:hint="eastAsia" w:ascii="宋体" w:hAnsi="宋体" w:eastAsia="宋体" w:cs="宋体"/>
          <w:b/>
          <w:color w:val="auto"/>
          <w:kern w:val="0"/>
          <w:sz w:val="28"/>
          <w:szCs w:val="28"/>
          <w:highlight w:val="none"/>
        </w:rPr>
      </w:pPr>
      <w:r>
        <w:rPr>
          <w:rFonts w:hint="eastAsia" w:ascii="宋体" w:cs="宋体"/>
          <w:b/>
          <w:color w:val="auto"/>
          <w:kern w:val="0"/>
          <w:sz w:val="32"/>
          <w:szCs w:val="32"/>
          <w:highlight w:val="none"/>
          <w:lang w:val="en-US" w:eastAsia="zh-CN"/>
        </w:rPr>
        <w:t>4</w:t>
      </w:r>
      <w:r>
        <w:rPr>
          <w:rFonts w:hint="eastAsia" w:ascii="宋体" w:hAnsi="宋体" w:eastAsia="宋体" w:cs="宋体"/>
          <w:b/>
          <w:color w:val="auto"/>
          <w:kern w:val="0"/>
          <w:sz w:val="28"/>
          <w:szCs w:val="28"/>
          <w:highlight w:val="none"/>
        </w:rPr>
        <w:t>.</w:t>
      </w:r>
      <w:r>
        <w:rPr>
          <w:rFonts w:hint="eastAsia" w:ascii="宋体" w:hAnsi="宋体" w:eastAsia="宋体" w:cs="宋体"/>
          <w:b/>
          <w:color w:val="auto"/>
          <w:kern w:val="2"/>
          <w:sz w:val="28"/>
          <w:szCs w:val="28"/>
          <w:highlight w:val="none"/>
        </w:rPr>
        <w:t>投标人直接控股股东信息表</w:t>
      </w:r>
      <w:r>
        <w:rPr>
          <w:rFonts w:hint="eastAsia" w:ascii="宋体" w:hAnsi="宋体" w:eastAsia="宋体" w:cs="宋体"/>
          <w:b/>
          <w:color w:val="auto"/>
          <w:sz w:val="28"/>
          <w:szCs w:val="28"/>
          <w:highlight w:val="none"/>
          <w:lang w:eastAsia="zh-CN"/>
        </w:rPr>
        <w:t>格式</w:t>
      </w:r>
      <w:r>
        <w:rPr>
          <w:rFonts w:hint="eastAsia" w:ascii="宋体" w:hAnsi="宋体" w:eastAsia="宋体" w:cs="宋体"/>
          <w:color w:val="auto"/>
          <w:sz w:val="28"/>
          <w:szCs w:val="28"/>
          <w:highlight w:val="none"/>
          <w:lang w:eastAsia="zh-CN"/>
        </w:rPr>
        <w:t>：</w:t>
      </w:r>
    </w:p>
    <w:p w14:paraId="4AC1DA9A">
      <w:pPr>
        <w:snapToGrid w:val="0"/>
        <w:spacing w:before="50" w:after="166" w:afterLines="50" w:line="360" w:lineRule="auto"/>
        <w:jc w:val="center"/>
        <w:rPr>
          <w:rFonts w:hint="eastAsia" w:ascii="仿宋_GB2312" w:hAnsi="仿宋" w:eastAsia="仿宋_GB2312" w:cs="仿宋_GB2312"/>
          <w:b/>
          <w:color w:val="auto"/>
          <w:kern w:val="0"/>
          <w:sz w:val="32"/>
          <w:szCs w:val="32"/>
          <w:highlight w:val="none"/>
        </w:rPr>
      </w:pPr>
      <w:r>
        <w:rPr>
          <w:rFonts w:hint="eastAsia" w:ascii="宋体" w:hAnsi="宋体" w:eastAsia="宋体" w:cs="宋体"/>
          <w:b/>
          <w:color w:val="auto"/>
          <w:kern w:val="2"/>
          <w:sz w:val="28"/>
          <w:szCs w:val="28"/>
          <w:highlight w:val="none"/>
        </w:rPr>
        <w:t>投标人直接控股股东信息表</w:t>
      </w:r>
    </w:p>
    <w:tbl>
      <w:tblPr>
        <w:tblStyle w:val="29"/>
        <w:tblW w:w="0" w:type="auto"/>
        <w:tblInd w:w="1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Layout w:type="fixed"/>
        <w:tblCellMar>
          <w:top w:w="0" w:type="dxa"/>
          <w:left w:w="0" w:type="dxa"/>
          <w:bottom w:w="0" w:type="dxa"/>
          <w:right w:w="0" w:type="dxa"/>
        </w:tblCellMar>
      </w:tblPr>
      <w:tblGrid>
        <w:gridCol w:w="828"/>
        <w:gridCol w:w="2269"/>
        <w:gridCol w:w="1239"/>
        <w:gridCol w:w="3879"/>
        <w:gridCol w:w="1261"/>
      </w:tblGrid>
      <w:tr w14:paraId="702DF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07839C8">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3A96500">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81B0895">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387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6A33F4D">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1261"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498C05E">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6DBD4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69729F">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A65BBAC">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0639193">
            <w:pPr>
              <w:spacing w:line="360" w:lineRule="auto"/>
              <w:jc w:val="center"/>
              <w:rPr>
                <w:rFonts w:hint="eastAsia"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9FD247">
            <w:pPr>
              <w:spacing w:line="360" w:lineRule="auto"/>
              <w:jc w:val="center"/>
              <w:rPr>
                <w:rFonts w:hint="eastAsia"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120AC5">
            <w:pPr>
              <w:spacing w:line="360" w:lineRule="auto"/>
              <w:jc w:val="center"/>
              <w:rPr>
                <w:rFonts w:hint="eastAsia" w:ascii="宋体" w:hAnsi="宋体" w:cs="宋体"/>
                <w:color w:val="auto"/>
                <w:kern w:val="0"/>
                <w:sz w:val="24"/>
                <w:highlight w:val="none"/>
              </w:rPr>
            </w:pPr>
          </w:p>
        </w:tc>
      </w:tr>
      <w:tr w14:paraId="09C6A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4E52D5">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7AD695">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D026CA">
            <w:pPr>
              <w:spacing w:line="360" w:lineRule="auto"/>
              <w:jc w:val="center"/>
              <w:rPr>
                <w:rFonts w:hint="eastAsia"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050CBD">
            <w:pPr>
              <w:spacing w:line="360" w:lineRule="auto"/>
              <w:jc w:val="center"/>
              <w:rPr>
                <w:rFonts w:hint="eastAsia"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3C81950">
            <w:pPr>
              <w:spacing w:line="360" w:lineRule="auto"/>
              <w:jc w:val="center"/>
              <w:rPr>
                <w:rFonts w:hint="eastAsia" w:ascii="宋体" w:hAnsi="宋体" w:cs="宋体"/>
                <w:color w:val="auto"/>
                <w:kern w:val="0"/>
                <w:sz w:val="24"/>
                <w:highlight w:val="none"/>
              </w:rPr>
            </w:pPr>
          </w:p>
        </w:tc>
      </w:tr>
      <w:tr w14:paraId="301D2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FFD9CE6">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6E317B">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5FE00FD">
            <w:pPr>
              <w:spacing w:line="360" w:lineRule="auto"/>
              <w:jc w:val="center"/>
              <w:rPr>
                <w:rFonts w:hint="eastAsia"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F29A730">
            <w:pPr>
              <w:spacing w:line="360" w:lineRule="auto"/>
              <w:jc w:val="center"/>
              <w:rPr>
                <w:rFonts w:hint="eastAsia"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DDAE25">
            <w:pPr>
              <w:spacing w:line="360" w:lineRule="auto"/>
              <w:jc w:val="center"/>
              <w:rPr>
                <w:rFonts w:hint="eastAsia" w:ascii="宋体" w:hAnsi="宋体" w:cs="宋体"/>
                <w:color w:val="auto"/>
                <w:kern w:val="0"/>
                <w:sz w:val="24"/>
                <w:highlight w:val="none"/>
              </w:rPr>
            </w:pPr>
          </w:p>
        </w:tc>
      </w:tr>
      <w:tr w14:paraId="4922A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0D7056D">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7D7F01A">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0E94EA">
            <w:pPr>
              <w:spacing w:line="360" w:lineRule="auto"/>
              <w:jc w:val="center"/>
              <w:rPr>
                <w:rFonts w:hint="eastAsia"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5314AC">
            <w:pPr>
              <w:spacing w:line="360" w:lineRule="auto"/>
              <w:jc w:val="center"/>
              <w:rPr>
                <w:rFonts w:hint="eastAsia"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F9ECAE">
            <w:pPr>
              <w:spacing w:line="360" w:lineRule="auto"/>
              <w:jc w:val="center"/>
              <w:rPr>
                <w:rFonts w:hint="eastAsia" w:ascii="宋体" w:hAnsi="宋体" w:cs="宋体"/>
                <w:color w:val="auto"/>
                <w:kern w:val="0"/>
                <w:sz w:val="24"/>
                <w:highlight w:val="none"/>
              </w:rPr>
            </w:pPr>
          </w:p>
        </w:tc>
      </w:tr>
    </w:tbl>
    <w:p w14:paraId="5BC6FF3F">
      <w:pPr>
        <w:snapToGrid w:val="0"/>
        <w:spacing w:line="360" w:lineRule="auto"/>
        <w:jc w:val="left"/>
        <w:rPr>
          <w:rFonts w:hint="eastAsia" w:ascii="宋体" w:hAnsi="宋体"/>
          <w:color w:val="auto"/>
          <w:sz w:val="24"/>
          <w:szCs w:val="24"/>
          <w:highlight w:val="none"/>
        </w:rPr>
      </w:pPr>
    </w:p>
    <w:p w14:paraId="60D973A0">
      <w:pPr>
        <w:snapToGrid w:val="0"/>
        <w:spacing w:line="360" w:lineRule="auto"/>
        <w:jc w:val="left"/>
        <w:rPr>
          <w:rFonts w:hint="eastAsia" w:ascii="宋体" w:hAnsi="宋体"/>
          <w:color w:val="auto"/>
          <w:sz w:val="24"/>
          <w:szCs w:val="24"/>
          <w:highlight w:val="none"/>
        </w:rPr>
      </w:pPr>
      <w:r>
        <w:rPr>
          <w:rFonts w:hint="eastAsia" w:ascii="宋体" w:hAnsi="宋体"/>
          <w:color w:val="auto"/>
          <w:sz w:val="24"/>
          <w:szCs w:val="24"/>
          <w:highlight w:val="none"/>
        </w:rPr>
        <w:t>注：</w:t>
      </w:r>
    </w:p>
    <w:p w14:paraId="02A4D3A8">
      <w:pPr>
        <w:snapToGrid w:val="0"/>
        <w:spacing w:line="360" w:lineRule="auto"/>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32FB12">
      <w:pPr>
        <w:snapToGrid w:val="0"/>
        <w:spacing w:line="360" w:lineRule="auto"/>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2.本表所指的控股关系仅限于直接控股关系，不包括间接的控股关系。公司实际控制人与公司之间的关系不属于本表所指的直接控股关系。</w:t>
      </w:r>
    </w:p>
    <w:p w14:paraId="0813C74C">
      <w:pPr>
        <w:snapToGrid w:val="0"/>
        <w:spacing w:line="360" w:lineRule="auto"/>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不存在直接控股股东的，则填“无”。</w:t>
      </w:r>
    </w:p>
    <w:p w14:paraId="0A4AB234">
      <w:pPr>
        <w:snapToGrid w:val="0"/>
        <w:spacing w:line="360" w:lineRule="auto"/>
        <w:jc w:val="left"/>
        <w:rPr>
          <w:rFonts w:hint="eastAsia" w:ascii="宋体" w:hAnsi="宋体"/>
          <w:color w:val="auto"/>
          <w:sz w:val="24"/>
          <w:highlight w:val="none"/>
        </w:rPr>
      </w:pPr>
    </w:p>
    <w:p w14:paraId="46EF577D">
      <w:pPr>
        <w:snapToGrid w:val="0"/>
        <w:spacing w:line="360" w:lineRule="auto"/>
        <w:jc w:val="left"/>
        <w:rPr>
          <w:rFonts w:hint="eastAsia" w:ascii="宋体" w:hAnsi="宋体"/>
          <w:color w:val="auto"/>
          <w:sz w:val="24"/>
          <w:highlight w:val="none"/>
        </w:rPr>
      </w:pPr>
    </w:p>
    <w:p w14:paraId="17D03C4B">
      <w:pPr>
        <w:snapToGrid w:val="0"/>
        <w:spacing w:line="360" w:lineRule="auto"/>
        <w:ind w:firstLine="0"/>
        <w:jc w:val="center"/>
        <w:rPr>
          <w:rFonts w:hint="eastAsia" w:ascii="宋体" w:hAnsi="宋体" w:eastAsia="宋体" w:cs="Times New Roman"/>
          <w:color w:val="auto"/>
          <w:kern w:val="2"/>
          <w:sz w:val="24"/>
          <w:highlight w:val="none"/>
          <w:lang w:val="zh-CN"/>
        </w:rPr>
      </w:pPr>
      <w:r>
        <w:rPr>
          <w:rFonts w:hint="eastAsia" w:ascii="宋体" w:hAnsi="宋体" w:eastAsia="宋体" w:cs="Times New Roman"/>
          <w:color w:val="auto"/>
          <w:kern w:val="2"/>
          <w:sz w:val="24"/>
          <w:highlight w:val="none"/>
          <w:lang w:val="en-US" w:eastAsia="zh-CN"/>
        </w:rPr>
        <w:t xml:space="preserve">   </w:t>
      </w:r>
      <w:r>
        <w:rPr>
          <w:rFonts w:hint="eastAsia" w:ascii="宋体" w:hAnsi="宋体" w:eastAsia="宋体" w:cs="Times New Roman"/>
          <w:color w:val="auto"/>
          <w:kern w:val="2"/>
          <w:sz w:val="24"/>
          <w:highlight w:val="none"/>
          <w:lang w:val="zh-CN"/>
        </w:rPr>
        <w:t>投标人名称（盖公章）：</w:t>
      </w:r>
    </w:p>
    <w:p w14:paraId="74954D67">
      <w:pPr>
        <w:snapToGrid w:val="0"/>
        <w:spacing w:line="360" w:lineRule="auto"/>
        <w:ind w:firstLine="0"/>
        <w:jc w:val="center"/>
        <w:rPr>
          <w:rFonts w:hint="eastAsia" w:ascii="宋体" w:hAnsi="宋体" w:eastAsia="宋体" w:cs="Times New Roman"/>
          <w:color w:val="auto"/>
          <w:kern w:val="2"/>
          <w:sz w:val="24"/>
          <w:highlight w:val="none"/>
          <w:lang w:val="zh-CN"/>
        </w:rPr>
      </w:pPr>
      <w:r>
        <w:rPr>
          <w:rFonts w:hint="eastAsia" w:ascii="宋体" w:hAnsi="宋体" w:eastAsia="宋体" w:cs="Times New Roman"/>
          <w:color w:val="auto"/>
          <w:kern w:val="2"/>
          <w:sz w:val="24"/>
          <w:highlight w:val="none"/>
          <w:lang w:val="en-US" w:eastAsia="zh-CN"/>
        </w:rPr>
        <w:t xml:space="preserve">     </w:t>
      </w:r>
      <w:r>
        <w:rPr>
          <w:rFonts w:hint="eastAsia" w:ascii="宋体" w:hAnsi="宋体" w:eastAsia="宋体" w:cs="Times New Roman"/>
          <w:color w:val="auto"/>
          <w:kern w:val="2"/>
          <w:sz w:val="24"/>
          <w:highlight w:val="none"/>
          <w:lang w:val="zh-CN"/>
        </w:rPr>
        <w:t>日期</w:t>
      </w:r>
      <w:r>
        <w:rPr>
          <w:rFonts w:hint="eastAsia" w:ascii="宋体" w:hAnsi="宋体" w:eastAsia="宋体" w:cs="Times New Roman"/>
          <w:color w:val="auto"/>
          <w:kern w:val="2"/>
          <w:sz w:val="24"/>
          <w:highlight w:val="none"/>
        </w:rPr>
        <w:t>：</w:t>
      </w:r>
      <w:r>
        <w:rPr>
          <w:rFonts w:hint="eastAsia" w:ascii="宋体" w:hAnsi="宋体" w:eastAsia="宋体" w:cs="Times New Roman"/>
          <w:color w:val="auto"/>
          <w:kern w:val="2"/>
          <w:sz w:val="24"/>
          <w:highlight w:val="none"/>
          <w:lang w:val="en-US" w:eastAsia="zh-CN"/>
        </w:rPr>
        <w:t xml:space="preserve">    </w:t>
      </w:r>
      <w:r>
        <w:rPr>
          <w:rFonts w:hint="eastAsia" w:ascii="宋体" w:hAnsi="宋体" w:eastAsia="宋体" w:cs="Times New Roman"/>
          <w:color w:val="auto"/>
          <w:kern w:val="2"/>
          <w:sz w:val="24"/>
          <w:highlight w:val="none"/>
        </w:rPr>
        <w:t>年</w:t>
      </w:r>
      <w:r>
        <w:rPr>
          <w:rFonts w:hint="eastAsia" w:ascii="宋体" w:hAnsi="宋体" w:eastAsia="宋体" w:cs="Times New Roman"/>
          <w:color w:val="auto"/>
          <w:kern w:val="2"/>
          <w:sz w:val="24"/>
          <w:highlight w:val="none"/>
          <w:lang w:val="en-US" w:eastAsia="zh-CN"/>
        </w:rPr>
        <w:t xml:space="preserve">    </w:t>
      </w:r>
      <w:r>
        <w:rPr>
          <w:rFonts w:hint="eastAsia" w:ascii="宋体" w:hAnsi="宋体" w:eastAsia="宋体" w:cs="Times New Roman"/>
          <w:color w:val="auto"/>
          <w:kern w:val="2"/>
          <w:sz w:val="24"/>
          <w:highlight w:val="none"/>
          <w:lang w:val="zh-CN"/>
        </w:rPr>
        <w:t>月</w:t>
      </w:r>
      <w:r>
        <w:rPr>
          <w:rFonts w:hint="eastAsia" w:ascii="宋体" w:hAnsi="宋体" w:eastAsia="宋体" w:cs="Times New Roman"/>
          <w:color w:val="auto"/>
          <w:kern w:val="2"/>
          <w:sz w:val="24"/>
          <w:highlight w:val="none"/>
          <w:lang w:val="en-US" w:eastAsia="zh-CN"/>
        </w:rPr>
        <w:t xml:space="preserve">    </w:t>
      </w:r>
      <w:r>
        <w:rPr>
          <w:rFonts w:hint="eastAsia" w:ascii="宋体" w:hAnsi="宋体" w:eastAsia="宋体" w:cs="Times New Roman"/>
          <w:color w:val="auto"/>
          <w:kern w:val="2"/>
          <w:sz w:val="24"/>
          <w:highlight w:val="none"/>
          <w:lang w:val="zh-CN"/>
        </w:rPr>
        <w:t>日</w:t>
      </w:r>
    </w:p>
    <w:p w14:paraId="509297BA">
      <w:pPr>
        <w:snapToGrid w:val="0"/>
        <w:jc w:val="both"/>
        <w:rPr>
          <w:rFonts w:hint="eastAsia" w:ascii="宋体" w:hAnsi="宋体"/>
          <w:b/>
          <w:color w:val="auto"/>
          <w:sz w:val="28"/>
          <w:szCs w:val="28"/>
          <w:highlight w:val="none"/>
        </w:rPr>
      </w:pPr>
      <w:r>
        <w:rPr>
          <w:rFonts w:hint="eastAsia" w:ascii="宋体" w:hAnsi="宋体"/>
          <w:b/>
          <w:color w:val="auto"/>
          <w:sz w:val="28"/>
          <w:szCs w:val="28"/>
          <w:highlight w:val="none"/>
        </w:rPr>
        <w:br w:type="page"/>
      </w:r>
      <w:r>
        <w:rPr>
          <w:rFonts w:hint="eastAsia" w:ascii="宋体" w:hAnsi="宋体" w:cs="宋体"/>
          <w:b/>
          <w:color w:val="auto"/>
          <w:kern w:val="0"/>
          <w:sz w:val="28"/>
          <w:szCs w:val="28"/>
          <w:highlight w:val="none"/>
          <w:lang w:val="en-US" w:eastAsia="zh-CN"/>
        </w:rPr>
        <w:t>5.</w:t>
      </w:r>
      <w:r>
        <w:rPr>
          <w:rFonts w:hint="eastAsia" w:ascii="宋体" w:hAnsi="宋体"/>
          <w:b/>
          <w:color w:val="auto"/>
          <w:sz w:val="28"/>
          <w:szCs w:val="28"/>
          <w:highlight w:val="none"/>
        </w:rPr>
        <w:t>投标人直接管理关系信息表</w:t>
      </w:r>
      <w:r>
        <w:rPr>
          <w:rFonts w:hint="eastAsia" w:ascii="宋体" w:hAnsi="宋体" w:cs="宋体"/>
          <w:b/>
          <w:color w:val="auto"/>
          <w:sz w:val="28"/>
          <w:szCs w:val="28"/>
          <w:highlight w:val="none"/>
          <w:lang w:eastAsia="zh-CN"/>
        </w:rPr>
        <w:t>格式</w:t>
      </w:r>
      <w:r>
        <w:rPr>
          <w:rFonts w:hint="eastAsia"/>
          <w:color w:val="auto"/>
          <w:sz w:val="28"/>
          <w:szCs w:val="28"/>
          <w:highlight w:val="none"/>
          <w:lang w:eastAsia="zh-CN"/>
        </w:rPr>
        <w:t>：</w:t>
      </w:r>
    </w:p>
    <w:p w14:paraId="387AA148">
      <w:pPr>
        <w:snapToGrid w:val="0"/>
        <w:spacing w:line="360" w:lineRule="auto"/>
        <w:jc w:val="center"/>
        <w:rPr>
          <w:rFonts w:hint="eastAsia" w:ascii="宋体" w:hAnsi="宋体"/>
          <w:b/>
          <w:color w:val="auto"/>
          <w:sz w:val="32"/>
          <w:szCs w:val="32"/>
          <w:highlight w:val="none"/>
        </w:rPr>
      </w:pPr>
    </w:p>
    <w:p w14:paraId="0BC2E500">
      <w:pPr>
        <w:snapToGrid w:val="0"/>
        <w:spacing w:line="360" w:lineRule="auto"/>
        <w:jc w:val="center"/>
        <w:rPr>
          <w:rFonts w:hint="eastAsia" w:ascii="宋体" w:hAnsi="宋体"/>
          <w:color w:val="auto"/>
          <w:sz w:val="32"/>
          <w:szCs w:val="32"/>
          <w:highlight w:val="none"/>
        </w:rPr>
      </w:pPr>
      <w:r>
        <w:rPr>
          <w:rFonts w:hint="eastAsia" w:ascii="宋体" w:hAnsi="宋体"/>
          <w:b/>
          <w:color w:val="auto"/>
          <w:sz w:val="28"/>
          <w:szCs w:val="28"/>
          <w:highlight w:val="none"/>
        </w:rPr>
        <w:t>投标人直接管理关系信息表</w:t>
      </w:r>
    </w:p>
    <w:tbl>
      <w:tblPr>
        <w:tblStyle w:val="29"/>
        <w:tblW w:w="0" w:type="auto"/>
        <w:tblInd w:w="1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Layout w:type="fixed"/>
        <w:tblCellMar>
          <w:top w:w="0" w:type="dxa"/>
          <w:left w:w="0" w:type="dxa"/>
          <w:bottom w:w="0" w:type="dxa"/>
          <w:right w:w="0" w:type="dxa"/>
        </w:tblCellMar>
      </w:tblPr>
      <w:tblGrid>
        <w:gridCol w:w="1005"/>
        <w:gridCol w:w="2659"/>
        <w:gridCol w:w="3924"/>
        <w:gridCol w:w="2064"/>
      </w:tblGrid>
      <w:tr w14:paraId="4F5DB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F8571CA">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BFF9165">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2C96568">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577EF3D">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4BF09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FBEDE9">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F2A31C7">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DECD54">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172C0D4">
            <w:pPr>
              <w:spacing w:line="360" w:lineRule="auto"/>
              <w:jc w:val="center"/>
              <w:rPr>
                <w:rFonts w:hint="eastAsia" w:ascii="宋体" w:hAnsi="宋体" w:cs="宋体"/>
                <w:color w:val="auto"/>
                <w:kern w:val="0"/>
                <w:sz w:val="24"/>
                <w:highlight w:val="none"/>
              </w:rPr>
            </w:pPr>
          </w:p>
        </w:tc>
      </w:tr>
      <w:tr w14:paraId="4E70D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2CB1190">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C6B577">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24A2419">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90E2F8A">
            <w:pPr>
              <w:spacing w:line="360" w:lineRule="auto"/>
              <w:jc w:val="center"/>
              <w:rPr>
                <w:rFonts w:hint="eastAsia" w:ascii="宋体" w:hAnsi="宋体" w:cs="宋体"/>
                <w:color w:val="auto"/>
                <w:kern w:val="0"/>
                <w:sz w:val="24"/>
                <w:highlight w:val="none"/>
              </w:rPr>
            </w:pPr>
          </w:p>
        </w:tc>
      </w:tr>
      <w:tr w14:paraId="20545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B6FCC1">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D54391F">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DA59AEE">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2C970B">
            <w:pPr>
              <w:spacing w:line="360" w:lineRule="auto"/>
              <w:jc w:val="center"/>
              <w:rPr>
                <w:rFonts w:hint="eastAsia" w:ascii="宋体" w:hAnsi="宋体" w:cs="宋体"/>
                <w:color w:val="auto"/>
                <w:kern w:val="0"/>
                <w:sz w:val="24"/>
                <w:highlight w:val="none"/>
              </w:rPr>
            </w:pPr>
          </w:p>
        </w:tc>
      </w:tr>
      <w:tr w14:paraId="046C9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28EF38C">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58D55B6">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331651">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BBF990">
            <w:pPr>
              <w:spacing w:line="360" w:lineRule="auto"/>
              <w:jc w:val="center"/>
              <w:rPr>
                <w:rFonts w:hint="eastAsia" w:ascii="宋体" w:hAnsi="宋体" w:cs="宋体"/>
                <w:color w:val="auto"/>
                <w:kern w:val="0"/>
                <w:sz w:val="24"/>
                <w:highlight w:val="none"/>
              </w:rPr>
            </w:pPr>
          </w:p>
        </w:tc>
      </w:tr>
    </w:tbl>
    <w:p w14:paraId="464911FF">
      <w:pPr>
        <w:snapToGrid w:val="0"/>
        <w:spacing w:line="360" w:lineRule="auto"/>
        <w:jc w:val="left"/>
        <w:rPr>
          <w:rFonts w:hint="eastAsia" w:ascii="宋体" w:hAnsi="宋体"/>
          <w:color w:val="auto"/>
          <w:sz w:val="21"/>
          <w:szCs w:val="21"/>
          <w:highlight w:val="none"/>
        </w:rPr>
      </w:pPr>
    </w:p>
    <w:p w14:paraId="0799DF3C">
      <w:pPr>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566ADDE2">
      <w:pPr>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1.管理关系：是指不具有出资持股关系的其他单位之间存在的管理与被管理关系，如一些上下级关系的事业单位和团体组织。</w:t>
      </w:r>
    </w:p>
    <w:p w14:paraId="735927DA">
      <w:pPr>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pacing w:val="-6"/>
          <w:sz w:val="24"/>
          <w:szCs w:val="24"/>
          <w:highlight w:val="none"/>
        </w:rPr>
        <w:t>本表所指的管理关系仅限于直接管理关系，不包括间接的管理关系。</w:t>
      </w:r>
    </w:p>
    <w:p w14:paraId="2B278C12">
      <w:pPr>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不存在直接管理关系的，则填“无”。</w:t>
      </w:r>
    </w:p>
    <w:p w14:paraId="462F9678">
      <w:pPr>
        <w:snapToGrid w:val="0"/>
        <w:spacing w:line="360" w:lineRule="auto"/>
        <w:jc w:val="left"/>
        <w:rPr>
          <w:color w:val="auto"/>
          <w:sz w:val="24"/>
          <w:highlight w:val="none"/>
        </w:rPr>
      </w:pPr>
    </w:p>
    <w:p w14:paraId="5D1EAD37">
      <w:pPr>
        <w:snapToGrid w:val="0"/>
        <w:spacing w:line="360" w:lineRule="auto"/>
        <w:jc w:val="left"/>
        <w:rPr>
          <w:rFonts w:ascii="宋体" w:hAnsi="宋体"/>
          <w:color w:val="auto"/>
          <w:sz w:val="24"/>
          <w:highlight w:val="none"/>
        </w:rPr>
      </w:pPr>
    </w:p>
    <w:p w14:paraId="7B4777D1">
      <w:pPr>
        <w:snapToGrid w:val="0"/>
        <w:spacing w:line="360" w:lineRule="auto"/>
        <w:jc w:val="left"/>
        <w:rPr>
          <w:rFonts w:hint="eastAsia" w:ascii="宋体" w:hAnsi="宋体"/>
          <w:color w:val="auto"/>
          <w:sz w:val="24"/>
          <w:highlight w:val="none"/>
        </w:rPr>
      </w:pPr>
    </w:p>
    <w:p w14:paraId="5E939DFD">
      <w:pPr>
        <w:snapToGrid/>
        <w:spacing w:line="360" w:lineRule="auto"/>
        <w:ind w:firstLine="0"/>
        <w:jc w:val="center"/>
        <w:rPr>
          <w:rFonts w:hint="eastAsia" w:ascii="宋体" w:hAnsi="宋体" w:eastAsia="宋体" w:cs="宋体"/>
          <w:b w:val="0"/>
          <w:bCs w:val="0"/>
          <w:color w:val="auto"/>
          <w:kern w:val="0"/>
          <w:sz w:val="24"/>
          <w:highlight w:val="none"/>
          <w:lang w:val="zh-CN"/>
        </w:rPr>
      </w:pPr>
      <w:r>
        <w:rPr>
          <w:rFonts w:hint="eastAsia" w:ascii="宋体" w:hAnsi="宋体" w:eastAsia="宋体" w:cs="宋体"/>
          <w:b w:val="0"/>
          <w:bCs w:val="0"/>
          <w:color w:val="auto"/>
          <w:kern w:val="0"/>
          <w:sz w:val="24"/>
          <w:highlight w:val="none"/>
          <w:lang w:val="zh-CN"/>
        </w:rPr>
        <w:t>投标人名称（盖公章）：</w:t>
      </w:r>
    </w:p>
    <w:p w14:paraId="7D98578A">
      <w:pPr>
        <w:snapToGrid/>
        <w:spacing w:line="360" w:lineRule="auto"/>
        <w:ind w:firstLine="0"/>
        <w:jc w:val="center"/>
        <w:rPr>
          <w:rFonts w:hint="eastAsia" w:ascii="宋体" w:cs="宋体"/>
          <w:b/>
          <w:color w:val="auto"/>
          <w:kern w:val="0"/>
          <w:sz w:val="32"/>
          <w:szCs w:val="32"/>
          <w:highlight w:val="none"/>
        </w:rPr>
      </w:pPr>
      <w:r>
        <w:rPr>
          <w:rFonts w:hint="eastAsia" w:ascii="宋体" w:hAnsi="宋体" w:eastAsia="宋体" w:cs="宋体"/>
          <w:b w:val="0"/>
          <w:bCs w:val="0"/>
          <w:color w:val="auto"/>
          <w:kern w:val="0"/>
          <w:sz w:val="24"/>
          <w:highlight w:val="none"/>
          <w:lang w:val="en-US" w:eastAsia="zh-CN"/>
        </w:rPr>
        <w:t xml:space="preserve">  </w:t>
      </w:r>
      <w:r>
        <w:rPr>
          <w:rFonts w:hint="eastAsia" w:ascii="宋体" w:hAnsi="宋体" w:eastAsia="宋体" w:cs="宋体"/>
          <w:b w:val="0"/>
          <w:bCs w:val="0"/>
          <w:color w:val="auto"/>
          <w:kern w:val="0"/>
          <w:sz w:val="24"/>
          <w:highlight w:val="none"/>
          <w:lang w:val="zh-CN"/>
        </w:rPr>
        <w:t>日期</w:t>
      </w:r>
      <w:r>
        <w:rPr>
          <w:rFonts w:hint="eastAsia" w:ascii="宋体" w:hAnsi="宋体" w:eastAsia="宋体" w:cs="宋体"/>
          <w:b w:val="0"/>
          <w:bCs w:val="0"/>
          <w:color w:val="auto"/>
          <w:kern w:val="0"/>
          <w:sz w:val="24"/>
          <w:highlight w:val="none"/>
        </w:rPr>
        <w:t>：</w:t>
      </w:r>
      <w:r>
        <w:rPr>
          <w:rFonts w:hint="eastAsia" w:ascii="宋体" w:hAnsi="宋体" w:eastAsia="宋体" w:cs="宋体"/>
          <w:b w:val="0"/>
          <w:bCs w:val="0"/>
          <w:color w:val="auto"/>
          <w:kern w:val="0"/>
          <w:sz w:val="24"/>
          <w:highlight w:val="none"/>
          <w:lang w:val="en-US" w:eastAsia="zh-CN"/>
        </w:rPr>
        <w:t xml:space="preserve">    </w:t>
      </w:r>
      <w:r>
        <w:rPr>
          <w:rFonts w:hint="eastAsia" w:ascii="宋体" w:hAnsi="宋体" w:eastAsia="宋体" w:cs="宋体"/>
          <w:b w:val="0"/>
          <w:bCs w:val="0"/>
          <w:color w:val="auto"/>
          <w:kern w:val="0"/>
          <w:sz w:val="24"/>
          <w:highlight w:val="none"/>
        </w:rPr>
        <w:t>年</w:t>
      </w:r>
      <w:r>
        <w:rPr>
          <w:rFonts w:hint="eastAsia" w:ascii="宋体" w:hAnsi="宋体" w:eastAsia="宋体" w:cs="宋体"/>
          <w:b w:val="0"/>
          <w:bCs w:val="0"/>
          <w:color w:val="auto"/>
          <w:kern w:val="0"/>
          <w:sz w:val="24"/>
          <w:highlight w:val="none"/>
          <w:lang w:val="en-US" w:eastAsia="zh-CN"/>
        </w:rPr>
        <w:t xml:space="preserve">    </w:t>
      </w:r>
      <w:r>
        <w:rPr>
          <w:rFonts w:hint="eastAsia" w:ascii="宋体" w:hAnsi="宋体" w:eastAsia="宋体" w:cs="宋体"/>
          <w:b w:val="0"/>
          <w:bCs w:val="0"/>
          <w:color w:val="auto"/>
          <w:kern w:val="0"/>
          <w:sz w:val="24"/>
          <w:highlight w:val="none"/>
          <w:lang w:val="zh-CN"/>
        </w:rPr>
        <w:t>月</w:t>
      </w:r>
      <w:r>
        <w:rPr>
          <w:rFonts w:hint="eastAsia" w:ascii="宋体" w:hAnsi="宋体" w:eastAsia="宋体" w:cs="宋体"/>
          <w:b w:val="0"/>
          <w:bCs w:val="0"/>
          <w:color w:val="auto"/>
          <w:kern w:val="0"/>
          <w:sz w:val="24"/>
          <w:highlight w:val="none"/>
          <w:lang w:val="en-US" w:eastAsia="zh-CN"/>
        </w:rPr>
        <w:t xml:space="preserve">    </w:t>
      </w:r>
      <w:r>
        <w:rPr>
          <w:rFonts w:hint="eastAsia" w:ascii="宋体" w:hAnsi="宋体" w:eastAsia="宋体" w:cs="宋体"/>
          <w:b w:val="0"/>
          <w:bCs w:val="0"/>
          <w:color w:val="auto"/>
          <w:kern w:val="0"/>
          <w:sz w:val="24"/>
          <w:highlight w:val="none"/>
          <w:lang w:val="zh-CN"/>
        </w:rPr>
        <w:t>日</w:t>
      </w:r>
    </w:p>
    <w:p w14:paraId="180D5643">
      <w:pPr>
        <w:snapToGrid w:val="0"/>
        <w:spacing w:line="360" w:lineRule="auto"/>
        <w:ind w:right="480"/>
        <w:rPr>
          <w:rFonts w:hint="eastAsia" w:ascii="宋体" w:cs="宋体"/>
          <w:b/>
          <w:color w:val="auto"/>
          <w:kern w:val="0"/>
          <w:sz w:val="32"/>
          <w:szCs w:val="32"/>
          <w:highlight w:val="none"/>
        </w:rPr>
      </w:pPr>
    </w:p>
    <w:p w14:paraId="6AA04531">
      <w:pPr>
        <w:snapToGrid w:val="0"/>
        <w:spacing w:line="360" w:lineRule="auto"/>
        <w:ind w:right="480"/>
        <w:rPr>
          <w:rFonts w:hint="eastAsia" w:ascii="宋体" w:cs="宋体"/>
          <w:b/>
          <w:color w:val="auto"/>
          <w:kern w:val="0"/>
          <w:sz w:val="32"/>
          <w:szCs w:val="32"/>
          <w:highlight w:val="none"/>
        </w:rPr>
      </w:pPr>
    </w:p>
    <w:p w14:paraId="32277943">
      <w:pPr>
        <w:snapToGrid w:val="0"/>
        <w:spacing w:line="360" w:lineRule="auto"/>
        <w:ind w:right="480"/>
        <w:rPr>
          <w:rFonts w:hint="eastAsia" w:ascii="宋体" w:cs="宋体"/>
          <w:b/>
          <w:color w:val="auto"/>
          <w:kern w:val="0"/>
          <w:sz w:val="32"/>
          <w:szCs w:val="32"/>
          <w:highlight w:val="none"/>
        </w:rPr>
      </w:pPr>
    </w:p>
    <w:p w14:paraId="40AA10F3">
      <w:pPr>
        <w:rPr>
          <w:rFonts w:hint="eastAsia" w:ascii="宋体" w:cs="宋体"/>
          <w:b/>
          <w:color w:val="auto"/>
          <w:sz w:val="28"/>
          <w:szCs w:val="28"/>
          <w:highlight w:val="none"/>
        </w:rPr>
      </w:pPr>
      <w:r>
        <w:rPr>
          <w:rFonts w:hint="eastAsia" w:ascii="宋体" w:cs="宋体"/>
          <w:b/>
          <w:color w:val="auto"/>
          <w:sz w:val="28"/>
          <w:szCs w:val="28"/>
          <w:highlight w:val="none"/>
        </w:rPr>
        <w:br w:type="page"/>
      </w:r>
    </w:p>
    <w:p w14:paraId="35AAC50B">
      <w:pPr>
        <w:snapToGrid w:val="0"/>
        <w:spacing w:line="360" w:lineRule="auto"/>
        <w:ind w:right="480"/>
        <w:rPr>
          <w:rFonts w:ascii="宋体" w:cs="宋体"/>
          <w:b/>
          <w:color w:val="auto"/>
          <w:kern w:val="0"/>
          <w:sz w:val="32"/>
          <w:szCs w:val="32"/>
          <w:highlight w:val="none"/>
        </w:rPr>
      </w:pPr>
      <w:r>
        <w:rPr>
          <w:rFonts w:hint="eastAsia" w:ascii="宋体" w:cs="宋体"/>
          <w:b/>
          <w:color w:val="auto"/>
          <w:sz w:val="28"/>
          <w:szCs w:val="28"/>
          <w:highlight w:val="none"/>
          <w:lang w:val="en-US" w:eastAsia="zh-CN"/>
        </w:rPr>
        <w:t>6.</w:t>
      </w:r>
      <w:r>
        <w:rPr>
          <w:rFonts w:hint="eastAsia" w:ascii="宋体" w:cs="宋体"/>
          <w:b/>
          <w:color w:val="auto"/>
          <w:sz w:val="28"/>
          <w:szCs w:val="28"/>
          <w:highlight w:val="none"/>
        </w:rPr>
        <w:t>声明函的格式</w:t>
      </w:r>
      <w:r>
        <w:rPr>
          <w:rFonts w:hint="eastAsia"/>
          <w:color w:val="auto"/>
          <w:sz w:val="28"/>
          <w:szCs w:val="28"/>
          <w:highlight w:val="none"/>
        </w:rPr>
        <w:t>：</w:t>
      </w:r>
    </w:p>
    <w:p w14:paraId="447D8636">
      <w:pPr>
        <w:pStyle w:val="20"/>
        <w:rPr>
          <w:color w:val="auto"/>
          <w:highlight w:val="none"/>
        </w:rPr>
      </w:pPr>
    </w:p>
    <w:p w14:paraId="09C979ED">
      <w:pPr>
        <w:snapToGrid w:val="0"/>
        <w:spacing w:before="50" w:after="166" w:afterLines="50"/>
        <w:jc w:val="center"/>
        <w:rPr>
          <w:rFonts w:ascii="宋体" w:cs="宋体"/>
          <w:b/>
          <w:color w:val="auto"/>
          <w:sz w:val="28"/>
          <w:szCs w:val="28"/>
          <w:highlight w:val="none"/>
        </w:rPr>
      </w:pPr>
      <w:r>
        <w:rPr>
          <w:rFonts w:hint="eastAsia" w:ascii="宋体" w:cs="宋体"/>
          <w:b/>
          <w:color w:val="auto"/>
          <w:sz w:val="28"/>
          <w:szCs w:val="28"/>
          <w:highlight w:val="none"/>
        </w:rPr>
        <w:t>声明函</w:t>
      </w:r>
    </w:p>
    <w:p w14:paraId="2A375C0C">
      <w:pPr>
        <w:tabs>
          <w:tab w:val="left" w:pos="7200"/>
        </w:tabs>
        <w:spacing w:line="440" w:lineRule="exact"/>
        <w:rPr>
          <w:rFonts w:ascii="宋体" w:cs="宋体"/>
          <w:color w:val="auto"/>
          <w:szCs w:val="21"/>
          <w:highlight w:val="none"/>
        </w:rPr>
      </w:pPr>
      <w:r>
        <w:rPr>
          <w:rFonts w:hint="eastAsia" w:ascii="宋体" w:cs="宋体"/>
          <w:color w:val="auto"/>
          <w:szCs w:val="21"/>
          <w:highlight w:val="none"/>
        </w:rPr>
        <w:t>致：</w:t>
      </w:r>
      <w:r>
        <w:rPr>
          <w:rFonts w:hint="eastAsia" w:ascii="宋体" w:cs="宋体"/>
          <w:color w:val="auto"/>
          <w:szCs w:val="21"/>
          <w:highlight w:val="none"/>
          <w:u w:val="single"/>
        </w:rPr>
        <w:t xml:space="preserve"> </w:t>
      </w:r>
      <w:bookmarkStart w:id="273" w:name="PO_3000001919_PM031"/>
      <w:r>
        <w:rPr>
          <w:rFonts w:hint="eastAsia" w:ascii="宋体" w:cs="宋体"/>
          <w:color w:val="auto"/>
          <w:szCs w:val="21"/>
          <w:highlight w:val="none"/>
          <w:u w:val="single"/>
        </w:rPr>
        <w:t>广西科联招标中心有限公司</w:t>
      </w:r>
      <w:bookmarkEnd w:id="273"/>
    </w:p>
    <w:p w14:paraId="314CAD4E">
      <w:pPr>
        <w:pStyle w:val="20"/>
        <w:spacing w:line="440" w:lineRule="exact"/>
        <w:ind w:firstLine="420" w:firstLineChars="200"/>
        <w:rPr>
          <w:color w:val="auto"/>
          <w:sz w:val="21"/>
          <w:szCs w:val="21"/>
          <w:highlight w:val="none"/>
        </w:rPr>
      </w:pPr>
      <w:r>
        <w:rPr>
          <w:rFonts w:hint="eastAsia" w:ascii="宋体" w:cs="宋体"/>
          <w:i/>
          <w:iCs/>
          <w:color w:val="auto"/>
          <w:sz w:val="21"/>
          <w:szCs w:val="21"/>
          <w:highlight w:val="none"/>
          <w:u w:val="single"/>
        </w:rPr>
        <w:t>（投标人名称）</w:t>
      </w:r>
      <w:r>
        <w:rPr>
          <w:rFonts w:hint="eastAsia" w:ascii="宋体" w:cs="宋体"/>
          <w:color w:val="auto"/>
          <w:sz w:val="21"/>
          <w:szCs w:val="21"/>
          <w:highlight w:val="none"/>
        </w:rPr>
        <w:t>系中华人民共和国合法供应商，经营地址</w:t>
      </w:r>
      <w:r>
        <w:rPr>
          <w:rFonts w:hint="eastAsia" w:ascii="宋体" w:cs="宋体"/>
          <w:color w:val="auto"/>
          <w:sz w:val="21"/>
          <w:szCs w:val="21"/>
          <w:highlight w:val="none"/>
          <w:u w:val="single"/>
        </w:rPr>
        <w:t xml:space="preserve">                              </w:t>
      </w:r>
      <w:r>
        <w:rPr>
          <w:rFonts w:hint="eastAsia" w:ascii="宋体" w:cs="宋体"/>
          <w:color w:val="auto"/>
          <w:sz w:val="21"/>
          <w:szCs w:val="21"/>
          <w:highlight w:val="none"/>
        </w:rPr>
        <w:t>。</w:t>
      </w:r>
    </w:p>
    <w:p w14:paraId="0600C030">
      <w:pPr>
        <w:snapToGrid w:val="0"/>
        <w:spacing w:line="440" w:lineRule="exact"/>
        <w:ind w:firstLine="420" w:firstLineChars="200"/>
        <w:jc w:val="left"/>
        <w:rPr>
          <w:rFonts w:ascii="宋体"/>
          <w:color w:val="auto"/>
          <w:szCs w:val="21"/>
          <w:highlight w:val="none"/>
        </w:rPr>
      </w:pPr>
      <w:r>
        <w:rPr>
          <w:rFonts w:hint="eastAsia" w:ascii="宋体"/>
          <w:color w:val="auto"/>
          <w:szCs w:val="21"/>
          <w:highlight w:val="none"/>
        </w:rPr>
        <w:t>我方愿意参加贵方组织的</w:t>
      </w:r>
      <w:r>
        <w:rPr>
          <w:rFonts w:hint="eastAsia" w:ascii="宋体"/>
          <w:i/>
          <w:iCs/>
          <w:color w:val="auto"/>
          <w:szCs w:val="21"/>
          <w:highlight w:val="none"/>
          <w:u w:val="single"/>
        </w:rPr>
        <w:t xml:space="preserve">（项目名称）     </w:t>
      </w:r>
      <w:r>
        <w:rPr>
          <w:rFonts w:hint="eastAsia" w:ascii="宋体"/>
          <w:color w:val="auto"/>
          <w:szCs w:val="21"/>
          <w:highlight w:val="none"/>
        </w:rPr>
        <w:t>（项目编号：</w:t>
      </w:r>
      <w:r>
        <w:rPr>
          <w:rFonts w:hint="eastAsia" w:ascii="宋体"/>
          <w:color w:val="auto"/>
          <w:szCs w:val="21"/>
          <w:highlight w:val="none"/>
          <w:u w:val="single"/>
        </w:rPr>
        <w:t xml:space="preserve">                </w:t>
      </w:r>
      <w:r>
        <w:rPr>
          <w:rFonts w:hint="eastAsia" w:ascii="宋体"/>
          <w:color w:val="auto"/>
          <w:szCs w:val="21"/>
          <w:highlight w:val="none"/>
        </w:rPr>
        <w:t>）项目的投标，为便于贵方公正、择优地确定中标人，我方就本次投标有关事项郑重声明如下：</w:t>
      </w:r>
    </w:p>
    <w:p w14:paraId="192A36F0">
      <w:pPr>
        <w:pStyle w:val="20"/>
        <w:spacing w:line="440" w:lineRule="exact"/>
        <w:ind w:firstLine="420" w:firstLineChars="200"/>
        <w:rPr>
          <w:color w:val="auto"/>
          <w:sz w:val="21"/>
          <w:szCs w:val="21"/>
          <w:highlight w:val="none"/>
        </w:rPr>
      </w:pPr>
      <w:r>
        <w:rPr>
          <w:rFonts w:hint="eastAsia" w:ascii="宋体" w:cs="宋体"/>
          <w:color w:val="auto"/>
          <w:sz w:val="21"/>
          <w:szCs w:val="21"/>
          <w:highlight w:val="none"/>
        </w:rPr>
        <w:t>1、我方向贵方提交的所有投标文件、资料都是准确的和真实的。</w:t>
      </w:r>
    </w:p>
    <w:p w14:paraId="54B09D53">
      <w:pPr>
        <w:snapToGrid w:val="0"/>
        <w:spacing w:line="440" w:lineRule="exact"/>
        <w:ind w:firstLine="420" w:firstLineChars="200"/>
        <w:jc w:val="left"/>
        <w:rPr>
          <w:rFonts w:ascii="宋体"/>
          <w:color w:val="auto"/>
          <w:szCs w:val="21"/>
          <w:highlight w:val="none"/>
        </w:rPr>
      </w:pPr>
      <w:r>
        <w:rPr>
          <w:rFonts w:hint="eastAsia" w:ascii="宋体"/>
          <w:color w:val="auto"/>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7999EE6A">
      <w:pPr>
        <w:spacing w:line="440" w:lineRule="exact"/>
        <w:ind w:firstLine="420" w:firstLineChars="200"/>
        <w:contextualSpacing/>
        <w:rPr>
          <w:rFonts w:ascii="宋体" w:cs="宋体"/>
          <w:color w:val="auto"/>
          <w:szCs w:val="21"/>
          <w:highlight w:val="none"/>
        </w:rPr>
      </w:pPr>
      <w:r>
        <w:rPr>
          <w:rFonts w:hint="eastAsia" w:ascii="宋体" w:cs="宋体"/>
          <w:color w:val="auto"/>
          <w:szCs w:val="21"/>
          <w:highlight w:val="none"/>
        </w:rPr>
        <w:t>3、在此，我方宣布同意如下：</w:t>
      </w:r>
    </w:p>
    <w:p w14:paraId="457B3FDC">
      <w:pPr>
        <w:spacing w:line="440" w:lineRule="exact"/>
        <w:ind w:firstLine="420" w:firstLineChars="200"/>
        <w:contextualSpacing/>
        <w:rPr>
          <w:rFonts w:ascii="宋体" w:cs="宋体"/>
          <w:color w:val="auto"/>
          <w:szCs w:val="21"/>
          <w:highlight w:val="none"/>
        </w:rPr>
      </w:pPr>
      <w:r>
        <w:rPr>
          <w:rFonts w:hint="eastAsia" w:ascii="宋体" w:cs="宋体"/>
          <w:color w:val="auto"/>
          <w:szCs w:val="21"/>
          <w:highlight w:val="none"/>
        </w:rPr>
        <w:t>（1）将按招标文件的约定履行合同责任和义务；</w:t>
      </w:r>
    </w:p>
    <w:p w14:paraId="020CC5B0">
      <w:pPr>
        <w:spacing w:line="440" w:lineRule="exact"/>
        <w:ind w:firstLine="420" w:firstLineChars="200"/>
        <w:contextualSpacing/>
        <w:rPr>
          <w:rFonts w:ascii="宋体" w:cs="宋体"/>
          <w:color w:val="auto"/>
          <w:szCs w:val="21"/>
          <w:highlight w:val="none"/>
        </w:rPr>
      </w:pPr>
      <w:r>
        <w:rPr>
          <w:rFonts w:hint="eastAsia" w:ascii="宋体" w:cs="宋体"/>
          <w:color w:val="auto"/>
          <w:szCs w:val="21"/>
          <w:highlight w:val="none"/>
        </w:rPr>
        <w:t>（2）已详细审查招标文件的全部</w:t>
      </w:r>
      <w:r>
        <w:rPr>
          <w:rFonts w:hint="eastAsia" w:ascii="宋体" w:cs="宋体"/>
          <w:color w:val="auto"/>
          <w:kern w:val="0"/>
          <w:szCs w:val="21"/>
          <w:highlight w:val="none"/>
        </w:rPr>
        <w:t>内容</w:t>
      </w:r>
      <w:r>
        <w:rPr>
          <w:rFonts w:hint="eastAsia" w:ascii="宋体" w:cs="宋体"/>
          <w:color w:val="auto"/>
          <w:szCs w:val="21"/>
          <w:highlight w:val="none"/>
        </w:rPr>
        <w:t>，包括澄清或者更正公告（如有）；</w:t>
      </w:r>
    </w:p>
    <w:p w14:paraId="229D1B80">
      <w:pPr>
        <w:spacing w:line="440" w:lineRule="exact"/>
        <w:ind w:firstLine="420" w:firstLineChars="200"/>
        <w:contextualSpacing/>
        <w:rPr>
          <w:rFonts w:ascii="宋体" w:cs="宋体"/>
          <w:color w:val="auto"/>
          <w:szCs w:val="21"/>
          <w:highlight w:val="none"/>
        </w:rPr>
      </w:pPr>
      <w:r>
        <w:rPr>
          <w:rFonts w:hint="eastAsia" w:ascii="宋体" w:cs="宋体"/>
          <w:color w:val="auto"/>
          <w:szCs w:val="21"/>
          <w:highlight w:val="none"/>
        </w:rPr>
        <w:t>（3）同意提供按照贵方可能要求的与投标有关的一切数据或者资料。</w:t>
      </w:r>
    </w:p>
    <w:p w14:paraId="438C0C52">
      <w:pPr>
        <w:spacing w:line="440" w:lineRule="exact"/>
        <w:ind w:firstLine="420" w:firstLineChars="200"/>
        <w:rPr>
          <w:rFonts w:ascii="宋体"/>
          <w:color w:val="auto"/>
          <w:szCs w:val="21"/>
          <w:highlight w:val="none"/>
        </w:rPr>
      </w:pPr>
      <w:r>
        <w:rPr>
          <w:rFonts w:hint="eastAsia" w:ascii="宋体"/>
          <w:color w:val="auto"/>
          <w:szCs w:val="21"/>
          <w:highlight w:val="none"/>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w:t>
      </w:r>
    </w:p>
    <w:p w14:paraId="6EF26DB6">
      <w:pPr>
        <w:spacing w:line="440" w:lineRule="exact"/>
        <w:ind w:firstLine="420" w:firstLineChars="200"/>
        <w:contextualSpacing/>
        <w:rPr>
          <w:rFonts w:ascii="宋体" w:cs="宋体"/>
          <w:i/>
          <w:iCs/>
          <w:color w:val="auto"/>
          <w:szCs w:val="21"/>
          <w:highlight w:val="none"/>
        </w:rPr>
      </w:pPr>
      <w:r>
        <w:rPr>
          <w:rFonts w:hint="eastAsia" w:ascii="宋体"/>
          <w:color w:val="auto"/>
          <w:szCs w:val="21"/>
          <w:highlight w:val="none"/>
        </w:rPr>
        <w:t>5、</w:t>
      </w:r>
      <w:r>
        <w:rPr>
          <w:rFonts w:hint="eastAsia" w:ascii="宋体" w:cs="宋体"/>
          <w:color w:val="auto"/>
          <w:szCs w:val="21"/>
          <w:highlight w:val="none"/>
        </w:rPr>
        <w:t>根据《中华人民共和国政府采购法实施条例》第五十条要求对政府采购合同进行公告，但政府采购合同中涉及国家秘密、商业秘密的内容除外。我方就对本次投标文件进行注明如下：</w:t>
      </w:r>
      <w:r>
        <w:rPr>
          <w:rFonts w:hint="eastAsia" w:ascii="宋体" w:cs="宋体"/>
          <w:i/>
          <w:iCs/>
          <w:color w:val="auto"/>
          <w:szCs w:val="21"/>
          <w:highlight w:val="none"/>
        </w:rPr>
        <w:t>（两项内容中必须选择一项）</w:t>
      </w:r>
    </w:p>
    <w:p w14:paraId="14F425D4">
      <w:pPr>
        <w:spacing w:line="440" w:lineRule="exact"/>
        <w:ind w:firstLine="420" w:firstLineChars="200"/>
        <w:contextualSpacing/>
        <w:rPr>
          <w:rFonts w:ascii="宋体" w:cs="宋体"/>
          <w:color w:val="auto"/>
          <w:szCs w:val="21"/>
          <w:highlight w:val="none"/>
        </w:rPr>
      </w:pPr>
      <w:r>
        <w:rPr>
          <w:rFonts w:hint="eastAsia" w:ascii="宋体" w:cs="宋体"/>
          <w:color w:val="auto"/>
          <w:szCs w:val="21"/>
          <w:highlight w:val="none"/>
        </w:rPr>
        <w:t>□我方本次投标文件</w:t>
      </w:r>
      <w:r>
        <w:rPr>
          <w:rFonts w:hint="eastAsia" w:ascii="宋体" w:cs="宋体"/>
          <w:color w:val="auto"/>
          <w:kern w:val="0"/>
          <w:szCs w:val="21"/>
          <w:highlight w:val="none"/>
        </w:rPr>
        <w:t>内容中</w:t>
      </w:r>
      <w:r>
        <w:rPr>
          <w:rFonts w:hint="eastAsia" w:ascii="宋体" w:cs="宋体"/>
          <w:color w:val="auto"/>
          <w:szCs w:val="21"/>
          <w:highlight w:val="none"/>
        </w:rPr>
        <w:t>未</w:t>
      </w:r>
      <w:r>
        <w:rPr>
          <w:rFonts w:hint="eastAsia" w:ascii="宋体" w:cs="宋体"/>
          <w:color w:val="auto"/>
          <w:kern w:val="0"/>
          <w:szCs w:val="21"/>
          <w:highlight w:val="none"/>
        </w:rPr>
        <w:t>涉及商业秘密。</w:t>
      </w:r>
    </w:p>
    <w:p w14:paraId="09834589">
      <w:pPr>
        <w:spacing w:line="440" w:lineRule="exact"/>
        <w:ind w:firstLine="420" w:firstLineChars="200"/>
        <w:contextualSpacing/>
        <w:rPr>
          <w:rFonts w:ascii="宋体" w:cs="宋体"/>
          <w:color w:val="auto"/>
          <w:szCs w:val="21"/>
          <w:highlight w:val="none"/>
        </w:rPr>
      </w:pPr>
      <w:r>
        <w:rPr>
          <w:rFonts w:hint="eastAsia" w:ascii="宋体" w:cs="宋体"/>
          <w:color w:val="auto"/>
          <w:szCs w:val="21"/>
          <w:highlight w:val="none"/>
        </w:rPr>
        <w:t>□我方本次投标文件</w:t>
      </w:r>
      <w:r>
        <w:rPr>
          <w:rFonts w:hint="eastAsia" w:ascii="宋体" w:cs="宋体"/>
          <w:color w:val="auto"/>
          <w:kern w:val="0"/>
          <w:szCs w:val="21"/>
          <w:highlight w:val="none"/>
        </w:rPr>
        <w:t>涉及商业秘密的内容有：</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w:t>
      </w:r>
    </w:p>
    <w:p w14:paraId="33CD7133">
      <w:pPr>
        <w:snapToGrid w:val="0"/>
        <w:spacing w:line="440" w:lineRule="exact"/>
        <w:ind w:firstLine="420" w:firstLineChars="200"/>
        <w:jc w:val="left"/>
        <w:rPr>
          <w:rFonts w:ascii="宋体"/>
          <w:color w:val="auto"/>
          <w:szCs w:val="21"/>
          <w:highlight w:val="none"/>
        </w:rPr>
      </w:pPr>
      <w:r>
        <w:rPr>
          <w:rFonts w:hint="eastAsia" w:ascii="宋体"/>
          <w:color w:val="auto"/>
          <w:szCs w:val="21"/>
          <w:highlight w:val="none"/>
        </w:rPr>
        <w:t xml:space="preserve">6、以上事项如有虚假或者隐瞒，我方愿意承担一切后果，并不再寻求任何旨在减轻或者免除法律责任的辩解。 </w:t>
      </w:r>
    </w:p>
    <w:p w14:paraId="382D5507">
      <w:pPr>
        <w:tabs>
          <w:tab w:val="left" w:pos="939"/>
        </w:tabs>
        <w:spacing w:line="440" w:lineRule="exact"/>
        <w:ind w:left="141" w:leftChars="67" w:firstLine="315" w:firstLineChars="150"/>
        <w:contextualSpacing/>
        <w:rPr>
          <w:rFonts w:hint="eastAsia" w:ascii="宋体" w:cs="宋体"/>
          <w:color w:val="auto"/>
          <w:szCs w:val="21"/>
          <w:highlight w:val="none"/>
        </w:rPr>
      </w:pPr>
      <w:r>
        <w:rPr>
          <w:rFonts w:hint="eastAsia" w:ascii="宋体" w:cs="宋体"/>
          <w:color w:val="auto"/>
          <w:szCs w:val="21"/>
          <w:highlight w:val="none"/>
        </w:rPr>
        <w:t>特此承诺。</w:t>
      </w:r>
    </w:p>
    <w:p w14:paraId="076C037D">
      <w:pPr>
        <w:tabs>
          <w:tab w:val="left" w:pos="939"/>
        </w:tabs>
        <w:spacing w:line="440" w:lineRule="exact"/>
        <w:ind w:left="141" w:leftChars="67" w:firstLine="316" w:firstLineChars="150"/>
        <w:contextualSpacing/>
        <w:rPr>
          <w:rFonts w:ascii="宋体"/>
          <w:color w:val="auto"/>
          <w:sz w:val="21"/>
          <w:szCs w:val="21"/>
          <w:highlight w:val="none"/>
        </w:rPr>
      </w:pPr>
      <w:r>
        <w:rPr>
          <w:rFonts w:hint="eastAsia" w:ascii="宋体"/>
          <w:b/>
          <w:color w:val="auto"/>
          <w:sz w:val="21"/>
          <w:szCs w:val="21"/>
          <w:highlight w:val="none"/>
        </w:rPr>
        <w:t>注： 如为联合体投标，盖章处须加盖联合体各方公章，否则</w:t>
      </w:r>
      <w:r>
        <w:rPr>
          <w:rFonts w:hint="eastAsia" w:ascii="宋体" w:cs="宋体"/>
          <w:b/>
          <w:bCs/>
          <w:color w:val="auto"/>
          <w:sz w:val="21"/>
          <w:szCs w:val="21"/>
          <w:highlight w:val="none"/>
        </w:rPr>
        <w:t>其投标文件作无效响应处理</w:t>
      </w:r>
      <w:r>
        <w:rPr>
          <w:rFonts w:hint="eastAsia" w:ascii="宋体"/>
          <w:b/>
          <w:color w:val="auto"/>
          <w:sz w:val="21"/>
          <w:szCs w:val="21"/>
          <w:highlight w:val="none"/>
        </w:rPr>
        <w:t>。</w:t>
      </w:r>
    </w:p>
    <w:p w14:paraId="075FC190">
      <w:pPr>
        <w:snapToGrid w:val="0"/>
        <w:spacing w:before="50" w:after="331" w:afterLines="100" w:line="360" w:lineRule="auto"/>
        <w:jc w:val="left"/>
        <w:rPr>
          <w:rFonts w:ascii="宋体" w:cs="宋体"/>
          <w:color w:val="auto"/>
          <w:sz w:val="24"/>
          <w:highlight w:val="none"/>
        </w:rPr>
      </w:pPr>
      <w:r>
        <w:rPr>
          <w:rFonts w:hint="eastAsia" w:ascii="宋体" w:cs="宋体"/>
          <w:color w:val="auto"/>
          <w:sz w:val="24"/>
          <w:highlight w:val="none"/>
        </w:rPr>
        <w:t xml:space="preserve">                                     </w:t>
      </w:r>
    </w:p>
    <w:p w14:paraId="519BFC38">
      <w:pPr>
        <w:snapToGrid w:val="0"/>
        <w:spacing w:before="50" w:after="331" w:afterLines="100" w:line="360" w:lineRule="auto"/>
        <w:ind w:left="7428" w:leftChars="2223" w:hanging="2760" w:hangingChars="1150"/>
        <w:jc w:val="left"/>
        <w:rPr>
          <w:rFonts w:cs="宋体"/>
          <w:b/>
          <w:bCs/>
          <w:color w:val="auto"/>
          <w:sz w:val="30"/>
          <w:szCs w:val="30"/>
          <w:highlight w:val="none"/>
        </w:rPr>
      </w:pPr>
      <w:r>
        <w:rPr>
          <w:rFonts w:hint="eastAsia" w:ascii="宋体" w:cs="宋体"/>
          <w:color w:val="auto"/>
          <w:sz w:val="24"/>
          <w:highlight w:val="none"/>
        </w:rPr>
        <w:t xml:space="preserve">  </w:t>
      </w:r>
      <w:r>
        <w:rPr>
          <w:rFonts w:hint="eastAsia" w:ascii="宋体" w:cs="宋体"/>
          <w:color w:val="auto"/>
          <w:kern w:val="0"/>
          <w:sz w:val="24"/>
          <w:highlight w:val="none"/>
          <w:lang w:val="zh-CN"/>
        </w:rPr>
        <w:t>投标人名称（盖公章）：</w:t>
      </w:r>
      <w:r>
        <w:rPr>
          <w:rFonts w:hint="eastAsia" w:ascii="宋体" w:cs="宋体"/>
          <w:color w:val="auto"/>
          <w:szCs w:val="21"/>
          <w:highlight w:val="none"/>
        </w:rPr>
        <w:t xml:space="preserve">                                     </w:t>
      </w:r>
      <w:r>
        <w:rPr>
          <w:rFonts w:hint="eastAsia" w:ascii="宋体" w:cs="宋体"/>
          <w:color w:val="auto"/>
          <w:sz w:val="24"/>
          <w:highlight w:val="none"/>
        </w:rPr>
        <w:t>年    月    日</w:t>
      </w:r>
    </w:p>
    <w:p w14:paraId="0F550C00">
      <w:pPr>
        <w:widowControl/>
        <w:jc w:val="left"/>
        <w:rPr>
          <w:rFonts w:ascii="宋体" w:cs="宋体"/>
          <w:b/>
          <w:bCs/>
          <w:color w:val="auto"/>
          <w:sz w:val="30"/>
          <w:szCs w:val="30"/>
          <w:highlight w:val="none"/>
        </w:rPr>
        <w:sectPr>
          <w:pgSz w:w="11906" w:h="16838"/>
          <w:pgMar w:top="1134" w:right="1134" w:bottom="1134" w:left="1134" w:header="720" w:footer="720" w:gutter="0"/>
          <w:cols w:space="720" w:num="1"/>
          <w:docGrid w:type="lines" w:linePitch="331" w:charSpace="0"/>
        </w:sectPr>
      </w:pPr>
    </w:p>
    <w:p w14:paraId="2EF96F42">
      <w:pPr>
        <w:widowControl w:val="0"/>
        <w:spacing w:line="360" w:lineRule="auto"/>
        <w:jc w:val="left"/>
        <w:rPr>
          <w:rFonts w:hint="eastAsia" w:ascii="宋体" w:hAnsi="宋体" w:eastAsia="宋体" w:cs="宋体"/>
          <w:b/>
          <w:bCs w:val="0"/>
          <w:color w:val="auto"/>
          <w:kern w:val="2"/>
          <w:sz w:val="28"/>
          <w:szCs w:val="28"/>
          <w:highlight w:val="none"/>
          <w:lang w:val="en-US" w:eastAsia="zh-CN" w:bidi="ar-SA"/>
        </w:rPr>
      </w:pPr>
      <w:r>
        <w:rPr>
          <w:rFonts w:hint="eastAsia" w:ascii="宋体" w:hAnsi="宋体" w:eastAsia="宋体" w:cs="宋体"/>
          <w:b/>
          <w:bCs w:val="0"/>
          <w:color w:val="auto"/>
          <w:kern w:val="2"/>
          <w:sz w:val="28"/>
          <w:szCs w:val="28"/>
          <w:highlight w:val="none"/>
          <w:lang w:val="en-US" w:eastAsia="zh-CN" w:bidi="ar-SA"/>
        </w:rPr>
        <w:t>7.关于采购标的占预留份额比例的承诺函（格式）：</w:t>
      </w:r>
    </w:p>
    <w:p w14:paraId="47A72AB2">
      <w:pPr>
        <w:snapToGrid w:val="0"/>
        <w:spacing w:before="50" w:after="50" w:line="480" w:lineRule="auto"/>
        <w:jc w:val="center"/>
        <w:rPr>
          <w:rFonts w:hint="eastAsia" w:ascii="宋体" w:hAnsi="宋体" w:eastAsia="宋体" w:cs="宋体"/>
          <w:b/>
          <w:bCs/>
          <w:color w:val="auto"/>
          <w:sz w:val="24"/>
          <w:highlight w:val="none"/>
        </w:rPr>
      </w:pPr>
    </w:p>
    <w:p w14:paraId="1BDCAA9D">
      <w:pPr>
        <w:snapToGrid w:val="0"/>
        <w:spacing w:before="50" w:after="50" w:line="48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关于采购标的占预留份额比例的承诺函</w:t>
      </w:r>
    </w:p>
    <w:p w14:paraId="03A33447">
      <w:pPr>
        <w:keepNext w:val="0"/>
        <w:keepLines w:val="0"/>
        <w:pageBreakBefore w:val="0"/>
        <w:widowControl w:val="0"/>
        <w:tabs>
          <w:tab w:val="left" w:pos="7200"/>
        </w:tabs>
        <w:kinsoku/>
        <w:wordWrap/>
        <w:overflowPunct/>
        <w:topLinePunct w:val="0"/>
        <w:autoSpaceDE/>
        <w:autoSpaceDN/>
        <w:bidi w:val="0"/>
        <w:adjustRightInd/>
        <w:spacing w:line="480" w:lineRule="auto"/>
        <w:textAlignment w:val="auto"/>
        <w:rPr>
          <w:rFonts w:hint="eastAsia" w:ascii="宋体" w:hAnsi="宋体" w:eastAsia="宋体" w:cs="宋体"/>
          <w:color w:val="auto"/>
          <w:sz w:val="24"/>
          <w:szCs w:val="24"/>
          <w:highlight w:val="none"/>
        </w:rPr>
      </w:pPr>
    </w:p>
    <w:p w14:paraId="721B5087">
      <w:pPr>
        <w:keepNext w:val="0"/>
        <w:keepLines w:val="0"/>
        <w:pageBreakBefore w:val="0"/>
        <w:widowControl w:val="0"/>
        <w:tabs>
          <w:tab w:val="left" w:pos="7200"/>
        </w:tabs>
        <w:kinsoku/>
        <w:wordWrap/>
        <w:overflowPunct/>
        <w:topLinePunct w:val="0"/>
        <w:autoSpaceDE/>
        <w:autoSpaceDN/>
        <w:bidi w:val="0"/>
        <w:adjustRightInd/>
        <w:spacing w:line="480" w:lineRule="auto"/>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广西科联招标中心有限公司：</w:t>
      </w:r>
    </w:p>
    <w:p w14:paraId="7C16E3D9">
      <w:pPr>
        <w:keepNext w:val="0"/>
        <w:keepLines w:val="0"/>
        <w:pageBreakBefore w:val="0"/>
        <w:widowControl w:val="0"/>
        <w:tabs>
          <w:tab w:val="left" w:pos="7200"/>
        </w:tabs>
        <w:kinsoku/>
        <w:wordWrap/>
        <w:overflowPunct/>
        <w:topLinePunct w:val="0"/>
        <w:autoSpaceDE/>
        <w:autoSpaceDN/>
        <w:bidi w:val="0"/>
        <w:adjustRightInd/>
        <w:spacing w:line="48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我方愿意参加贵方组织的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i/>
          <w:iCs/>
          <w:color w:val="auto"/>
          <w:sz w:val="24"/>
          <w:szCs w:val="24"/>
          <w:highlight w:val="none"/>
          <w:u w:val="single"/>
          <w:lang w:eastAsia="zh-CN"/>
        </w:rPr>
        <w:t>（项目名称）</w:t>
      </w:r>
      <w:r>
        <w:rPr>
          <w:rFonts w:hint="eastAsia" w:ascii="宋体" w:hAnsi="宋体" w:eastAsia="宋体" w:cs="宋体"/>
          <w:i/>
          <w:i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）项目的投标，我方就本次投标标的占预留份额比例</w:t>
      </w:r>
      <w:r>
        <w:rPr>
          <w:rFonts w:hint="eastAsia" w:ascii="宋体" w:hAnsi="宋体" w:eastAsia="宋体" w:cs="宋体"/>
          <w:color w:val="auto"/>
          <w:sz w:val="24"/>
          <w:szCs w:val="24"/>
          <w:highlight w:val="none"/>
          <w:lang w:eastAsia="zh-CN"/>
        </w:rPr>
        <w:t>承诺</w:t>
      </w:r>
      <w:r>
        <w:rPr>
          <w:rFonts w:hint="eastAsia" w:ascii="宋体" w:hAnsi="宋体" w:eastAsia="宋体" w:cs="宋体"/>
          <w:color w:val="auto"/>
          <w:sz w:val="24"/>
          <w:szCs w:val="24"/>
          <w:highlight w:val="none"/>
        </w:rPr>
        <w:t>如下：</w:t>
      </w:r>
    </w:p>
    <w:p w14:paraId="69C78F3A">
      <w:pPr>
        <w:keepNext w:val="0"/>
        <w:keepLines w:val="0"/>
        <w:pageBreakBefore w:val="0"/>
        <w:widowControl w:val="0"/>
        <w:tabs>
          <w:tab w:val="left" w:pos="7200"/>
        </w:tabs>
        <w:kinsoku/>
        <w:wordWrap/>
        <w:overflowPunct/>
        <w:topLinePunct w:val="0"/>
        <w:autoSpaceDE/>
        <w:autoSpaceDN/>
        <w:bidi w:val="0"/>
        <w:adjustRightInd/>
        <w:spacing w:line="48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lang w:val="en-US" w:eastAsia="zh-CN"/>
        </w:rPr>
        <w:t>标项1：我公司提供由符合《政府采购促进中小企业发展管理办法》规定要求的中小企业制造的标的，累计金额为：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，占投标总报价的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%，其中：由小微企业制造的标的，</w:t>
      </w:r>
      <w:r>
        <w:rPr>
          <w:rFonts w:hint="eastAsia" w:ascii="宋体" w:hAnsi="宋体" w:eastAsia="宋体" w:cs="宋体"/>
          <w:color w:val="auto"/>
          <w:sz w:val="24"/>
          <w:szCs w:val="24"/>
          <w:highlight w:val="none"/>
          <w:lang w:val="en-US" w:eastAsia="zh-CN"/>
        </w:rPr>
        <w:t>累计金额为：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，占由</w:t>
      </w:r>
      <w:r>
        <w:rPr>
          <w:rFonts w:hint="eastAsia" w:ascii="宋体" w:hAnsi="宋体" w:eastAsia="宋体" w:cs="宋体"/>
          <w:color w:val="auto"/>
          <w:sz w:val="24"/>
          <w:szCs w:val="24"/>
          <w:highlight w:val="none"/>
          <w:lang w:val="en-US" w:eastAsia="zh-CN"/>
        </w:rPr>
        <w:t>中小企业制造的标的累计金额</w:t>
      </w:r>
      <w:r>
        <w:rPr>
          <w:rFonts w:hint="eastAsia" w:ascii="宋体" w:hAnsi="宋体" w:eastAsia="宋体" w:cs="宋体"/>
          <w:color w:val="auto"/>
          <w:sz w:val="24"/>
          <w:szCs w:val="24"/>
          <w:highlight w:val="none"/>
          <w:u w:val="none"/>
          <w:lang w:eastAsia="zh-CN"/>
        </w:rPr>
        <w:t>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529B6735">
      <w:pPr>
        <w:keepNext w:val="0"/>
        <w:keepLines w:val="0"/>
        <w:pageBreakBefore w:val="0"/>
        <w:widowControl w:val="0"/>
        <w:tabs>
          <w:tab w:val="left" w:pos="7200"/>
        </w:tabs>
        <w:kinsoku/>
        <w:wordWrap/>
        <w:overflowPunct/>
        <w:topLinePunct w:val="0"/>
        <w:autoSpaceDE/>
        <w:autoSpaceDN/>
        <w:bidi w:val="0"/>
        <w:adjustRightInd/>
        <w:spacing w:line="480" w:lineRule="auto"/>
        <w:ind w:firstLine="480" w:firstLineChars="200"/>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sz w:val="24"/>
          <w:szCs w:val="24"/>
          <w:highlight w:val="none"/>
          <w:lang w:val="en-US" w:eastAsia="zh-CN"/>
        </w:rPr>
        <w:t>标项2：我公司提供由符合《政府采购促进中小企业发展管理办法》规定要求的中小企业制造的标的，累计金额为：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，占投标总报价的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%，其中：由小微企业制造的标的，</w:t>
      </w:r>
      <w:r>
        <w:rPr>
          <w:rFonts w:hint="eastAsia" w:ascii="宋体" w:hAnsi="宋体" w:eastAsia="宋体" w:cs="宋体"/>
          <w:color w:val="auto"/>
          <w:sz w:val="24"/>
          <w:szCs w:val="24"/>
          <w:highlight w:val="none"/>
          <w:lang w:val="en-US" w:eastAsia="zh-CN"/>
        </w:rPr>
        <w:t>累计金额为：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，占由</w:t>
      </w:r>
      <w:r>
        <w:rPr>
          <w:rFonts w:hint="eastAsia" w:ascii="宋体" w:hAnsi="宋体" w:eastAsia="宋体" w:cs="宋体"/>
          <w:color w:val="auto"/>
          <w:sz w:val="24"/>
          <w:szCs w:val="24"/>
          <w:highlight w:val="none"/>
          <w:lang w:val="en-US" w:eastAsia="zh-CN"/>
        </w:rPr>
        <w:t>中小企业制造的标的累计金额</w:t>
      </w:r>
      <w:r>
        <w:rPr>
          <w:rFonts w:hint="eastAsia" w:ascii="宋体" w:hAnsi="宋体" w:eastAsia="宋体" w:cs="宋体"/>
          <w:color w:val="auto"/>
          <w:sz w:val="24"/>
          <w:szCs w:val="24"/>
          <w:highlight w:val="none"/>
          <w:u w:val="none"/>
          <w:lang w:eastAsia="zh-CN"/>
        </w:rPr>
        <w:t>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26831097">
      <w:pPr>
        <w:keepNext w:val="0"/>
        <w:keepLines w:val="0"/>
        <w:pageBreakBefore w:val="0"/>
        <w:widowControl w:val="0"/>
        <w:kinsoku/>
        <w:wordWrap/>
        <w:overflowPunct/>
        <w:topLinePunct w:val="0"/>
        <w:autoSpaceDE/>
        <w:autoSpaceDN/>
        <w:bidi w:val="0"/>
        <w:adjustRightInd/>
        <w:snapToGrid w:val="0"/>
        <w:spacing w:line="480" w:lineRule="auto"/>
        <w:ind w:firstLine="5760" w:firstLineChars="2400"/>
        <w:textAlignment w:val="auto"/>
        <w:rPr>
          <w:rFonts w:hint="eastAsia" w:ascii="宋体" w:hAnsi="宋体" w:eastAsia="宋体" w:cs="宋体"/>
          <w:color w:val="auto"/>
          <w:kern w:val="0"/>
          <w:sz w:val="24"/>
          <w:szCs w:val="24"/>
          <w:highlight w:val="none"/>
          <w:lang w:val="zh-CN"/>
        </w:rPr>
      </w:pPr>
    </w:p>
    <w:p w14:paraId="4A5F879F">
      <w:pPr>
        <w:keepNext w:val="0"/>
        <w:keepLines w:val="0"/>
        <w:pageBreakBefore w:val="0"/>
        <w:widowControl w:val="0"/>
        <w:kinsoku/>
        <w:wordWrap/>
        <w:overflowPunct/>
        <w:topLinePunct w:val="0"/>
        <w:autoSpaceDE/>
        <w:autoSpaceDN/>
        <w:bidi w:val="0"/>
        <w:adjustRightInd/>
        <w:snapToGrid w:val="0"/>
        <w:spacing w:line="480" w:lineRule="auto"/>
        <w:ind w:firstLine="5760" w:firstLineChars="2400"/>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投标人名称(盖公章)：</w:t>
      </w:r>
    </w:p>
    <w:p w14:paraId="13B02B26">
      <w:pPr>
        <w:keepNext w:val="0"/>
        <w:keepLines w:val="0"/>
        <w:pageBreakBefore w:val="0"/>
        <w:widowControl w:val="0"/>
        <w:kinsoku/>
        <w:wordWrap/>
        <w:overflowPunct/>
        <w:topLinePunct w:val="0"/>
        <w:autoSpaceDE/>
        <w:autoSpaceDN/>
        <w:bidi w:val="0"/>
        <w:adjustRightInd/>
        <w:snapToGrid w:val="0"/>
        <w:spacing w:line="480" w:lineRule="auto"/>
        <w:ind w:firstLine="5760" w:firstLineChars="24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kern w:val="0"/>
          <w:sz w:val="24"/>
          <w:szCs w:val="24"/>
          <w:highlight w:val="none"/>
          <w:lang w:val="zh-CN"/>
        </w:rPr>
        <w:t>日期</w:t>
      </w:r>
      <w:r>
        <w:rPr>
          <w:rFonts w:hint="eastAsia" w:ascii="宋体" w:hAnsi="宋体" w:eastAsia="宋体" w:cs="宋体"/>
          <w:color w:val="auto"/>
          <w:kern w:val="0"/>
          <w:sz w:val="24"/>
          <w:szCs w:val="24"/>
          <w:highlight w:val="none"/>
        </w:rPr>
        <w:t xml:space="preserve">：  年  </w:t>
      </w:r>
      <w:r>
        <w:rPr>
          <w:rFonts w:hint="eastAsia" w:ascii="宋体" w:hAnsi="宋体" w:eastAsia="宋体" w:cs="宋体"/>
          <w:color w:val="auto"/>
          <w:kern w:val="0"/>
          <w:sz w:val="24"/>
          <w:szCs w:val="24"/>
          <w:highlight w:val="none"/>
          <w:lang w:val="zh-CN"/>
        </w:rPr>
        <w:t>月</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zh-CN"/>
        </w:rPr>
        <w:t>日</w:t>
      </w:r>
    </w:p>
    <w:p w14:paraId="3F1D26F0">
      <w:pPr>
        <w:rPr>
          <w:rFonts w:hint="eastAsia" w:cs="宋体"/>
          <w:b/>
          <w:bCs/>
          <w:color w:val="auto"/>
          <w:sz w:val="28"/>
          <w:szCs w:val="28"/>
          <w:highlight w:val="none"/>
          <w:lang w:val="en-US" w:eastAsia="zh-CN"/>
        </w:rPr>
      </w:pPr>
      <w:r>
        <w:rPr>
          <w:rFonts w:hint="eastAsia" w:cs="宋体"/>
          <w:b/>
          <w:bCs/>
          <w:color w:val="auto"/>
          <w:sz w:val="28"/>
          <w:szCs w:val="28"/>
          <w:highlight w:val="none"/>
          <w:lang w:val="en-US" w:eastAsia="zh-CN"/>
        </w:rPr>
        <w:br w:type="page"/>
      </w:r>
    </w:p>
    <w:p w14:paraId="49F19042">
      <w:pPr>
        <w:pStyle w:val="16"/>
        <w:rPr>
          <w:rFonts w:cs="宋体"/>
          <w:b/>
          <w:bCs/>
          <w:color w:val="auto"/>
          <w:sz w:val="28"/>
          <w:szCs w:val="28"/>
          <w:highlight w:val="none"/>
        </w:rPr>
      </w:pPr>
      <w:r>
        <w:rPr>
          <w:rFonts w:hint="eastAsia" w:cs="宋体"/>
          <w:b/>
          <w:bCs/>
          <w:color w:val="auto"/>
          <w:sz w:val="28"/>
          <w:szCs w:val="28"/>
          <w:highlight w:val="none"/>
          <w:lang w:val="en-US" w:eastAsia="zh-CN"/>
        </w:rPr>
        <w:t>8</w:t>
      </w:r>
      <w:r>
        <w:rPr>
          <w:rFonts w:hint="eastAsia" w:cs="宋体"/>
          <w:b/>
          <w:bCs/>
          <w:color w:val="auto"/>
          <w:sz w:val="28"/>
          <w:szCs w:val="28"/>
          <w:highlight w:val="none"/>
        </w:rPr>
        <w:t>.联合体投标协议书的格式：</w:t>
      </w:r>
    </w:p>
    <w:p w14:paraId="22502EC9">
      <w:pPr>
        <w:pStyle w:val="16"/>
        <w:jc w:val="center"/>
        <w:rPr>
          <w:rFonts w:cs="宋体"/>
          <w:color w:val="auto"/>
          <w:sz w:val="28"/>
          <w:szCs w:val="28"/>
          <w:highlight w:val="none"/>
        </w:rPr>
      </w:pPr>
      <w:r>
        <w:rPr>
          <w:rFonts w:hint="eastAsia" w:cs="宋体"/>
          <w:b/>
          <w:bCs/>
          <w:color w:val="auto"/>
          <w:sz w:val="28"/>
          <w:szCs w:val="28"/>
          <w:highlight w:val="none"/>
        </w:rPr>
        <w:t>联合体投标协议书</w:t>
      </w:r>
    </w:p>
    <w:p w14:paraId="48D2765F">
      <w:pPr>
        <w:autoSpaceDE w:val="0"/>
        <w:autoSpaceDN w:val="0"/>
        <w:adjustRightInd w:val="0"/>
        <w:jc w:val="left"/>
        <w:rPr>
          <w:rFonts w:ascii="宋体" w:cs="宋体"/>
          <w:color w:val="auto"/>
          <w:kern w:val="0"/>
          <w:szCs w:val="21"/>
          <w:highlight w:val="none"/>
          <w:u w:val="single"/>
        </w:rPr>
      </w:pPr>
    </w:p>
    <w:p w14:paraId="5C7EB25C">
      <w:pPr>
        <w:autoSpaceDE w:val="0"/>
        <w:autoSpaceDN w:val="0"/>
        <w:adjustRightInd w:val="0"/>
        <w:spacing w:line="440" w:lineRule="exact"/>
        <w:jc w:val="left"/>
        <w:rPr>
          <w:rFonts w:ascii="宋体" w:cs="宋体"/>
          <w:color w:val="auto"/>
          <w:kern w:val="0"/>
          <w:szCs w:val="21"/>
          <w:highlight w:val="none"/>
        </w:rPr>
      </w:pP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（所有成员单位名称）自愿组成联合体，共同参加</w:t>
      </w:r>
      <w:r>
        <w:rPr>
          <w:rFonts w:hint="eastAsia" w:ascii="宋体" w:cs="宋体"/>
          <w:color w:val="auto"/>
          <w:kern w:val="0"/>
          <w:szCs w:val="21"/>
          <w:highlight w:val="none"/>
          <w:u w:val="single"/>
        </w:rPr>
        <w:t xml:space="preserve">    </w:t>
      </w:r>
      <w:bookmarkStart w:id="274" w:name="PO_3000001919_PM031_1"/>
      <w:r>
        <w:rPr>
          <w:rFonts w:hint="eastAsia" w:ascii="宋体" w:cs="宋体"/>
          <w:color w:val="auto"/>
          <w:kern w:val="0"/>
          <w:szCs w:val="21"/>
          <w:highlight w:val="none"/>
          <w:u w:val="single"/>
        </w:rPr>
        <w:t>广西科联招标中心有限公司</w:t>
      </w:r>
      <w:bookmarkEnd w:id="274"/>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组织的</w:t>
      </w:r>
      <w:r>
        <w:rPr>
          <w:rFonts w:hint="eastAsia" w:ascii="宋体" w:cs="宋体"/>
          <w:color w:val="auto"/>
          <w:kern w:val="0"/>
          <w:szCs w:val="21"/>
          <w:highlight w:val="none"/>
          <w:u w:val="single"/>
        </w:rPr>
        <w:t xml:space="preserve">   </w:t>
      </w:r>
      <w:r>
        <w:rPr>
          <w:rFonts w:hint="eastAsia" w:ascii="宋体" w:cs="宋体"/>
          <w:i/>
          <w:iCs/>
          <w:color w:val="auto"/>
          <w:kern w:val="0"/>
          <w:szCs w:val="21"/>
          <w:highlight w:val="none"/>
          <w:u w:val="single"/>
        </w:rPr>
        <w:t>（项目名称）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（项目编号：</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）投标。现就联合体投标事宜订立如下协议：</w:t>
      </w:r>
    </w:p>
    <w:p w14:paraId="114B0E30">
      <w:pPr>
        <w:autoSpaceDE w:val="0"/>
        <w:autoSpaceDN w:val="0"/>
        <w:adjustRightInd w:val="0"/>
        <w:spacing w:line="440" w:lineRule="exact"/>
        <w:ind w:firstLine="420"/>
        <w:jc w:val="left"/>
        <w:rPr>
          <w:rFonts w:ascii="宋体" w:cs="宋体"/>
          <w:color w:val="auto"/>
          <w:kern w:val="0"/>
          <w:szCs w:val="21"/>
          <w:highlight w:val="none"/>
        </w:rPr>
      </w:pPr>
      <w:r>
        <w:rPr>
          <w:rFonts w:hint="eastAsia" w:ascii="宋体" w:cs="宋体"/>
          <w:color w:val="auto"/>
          <w:kern w:val="0"/>
          <w:szCs w:val="21"/>
          <w:highlight w:val="none"/>
        </w:rPr>
        <w:t>1、</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（某成员单位名称）为联合体名称牵头人。</w:t>
      </w:r>
    </w:p>
    <w:p w14:paraId="58B33502">
      <w:pPr>
        <w:autoSpaceDE w:val="0"/>
        <w:autoSpaceDN w:val="0"/>
        <w:adjustRightInd w:val="0"/>
        <w:spacing w:line="440" w:lineRule="exact"/>
        <w:ind w:firstLine="420"/>
        <w:jc w:val="left"/>
        <w:rPr>
          <w:rFonts w:ascii="宋体" w:cs="宋体"/>
          <w:color w:val="auto"/>
          <w:kern w:val="0"/>
          <w:szCs w:val="21"/>
          <w:highlight w:val="none"/>
        </w:rPr>
      </w:pPr>
      <w:r>
        <w:rPr>
          <w:rFonts w:hint="eastAsia" w:ascii="宋体" w:cs="宋体"/>
          <w:color w:val="auto"/>
          <w:kern w:val="0"/>
          <w:szCs w:val="21"/>
          <w:highlight w:val="none"/>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711C76C0">
      <w:pPr>
        <w:autoSpaceDE w:val="0"/>
        <w:autoSpaceDN w:val="0"/>
        <w:adjustRightInd w:val="0"/>
        <w:spacing w:line="440" w:lineRule="exact"/>
        <w:ind w:firstLine="420"/>
        <w:jc w:val="left"/>
        <w:rPr>
          <w:rFonts w:ascii="宋体" w:cs="宋体"/>
          <w:color w:val="auto"/>
          <w:kern w:val="0"/>
          <w:szCs w:val="21"/>
          <w:highlight w:val="none"/>
        </w:rPr>
      </w:pPr>
      <w:r>
        <w:rPr>
          <w:rFonts w:hint="eastAsia" w:ascii="宋体" w:cs="宋体"/>
          <w:color w:val="auto"/>
          <w:kern w:val="0"/>
          <w:szCs w:val="21"/>
          <w:highlight w:val="none"/>
        </w:rPr>
        <w:t>3、联合体牵头人在本项目中签署和盖章的一切文件和处理的一切事宜，联合体各成员均予以承认。 联合体各成员将严格按照招标文件、投标文件和合同的要求全面履行义务，并向采购人承担连带责任。</w:t>
      </w:r>
    </w:p>
    <w:p w14:paraId="1DE2C74F">
      <w:pPr>
        <w:autoSpaceDE w:val="0"/>
        <w:autoSpaceDN w:val="0"/>
        <w:adjustRightInd w:val="0"/>
        <w:spacing w:line="440" w:lineRule="exact"/>
        <w:ind w:firstLine="420"/>
        <w:jc w:val="left"/>
        <w:rPr>
          <w:rFonts w:ascii="宋体" w:cs="宋体"/>
          <w:color w:val="auto"/>
          <w:kern w:val="0"/>
          <w:szCs w:val="21"/>
          <w:highlight w:val="none"/>
        </w:rPr>
      </w:pPr>
      <w:r>
        <w:rPr>
          <w:rFonts w:hint="eastAsia" w:ascii="宋体" w:cs="宋体"/>
          <w:color w:val="auto"/>
          <w:kern w:val="0"/>
          <w:szCs w:val="21"/>
          <w:highlight w:val="none"/>
        </w:rPr>
        <w:t>4、联合体各成员单位内部的职责分工如下：</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w:t>
      </w:r>
    </w:p>
    <w:p w14:paraId="4B50D5CE">
      <w:pPr>
        <w:pStyle w:val="16"/>
        <w:spacing w:line="440" w:lineRule="exact"/>
        <w:ind w:firstLine="420" w:firstLineChars="200"/>
        <w:rPr>
          <w:rFonts w:cs="宋体"/>
          <w:color w:val="auto"/>
          <w:szCs w:val="21"/>
          <w:highlight w:val="none"/>
        </w:rPr>
      </w:pPr>
      <w:r>
        <w:rPr>
          <w:rFonts w:hint="eastAsia" w:cs="宋体"/>
          <w:color w:val="auto"/>
          <w:kern w:val="0"/>
          <w:highlight w:val="none"/>
        </w:rPr>
        <w:t>5、本联合体中，</w:t>
      </w:r>
      <w:r>
        <w:rPr>
          <w:rFonts w:hint="eastAsia" w:cs="宋体"/>
          <w:color w:val="auto"/>
          <w:kern w:val="0"/>
          <w:szCs w:val="21"/>
          <w:highlight w:val="none"/>
          <w:u w:val="single"/>
        </w:rPr>
        <w:t xml:space="preserve">                                   </w:t>
      </w:r>
      <w:r>
        <w:rPr>
          <w:rFonts w:hint="eastAsia" w:cs="宋体"/>
          <w:color w:val="auto"/>
          <w:kern w:val="0"/>
          <w:highlight w:val="none"/>
          <w:u w:val="single"/>
        </w:rPr>
        <w:t>（某成员单位名称）为</w:t>
      </w:r>
      <w:r>
        <w:rPr>
          <w:rFonts w:hint="eastAsia" w:cs="宋体"/>
          <w:color w:val="auto"/>
          <w:kern w:val="0"/>
          <w:szCs w:val="21"/>
          <w:highlight w:val="none"/>
          <w:u w:val="single"/>
        </w:rPr>
        <w:t xml:space="preserve">        </w:t>
      </w:r>
      <w:r>
        <w:rPr>
          <w:rFonts w:hint="eastAsia" w:cs="宋体"/>
          <w:color w:val="auto"/>
          <w:highlight w:val="none"/>
        </w:rPr>
        <w:t>（请填写：中型、小型、微型）企业，其协议合同金额占联合体协议合同总金额的</w:t>
      </w:r>
      <w:r>
        <w:rPr>
          <w:rFonts w:hint="eastAsia" w:cs="宋体"/>
          <w:color w:val="auto"/>
          <w:kern w:val="0"/>
          <w:szCs w:val="21"/>
          <w:highlight w:val="none"/>
          <w:u w:val="single"/>
        </w:rPr>
        <w:t xml:space="preserve">        </w:t>
      </w:r>
      <w:r>
        <w:rPr>
          <w:rFonts w:hint="eastAsia" w:cs="宋体"/>
          <w:color w:val="auto"/>
          <w:highlight w:val="none"/>
        </w:rPr>
        <w:t>%。【如联合体成员中有小型、微型企业的，请填写此条，否则无需填写；如联合体成员中有多个小型、微型企业的，请逐一列出。】</w:t>
      </w:r>
    </w:p>
    <w:p w14:paraId="3C72D903">
      <w:pPr>
        <w:autoSpaceDE w:val="0"/>
        <w:autoSpaceDN w:val="0"/>
        <w:adjustRightInd w:val="0"/>
        <w:spacing w:line="440" w:lineRule="exact"/>
        <w:ind w:firstLine="420"/>
        <w:jc w:val="left"/>
        <w:rPr>
          <w:rFonts w:ascii="宋体" w:cs="宋体"/>
          <w:color w:val="auto"/>
          <w:kern w:val="0"/>
          <w:szCs w:val="21"/>
          <w:highlight w:val="none"/>
        </w:rPr>
      </w:pPr>
      <w:r>
        <w:rPr>
          <w:rFonts w:hint="eastAsia" w:ascii="宋体" w:cs="宋体"/>
          <w:color w:val="auto"/>
          <w:kern w:val="0"/>
          <w:szCs w:val="21"/>
          <w:highlight w:val="none"/>
        </w:rPr>
        <w:t>6、本协议书自签署之日起生效，合同履行完毕后自动失效。</w:t>
      </w:r>
    </w:p>
    <w:p w14:paraId="54E32473">
      <w:pPr>
        <w:autoSpaceDE w:val="0"/>
        <w:autoSpaceDN w:val="0"/>
        <w:adjustRightInd w:val="0"/>
        <w:spacing w:line="440" w:lineRule="exact"/>
        <w:ind w:firstLine="420"/>
        <w:jc w:val="left"/>
        <w:rPr>
          <w:rFonts w:ascii="宋体" w:cs="宋体"/>
          <w:color w:val="auto"/>
          <w:kern w:val="0"/>
          <w:szCs w:val="21"/>
          <w:highlight w:val="none"/>
        </w:rPr>
      </w:pPr>
      <w:r>
        <w:rPr>
          <w:rFonts w:hint="eastAsia" w:ascii="宋体" w:cs="宋体"/>
          <w:color w:val="auto"/>
          <w:kern w:val="0"/>
          <w:szCs w:val="21"/>
          <w:highlight w:val="none"/>
        </w:rPr>
        <w:t>7、本协议书一式</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份，联合体成员和采购代理机构各执一份。</w:t>
      </w:r>
    </w:p>
    <w:p w14:paraId="4332CF85">
      <w:pPr>
        <w:autoSpaceDE w:val="0"/>
        <w:autoSpaceDN w:val="0"/>
        <w:adjustRightInd w:val="0"/>
        <w:spacing w:line="440" w:lineRule="exact"/>
        <w:ind w:firstLine="420"/>
        <w:jc w:val="left"/>
        <w:rPr>
          <w:rFonts w:ascii="宋体" w:cs="宋体"/>
          <w:color w:val="auto"/>
          <w:kern w:val="0"/>
          <w:szCs w:val="21"/>
          <w:highlight w:val="none"/>
        </w:rPr>
      </w:pPr>
      <w:r>
        <w:rPr>
          <w:rFonts w:hint="eastAsia" w:ascii="宋体" w:cs="宋体"/>
          <w:color w:val="auto"/>
          <w:kern w:val="0"/>
          <w:szCs w:val="21"/>
          <w:highlight w:val="none"/>
        </w:rPr>
        <w:t>注：本协议书由法定代表人签字的，应附法定代表人身份证明；本协议书由委托代理人签字的，应附法定代表人授权委托书。</w:t>
      </w:r>
    </w:p>
    <w:p w14:paraId="16F4B2C9">
      <w:pPr>
        <w:autoSpaceDE w:val="0"/>
        <w:autoSpaceDN w:val="0"/>
        <w:adjustRightInd w:val="0"/>
        <w:spacing w:line="440" w:lineRule="exact"/>
        <w:jc w:val="left"/>
        <w:rPr>
          <w:rFonts w:ascii="宋体" w:cs="宋体"/>
          <w:color w:val="auto"/>
          <w:kern w:val="0"/>
          <w:szCs w:val="21"/>
          <w:highlight w:val="none"/>
        </w:rPr>
      </w:pPr>
      <w:r>
        <w:rPr>
          <w:rFonts w:hint="eastAsia" w:ascii="宋体" w:cs="宋体"/>
          <w:color w:val="auto"/>
          <w:kern w:val="0"/>
          <w:szCs w:val="21"/>
          <w:highlight w:val="none"/>
        </w:rPr>
        <w:t>牵头人名称：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（盖公章）</w:t>
      </w:r>
    </w:p>
    <w:p w14:paraId="11A4A02A">
      <w:pPr>
        <w:autoSpaceDE w:val="0"/>
        <w:autoSpaceDN w:val="0"/>
        <w:adjustRightInd w:val="0"/>
        <w:spacing w:line="440" w:lineRule="exact"/>
        <w:jc w:val="left"/>
        <w:rPr>
          <w:rFonts w:ascii="宋体" w:cs="宋体"/>
          <w:color w:val="auto"/>
          <w:kern w:val="0"/>
          <w:szCs w:val="21"/>
          <w:highlight w:val="none"/>
        </w:rPr>
      </w:pPr>
      <w:r>
        <w:rPr>
          <w:rFonts w:hint="eastAsia" w:ascii="宋体" w:cs="宋体"/>
          <w:color w:val="auto"/>
          <w:kern w:val="0"/>
          <w:szCs w:val="21"/>
          <w:highlight w:val="none"/>
        </w:rPr>
        <w:t>法定代表人或其委托代理人：</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（签字或盖章）</w:t>
      </w:r>
    </w:p>
    <w:p w14:paraId="109EFBE7">
      <w:pPr>
        <w:autoSpaceDE w:val="0"/>
        <w:autoSpaceDN w:val="0"/>
        <w:adjustRightInd w:val="0"/>
        <w:spacing w:line="440" w:lineRule="exact"/>
        <w:jc w:val="left"/>
        <w:rPr>
          <w:rFonts w:ascii="宋体" w:cs="宋体"/>
          <w:color w:val="auto"/>
          <w:kern w:val="0"/>
          <w:szCs w:val="21"/>
          <w:highlight w:val="none"/>
        </w:rPr>
      </w:pPr>
    </w:p>
    <w:p w14:paraId="29DDB814">
      <w:pPr>
        <w:autoSpaceDE w:val="0"/>
        <w:autoSpaceDN w:val="0"/>
        <w:adjustRightInd w:val="0"/>
        <w:spacing w:line="440" w:lineRule="exact"/>
        <w:jc w:val="left"/>
        <w:rPr>
          <w:rFonts w:ascii="宋体" w:cs="宋体"/>
          <w:color w:val="auto"/>
          <w:kern w:val="0"/>
          <w:szCs w:val="21"/>
          <w:highlight w:val="none"/>
        </w:rPr>
      </w:pPr>
      <w:r>
        <w:rPr>
          <w:rFonts w:hint="eastAsia" w:ascii="宋体" w:cs="宋体"/>
          <w:color w:val="auto"/>
          <w:kern w:val="0"/>
          <w:szCs w:val="21"/>
          <w:highlight w:val="none"/>
        </w:rPr>
        <w:t>成员一名称：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（盖公章）</w:t>
      </w:r>
    </w:p>
    <w:p w14:paraId="2277F1D0">
      <w:pPr>
        <w:autoSpaceDE w:val="0"/>
        <w:autoSpaceDN w:val="0"/>
        <w:adjustRightInd w:val="0"/>
        <w:spacing w:line="440" w:lineRule="exact"/>
        <w:jc w:val="left"/>
        <w:rPr>
          <w:rFonts w:ascii="宋体" w:cs="宋体"/>
          <w:color w:val="auto"/>
          <w:kern w:val="0"/>
          <w:szCs w:val="21"/>
          <w:highlight w:val="none"/>
        </w:rPr>
      </w:pPr>
      <w:r>
        <w:rPr>
          <w:rFonts w:hint="eastAsia" w:ascii="宋体" w:cs="宋体"/>
          <w:color w:val="auto"/>
          <w:kern w:val="0"/>
          <w:szCs w:val="21"/>
          <w:highlight w:val="none"/>
        </w:rPr>
        <w:t>法定代表人或其委托代理人：</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（签字或盖章）</w:t>
      </w:r>
    </w:p>
    <w:p w14:paraId="759A06BC">
      <w:pPr>
        <w:autoSpaceDE w:val="0"/>
        <w:autoSpaceDN w:val="0"/>
        <w:adjustRightInd w:val="0"/>
        <w:spacing w:line="440" w:lineRule="exact"/>
        <w:jc w:val="left"/>
        <w:rPr>
          <w:rFonts w:ascii="宋体" w:cs="宋体"/>
          <w:color w:val="auto"/>
          <w:kern w:val="0"/>
          <w:szCs w:val="21"/>
          <w:highlight w:val="none"/>
        </w:rPr>
      </w:pPr>
    </w:p>
    <w:p w14:paraId="6D2E12A5">
      <w:pPr>
        <w:autoSpaceDE w:val="0"/>
        <w:autoSpaceDN w:val="0"/>
        <w:adjustRightInd w:val="0"/>
        <w:spacing w:line="440" w:lineRule="exact"/>
        <w:jc w:val="left"/>
        <w:rPr>
          <w:rFonts w:ascii="宋体" w:cs="宋体"/>
          <w:color w:val="auto"/>
          <w:kern w:val="0"/>
          <w:szCs w:val="21"/>
          <w:highlight w:val="none"/>
        </w:rPr>
      </w:pPr>
      <w:r>
        <w:rPr>
          <w:rFonts w:hint="eastAsia" w:ascii="宋体" w:cs="宋体"/>
          <w:color w:val="auto"/>
          <w:kern w:val="0"/>
          <w:szCs w:val="21"/>
          <w:highlight w:val="none"/>
        </w:rPr>
        <w:t>成员二名称：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（盖公章）</w:t>
      </w:r>
    </w:p>
    <w:p w14:paraId="0CDD9FE1">
      <w:pPr>
        <w:pStyle w:val="16"/>
        <w:spacing w:line="440" w:lineRule="exact"/>
        <w:rPr>
          <w:rFonts w:cs="宋体"/>
          <w:color w:val="auto"/>
          <w:kern w:val="0"/>
          <w:szCs w:val="21"/>
          <w:highlight w:val="none"/>
        </w:rPr>
      </w:pPr>
      <w:r>
        <w:rPr>
          <w:rFonts w:hint="eastAsia" w:cs="宋体"/>
          <w:color w:val="auto"/>
          <w:kern w:val="0"/>
          <w:szCs w:val="21"/>
          <w:highlight w:val="none"/>
        </w:rPr>
        <w:t>法定代表人或其委托代理人：</w:t>
      </w:r>
      <w:r>
        <w:rPr>
          <w:rFonts w:hint="eastAsia" w:cs="宋体"/>
          <w:color w:val="auto"/>
          <w:kern w:val="0"/>
          <w:szCs w:val="21"/>
          <w:highlight w:val="none"/>
          <w:u w:val="single"/>
        </w:rPr>
        <w:t xml:space="preserve">                         </w:t>
      </w:r>
      <w:r>
        <w:rPr>
          <w:rFonts w:hint="eastAsia" w:cs="宋体"/>
          <w:color w:val="auto"/>
          <w:kern w:val="0"/>
          <w:szCs w:val="21"/>
          <w:highlight w:val="none"/>
        </w:rPr>
        <w:t>（签字或盖章）</w:t>
      </w:r>
    </w:p>
    <w:p w14:paraId="78DF691C">
      <w:pPr>
        <w:pStyle w:val="7"/>
        <w:overflowPunct w:val="0"/>
        <w:spacing w:line="440" w:lineRule="exact"/>
        <w:ind w:firstLine="420" w:firstLineChars="175"/>
        <w:rPr>
          <w:rFonts w:ascii="宋体" w:cs="宋体"/>
          <w:color w:val="auto"/>
          <w:sz w:val="24"/>
          <w:highlight w:val="none"/>
        </w:rPr>
      </w:pPr>
      <w:r>
        <w:rPr>
          <w:rFonts w:hint="eastAsia" w:ascii="宋体" w:cs="宋体"/>
          <w:color w:val="auto"/>
          <w:sz w:val="24"/>
          <w:highlight w:val="none"/>
        </w:rPr>
        <w:t>……</w:t>
      </w:r>
    </w:p>
    <w:p w14:paraId="5DF05871">
      <w:pPr>
        <w:pStyle w:val="7"/>
        <w:overflowPunct w:val="0"/>
        <w:spacing w:line="480" w:lineRule="exact"/>
        <w:ind w:firstLine="420" w:firstLineChars="175"/>
        <w:rPr>
          <w:rFonts w:ascii="宋体" w:cs="宋体"/>
          <w:color w:val="auto"/>
          <w:sz w:val="24"/>
          <w:highlight w:val="none"/>
        </w:rPr>
      </w:pPr>
    </w:p>
    <w:p w14:paraId="0A007997">
      <w:pPr>
        <w:pStyle w:val="7"/>
        <w:overflowPunct w:val="0"/>
        <w:ind w:firstLine="7140" w:firstLineChars="2975"/>
        <w:rPr>
          <w:rFonts w:ascii="宋体" w:cs="宋体"/>
          <w:color w:val="auto"/>
          <w:sz w:val="24"/>
          <w:highlight w:val="none"/>
        </w:rPr>
      </w:pPr>
      <w:r>
        <w:rPr>
          <w:rFonts w:hint="eastAsia" w:ascii="宋体" w:cs="宋体"/>
          <w:color w:val="auto"/>
          <w:sz w:val="24"/>
          <w:highlight w:val="none"/>
        </w:rPr>
        <w:t xml:space="preserve"> </w:t>
      </w:r>
      <w:r>
        <w:rPr>
          <w:rFonts w:hint="eastAsia" w:ascii="宋体" w:cs="宋体"/>
          <w:color w:val="auto"/>
          <w:sz w:val="24"/>
          <w:highlight w:val="none"/>
        </w:rPr>
        <w:tab/>
      </w:r>
      <w:r>
        <w:rPr>
          <w:rFonts w:hint="eastAsia" w:ascii="宋体" w:cs="宋体"/>
          <w:color w:val="auto"/>
          <w:sz w:val="24"/>
          <w:highlight w:val="none"/>
        </w:rPr>
        <w:t xml:space="preserve">年  </w:t>
      </w:r>
      <w:r>
        <w:rPr>
          <w:rFonts w:hint="eastAsia" w:ascii="宋体" w:cs="宋体"/>
          <w:color w:val="auto"/>
          <w:sz w:val="24"/>
          <w:highlight w:val="none"/>
        </w:rPr>
        <w:tab/>
      </w:r>
      <w:r>
        <w:rPr>
          <w:rFonts w:hint="eastAsia" w:ascii="宋体" w:cs="宋体"/>
          <w:color w:val="auto"/>
          <w:sz w:val="24"/>
          <w:highlight w:val="none"/>
        </w:rPr>
        <w:t xml:space="preserve">月  </w:t>
      </w:r>
      <w:r>
        <w:rPr>
          <w:rFonts w:hint="eastAsia" w:ascii="宋体" w:cs="宋体"/>
          <w:color w:val="auto"/>
          <w:sz w:val="24"/>
          <w:highlight w:val="none"/>
        </w:rPr>
        <w:tab/>
      </w:r>
      <w:r>
        <w:rPr>
          <w:rFonts w:hint="eastAsia" w:ascii="宋体" w:cs="宋体"/>
          <w:color w:val="auto"/>
          <w:sz w:val="24"/>
          <w:highlight w:val="none"/>
        </w:rPr>
        <w:t>日</w:t>
      </w:r>
    </w:p>
    <w:p w14:paraId="7F18335A">
      <w:pPr>
        <w:pStyle w:val="16"/>
        <w:spacing w:line="600" w:lineRule="exact"/>
        <w:jc w:val="center"/>
        <w:rPr>
          <w:rFonts w:cs="宋体"/>
          <w:color w:val="auto"/>
          <w:highlight w:val="none"/>
        </w:rPr>
      </w:pPr>
    </w:p>
    <w:p w14:paraId="40AC066D">
      <w:pPr>
        <w:widowControl/>
        <w:spacing w:line="360" w:lineRule="auto"/>
        <w:jc w:val="left"/>
        <w:rPr>
          <w:rFonts w:ascii="宋体" w:cs="宋体"/>
          <w:color w:val="auto"/>
          <w:szCs w:val="21"/>
          <w:highlight w:val="none"/>
        </w:rPr>
        <w:sectPr>
          <w:pgSz w:w="11906" w:h="16838"/>
          <w:pgMar w:top="1134" w:right="1134" w:bottom="1134" w:left="1134" w:header="720" w:footer="720" w:gutter="0"/>
          <w:cols w:space="720" w:num="1"/>
          <w:docGrid w:type="lines" w:linePitch="331" w:charSpace="0"/>
        </w:sectPr>
      </w:pPr>
    </w:p>
    <w:p w14:paraId="25C3F336">
      <w:pPr>
        <w:pStyle w:val="16"/>
        <w:jc w:val="center"/>
        <w:outlineLvl w:val="9"/>
        <w:rPr>
          <w:rFonts w:cs="宋体"/>
          <w:color w:val="auto"/>
          <w:szCs w:val="21"/>
          <w:highlight w:val="none"/>
        </w:rPr>
      </w:pPr>
    </w:p>
    <w:p w14:paraId="68993877">
      <w:pPr>
        <w:pStyle w:val="16"/>
        <w:jc w:val="center"/>
        <w:outlineLvl w:val="1"/>
        <w:rPr>
          <w:rFonts w:cs="宋体"/>
          <w:b/>
          <w:bCs/>
          <w:color w:val="auto"/>
          <w:sz w:val="28"/>
          <w:szCs w:val="28"/>
          <w:highlight w:val="none"/>
        </w:rPr>
      </w:pPr>
      <w:bookmarkStart w:id="275" w:name="_Toc19686838"/>
      <w:bookmarkStart w:id="276" w:name="_Toc13859"/>
      <w:bookmarkStart w:id="277" w:name="_Toc22991"/>
      <w:bookmarkStart w:id="278" w:name="_Toc15031"/>
      <w:bookmarkStart w:id="279" w:name="_Toc13558"/>
      <w:bookmarkStart w:id="280" w:name="_Toc32555"/>
      <w:r>
        <w:rPr>
          <w:rFonts w:hint="eastAsia" w:cs="宋体"/>
          <w:b/>
          <w:bCs/>
          <w:color w:val="auto"/>
          <w:sz w:val="28"/>
          <w:szCs w:val="28"/>
          <w:highlight w:val="none"/>
        </w:rPr>
        <w:t>第二节 商务</w:t>
      </w:r>
      <w:r>
        <w:rPr>
          <w:rFonts w:hint="eastAsia" w:cs="宋体"/>
          <w:b/>
          <w:bCs/>
          <w:color w:val="auto"/>
          <w:sz w:val="28"/>
          <w:szCs w:val="28"/>
          <w:highlight w:val="none"/>
          <w:lang w:val="en-US" w:eastAsia="zh-CN"/>
        </w:rPr>
        <w:t>技术</w:t>
      </w:r>
      <w:r>
        <w:rPr>
          <w:rFonts w:hint="eastAsia" w:cs="宋体"/>
          <w:b/>
          <w:bCs/>
          <w:color w:val="auto"/>
          <w:sz w:val="28"/>
          <w:szCs w:val="28"/>
          <w:highlight w:val="none"/>
        </w:rPr>
        <w:t>文件格式</w:t>
      </w:r>
      <w:bookmarkEnd w:id="275"/>
      <w:bookmarkEnd w:id="276"/>
      <w:bookmarkEnd w:id="277"/>
      <w:bookmarkEnd w:id="278"/>
      <w:bookmarkEnd w:id="279"/>
      <w:bookmarkEnd w:id="280"/>
    </w:p>
    <w:p w14:paraId="15F22F3A">
      <w:pPr>
        <w:snapToGrid w:val="0"/>
        <w:spacing w:before="166" w:beforeLines="50" w:after="50"/>
        <w:rPr>
          <w:rFonts w:ascii="宋体" w:cs="宋体"/>
          <w:color w:val="auto"/>
          <w:sz w:val="30"/>
          <w:szCs w:val="20"/>
          <w:highlight w:val="none"/>
        </w:rPr>
      </w:pPr>
    </w:p>
    <w:p w14:paraId="2703A5E7">
      <w:pPr>
        <w:snapToGrid w:val="0"/>
        <w:spacing w:before="166" w:beforeLines="50" w:after="50"/>
        <w:rPr>
          <w:rFonts w:ascii="宋体" w:cs="宋体"/>
          <w:b/>
          <w:color w:val="auto"/>
          <w:sz w:val="28"/>
          <w:szCs w:val="28"/>
          <w:highlight w:val="none"/>
        </w:rPr>
      </w:pPr>
      <w:r>
        <w:rPr>
          <w:rFonts w:hint="eastAsia" w:ascii="宋体" w:cs="宋体"/>
          <w:b/>
          <w:color w:val="auto"/>
          <w:sz w:val="28"/>
          <w:szCs w:val="28"/>
          <w:highlight w:val="none"/>
        </w:rPr>
        <w:t>1.商务</w:t>
      </w:r>
      <w:r>
        <w:rPr>
          <w:rFonts w:hint="eastAsia" w:ascii="宋体" w:cs="宋体"/>
          <w:b/>
          <w:color w:val="auto"/>
          <w:sz w:val="28"/>
          <w:szCs w:val="28"/>
          <w:highlight w:val="none"/>
          <w:lang w:val="en-US" w:eastAsia="zh-CN"/>
        </w:rPr>
        <w:t>技术</w:t>
      </w:r>
      <w:r>
        <w:rPr>
          <w:rFonts w:hint="eastAsia" w:ascii="宋体" w:cs="宋体"/>
          <w:b/>
          <w:color w:val="auto"/>
          <w:sz w:val="28"/>
          <w:szCs w:val="28"/>
          <w:highlight w:val="none"/>
        </w:rPr>
        <w:t>文件封面的格式（参照此格式自拟）：</w:t>
      </w:r>
    </w:p>
    <w:p w14:paraId="64D977E4">
      <w:pPr>
        <w:pStyle w:val="20"/>
        <w:rPr>
          <w:color w:val="auto"/>
          <w:highlight w:val="none"/>
        </w:rPr>
      </w:pPr>
    </w:p>
    <w:p w14:paraId="644F07BF">
      <w:pPr>
        <w:snapToGrid w:val="0"/>
        <w:spacing w:before="166" w:beforeLines="50" w:after="50"/>
        <w:rPr>
          <w:rFonts w:ascii="宋体" w:cs="宋体"/>
          <w:bCs/>
          <w:color w:val="auto"/>
          <w:sz w:val="32"/>
          <w:szCs w:val="20"/>
          <w:highlight w:val="none"/>
        </w:rPr>
      </w:pPr>
      <w:r>
        <w:rPr>
          <w:rFonts w:hint="eastAsia" w:ascii="宋体" w:cs="宋体"/>
          <w:color w:val="auto"/>
          <w:sz w:val="24"/>
          <w:highlight w:val="none"/>
        </w:rPr>
        <w:t xml:space="preserve">                                                  </w:t>
      </w:r>
      <w:r>
        <w:rPr>
          <w:rFonts w:hint="eastAsia" w:ascii="宋体" w:cs="宋体"/>
          <w:bCs/>
          <w:color w:val="auto"/>
          <w:highlight w:val="none"/>
        </w:rPr>
        <w:t xml:space="preserve">             电子投标文件</w:t>
      </w:r>
    </w:p>
    <w:p w14:paraId="4839790E">
      <w:pPr>
        <w:snapToGrid w:val="0"/>
        <w:spacing w:before="166" w:beforeLines="50" w:after="50"/>
        <w:rPr>
          <w:rFonts w:ascii="宋体" w:cs="宋体"/>
          <w:color w:val="auto"/>
          <w:sz w:val="24"/>
          <w:szCs w:val="20"/>
          <w:highlight w:val="none"/>
        </w:rPr>
      </w:pPr>
    </w:p>
    <w:p w14:paraId="0712879A">
      <w:pPr>
        <w:snapToGrid w:val="0"/>
        <w:spacing w:before="166" w:beforeLines="50" w:after="50"/>
        <w:jc w:val="center"/>
        <w:rPr>
          <w:rFonts w:ascii="宋体" w:cs="宋体"/>
          <w:b/>
          <w:color w:val="auto"/>
          <w:sz w:val="32"/>
          <w:szCs w:val="32"/>
          <w:highlight w:val="none"/>
        </w:rPr>
      </w:pPr>
    </w:p>
    <w:p w14:paraId="69EFFD0D">
      <w:pPr>
        <w:snapToGrid w:val="0"/>
        <w:spacing w:before="166" w:beforeLines="50" w:after="50"/>
        <w:jc w:val="center"/>
        <w:rPr>
          <w:rFonts w:ascii="宋体" w:cs="宋体"/>
          <w:b/>
          <w:color w:val="auto"/>
          <w:sz w:val="24"/>
          <w:szCs w:val="20"/>
          <w:highlight w:val="none"/>
        </w:rPr>
      </w:pPr>
      <w:r>
        <w:rPr>
          <w:rFonts w:hint="eastAsia" w:ascii="宋体" w:cs="宋体"/>
          <w:b/>
          <w:color w:val="auto"/>
          <w:sz w:val="32"/>
          <w:szCs w:val="32"/>
          <w:highlight w:val="none"/>
        </w:rPr>
        <w:t>商务</w:t>
      </w:r>
      <w:r>
        <w:rPr>
          <w:rFonts w:hint="eastAsia" w:ascii="宋体" w:cs="宋体"/>
          <w:b/>
          <w:color w:val="auto"/>
          <w:sz w:val="32"/>
          <w:szCs w:val="32"/>
          <w:highlight w:val="none"/>
          <w:lang w:val="en-US" w:eastAsia="zh-CN"/>
        </w:rPr>
        <w:t>技术</w:t>
      </w:r>
      <w:r>
        <w:rPr>
          <w:rFonts w:hint="eastAsia" w:ascii="宋体" w:cs="宋体"/>
          <w:b/>
          <w:color w:val="auto"/>
          <w:sz w:val="32"/>
          <w:szCs w:val="32"/>
          <w:highlight w:val="none"/>
        </w:rPr>
        <w:t>文件</w:t>
      </w:r>
    </w:p>
    <w:p w14:paraId="5825E79F">
      <w:pPr>
        <w:snapToGrid w:val="0"/>
        <w:spacing w:before="166" w:beforeLines="50" w:after="50"/>
        <w:rPr>
          <w:rFonts w:ascii="宋体" w:cs="宋体"/>
          <w:bCs/>
          <w:color w:val="auto"/>
          <w:sz w:val="24"/>
          <w:szCs w:val="20"/>
          <w:highlight w:val="none"/>
        </w:rPr>
      </w:pPr>
    </w:p>
    <w:p w14:paraId="0A7B2EA1">
      <w:pPr>
        <w:snapToGrid w:val="0"/>
        <w:spacing w:before="166" w:beforeLines="50" w:after="50"/>
        <w:ind w:firstLine="540" w:firstLineChars="225"/>
        <w:rPr>
          <w:rFonts w:ascii="宋体" w:cs="宋体"/>
          <w:bCs/>
          <w:color w:val="auto"/>
          <w:sz w:val="24"/>
          <w:highlight w:val="none"/>
        </w:rPr>
      </w:pPr>
    </w:p>
    <w:p w14:paraId="4FF8DFFF">
      <w:pPr>
        <w:snapToGrid w:val="0"/>
        <w:spacing w:before="166" w:beforeLines="50" w:after="50"/>
        <w:ind w:firstLine="540" w:firstLineChars="225"/>
        <w:rPr>
          <w:rFonts w:ascii="宋体" w:cs="宋体"/>
          <w:bCs/>
          <w:color w:val="auto"/>
          <w:sz w:val="24"/>
          <w:highlight w:val="none"/>
        </w:rPr>
      </w:pPr>
    </w:p>
    <w:p w14:paraId="24E31756">
      <w:pPr>
        <w:snapToGrid w:val="0"/>
        <w:spacing w:before="166" w:beforeLines="50" w:after="50"/>
        <w:ind w:firstLine="540" w:firstLineChars="225"/>
        <w:rPr>
          <w:rFonts w:ascii="宋体" w:cs="宋体"/>
          <w:bCs/>
          <w:color w:val="auto"/>
          <w:sz w:val="24"/>
          <w:highlight w:val="none"/>
        </w:rPr>
      </w:pPr>
      <w:r>
        <w:rPr>
          <w:rFonts w:hint="eastAsia" w:ascii="宋体" w:cs="宋体"/>
          <w:bCs/>
          <w:color w:val="auto"/>
          <w:sz w:val="24"/>
          <w:highlight w:val="none"/>
        </w:rPr>
        <w:t>项目名称：</w:t>
      </w:r>
    </w:p>
    <w:p w14:paraId="4B782ADA">
      <w:pPr>
        <w:snapToGrid w:val="0"/>
        <w:spacing w:before="166" w:beforeLines="50" w:after="50"/>
        <w:ind w:firstLine="540" w:firstLineChars="225"/>
        <w:rPr>
          <w:rFonts w:ascii="宋体" w:cs="宋体"/>
          <w:bCs/>
          <w:color w:val="auto"/>
          <w:sz w:val="24"/>
          <w:szCs w:val="20"/>
          <w:highlight w:val="none"/>
        </w:rPr>
      </w:pPr>
    </w:p>
    <w:p w14:paraId="34552F5E">
      <w:pPr>
        <w:snapToGrid w:val="0"/>
        <w:spacing w:before="166" w:beforeLines="50" w:after="50"/>
        <w:ind w:firstLine="540" w:firstLineChars="225"/>
        <w:rPr>
          <w:rFonts w:ascii="宋体" w:cs="宋体"/>
          <w:bCs/>
          <w:color w:val="auto"/>
          <w:sz w:val="24"/>
          <w:highlight w:val="none"/>
        </w:rPr>
      </w:pPr>
      <w:r>
        <w:rPr>
          <w:rFonts w:hint="eastAsia" w:ascii="宋体" w:cs="宋体"/>
          <w:bCs/>
          <w:color w:val="auto"/>
          <w:sz w:val="24"/>
          <w:highlight w:val="none"/>
        </w:rPr>
        <w:t>项目编号：</w:t>
      </w:r>
    </w:p>
    <w:p w14:paraId="1F7222DB">
      <w:pPr>
        <w:snapToGrid w:val="0"/>
        <w:spacing w:before="166" w:beforeLines="50" w:after="50"/>
        <w:ind w:firstLine="540" w:firstLineChars="225"/>
        <w:rPr>
          <w:rFonts w:ascii="宋体" w:cs="宋体"/>
          <w:bCs/>
          <w:color w:val="auto"/>
          <w:sz w:val="24"/>
          <w:szCs w:val="20"/>
          <w:highlight w:val="none"/>
        </w:rPr>
      </w:pPr>
      <w:r>
        <w:rPr>
          <w:rFonts w:hint="eastAsia" w:ascii="宋体" w:cs="宋体"/>
          <w:bCs/>
          <w:color w:val="auto"/>
          <w:sz w:val="24"/>
          <w:highlight w:val="none"/>
        </w:rPr>
        <w:t xml:space="preserve"> </w:t>
      </w:r>
    </w:p>
    <w:p w14:paraId="65E50B1A">
      <w:pPr>
        <w:snapToGrid w:val="0"/>
        <w:spacing w:before="166" w:beforeLines="50" w:after="50"/>
        <w:ind w:firstLine="540" w:firstLineChars="225"/>
        <w:rPr>
          <w:rFonts w:ascii="宋体" w:cs="宋体"/>
          <w:bCs/>
          <w:color w:val="auto"/>
          <w:sz w:val="24"/>
          <w:highlight w:val="none"/>
        </w:rPr>
      </w:pPr>
      <w:r>
        <w:rPr>
          <w:rFonts w:hint="eastAsia" w:ascii="宋体" w:cs="宋体"/>
          <w:bCs/>
          <w:color w:val="auto"/>
          <w:sz w:val="24"/>
          <w:highlight w:val="none"/>
        </w:rPr>
        <w:t>所投分标（如有则填写，无分标时填写“无”或者留空）：</w:t>
      </w:r>
    </w:p>
    <w:p w14:paraId="6050D19F">
      <w:pPr>
        <w:snapToGrid w:val="0"/>
        <w:spacing w:before="166" w:beforeLines="50" w:after="50"/>
        <w:ind w:firstLine="540" w:firstLineChars="225"/>
        <w:rPr>
          <w:rFonts w:ascii="宋体" w:cs="宋体"/>
          <w:bCs/>
          <w:color w:val="auto"/>
          <w:sz w:val="24"/>
          <w:szCs w:val="20"/>
          <w:highlight w:val="none"/>
        </w:rPr>
      </w:pPr>
    </w:p>
    <w:p w14:paraId="3F37A6A8">
      <w:pPr>
        <w:pStyle w:val="7"/>
        <w:snapToGrid w:val="0"/>
        <w:spacing w:before="50" w:after="50"/>
        <w:ind w:firstLine="540" w:firstLineChars="225"/>
        <w:rPr>
          <w:rFonts w:ascii="宋体" w:cs="宋体"/>
          <w:bCs/>
          <w:color w:val="auto"/>
          <w:sz w:val="24"/>
          <w:szCs w:val="24"/>
          <w:highlight w:val="none"/>
        </w:rPr>
      </w:pPr>
      <w:r>
        <w:rPr>
          <w:rFonts w:hint="eastAsia" w:ascii="宋体" w:cs="宋体"/>
          <w:bCs/>
          <w:color w:val="auto"/>
          <w:sz w:val="24"/>
          <w:szCs w:val="24"/>
          <w:highlight w:val="none"/>
        </w:rPr>
        <w:t>投标人名称：</w:t>
      </w:r>
    </w:p>
    <w:p w14:paraId="0DCFFB8B">
      <w:pPr>
        <w:pStyle w:val="7"/>
        <w:snapToGrid w:val="0"/>
        <w:spacing w:before="50" w:after="50"/>
        <w:ind w:firstLine="540" w:firstLineChars="225"/>
        <w:rPr>
          <w:rFonts w:ascii="宋体" w:cs="宋体"/>
          <w:bCs/>
          <w:color w:val="auto"/>
          <w:sz w:val="24"/>
          <w:szCs w:val="24"/>
          <w:highlight w:val="none"/>
        </w:rPr>
      </w:pPr>
    </w:p>
    <w:p w14:paraId="272770E4">
      <w:pPr>
        <w:pStyle w:val="7"/>
        <w:snapToGrid w:val="0"/>
        <w:spacing w:before="50" w:after="50"/>
        <w:ind w:firstLine="960" w:firstLineChars="400"/>
        <w:rPr>
          <w:rFonts w:ascii="宋体" w:cs="宋体"/>
          <w:bCs/>
          <w:color w:val="auto"/>
          <w:sz w:val="24"/>
          <w:szCs w:val="24"/>
          <w:highlight w:val="none"/>
        </w:rPr>
      </w:pPr>
    </w:p>
    <w:p w14:paraId="118C8C39">
      <w:pPr>
        <w:snapToGrid w:val="0"/>
        <w:spacing w:before="166" w:beforeLines="50" w:after="50"/>
        <w:ind w:firstLine="645"/>
        <w:rPr>
          <w:rFonts w:ascii="宋体" w:cs="宋体"/>
          <w:color w:val="auto"/>
          <w:sz w:val="24"/>
          <w:highlight w:val="none"/>
        </w:rPr>
      </w:pPr>
      <w:r>
        <w:rPr>
          <w:rFonts w:hint="eastAsia" w:ascii="宋体" w:cs="宋体"/>
          <w:color w:val="auto"/>
          <w:sz w:val="24"/>
          <w:highlight w:val="none"/>
        </w:rPr>
        <w:t xml:space="preserve">                        </w:t>
      </w:r>
    </w:p>
    <w:p w14:paraId="1020CFFD">
      <w:pPr>
        <w:snapToGrid w:val="0"/>
        <w:spacing w:before="166" w:beforeLines="50" w:after="50"/>
        <w:ind w:firstLine="645"/>
        <w:rPr>
          <w:rFonts w:ascii="宋体" w:cs="宋体"/>
          <w:color w:val="auto"/>
          <w:sz w:val="24"/>
          <w:highlight w:val="none"/>
        </w:rPr>
      </w:pPr>
    </w:p>
    <w:p w14:paraId="28686E2A">
      <w:pPr>
        <w:snapToGrid w:val="0"/>
        <w:spacing w:before="166" w:beforeLines="50" w:after="50"/>
        <w:ind w:firstLine="4329" w:firstLineChars="1804"/>
        <w:rPr>
          <w:rFonts w:ascii="宋体" w:cs="宋体"/>
          <w:color w:val="auto"/>
          <w:sz w:val="24"/>
          <w:highlight w:val="none"/>
        </w:rPr>
      </w:pPr>
      <w:r>
        <w:rPr>
          <w:rFonts w:hint="eastAsia" w:ascii="宋体" w:cs="宋体"/>
          <w:color w:val="auto"/>
          <w:sz w:val="24"/>
          <w:highlight w:val="none"/>
        </w:rPr>
        <w:t>年   月   日</w:t>
      </w:r>
    </w:p>
    <w:p w14:paraId="486403D5">
      <w:pPr>
        <w:snapToGrid w:val="0"/>
        <w:spacing w:before="166" w:beforeLines="50" w:after="50"/>
        <w:rPr>
          <w:rFonts w:ascii="宋体" w:cs="宋体"/>
          <w:color w:val="auto"/>
          <w:sz w:val="24"/>
          <w:szCs w:val="20"/>
          <w:highlight w:val="none"/>
        </w:rPr>
      </w:pPr>
      <w:r>
        <w:rPr>
          <w:rFonts w:hint="eastAsia" w:ascii="宋体" w:cs="宋体"/>
          <w:color w:val="auto"/>
          <w:sz w:val="24"/>
          <w:szCs w:val="20"/>
          <w:highlight w:val="none"/>
        </w:rPr>
        <w:t xml:space="preserve"> </w:t>
      </w:r>
    </w:p>
    <w:p w14:paraId="16862275">
      <w:pPr>
        <w:spacing w:line="360" w:lineRule="auto"/>
        <w:ind w:right="420"/>
        <w:rPr>
          <w:rFonts w:ascii="宋体" w:cs="宋体"/>
          <w:color w:val="auto"/>
          <w:sz w:val="24"/>
          <w:szCs w:val="20"/>
          <w:highlight w:val="none"/>
        </w:rPr>
      </w:pPr>
    </w:p>
    <w:p w14:paraId="3519B2A2">
      <w:pPr>
        <w:spacing w:line="360" w:lineRule="auto"/>
        <w:ind w:right="420"/>
        <w:rPr>
          <w:rFonts w:ascii="宋体" w:cs="宋体"/>
          <w:color w:val="auto"/>
          <w:sz w:val="24"/>
          <w:szCs w:val="20"/>
          <w:highlight w:val="none"/>
        </w:rPr>
      </w:pPr>
    </w:p>
    <w:p w14:paraId="3C6CEBED">
      <w:pPr>
        <w:spacing w:line="360" w:lineRule="auto"/>
        <w:ind w:right="420"/>
        <w:rPr>
          <w:rFonts w:ascii="宋体" w:cs="宋体"/>
          <w:color w:val="auto"/>
          <w:sz w:val="24"/>
          <w:szCs w:val="20"/>
          <w:highlight w:val="none"/>
        </w:rPr>
      </w:pPr>
    </w:p>
    <w:p w14:paraId="6B6E0DCD">
      <w:pPr>
        <w:spacing w:line="360" w:lineRule="auto"/>
        <w:ind w:right="420"/>
        <w:rPr>
          <w:rFonts w:ascii="宋体" w:cs="宋体"/>
          <w:color w:val="auto"/>
          <w:sz w:val="24"/>
          <w:szCs w:val="20"/>
          <w:highlight w:val="none"/>
        </w:rPr>
      </w:pPr>
    </w:p>
    <w:p w14:paraId="01645E9C">
      <w:pPr>
        <w:spacing w:line="360" w:lineRule="auto"/>
        <w:ind w:right="420"/>
        <w:rPr>
          <w:rFonts w:ascii="宋体" w:cs="宋体"/>
          <w:color w:val="auto"/>
          <w:sz w:val="24"/>
          <w:szCs w:val="20"/>
          <w:highlight w:val="none"/>
        </w:rPr>
      </w:pPr>
    </w:p>
    <w:p w14:paraId="1E00FAC9">
      <w:pPr>
        <w:spacing w:line="360" w:lineRule="auto"/>
        <w:ind w:right="420"/>
        <w:rPr>
          <w:rFonts w:ascii="宋体" w:cs="宋体"/>
          <w:color w:val="auto"/>
          <w:sz w:val="24"/>
          <w:szCs w:val="20"/>
          <w:highlight w:val="none"/>
        </w:rPr>
      </w:pPr>
      <w:r>
        <w:rPr>
          <w:rFonts w:hint="eastAsia" w:ascii="宋体" w:cs="宋体"/>
          <w:b/>
          <w:bCs/>
          <w:color w:val="auto"/>
          <w:sz w:val="28"/>
          <w:szCs w:val="28"/>
          <w:highlight w:val="none"/>
        </w:rPr>
        <w:t>2.商务</w:t>
      </w:r>
      <w:r>
        <w:rPr>
          <w:rFonts w:hint="eastAsia" w:ascii="宋体" w:cs="宋体"/>
          <w:b/>
          <w:bCs/>
          <w:color w:val="auto"/>
          <w:sz w:val="28"/>
          <w:szCs w:val="28"/>
          <w:highlight w:val="none"/>
          <w:lang w:val="en-US" w:eastAsia="zh-CN"/>
        </w:rPr>
        <w:t>技术</w:t>
      </w:r>
      <w:r>
        <w:rPr>
          <w:rFonts w:hint="eastAsia" w:ascii="宋体" w:cs="宋体"/>
          <w:b/>
          <w:bCs/>
          <w:color w:val="auto"/>
          <w:sz w:val="28"/>
          <w:szCs w:val="28"/>
          <w:highlight w:val="none"/>
        </w:rPr>
        <w:t>文件目录</w:t>
      </w:r>
    </w:p>
    <w:p w14:paraId="2A5C122F">
      <w:pPr>
        <w:spacing w:line="360" w:lineRule="auto"/>
        <w:ind w:right="420"/>
        <w:rPr>
          <w:rFonts w:ascii="宋体" w:cs="宋体"/>
          <w:b/>
          <w:color w:val="auto"/>
          <w:kern w:val="0"/>
          <w:sz w:val="36"/>
          <w:szCs w:val="36"/>
          <w:highlight w:val="none"/>
        </w:rPr>
      </w:pPr>
      <w:r>
        <w:rPr>
          <w:rFonts w:hint="eastAsia" w:ascii="宋体" w:cs="宋体"/>
          <w:color w:val="auto"/>
          <w:kern w:val="0"/>
          <w:sz w:val="24"/>
          <w:highlight w:val="none"/>
        </w:rPr>
        <w:t>根据招标文件规定及投标人提供的材料自行编写目录（部分格式后附）。</w:t>
      </w:r>
    </w:p>
    <w:p w14:paraId="187041E2">
      <w:pPr>
        <w:rPr>
          <w:rFonts w:ascii="宋体" w:cs="宋体"/>
          <w:b/>
          <w:color w:val="auto"/>
          <w:kern w:val="0"/>
          <w:sz w:val="24"/>
          <w:highlight w:val="none"/>
        </w:rPr>
      </w:pPr>
    </w:p>
    <w:p w14:paraId="70A22471">
      <w:pPr>
        <w:spacing w:line="360" w:lineRule="auto"/>
        <w:rPr>
          <w:rFonts w:ascii="宋体" w:cs="宋体"/>
          <w:b/>
          <w:bCs/>
          <w:color w:val="auto"/>
          <w:sz w:val="24"/>
          <w:highlight w:val="none"/>
        </w:rPr>
      </w:pPr>
    </w:p>
    <w:p w14:paraId="260FEAA4">
      <w:pPr>
        <w:widowControl/>
        <w:spacing w:line="360" w:lineRule="auto"/>
        <w:jc w:val="left"/>
        <w:rPr>
          <w:rFonts w:ascii="宋体" w:cs="宋体"/>
          <w:color w:val="auto"/>
          <w:highlight w:val="none"/>
        </w:rPr>
        <w:sectPr>
          <w:pgSz w:w="11906" w:h="16838"/>
          <w:pgMar w:top="1134" w:right="1134" w:bottom="1134" w:left="1134" w:header="720" w:footer="720" w:gutter="0"/>
          <w:cols w:space="720" w:num="1"/>
          <w:docGrid w:type="lines" w:linePitch="331" w:charSpace="0"/>
        </w:sectPr>
      </w:pPr>
    </w:p>
    <w:p w14:paraId="59F0796C">
      <w:pPr>
        <w:snapToGrid w:val="0"/>
        <w:spacing w:before="120" w:beforeLines="50" w:after="50"/>
        <w:rPr>
          <w:rFonts w:ascii="宋体" w:cs="宋体"/>
          <w:b/>
          <w:bCs/>
          <w:color w:val="auto"/>
          <w:sz w:val="28"/>
          <w:szCs w:val="28"/>
          <w:highlight w:val="none"/>
        </w:rPr>
      </w:pPr>
      <w:r>
        <w:rPr>
          <w:rFonts w:hint="eastAsia" w:ascii="宋体" w:cs="宋体"/>
          <w:b/>
          <w:bCs/>
          <w:color w:val="auto"/>
          <w:sz w:val="28"/>
          <w:szCs w:val="28"/>
          <w:highlight w:val="none"/>
        </w:rPr>
        <w:t>3.无串通投标行为的承诺函的格式：</w:t>
      </w:r>
    </w:p>
    <w:p w14:paraId="694AA70F">
      <w:pPr>
        <w:snapToGrid w:val="0"/>
        <w:spacing w:before="120" w:beforeLines="50" w:after="50"/>
        <w:ind w:left="420"/>
        <w:jc w:val="center"/>
        <w:rPr>
          <w:rFonts w:ascii="宋体" w:cs="宋体"/>
          <w:b/>
          <w:color w:val="auto"/>
          <w:sz w:val="28"/>
          <w:szCs w:val="28"/>
          <w:highlight w:val="none"/>
        </w:rPr>
      </w:pPr>
    </w:p>
    <w:p w14:paraId="11E722AB">
      <w:pPr>
        <w:snapToGrid w:val="0"/>
        <w:spacing w:before="120" w:beforeLines="50" w:after="50"/>
        <w:ind w:left="420"/>
        <w:jc w:val="center"/>
        <w:rPr>
          <w:rFonts w:ascii="宋体" w:cs="宋体"/>
          <w:b/>
          <w:color w:val="auto"/>
          <w:sz w:val="28"/>
          <w:szCs w:val="28"/>
          <w:highlight w:val="none"/>
        </w:rPr>
      </w:pPr>
      <w:r>
        <w:rPr>
          <w:rFonts w:hint="eastAsia" w:ascii="宋体" w:cs="宋体"/>
          <w:b/>
          <w:color w:val="auto"/>
          <w:sz w:val="28"/>
          <w:szCs w:val="28"/>
          <w:highlight w:val="none"/>
        </w:rPr>
        <w:t>参加本项目无</w:t>
      </w:r>
      <w:r>
        <w:rPr>
          <w:rFonts w:hint="eastAsia" w:ascii="宋体" w:cs="宋体"/>
          <w:b/>
          <w:bCs/>
          <w:color w:val="auto"/>
          <w:sz w:val="28"/>
          <w:szCs w:val="28"/>
          <w:highlight w:val="none"/>
        </w:rPr>
        <w:t>串通投标</w:t>
      </w:r>
      <w:r>
        <w:rPr>
          <w:rFonts w:hint="eastAsia" w:ascii="宋体" w:cs="宋体"/>
          <w:b/>
          <w:color w:val="auto"/>
          <w:sz w:val="28"/>
          <w:szCs w:val="28"/>
          <w:highlight w:val="none"/>
        </w:rPr>
        <w:t>行为的承诺函</w:t>
      </w:r>
    </w:p>
    <w:p w14:paraId="3DD86A50">
      <w:pPr>
        <w:snapToGrid w:val="0"/>
        <w:spacing w:before="120" w:beforeLines="50" w:after="50"/>
        <w:rPr>
          <w:rFonts w:ascii="宋体" w:cs="宋体"/>
          <w:b/>
          <w:color w:val="auto"/>
          <w:szCs w:val="21"/>
          <w:highlight w:val="none"/>
        </w:rPr>
      </w:pPr>
    </w:p>
    <w:p w14:paraId="31D564F1">
      <w:pPr>
        <w:snapToGrid w:val="0"/>
        <w:spacing w:before="120" w:beforeLines="50" w:after="50" w:line="360" w:lineRule="auto"/>
        <w:jc w:val="left"/>
        <w:rPr>
          <w:rFonts w:ascii="宋体" w:cs="宋体"/>
          <w:b/>
          <w:color w:val="auto"/>
          <w:szCs w:val="21"/>
          <w:highlight w:val="none"/>
        </w:rPr>
      </w:pPr>
      <w:r>
        <w:rPr>
          <w:rFonts w:hint="eastAsia" w:ascii="宋体" w:cs="宋体"/>
          <w:b/>
          <w:color w:val="auto"/>
          <w:szCs w:val="21"/>
          <w:highlight w:val="none"/>
        </w:rPr>
        <w:t>一、我方承诺无下列相互串通投标的情形：</w:t>
      </w:r>
    </w:p>
    <w:p w14:paraId="4490DC29">
      <w:pPr>
        <w:snapToGrid w:val="0"/>
        <w:spacing w:before="120" w:beforeLines="50" w:after="50" w:line="360" w:lineRule="auto"/>
        <w:ind w:firstLine="411" w:firstLineChars="196"/>
        <w:jc w:val="left"/>
        <w:rPr>
          <w:rFonts w:ascii="宋体" w:cs="宋体"/>
          <w:color w:val="auto"/>
          <w:szCs w:val="21"/>
          <w:highlight w:val="none"/>
        </w:rPr>
      </w:pPr>
      <w:r>
        <w:rPr>
          <w:rFonts w:hint="eastAsia" w:ascii="宋体" w:cs="宋体"/>
          <w:color w:val="auto"/>
          <w:szCs w:val="21"/>
          <w:highlight w:val="none"/>
        </w:rPr>
        <w:t>1.不同投标人的投标文件由同一单位或者个人编制；或者不同投标人报名的IP地址一致的；</w:t>
      </w:r>
    </w:p>
    <w:p w14:paraId="6B2D3193">
      <w:pPr>
        <w:snapToGrid w:val="0"/>
        <w:spacing w:before="120" w:beforeLines="50" w:after="50" w:line="360" w:lineRule="auto"/>
        <w:ind w:firstLine="411" w:firstLineChars="196"/>
        <w:jc w:val="left"/>
        <w:rPr>
          <w:rFonts w:ascii="宋体" w:cs="宋体"/>
          <w:color w:val="auto"/>
          <w:szCs w:val="21"/>
          <w:highlight w:val="none"/>
        </w:rPr>
      </w:pPr>
      <w:r>
        <w:rPr>
          <w:rFonts w:hint="eastAsia" w:ascii="宋体" w:cs="宋体"/>
          <w:color w:val="auto"/>
          <w:szCs w:val="21"/>
          <w:highlight w:val="none"/>
        </w:rPr>
        <w:t>2.不同投标人委托同一单位或者个人办理投标事宜；</w:t>
      </w:r>
    </w:p>
    <w:p w14:paraId="22407AE7">
      <w:pPr>
        <w:snapToGrid w:val="0"/>
        <w:spacing w:before="120" w:beforeLines="50" w:after="50" w:line="360" w:lineRule="auto"/>
        <w:ind w:firstLine="411" w:firstLineChars="196"/>
        <w:jc w:val="left"/>
        <w:rPr>
          <w:rFonts w:ascii="宋体" w:cs="宋体"/>
          <w:color w:val="auto"/>
          <w:szCs w:val="21"/>
          <w:highlight w:val="none"/>
        </w:rPr>
      </w:pPr>
      <w:r>
        <w:rPr>
          <w:rFonts w:hint="eastAsia" w:ascii="宋体" w:cs="宋体"/>
          <w:color w:val="auto"/>
          <w:szCs w:val="21"/>
          <w:highlight w:val="none"/>
        </w:rPr>
        <w:t>3.不同的投标人的投标文件载明的项目管理员为同一个人；</w:t>
      </w:r>
    </w:p>
    <w:p w14:paraId="7ABC380A">
      <w:pPr>
        <w:snapToGrid w:val="0"/>
        <w:spacing w:before="120" w:beforeLines="50" w:after="50" w:line="360" w:lineRule="auto"/>
        <w:ind w:firstLine="411" w:firstLineChars="196"/>
        <w:jc w:val="left"/>
        <w:rPr>
          <w:rFonts w:ascii="宋体" w:cs="宋体"/>
          <w:color w:val="auto"/>
          <w:szCs w:val="21"/>
          <w:highlight w:val="none"/>
        </w:rPr>
      </w:pPr>
      <w:r>
        <w:rPr>
          <w:rFonts w:hint="eastAsia" w:ascii="宋体" w:cs="宋体"/>
          <w:color w:val="auto"/>
          <w:szCs w:val="21"/>
          <w:highlight w:val="none"/>
        </w:rPr>
        <w:t>4.不同投标人的投标文件异常一致或者投标报价呈规律性差异；</w:t>
      </w:r>
    </w:p>
    <w:p w14:paraId="740095FC">
      <w:pPr>
        <w:snapToGrid w:val="0"/>
        <w:spacing w:before="120" w:beforeLines="50" w:after="50" w:line="360" w:lineRule="auto"/>
        <w:ind w:firstLine="411" w:firstLineChars="196"/>
        <w:jc w:val="left"/>
        <w:rPr>
          <w:rFonts w:ascii="宋体" w:cs="宋体"/>
          <w:color w:val="auto"/>
          <w:szCs w:val="21"/>
          <w:highlight w:val="none"/>
        </w:rPr>
      </w:pPr>
      <w:r>
        <w:rPr>
          <w:rFonts w:hint="eastAsia" w:ascii="宋体" w:cs="宋体"/>
          <w:color w:val="auto"/>
          <w:szCs w:val="21"/>
          <w:highlight w:val="none"/>
        </w:rPr>
        <w:t>5.不同投标人的投标文件相互混装；</w:t>
      </w:r>
    </w:p>
    <w:p w14:paraId="5FBEE9F2">
      <w:pPr>
        <w:snapToGrid w:val="0"/>
        <w:spacing w:before="120" w:beforeLines="50" w:after="50" w:line="360" w:lineRule="auto"/>
        <w:ind w:firstLine="411" w:firstLineChars="196"/>
        <w:jc w:val="left"/>
        <w:rPr>
          <w:rFonts w:ascii="宋体" w:cs="宋体"/>
          <w:color w:val="auto"/>
          <w:szCs w:val="21"/>
          <w:highlight w:val="none"/>
        </w:rPr>
      </w:pPr>
      <w:r>
        <w:rPr>
          <w:rFonts w:ascii="宋体" w:cs="宋体"/>
          <w:color w:val="auto"/>
          <w:szCs w:val="21"/>
          <w:highlight w:val="none"/>
        </w:rPr>
        <w:t>6</w:t>
      </w:r>
      <w:r>
        <w:rPr>
          <w:rFonts w:hint="eastAsia" w:ascii="宋体" w:cs="宋体"/>
          <w:color w:val="auto"/>
          <w:szCs w:val="21"/>
          <w:highlight w:val="none"/>
        </w:rPr>
        <w:t>.不同投标人的投标保证金从同一单位或者个人账户转出。</w:t>
      </w:r>
    </w:p>
    <w:p w14:paraId="1FB420F8">
      <w:pPr>
        <w:snapToGrid w:val="0"/>
        <w:spacing w:before="120" w:beforeLines="50" w:after="50" w:line="360" w:lineRule="auto"/>
        <w:jc w:val="left"/>
        <w:rPr>
          <w:rFonts w:ascii="宋体" w:cs="宋体"/>
          <w:color w:val="auto"/>
          <w:szCs w:val="21"/>
          <w:highlight w:val="none"/>
        </w:rPr>
      </w:pPr>
      <w:r>
        <w:rPr>
          <w:rFonts w:hint="eastAsia" w:ascii="宋体" w:cs="宋体"/>
          <w:b/>
          <w:color w:val="auto"/>
          <w:szCs w:val="21"/>
          <w:highlight w:val="none"/>
        </w:rPr>
        <w:t>二、我方承诺无下列恶意串通的情形：</w:t>
      </w:r>
    </w:p>
    <w:p w14:paraId="5D0B5713">
      <w:pPr>
        <w:snapToGrid w:val="0"/>
        <w:spacing w:before="120" w:beforeLines="50" w:after="50" w:line="360" w:lineRule="auto"/>
        <w:ind w:firstLine="411" w:firstLineChars="196"/>
        <w:jc w:val="left"/>
        <w:rPr>
          <w:rFonts w:ascii="宋体" w:cs="宋体"/>
          <w:color w:val="auto"/>
          <w:szCs w:val="21"/>
          <w:highlight w:val="none"/>
        </w:rPr>
      </w:pPr>
      <w:r>
        <w:rPr>
          <w:rFonts w:hint="eastAsia" w:ascii="宋体" w:cs="宋体"/>
          <w:color w:val="auto"/>
          <w:szCs w:val="21"/>
          <w:highlight w:val="none"/>
        </w:rPr>
        <w:t>1.投标人直接或者间接从采购人或者采购代理机构处获得其他投标人的相关信息并修改其投标文件；</w:t>
      </w:r>
    </w:p>
    <w:p w14:paraId="35DA6EAF">
      <w:pPr>
        <w:snapToGrid w:val="0"/>
        <w:spacing w:before="120" w:beforeLines="50" w:after="50" w:line="360" w:lineRule="auto"/>
        <w:ind w:firstLine="411" w:firstLineChars="196"/>
        <w:jc w:val="left"/>
        <w:rPr>
          <w:rFonts w:ascii="宋体" w:cs="宋体"/>
          <w:color w:val="auto"/>
          <w:szCs w:val="21"/>
          <w:highlight w:val="none"/>
        </w:rPr>
      </w:pPr>
      <w:r>
        <w:rPr>
          <w:rFonts w:hint="eastAsia" w:ascii="宋体" w:cs="宋体"/>
          <w:color w:val="auto"/>
          <w:szCs w:val="21"/>
          <w:highlight w:val="none"/>
        </w:rPr>
        <w:t>2.投标人按照采购人或者采购代理机构的授意撤换、修改投标文件；</w:t>
      </w:r>
    </w:p>
    <w:p w14:paraId="734F1EF8">
      <w:pPr>
        <w:snapToGrid w:val="0"/>
        <w:spacing w:before="120" w:beforeLines="50" w:after="50" w:line="360" w:lineRule="auto"/>
        <w:ind w:firstLine="411" w:firstLineChars="196"/>
        <w:jc w:val="left"/>
        <w:rPr>
          <w:rFonts w:ascii="宋体" w:cs="宋体"/>
          <w:color w:val="auto"/>
          <w:szCs w:val="21"/>
          <w:highlight w:val="none"/>
        </w:rPr>
      </w:pPr>
      <w:r>
        <w:rPr>
          <w:rFonts w:hint="eastAsia" w:ascii="宋体" w:cs="宋体"/>
          <w:color w:val="auto"/>
          <w:szCs w:val="21"/>
          <w:highlight w:val="none"/>
        </w:rPr>
        <w:t>3.投标人之间协商报价、技术方案等投标文件的实质性内容；</w:t>
      </w:r>
    </w:p>
    <w:p w14:paraId="4AADCD05">
      <w:pPr>
        <w:snapToGrid w:val="0"/>
        <w:spacing w:before="120" w:beforeLines="50" w:after="50" w:line="360" w:lineRule="auto"/>
        <w:ind w:firstLine="411" w:firstLineChars="196"/>
        <w:jc w:val="left"/>
        <w:rPr>
          <w:rFonts w:ascii="宋体" w:cs="宋体"/>
          <w:color w:val="auto"/>
          <w:szCs w:val="21"/>
          <w:highlight w:val="none"/>
        </w:rPr>
      </w:pPr>
      <w:r>
        <w:rPr>
          <w:rFonts w:hint="eastAsia" w:ascii="宋体" w:cs="宋体"/>
          <w:color w:val="auto"/>
          <w:szCs w:val="21"/>
          <w:highlight w:val="none"/>
        </w:rPr>
        <w:t>4.属于同一集团、协会、商会等组织成员的投标人按照该组织要求协同参加政府采购活动；</w:t>
      </w:r>
    </w:p>
    <w:p w14:paraId="26960A1C">
      <w:pPr>
        <w:snapToGrid w:val="0"/>
        <w:spacing w:before="120" w:beforeLines="50" w:after="50" w:line="360" w:lineRule="auto"/>
        <w:ind w:firstLine="411" w:firstLineChars="196"/>
        <w:jc w:val="left"/>
        <w:rPr>
          <w:rFonts w:ascii="宋体" w:cs="宋体"/>
          <w:color w:val="auto"/>
          <w:szCs w:val="21"/>
          <w:highlight w:val="none"/>
        </w:rPr>
      </w:pPr>
      <w:r>
        <w:rPr>
          <w:rFonts w:hint="eastAsia" w:ascii="宋体" w:cs="宋体"/>
          <w:color w:val="auto"/>
          <w:szCs w:val="21"/>
          <w:highlight w:val="none"/>
        </w:rPr>
        <w:t>5.投标人之间事先约定一致抬高或者压低投标报价，或者在招标项目中事先约定轮流以高价位或者低价位中标，或者事先约定由某一特定投标人中标，然后再参加投标；</w:t>
      </w:r>
    </w:p>
    <w:p w14:paraId="66487E74">
      <w:pPr>
        <w:snapToGrid w:val="0"/>
        <w:spacing w:before="120" w:beforeLines="50" w:after="50" w:line="360" w:lineRule="auto"/>
        <w:ind w:firstLine="411" w:firstLineChars="196"/>
        <w:jc w:val="left"/>
        <w:rPr>
          <w:rFonts w:ascii="宋体" w:cs="宋体"/>
          <w:color w:val="auto"/>
          <w:szCs w:val="21"/>
          <w:highlight w:val="none"/>
        </w:rPr>
      </w:pPr>
      <w:r>
        <w:rPr>
          <w:rFonts w:hint="eastAsia" w:ascii="宋体" w:cs="宋体"/>
          <w:color w:val="auto"/>
          <w:szCs w:val="21"/>
          <w:highlight w:val="none"/>
        </w:rPr>
        <w:t>6.投标人之间商定部分投标人放弃参加政府采购活动或者放弃中标；</w:t>
      </w:r>
    </w:p>
    <w:p w14:paraId="777325D4">
      <w:pPr>
        <w:snapToGrid w:val="0"/>
        <w:spacing w:before="120" w:beforeLines="50" w:after="50" w:line="360" w:lineRule="auto"/>
        <w:ind w:firstLine="411" w:firstLineChars="196"/>
        <w:jc w:val="left"/>
        <w:rPr>
          <w:rFonts w:ascii="宋体" w:cs="宋体"/>
          <w:color w:val="auto"/>
          <w:szCs w:val="21"/>
          <w:highlight w:val="none"/>
        </w:rPr>
      </w:pPr>
      <w:r>
        <w:rPr>
          <w:rFonts w:hint="eastAsia" w:ascii="宋体" w:cs="宋体"/>
          <w:color w:val="auto"/>
          <w:szCs w:val="21"/>
          <w:highlight w:val="none"/>
        </w:rPr>
        <w:t>7.投标人与采购人或者采购代理机构之间、投标人相互之间，为谋求特定投标人中标或者排斥其他投标人的其他串通行为。</w:t>
      </w:r>
    </w:p>
    <w:p w14:paraId="0109EE67">
      <w:pPr>
        <w:snapToGrid w:val="0"/>
        <w:spacing w:before="120" w:beforeLines="50" w:after="50" w:line="360" w:lineRule="auto"/>
        <w:ind w:firstLine="413" w:firstLineChars="196"/>
        <w:jc w:val="left"/>
        <w:rPr>
          <w:rFonts w:ascii="宋体" w:cs="宋体"/>
          <w:b/>
          <w:color w:val="auto"/>
          <w:szCs w:val="21"/>
          <w:highlight w:val="none"/>
        </w:rPr>
      </w:pPr>
      <w:r>
        <w:rPr>
          <w:rFonts w:hint="eastAsia" w:ascii="宋体" w:cs="宋体"/>
          <w:b/>
          <w:bCs/>
          <w:color w:val="auto"/>
          <w:szCs w:val="21"/>
          <w:highlight w:val="none"/>
        </w:rPr>
        <w:t>以上情形一经核查属实，接受政府采购监管部门对我方认定存在围标串标行为，我方愿意承担一切后果，并不再寻求任何旨在减轻或者免除法律责任的辩解</w:t>
      </w:r>
      <w:r>
        <w:rPr>
          <w:rFonts w:hint="eastAsia" w:ascii="宋体" w:cs="宋体"/>
          <w:b/>
          <w:color w:val="auto"/>
          <w:szCs w:val="21"/>
          <w:highlight w:val="none"/>
        </w:rPr>
        <w:t>。</w:t>
      </w:r>
    </w:p>
    <w:p w14:paraId="7AAB821D">
      <w:pPr>
        <w:pStyle w:val="20"/>
        <w:rPr>
          <w:rFonts w:ascii="宋体" w:cs="宋体"/>
          <w:b/>
          <w:color w:val="auto"/>
          <w:szCs w:val="21"/>
          <w:highlight w:val="none"/>
        </w:rPr>
      </w:pPr>
    </w:p>
    <w:p w14:paraId="7B505FA4">
      <w:pPr>
        <w:pStyle w:val="20"/>
        <w:rPr>
          <w:rFonts w:ascii="宋体" w:cs="宋体"/>
          <w:b/>
          <w:color w:val="auto"/>
          <w:szCs w:val="21"/>
          <w:highlight w:val="none"/>
        </w:rPr>
      </w:pPr>
    </w:p>
    <w:p w14:paraId="25D4096F">
      <w:pPr>
        <w:snapToGrid w:val="0"/>
        <w:spacing w:line="360" w:lineRule="auto"/>
        <w:ind w:firstLine="4935" w:firstLineChars="2350"/>
        <w:rPr>
          <w:rFonts w:ascii="宋体" w:cs="宋体"/>
          <w:color w:val="auto"/>
          <w:kern w:val="0"/>
          <w:sz w:val="24"/>
          <w:highlight w:val="none"/>
        </w:rPr>
      </w:pPr>
      <w:r>
        <w:rPr>
          <w:rFonts w:hint="eastAsia" w:ascii="宋体" w:cs="宋体"/>
          <w:color w:val="auto"/>
          <w:szCs w:val="21"/>
          <w:highlight w:val="none"/>
        </w:rPr>
        <w:t xml:space="preserve"> </w:t>
      </w:r>
      <w:r>
        <w:rPr>
          <w:rFonts w:hint="eastAsia" w:ascii="宋体" w:cs="宋体"/>
          <w:color w:val="auto"/>
          <w:kern w:val="0"/>
          <w:sz w:val="24"/>
          <w:highlight w:val="none"/>
          <w:lang w:val="zh-CN"/>
        </w:rPr>
        <w:t>投标人名称（盖公章）：</w:t>
      </w:r>
    </w:p>
    <w:p w14:paraId="0E1CAB89">
      <w:pPr>
        <w:snapToGrid w:val="0"/>
        <w:spacing w:line="360" w:lineRule="auto"/>
        <w:ind w:firstLine="5160" w:firstLineChars="2150"/>
        <w:rPr>
          <w:rFonts w:ascii="宋体" w:cs="宋体"/>
          <w:color w:val="auto"/>
          <w:kern w:val="0"/>
          <w:sz w:val="24"/>
          <w:highlight w:val="none"/>
          <w:lang w:val="zh-CN"/>
        </w:rPr>
      </w:pPr>
      <w:r>
        <w:rPr>
          <w:rFonts w:hint="eastAsia" w:ascii="宋体" w:cs="宋体"/>
          <w:color w:val="auto"/>
          <w:kern w:val="0"/>
          <w:sz w:val="24"/>
          <w:highlight w:val="none"/>
          <w:lang w:val="zh-CN"/>
        </w:rPr>
        <w:t>日期</w:t>
      </w:r>
      <w:r>
        <w:rPr>
          <w:rFonts w:hint="eastAsia" w:ascii="宋体" w:cs="宋体"/>
          <w:color w:val="auto"/>
          <w:kern w:val="0"/>
          <w:sz w:val="24"/>
          <w:highlight w:val="none"/>
        </w:rPr>
        <w:t xml:space="preserve">：  年  </w:t>
      </w:r>
      <w:r>
        <w:rPr>
          <w:rFonts w:hint="eastAsia" w:ascii="宋体" w:cs="宋体"/>
          <w:color w:val="auto"/>
          <w:kern w:val="0"/>
          <w:sz w:val="24"/>
          <w:highlight w:val="none"/>
          <w:lang w:val="zh-CN"/>
        </w:rPr>
        <w:t>月</w:t>
      </w:r>
      <w:r>
        <w:rPr>
          <w:rFonts w:hint="eastAsia" w:ascii="宋体" w:cs="宋体"/>
          <w:color w:val="auto"/>
          <w:kern w:val="0"/>
          <w:sz w:val="24"/>
          <w:highlight w:val="none"/>
        </w:rPr>
        <w:t xml:space="preserve">   </w:t>
      </w:r>
      <w:r>
        <w:rPr>
          <w:rFonts w:hint="eastAsia" w:ascii="宋体" w:cs="宋体"/>
          <w:color w:val="auto"/>
          <w:kern w:val="0"/>
          <w:sz w:val="24"/>
          <w:highlight w:val="none"/>
          <w:lang w:val="zh-CN"/>
        </w:rPr>
        <w:t>日</w:t>
      </w:r>
    </w:p>
    <w:p w14:paraId="012FB3AA">
      <w:pPr>
        <w:pStyle w:val="16"/>
        <w:snapToGrid w:val="0"/>
        <w:spacing w:before="295" w:after="295" w:line="360" w:lineRule="auto"/>
        <w:rPr>
          <w:rFonts w:cs="宋体"/>
          <w:b/>
          <w:color w:val="auto"/>
          <w:sz w:val="28"/>
          <w:szCs w:val="28"/>
          <w:highlight w:val="none"/>
        </w:rPr>
      </w:pPr>
      <w:r>
        <w:rPr>
          <w:rFonts w:hint="eastAsia" w:cs="宋体"/>
          <w:b/>
          <w:color w:val="auto"/>
          <w:sz w:val="24"/>
          <w:highlight w:val="none"/>
        </w:rPr>
        <w:br w:type="page"/>
      </w:r>
      <w:r>
        <w:rPr>
          <w:rFonts w:hint="eastAsia" w:cs="宋体"/>
          <w:b/>
          <w:bCs/>
          <w:color w:val="auto"/>
          <w:sz w:val="28"/>
          <w:szCs w:val="28"/>
          <w:highlight w:val="none"/>
        </w:rPr>
        <w:t>4.法定代表人身份证明的格式：</w:t>
      </w:r>
    </w:p>
    <w:p w14:paraId="2AB708A4">
      <w:pPr>
        <w:spacing w:before="240" w:beforeLines="100" w:after="120" w:afterLines="50"/>
        <w:ind w:left="540"/>
        <w:jc w:val="center"/>
        <w:rPr>
          <w:rFonts w:ascii="宋体" w:cs="宋体"/>
          <w:b/>
          <w:color w:val="auto"/>
          <w:sz w:val="32"/>
          <w:szCs w:val="32"/>
          <w:highlight w:val="none"/>
        </w:rPr>
      </w:pPr>
    </w:p>
    <w:p w14:paraId="49D854E3">
      <w:pPr>
        <w:spacing w:before="240" w:beforeLines="100" w:after="120" w:afterLines="50"/>
        <w:ind w:left="540"/>
        <w:jc w:val="center"/>
        <w:rPr>
          <w:rFonts w:ascii="宋体" w:cs="宋体"/>
          <w:color w:val="auto"/>
          <w:sz w:val="28"/>
          <w:szCs w:val="28"/>
          <w:highlight w:val="none"/>
        </w:rPr>
      </w:pPr>
      <w:r>
        <w:rPr>
          <w:rFonts w:hint="eastAsia" w:ascii="宋体" w:cs="宋体"/>
          <w:b/>
          <w:color w:val="auto"/>
          <w:sz w:val="28"/>
          <w:szCs w:val="28"/>
          <w:highlight w:val="none"/>
        </w:rPr>
        <w:t>法定代表人身份证明</w:t>
      </w:r>
    </w:p>
    <w:p w14:paraId="7BD8147D">
      <w:pPr>
        <w:spacing w:line="500" w:lineRule="exact"/>
        <w:ind w:left="540"/>
        <w:rPr>
          <w:rFonts w:ascii="宋体" w:cs="宋体"/>
          <w:color w:val="auto"/>
          <w:sz w:val="24"/>
          <w:highlight w:val="none"/>
        </w:rPr>
      </w:pPr>
      <w:r>
        <w:rPr>
          <w:rFonts w:hint="eastAsia" w:ascii="宋体" w:cs="宋体"/>
          <w:color w:val="auto"/>
          <w:sz w:val="24"/>
          <w:highlight w:val="none"/>
        </w:rPr>
        <w:t>投 标 人：</w:t>
      </w:r>
      <w:r>
        <w:rPr>
          <w:rFonts w:hint="eastAsia" w:ascii="宋体" w:cs="宋体"/>
          <w:color w:val="auto"/>
          <w:sz w:val="24"/>
          <w:highlight w:val="none"/>
          <w:u w:val="single"/>
        </w:rPr>
        <w:t xml:space="preserve">                                                        </w:t>
      </w:r>
    </w:p>
    <w:p w14:paraId="08021A17">
      <w:pPr>
        <w:spacing w:line="500" w:lineRule="exact"/>
        <w:ind w:left="540"/>
        <w:rPr>
          <w:rFonts w:ascii="宋体" w:cs="宋体"/>
          <w:color w:val="auto"/>
          <w:sz w:val="24"/>
          <w:highlight w:val="none"/>
        </w:rPr>
      </w:pPr>
      <w:r>
        <w:rPr>
          <w:rFonts w:hint="eastAsia" w:ascii="宋体" w:cs="宋体"/>
          <w:color w:val="auto"/>
          <w:sz w:val="24"/>
          <w:highlight w:val="none"/>
        </w:rPr>
        <w:t>地    址：</w:t>
      </w:r>
      <w:r>
        <w:rPr>
          <w:rFonts w:hint="eastAsia" w:ascii="宋体" w:cs="宋体"/>
          <w:color w:val="auto"/>
          <w:sz w:val="24"/>
          <w:highlight w:val="none"/>
          <w:u w:val="single"/>
        </w:rPr>
        <w:t xml:space="preserve">                                                        </w:t>
      </w:r>
    </w:p>
    <w:p w14:paraId="02AE471D">
      <w:pPr>
        <w:spacing w:line="500" w:lineRule="exact"/>
        <w:ind w:left="540"/>
        <w:rPr>
          <w:rFonts w:ascii="宋体" w:cs="宋体"/>
          <w:color w:val="auto"/>
          <w:sz w:val="24"/>
          <w:highlight w:val="none"/>
        </w:rPr>
      </w:pPr>
      <w:r>
        <w:rPr>
          <w:rFonts w:hint="eastAsia" w:ascii="宋体" w:cs="宋体"/>
          <w:color w:val="auto"/>
          <w:sz w:val="24"/>
          <w:highlight w:val="none"/>
        </w:rPr>
        <w:t>姓    名：</w:t>
      </w:r>
      <w:r>
        <w:rPr>
          <w:rFonts w:hint="eastAsia" w:ascii="宋体" w:cs="宋体"/>
          <w:color w:val="auto"/>
          <w:sz w:val="24"/>
          <w:highlight w:val="none"/>
          <w:u w:val="single"/>
        </w:rPr>
        <w:t xml:space="preserve">                          </w:t>
      </w:r>
      <w:r>
        <w:rPr>
          <w:rFonts w:hint="eastAsia" w:ascii="宋体" w:cs="宋体"/>
          <w:color w:val="auto"/>
          <w:sz w:val="24"/>
          <w:highlight w:val="none"/>
        </w:rPr>
        <w:t>性      别：</w:t>
      </w:r>
      <w:r>
        <w:rPr>
          <w:rFonts w:hint="eastAsia" w:ascii="宋体" w:cs="宋体"/>
          <w:color w:val="auto"/>
          <w:sz w:val="24"/>
          <w:highlight w:val="none"/>
          <w:u w:val="single"/>
        </w:rPr>
        <w:t xml:space="preserve">                </w:t>
      </w:r>
    </w:p>
    <w:p w14:paraId="34C48AF2">
      <w:pPr>
        <w:spacing w:line="500" w:lineRule="exact"/>
        <w:ind w:left="540"/>
        <w:rPr>
          <w:rFonts w:ascii="宋体" w:cs="宋体"/>
          <w:color w:val="auto"/>
          <w:sz w:val="24"/>
          <w:highlight w:val="none"/>
          <w:u w:val="single"/>
        </w:rPr>
      </w:pPr>
      <w:r>
        <w:rPr>
          <w:rFonts w:hint="eastAsia" w:ascii="宋体" w:cs="宋体"/>
          <w:color w:val="auto"/>
          <w:sz w:val="24"/>
          <w:highlight w:val="none"/>
        </w:rPr>
        <w:t>年    龄：</w:t>
      </w:r>
      <w:r>
        <w:rPr>
          <w:rFonts w:hint="eastAsia" w:ascii="宋体" w:cs="宋体"/>
          <w:color w:val="auto"/>
          <w:sz w:val="24"/>
          <w:highlight w:val="none"/>
          <w:u w:val="single"/>
        </w:rPr>
        <w:t xml:space="preserve">                          </w:t>
      </w:r>
      <w:r>
        <w:rPr>
          <w:rFonts w:hint="eastAsia" w:ascii="宋体" w:cs="宋体"/>
          <w:color w:val="auto"/>
          <w:sz w:val="24"/>
          <w:highlight w:val="none"/>
        </w:rPr>
        <w:t>职      务：</w:t>
      </w:r>
      <w:r>
        <w:rPr>
          <w:rFonts w:hint="eastAsia" w:ascii="宋体" w:cs="宋体"/>
          <w:color w:val="auto"/>
          <w:sz w:val="24"/>
          <w:highlight w:val="none"/>
          <w:u w:val="single"/>
        </w:rPr>
        <w:t xml:space="preserve">                </w:t>
      </w:r>
    </w:p>
    <w:p w14:paraId="46C5B83E">
      <w:pPr>
        <w:spacing w:line="500" w:lineRule="exact"/>
        <w:ind w:left="540"/>
        <w:rPr>
          <w:rFonts w:ascii="宋体" w:cs="宋体"/>
          <w:color w:val="auto"/>
          <w:sz w:val="24"/>
          <w:highlight w:val="none"/>
        </w:rPr>
      </w:pPr>
      <w:r>
        <w:rPr>
          <w:rFonts w:hint="eastAsia" w:ascii="宋体" w:cs="宋体"/>
          <w:color w:val="auto"/>
          <w:sz w:val="24"/>
          <w:highlight w:val="none"/>
        </w:rPr>
        <w:t>身份证号码：</w:t>
      </w:r>
      <w:r>
        <w:rPr>
          <w:rFonts w:hint="eastAsia" w:ascii="宋体" w:cs="宋体"/>
          <w:color w:val="auto"/>
          <w:sz w:val="24"/>
          <w:highlight w:val="none"/>
          <w:u w:val="single"/>
        </w:rPr>
        <w:t xml:space="preserve">                                 </w:t>
      </w:r>
    </w:p>
    <w:p w14:paraId="33D31D8E">
      <w:pPr>
        <w:spacing w:line="500" w:lineRule="exact"/>
        <w:ind w:left="540"/>
        <w:rPr>
          <w:rFonts w:ascii="宋体" w:cs="宋体"/>
          <w:color w:val="auto"/>
          <w:sz w:val="24"/>
          <w:highlight w:val="none"/>
        </w:rPr>
      </w:pPr>
      <w:r>
        <w:rPr>
          <w:rFonts w:hint="eastAsia" w:ascii="宋体" w:cs="宋体"/>
          <w:color w:val="auto"/>
          <w:sz w:val="24"/>
          <w:highlight w:val="none"/>
        </w:rPr>
        <w:t>系</w:t>
      </w:r>
      <w:r>
        <w:rPr>
          <w:rFonts w:hint="eastAsia" w:ascii="宋体" w:cs="宋体"/>
          <w:color w:val="auto"/>
          <w:sz w:val="24"/>
          <w:highlight w:val="none"/>
          <w:u w:val="single"/>
        </w:rPr>
        <w:t xml:space="preserve">            （投标人名称）              </w:t>
      </w:r>
      <w:r>
        <w:rPr>
          <w:rFonts w:hint="eastAsia" w:ascii="宋体" w:cs="宋体"/>
          <w:color w:val="auto"/>
          <w:sz w:val="24"/>
          <w:highlight w:val="none"/>
        </w:rPr>
        <w:t>的法定代表人。</w:t>
      </w:r>
    </w:p>
    <w:p w14:paraId="5368D2B7">
      <w:pPr>
        <w:spacing w:line="500" w:lineRule="exact"/>
        <w:ind w:left="540"/>
        <w:rPr>
          <w:rFonts w:ascii="宋体" w:cs="宋体"/>
          <w:color w:val="auto"/>
          <w:sz w:val="24"/>
          <w:highlight w:val="none"/>
        </w:rPr>
      </w:pPr>
      <w:r>
        <w:rPr>
          <w:rFonts w:hint="eastAsia" w:ascii="宋体" w:cs="宋体"/>
          <w:color w:val="auto"/>
          <w:sz w:val="24"/>
          <w:highlight w:val="none"/>
        </w:rPr>
        <w:t>特此证明。</w:t>
      </w:r>
    </w:p>
    <w:p w14:paraId="2DCCCC75">
      <w:pPr>
        <w:spacing w:line="500" w:lineRule="exact"/>
        <w:ind w:left="540"/>
        <w:rPr>
          <w:rFonts w:ascii="宋体" w:cs="宋体"/>
          <w:color w:val="auto"/>
          <w:sz w:val="24"/>
          <w:highlight w:val="none"/>
        </w:rPr>
      </w:pPr>
    </w:p>
    <w:p w14:paraId="258712F8">
      <w:pPr>
        <w:spacing w:line="500" w:lineRule="exact"/>
        <w:ind w:left="540"/>
        <w:rPr>
          <w:rFonts w:ascii="宋体" w:cs="宋体"/>
          <w:color w:val="auto"/>
          <w:sz w:val="24"/>
          <w:highlight w:val="none"/>
        </w:rPr>
      </w:pPr>
    </w:p>
    <w:p w14:paraId="2C1B0C74">
      <w:pPr>
        <w:spacing w:line="500" w:lineRule="exact"/>
        <w:ind w:left="540"/>
        <w:rPr>
          <w:rFonts w:ascii="宋体" w:cs="宋体"/>
          <w:color w:val="auto"/>
          <w:sz w:val="24"/>
          <w:highlight w:val="none"/>
        </w:rPr>
      </w:pPr>
      <w:r>
        <w:rPr>
          <w:rFonts w:hint="eastAsia" w:ascii="宋体" w:cs="宋体"/>
          <w:color w:val="auto"/>
          <w:sz w:val="24"/>
          <w:highlight w:val="none"/>
        </w:rPr>
        <w:t>附件：法定代表人有效身份证正反面复印件</w:t>
      </w:r>
    </w:p>
    <w:p w14:paraId="03D8B116">
      <w:pPr>
        <w:spacing w:line="500" w:lineRule="exact"/>
        <w:ind w:left="540"/>
        <w:rPr>
          <w:rFonts w:ascii="宋体" w:cs="宋体"/>
          <w:color w:val="auto"/>
          <w:sz w:val="24"/>
          <w:highlight w:val="none"/>
        </w:rPr>
      </w:pPr>
    </w:p>
    <w:p w14:paraId="3AE9B42C">
      <w:pPr>
        <w:snapToGrid w:val="0"/>
        <w:spacing w:line="360" w:lineRule="auto"/>
        <w:ind w:firstLine="4935" w:firstLineChars="2350"/>
        <w:rPr>
          <w:rFonts w:ascii="宋体" w:cs="宋体"/>
          <w:color w:val="auto"/>
          <w:kern w:val="0"/>
          <w:sz w:val="24"/>
          <w:highlight w:val="none"/>
        </w:rPr>
      </w:pPr>
      <w:r>
        <w:rPr>
          <w:rFonts w:hint="eastAsia" w:ascii="宋体" w:cs="宋体"/>
          <w:color w:val="auto"/>
          <w:szCs w:val="21"/>
          <w:highlight w:val="none"/>
        </w:rPr>
        <w:t xml:space="preserve">  </w:t>
      </w:r>
      <w:r>
        <w:rPr>
          <w:rFonts w:hint="eastAsia" w:ascii="宋体" w:cs="宋体"/>
          <w:color w:val="auto"/>
          <w:kern w:val="0"/>
          <w:sz w:val="24"/>
          <w:highlight w:val="none"/>
          <w:lang w:val="zh-CN"/>
        </w:rPr>
        <w:t>投标人名称（盖公章）：</w:t>
      </w:r>
    </w:p>
    <w:p w14:paraId="16059864">
      <w:pPr>
        <w:snapToGrid w:val="0"/>
        <w:spacing w:line="360" w:lineRule="auto"/>
        <w:ind w:firstLine="5160" w:firstLineChars="2150"/>
        <w:rPr>
          <w:rFonts w:ascii="宋体" w:cs="宋体"/>
          <w:color w:val="auto"/>
          <w:kern w:val="0"/>
          <w:sz w:val="24"/>
          <w:highlight w:val="none"/>
          <w:lang w:val="zh-CN"/>
        </w:rPr>
      </w:pPr>
      <w:r>
        <w:rPr>
          <w:rFonts w:hint="eastAsia" w:ascii="宋体" w:cs="宋体"/>
          <w:color w:val="auto"/>
          <w:kern w:val="0"/>
          <w:sz w:val="24"/>
          <w:highlight w:val="none"/>
          <w:lang w:val="zh-CN"/>
        </w:rPr>
        <w:t>日期</w:t>
      </w:r>
      <w:r>
        <w:rPr>
          <w:rFonts w:hint="eastAsia" w:ascii="宋体" w:cs="宋体"/>
          <w:color w:val="auto"/>
          <w:kern w:val="0"/>
          <w:sz w:val="24"/>
          <w:highlight w:val="none"/>
        </w:rPr>
        <w:t xml:space="preserve">：  年  </w:t>
      </w:r>
      <w:r>
        <w:rPr>
          <w:rFonts w:hint="eastAsia" w:ascii="宋体" w:cs="宋体"/>
          <w:color w:val="auto"/>
          <w:kern w:val="0"/>
          <w:sz w:val="24"/>
          <w:highlight w:val="none"/>
          <w:lang w:val="zh-CN"/>
        </w:rPr>
        <w:t>月</w:t>
      </w:r>
      <w:r>
        <w:rPr>
          <w:rFonts w:hint="eastAsia" w:ascii="宋体" w:cs="宋体"/>
          <w:color w:val="auto"/>
          <w:kern w:val="0"/>
          <w:sz w:val="24"/>
          <w:highlight w:val="none"/>
        </w:rPr>
        <w:t xml:space="preserve">   </w:t>
      </w:r>
      <w:r>
        <w:rPr>
          <w:rFonts w:hint="eastAsia" w:ascii="宋体" w:cs="宋体"/>
          <w:color w:val="auto"/>
          <w:kern w:val="0"/>
          <w:sz w:val="24"/>
          <w:highlight w:val="none"/>
          <w:lang w:val="zh-CN"/>
        </w:rPr>
        <w:t>日</w:t>
      </w:r>
    </w:p>
    <w:p w14:paraId="12FFDCC4">
      <w:pPr>
        <w:snapToGrid w:val="0"/>
        <w:spacing w:before="120" w:beforeLines="50" w:after="50"/>
        <w:jc w:val="center"/>
        <w:rPr>
          <w:rFonts w:ascii="宋体" w:cs="宋体"/>
          <w:b/>
          <w:color w:val="auto"/>
          <w:sz w:val="24"/>
          <w:highlight w:val="none"/>
        </w:rPr>
      </w:pPr>
    </w:p>
    <w:p w14:paraId="4419D1A6">
      <w:pPr>
        <w:snapToGrid w:val="0"/>
        <w:spacing w:before="120" w:beforeLines="50" w:after="50"/>
        <w:ind w:firstLine="600" w:firstLineChars="250"/>
        <w:jc w:val="left"/>
        <w:rPr>
          <w:rFonts w:ascii="宋体" w:cs="宋体"/>
          <w:color w:val="auto"/>
          <w:sz w:val="24"/>
          <w:highlight w:val="none"/>
        </w:rPr>
      </w:pPr>
      <w:r>
        <w:rPr>
          <w:rFonts w:hint="eastAsia" w:ascii="宋体" w:cs="宋体"/>
          <w:color w:val="auto"/>
          <w:sz w:val="24"/>
          <w:highlight w:val="none"/>
        </w:rPr>
        <w:t>注：自然人投标的无需提供</w:t>
      </w:r>
    </w:p>
    <w:p w14:paraId="566BD8D7">
      <w:pPr>
        <w:snapToGrid w:val="0"/>
        <w:spacing w:before="120" w:beforeLines="50" w:after="50"/>
        <w:ind w:firstLine="600" w:firstLineChars="250"/>
        <w:jc w:val="left"/>
        <w:rPr>
          <w:rFonts w:ascii="宋体" w:cs="宋体"/>
          <w:color w:val="auto"/>
          <w:sz w:val="24"/>
          <w:highlight w:val="none"/>
        </w:rPr>
      </w:pPr>
    </w:p>
    <w:p w14:paraId="0D024CD9">
      <w:pPr>
        <w:snapToGrid w:val="0"/>
        <w:spacing w:before="120" w:beforeLines="50" w:after="50"/>
        <w:ind w:firstLine="602" w:firstLineChars="250"/>
        <w:jc w:val="left"/>
        <w:rPr>
          <w:rFonts w:ascii="宋体" w:cs="宋体"/>
          <w:b/>
          <w:color w:val="auto"/>
          <w:sz w:val="24"/>
          <w:szCs w:val="20"/>
          <w:highlight w:val="none"/>
        </w:rPr>
      </w:pPr>
    </w:p>
    <w:tbl>
      <w:tblPr>
        <w:tblStyle w:val="29"/>
        <w:tblpPr w:leftFromText="180" w:rightFromText="180" w:vertAnchor="text" w:horzAnchor="margin" w:tblpXSpec="left" w:tblpY="1169"/>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1984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cBorders>
          </w:tcPr>
          <w:p w14:paraId="6DE6D3FC">
            <w:pPr>
              <w:spacing w:line="360" w:lineRule="auto"/>
              <w:rPr>
                <w:rFonts w:ascii="宋体" w:cs="宋体"/>
                <w:b/>
                <w:color w:val="auto"/>
                <w:sz w:val="24"/>
                <w:highlight w:val="none"/>
              </w:rPr>
            </w:pPr>
          </w:p>
          <w:p w14:paraId="438AEFDE">
            <w:pPr>
              <w:spacing w:line="360" w:lineRule="auto"/>
              <w:rPr>
                <w:rFonts w:ascii="宋体" w:cs="宋体"/>
                <w:b/>
                <w:color w:val="auto"/>
                <w:sz w:val="24"/>
                <w:highlight w:val="none"/>
              </w:rPr>
            </w:pPr>
            <w:r>
              <w:rPr>
                <w:rFonts w:hint="eastAsia" w:ascii="宋体" w:cs="宋体"/>
                <w:b/>
                <w:color w:val="auto"/>
                <w:sz w:val="24"/>
                <w:highlight w:val="none"/>
              </w:rPr>
              <w:t>法定代表人有效身份证复印件粘</w:t>
            </w:r>
            <w:r>
              <w:rPr>
                <w:rFonts w:hint="eastAsia" w:ascii="宋体" w:cs="宋体"/>
                <w:b/>
                <w:color w:val="auto"/>
                <w:sz w:val="24"/>
                <w:highlight w:val="none"/>
                <w:lang w:val="en-US" w:eastAsia="zh-CN"/>
              </w:rPr>
              <w:t>贴处</w:t>
            </w:r>
            <w:r>
              <w:rPr>
                <w:rFonts w:hint="eastAsia" w:ascii="宋体" w:cs="宋体"/>
                <w:b/>
                <w:color w:val="auto"/>
                <w:sz w:val="24"/>
                <w:highlight w:val="none"/>
              </w:rPr>
              <w:t>（正、反面）</w:t>
            </w:r>
          </w:p>
        </w:tc>
      </w:tr>
    </w:tbl>
    <w:p w14:paraId="55BC9C50">
      <w:pPr>
        <w:pStyle w:val="16"/>
        <w:snapToGrid w:val="0"/>
        <w:spacing w:before="295" w:after="295" w:line="360" w:lineRule="auto"/>
        <w:ind w:left="0" w:hanging="3"/>
        <w:jc w:val="left"/>
        <w:rPr>
          <w:rFonts w:cs="宋体"/>
          <w:b/>
          <w:color w:val="auto"/>
          <w:sz w:val="28"/>
          <w:szCs w:val="28"/>
          <w:highlight w:val="none"/>
        </w:rPr>
      </w:pPr>
      <w:r>
        <w:rPr>
          <w:rFonts w:hint="eastAsia" w:cs="宋体"/>
          <w:b/>
          <w:color w:val="auto"/>
          <w:sz w:val="24"/>
          <w:highlight w:val="none"/>
        </w:rPr>
        <w:t>附件：</w:t>
      </w:r>
      <w:r>
        <w:rPr>
          <w:rFonts w:hint="eastAsia" w:cs="宋体"/>
          <w:b/>
          <w:color w:val="auto"/>
          <w:sz w:val="24"/>
          <w:highlight w:val="none"/>
        </w:rPr>
        <w:br w:type="page"/>
      </w:r>
      <w:r>
        <w:rPr>
          <w:rFonts w:hint="eastAsia" w:cs="宋体"/>
          <w:b/>
          <w:bCs/>
          <w:color w:val="auto"/>
          <w:sz w:val="28"/>
          <w:szCs w:val="28"/>
          <w:highlight w:val="none"/>
        </w:rPr>
        <w:t>5.法定代表人授权委托书的格式：</w:t>
      </w:r>
    </w:p>
    <w:p w14:paraId="0C43A09B">
      <w:pPr>
        <w:snapToGrid w:val="0"/>
        <w:spacing w:before="120" w:beforeLines="50" w:after="50"/>
        <w:jc w:val="center"/>
        <w:rPr>
          <w:rFonts w:hint="eastAsia" w:ascii="宋体" w:hAnsi="宋体" w:eastAsia="宋体" w:cs="Times New Roman"/>
          <w:b/>
          <w:bCs w:val="0"/>
          <w:color w:val="auto"/>
          <w:sz w:val="32"/>
          <w:szCs w:val="32"/>
          <w:highlight w:val="none"/>
        </w:rPr>
      </w:pPr>
      <w:r>
        <w:rPr>
          <w:rFonts w:hint="eastAsia" w:ascii="宋体" w:hAnsi="宋体" w:eastAsia="宋体" w:cs="Times New Roman"/>
          <w:b/>
          <w:bCs w:val="0"/>
          <w:color w:val="auto"/>
          <w:sz w:val="32"/>
          <w:szCs w:val="32"/>
          <w:highlight w:val="none"/>
        </w:rPr>
        <w:t>授权委托书（非联合体</w:t>
      </w:r>
      <w:r>
        <w:rPr>
          <w:rFonts w:hint="eastAsia" w:ascii="宋体" w:hAnsi="宋体" w:cs="Times New Roman"/>
          <w:b/>
          <w:bCs w:val="0"/>
          <w:color w:val="auto"/>
          <w:sz w:val="32"/>
          <w:szCs w:val="32"/>
          <w:highlight w:val="none"/>
          <w:lang w:eastAsia="zh-CN"/>
        </w:rPr>
        <w:t>投标</w:t>
      </w:r>
      <w:r>
        <w:rPr>
          <w:rFonts w:hint="eastAsia" w:ascii="宋体" w:hAnsi="宋体" w:eastAsia="宋体" w:cs="Times New Roman"/>
          <w:b/>
          <w:bCs w:val="0"/>
          <w:color w:val="auto"/>
          <w:sz w:val="32"/>
          <w:szCs w:val="32"/>
          <w:highlight w:val="none"/>
        </w:rPr>
        <w:t>格式）</w:t>
      </w:r>
    </w:p>
    <w:p w14:paraId="7EC65F18">
      <w:pPr>
        <w:snapToGrid w:val="0"/>
        <w:spacing w:before="120" w:beforeLines="50" w:after="50"/>
        <w:jc w:val="center"/>
        <w:rPr>
          <w:rFonts w:hint="eastAsia" w:ascii="宋体" w:hAnsi="宋体" w:eastAsia="宋体" w:cs="Times New Roman"/>
          <w:b w:val="0"/>
          <w:bCs/>
          <w:color w:val="auto"/>
          <w:sz w:val="24"/>
          <w:szCs w:val="24"/>
          <w:highlight w:val="none"/>
        </w:rPr>
      </w:pPr>
      <w:r>
        <w:rPr>
          <w:rFonts w:hint="eastAsia" w:ascii="宋体" w:hAnsi="宋体" w:eastAsia="宋体" w:cs="Times New Roman"/>
          <w:b/>
          <w:bCs w:val="0"/>
          <w:color w:val="auto"/>
          <w:sz w:val="32"/>
          <w:szCs w:val="32"/>
          <w:highlight w:val="none"/>
        </w:rPr>
        <w:t>（如有委托时）</w:t>
      </w:r>
    </w:p>
    <w:p w14:paraId="1E343505">
      <w:pPr>
        <w:snapToGrid w:val="0"/>
        <w:spacing w:before="120" w:beforeLines="50" w:after="50"/>
        <w:jc w:val="left"/>
        <w:rPr>
          <w:rFonts w:hint="eastAsia" w:ascii="宋体" w:hAnsi="宋体" w:eastAsia="宋体" w:cs="Times New Roman"/>
          <w:b w:val="0"/>
          <w:bCs/>
          <w:color w:val="auto"/>
          <w:sz w:val="24"/>
          <w:szCs w:val="24"/>
          <w:highlight w:val="none"/>
        </w:rPr>
      </w:pPr>
    </w:p>
    <w:p w14:paraId="6EA3AA1D">
      <w:pPr>
        <w:snapToGrid w:val="0"/>
        <w:spacing w:before="120" w:beforeLines="50" w:after="50" w:line="360" w:lineRule="auto"/>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致：</w:t>
      </w:r>
      <w:r>
        <w:rPr>
          <w:rFonts w:hint="eastAsia" w:ascii="宋体" w:hAnsi="宋体" w:eastAsia="宋体" w:cs="Times New Roman"/>
          <w:b w:val="0"/>
          <w:bCs/>
          <w:color w:val="auto"/>
          <w:sz w:val="24"/>
          <w:szCs w:val="24"/>
          <w:highlight w:val="none"/>
          <w:u w:val="single"/>
        </w:rPr>
        <w:t>广西科联招标中心有限公司</w:t>
      </w:r>
      <w:r>
        <w:rPr>
          <w:rFonts w:hint="eastAsia" w:ascii="宋体" w:hAnsi="宋体" w:eastAsia="宋体" w:cs="Times New Roman"/>
          <w:b w:val="0"/>
          <w:bCs/>
          <w:color w:val="auto"/>
          <w:sz w:val="24"/>
          <w:szCs w:val="24"/>
          <w:highlight w:val="none"/>
        </w:rPr>
        <w:t>：</w:t>
      </w:r>
    </w:p>
    <w:p w14:paraId="010245EE">
      <w:pPr>
        <w:snapToGrid w:val="0"/>
        <w:spacing w:before="120" w:beforeLines="50" w:after="50" w:line="360" w:lineRule="auto"/>
        <w:ind w:firstLine="480" w:firstLineChars="200"/>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我</w:t>
      </w:r>
      <w:r>
        <w:rPr>
          <w:rFonts w:hint="eastAsia" w:ascii="宋体" w:hAnsi="宋体" w:eastAsia="宋体" w:cs="Times New Roman"/>
          <w:b w:val="0"/>
          <w:bCs/>
          <w:color w:val="auto"/>
          <w:sz w:val="24"/>
          <w:szCs w:val="24"/>
          <w:highlight w:val="none"/>
          <w:u w:val="single"/>
        </w:rPr>
        <w:t xml:space="preserve">  </w:t>
      </w:r>
      <w:r>
        <w:rPr>
          <w:rFonts w:hint="eastAsia" w:ascii="宋体" w:hAnsi="宋体" w:eastAsia="宋体" w:cs="Times New Roman"/>
          <w:b w:val="0"/>
          <w:bCs/>
          <w:i/>
          <w:iCs/>
          <w:color w:val="auto"/>
          <w:sz w:val="24"/>
          <w:szCs w:val="24"/>
          <w:highlight w:val="none"/>
          <w:u w:val="single"/>
        </w:rPr>
        <w:t>（姓名）</w:t>
      </w:r>
      <w:r>
        <w:rPr>
          <w:rFonts w:hint="eastAsia" w:ascii="宋体" w:hAnsi="宋体" w:eastAsia="宋体" w:cs="Times New Roman"/>
          <w:b w:val="0"/>
          <w:bCs/>
          <w:color w:val="auto"/>
          <w:sz w:val="24"/>
          <w:szCs w:val="24"/>
          <w:highlight w:val="none"/>
          <w:u w:val="single"/>
        </w:rPr>
        <w:t xml:space="preserve">  </w:t>
      </w:r>
      <w:r>
        <w:rPr>
          <w:rFonts w:hint="eastAsia" w:ascii="宋体" w:hAnsi="宋体" w:eastAsia="宋体" w:cs="Times New Roman"/>
          <w:b w:val="0"/>
          <w:bCs/>
          <w:color w:val="auto"/>
          <w:sz w:val="24"/>
          <w:szCs w:val="24"/>
          <w:highlight w:val="none"/>
        </w:rPr>
        <w:t>系</w:t>
      </w:r>
      <w:r>
        <w:rPr>
          <w:rFonts w:hint="eastAsia" w:ascii="宋体" w:hAnsi="宋体" w:eastAsia="宋体" w:cs="Times New Roman"/>
          <w:b w:val="0"/>
          <w:bCs/>
          <w:color w:val="auto"/>
          <w:sz w:val="24"/>
          <w:szCs w:val="24"/>
          <w:highlight w:val="none"/>
          <w:u w:val="single"/>
        </w:rPr>
        <w:t xml:space="preserve">  </w:t>
      </w:r>
      <w:r>
        <w:rPr>
          <w:rFonts w:hint="eastAsia" w:ascii="宋体" w:hAnsi="宋体" w:eastAsia="宋体" w:cs="Times New Roman"/>
          <w:b w:val="0"/>
          <w:bCs/>
          <w:i/>
          <w:iCs/>
          <w:color w:val="auto"/>
          <w:sz w:val="24"/>
          <w:szCs w:val="24"/>
          <w:highlight w:val="none"/>
          <w:u w:val="single"/>
        </w:rPr>
        <w:t>（</w:t>
      </w:r>
      <w:r>
        <w:rPr>
          <w:rFonts w:hint="eastAsia" w:ascii="宋体" w:hAnsi="宋体" w:eastAsia="宋体" w:cs="Times New Roman"/>
          <w:b w:val="0"/>
          <w:bCs/>
          <w:i/>
          <w:iCs/>
          <w:color w:val="auto"/>
          <w:sz w:val="24"/>
          <w:szCs w:val="24"/>
          <w:highlight w:val="none"/>
          <w:u w:val="single"/>
          <w:lang w:val="en-US" w:eastAsia="zh-CN"/>
        </w:rPr>
        <w:t>投标人</w:t>
      </w:r>
      <w:r>
        <w:rPr>
          <w:rFonts w:hint="eastAsia" w:ascii="宋体" w:hAnsi="宋体" w:eastAsia="宋体" w:cs="Times New Roman"/>
          <w:b w:val="0"/>
          <w:bCs/>
          <w:i/>
          <w:iCs/>
          <w:color w:val="auto"/>
          <w:sz w:val="24"/>
          <w:szCs w:val="24"/>
          <w:highlight w:val="none"/>
          <w:u w:val="single"/>
        </w:rPr>
        <w:t>名称）</w:t>
      </w:r>
      <w:r>
        <w:rPr>
          <w:rFonts w:hint="eastAsia" w:ascii="宋体" w:hAnsi="宋体" w:eastAsia="宋体" w:cs="Times New Roman"/>
          <w:b w:val="0"/>
          <w:bCs/>
          <w:color w:val="auto"/>
          <w:sz w:val="24"/>
          <w:szCs w:val="24"/>
          <w:highlight w:val="none"/>
          <w:u w:val="single"/>
        </w:rPr>
        <w:t xml:space="preserve">  </w:t>
      </w:r>
      <w:r>
        <w:rPr>
          <w:rFonts w:hint="eastAsia" w:ascii="宋体" w:hAnsi="宋体" w:eastAsia="宋体" w:cs="Times New Roman"/>
          <w:b w:val="0"/>
          <w:bCs/>
          <w:color w:val="auto"/>
          <w:sz w:val="24"/>
          <w:szCs w:val="24"/>
          <w:highlight w:val="none"/>
        </w:rPr>
        <w:t xml:space="preserve">的（□法定代表人/□负责人/□自然人本人），现授权 </w:t>
      </w:r>
      <w:r>
        <w:rPr>
          <w:rFonts w:hint="eastAsia" w:ascii="宋体" w:hAnsi="宋体" w:eastAsia="宋体" w:cs="Times New Roman"/>
          <w:b w:val="0"/>
          <w:bCs/>
          <w:i/>
          <w:iCs/>
          <w:color w:val="auto"/>
          <w:sz w:val="24"/>
          <w:szCs w:val="24"/>
          <w:highlight w:val="none"/>
          <w:u w:val="single"/>
        </w:rPr>
        <w:t>（姓名）</w:t>
      </w:r>
      <w:r>
        <w:rPr>
          <w:rFonts w:hint="eastAsia" w:ascii="宋体" w:hAnsi="宋体" w:eastAsia="宋体" w:cs="Times New Roman"/>
          <w:b w:val="0"/>
          <w:bCs/>
          <w:color w:val="auto"/>
          <w:sz w:val="24"/>
          <w:szCs w:val="24"/>
          <w:highlight w:val="none"/>
        </w:rPr>
        <w:t xml:space="preserve"> 以我方的名义参加</w:t>
      </w:r>
      <w:r>
        <w:rPr>
          <w:rFonts w:hint="eastAsia" w:ascii="宋体" w:hAnsi="宋体" w:eastAsia="宋体" w:cs="Times New Roman"/>
          <w:b w:val="0"/>
          <w:bCs/>
          <w:color w:val="auto"/>
          <w:sz w:val="24"/>
          <w:szCs w:val="24"/>
          <w:highlight w:val="none"/>
          <w:u w:val="single"/>
        </w:rPr>
        <w:t xml:space="preserve">  （</w:t>
      </w:r>
      <w:r>
        <w:rPr>
          <w:rFonts w:hint="eastAsia" w:ascii="宋体" w:hAnsi="宋体" w:eastAsia="宋体" w:cs="Times New Roman"/>
          <w:b w:val="0"/>
          <w:bCs/>
          <w:i/>
          <w:iCs/>
          <w:color w:val="auto"/>
          <w:sz w:val="24"/>
          <w:szCs w:val="24"/>
          <w:highlight w:val="none"/>
          <w:u w:val="single"/>
        </w:rPr>
        <w:t>项目名称</w:t>
      </w:r>
      <w:r>
        <w:rPr>
          <w:rFonts w:hint="eastAsia" w:ascii="宋体" w:hAnsi="宋体" w:eastAsia="宋体" w:cs="Times New Roman"/>
          <w:b w:val="0"/>
          <w:bCs/>
          <w:color w:val="auto"/>
          <w:sz w:val="24"/>
          <w:szCs w:val="24"/>
          <w:highlight w:val="none"/>
          <w:u w:val="single"/>
        </w:rPr>
        <w:t>）</w:t>
      </w:r>
      <w:r>
        <w:rPr>
          <w:rFonts w:hint="eastAsia" w:ascii="宋体" w:hAnsi="宋体" w:eastAsia="宋体" w:cs="Times New Roman"/>
          <w:b w:val="0"/>
          <w:bCs/>
          <w:color w:val="auto"/>
          <w:sz w:val="24"/>
          <w:szCs w:val="24"/>
          <w:highlight w:val="none"/>
        </w:rPr>
        <w:t>项目的</w:t>
      </w:r>
      <w:r>
        <w:rPr>
          <w:rFonts w:hint="eastAsia" w:ascii="宋体" w:hAnsi="宋体" w:cs="Times New Roman"/>
          <w:b w:val="0"/>
          <w:bCs/>
          <w:color w:val="auto"/>
          <w:sz w:val="24"/>
          <w:szCs w:val="24"/>
          <w:highlight w:val="none"/>
          <w:lang w:eastAsia="zh-CN"/>
        </w:rPr>
        <w:t>投标</w:t>
      </w:r>
      <w:r>
        <w:rPr>
          <w:rFonts w:hint="eastAsia" w:ascii="宋体" w:hAnsi="宋体" w:eastAsia="宋体" w:cs="Times New Roman"/>
          <w:b w:val="0"/>
          <w:bCs/>
          <w:color w:val="auto"/>
          <w:sz w:val="24"/>
          <w:szCs w:val="24"/>
          <w:highlight w:val="none"/>
        </w:rPr>
        <w:t>活动，并代表我方全权办理针对上述项目的所有采购程序和环节的具体事务和签署相关文件。</w:t>
      </w:r>
    </w:p>
    <w:p w14:paraId="4FC26449">
      <w:pPr>
        <w:snapToGrid w:val="0"/>
        <w:spacing w:before="120" w:beforeLines="50" w:after="50" w:line="360" w:lineRule="auto"/>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 xml:space="preserve">    我方对委托代理人的签字事项负全部责任。</w:t>
      </w:r>
    </w:p>
    <w:p w14:paraId="76A615CD">
      <w:pPr>
        <w:snapToGrid w:val="0"/>
        <w:spacing w:before="120" w:beforeLines="50" w:after="50" w:line="360" w:lineRule="auto"/>
        <w:ind w:firstLine="480" w:firstLineChars="200"/>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本授权书自签署之日起生效，在撤销授权的书面通知以前，本授权书一直有效。委托代理人在授权书有效期内签署的所有文件不因授权的撤销而失效。</w:t>
      </w:r>
    </w:p>
    <w:p w14:paraId="0C7000AD">
      <w:pPr>
        <w:snapToGrid w:val="0"/>
        <w:spacing w:before="120" w:beforeLines="50" w:after="50" w:line="360" w:lineRule="auto"/>
        <w:ind w:firstLine="480" w:firstLineChars="200"/>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委托代理人无转委托权，特此委托。</w:t>
      </w:r>
    </w:p>
    <w:p w14:paraId="5F8CDDA0">
      <w:pPr>
        <w:snapToGrid w:val="0"/>
        <w:spacing w:before="120" w:beforeLines="50" w:after="50" w:line="360" w:lineRule="auto"/>
        <w:ind w:firstLine="480" w:firstLineChars="200"/>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附：委托代理人有效身份证正反面复印件</w:t>
      </w:r>
    </w:p>
    <w:p w14:paraId="17E8F252">
      <w:pPr>
        <w:snapToGrid w:val="0"/>
        <w:spacing w:before="120" w:beforeLines="50" w:after="50" w:line="360" w:lineRule="auto"/>
        <w:jc w:val="left"/>
        <w:rPr>
          <w:rFonts w:hint="eastAsia" w:ascii="宋体" w:hAnsi="宋体" w:eastAsia="宋体" w:cs="Times New Roman"/>
          <w:b w:val="0"/>
          <w:bCs/>
          <w:color w:val="auto"/>
          <w:sz w:val="24"/>
          <w:szCs w:val="24"/>
          <w:highlight w:val="none"/>
        </w:rPr>
      </w:pPr>
    </w:p>
    <w:p w14:paraId="0FABE931">
      <w:pPr>
        <w:snapToGrid w:val="0"/>
        <w:spacing w:before="120" w:beforeLines="50" w:after="50" w:line="360" w:lineRule="auto"/>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 xml:space="preserve">委托代理人（签字）：                 </w:t>
      </w:r>
      <w:r>
        <w:rPr>
          <w:rFonts w:hint="eastAsia" w:ascii="宋体" w:hAnsi="宋体" w:eastAsia="宋体" w:cs="Times New Roman"/>
          <w:b w:val="0"/>
          <w:bCs/>
          <w:color w:val="auto"/>
          <w:sz w:val="24"/>
          <w:szCs w:val="24"/>
          <w:highlight w:val="none"/>
          <w:lang w:val="en-US" w:eastAsia="zh-CN"/>
        </w:rPr>
        <w:t xml:space="preserve">   </w:t>
      </w:r>
      <w:r>
        <w:rPr>
          <w:rFonts w:hint="eastAsia" w:ascii="宋体" w:hAnsi="宋体" w:eastAsia="宋体" w:cs="Times New Roman"/>
          <w:b w:val="0"/>
          <w:bCs/>
          <w:color w:val="auto"/>
          <w:sz w:val="24"/>
          <w:szCs w:val="24"/>
          <w:highlight w:val="none"/>
        </w:rPr>
        <w:t xml:space="preserve">法定代表人（签字）：                    </w:t>
      </w:r>
    </w:p>
    <w:p w14:paraId="11D26E92">
      <w:pPr>
        <w:snapToGrid w:val="0"/>
        <w:spacing w:before="120" w:beforeLines="50" w:after="50" w:line="360" w:lineRule="auto"/>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 xml:space="preserve">委托代理人身份证号码：                              </w:t>
      </w:r>
    </w:p>
    <w:p w14:paraId="59A07F0B">
      <w:pPr>
        <w:snapToGrid w:val="0"/>
        <w:spacing w:before="120" w:beforeLines="50" w:after="50" w:line="360" w:lineRule="auto"/>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 xml:space="preserve">                                  </w:t>
      </w:r>
      <w:r>
        <w:rPr>
          <w:rFonts w:hint="eastAsia" w:ascii="宋体" w:hAnsi="宋体" w:eastAsia="宋体" w:cs="Times New Roman"/>
          <w:b w:val="0"/>
          <w:bCs/>
          <w:color w:val="auto"/>
          <w:sz w:val="24"/>
          <w:szCs w:val="24"/>
          <w:highlight w:val="none"/>
          <w:lang w:val="en-US" w:eastAsia="zh-CN"/>
        </w:rPr>
        <w:t>投标人</w:t>
      </w:r>
      <w:r>
        <w:rPr>
          <w:rFonts w:hint="eastAsia" w:ascii="宋体" w:hAnsi="宋体" w:eastAsia="宋体" w:cs="Times New Roman"/>
          <w:b w:val="0"/>
          <w:bCs/>
          <w:color w:val="auto"/>
          <w:sz w:val="24"/>
          <w:szCs w:val="24"/>
          <w:highlight w:val="none"/>
        </w:rPr>
        <w:t>名称（盖公章）：</w:t>
      </w:r>
    </w:p>
    <w:p w14:paraId="77A99B78">
      <w:pPr>
        <w:snapToGrid w:val="0"/>
        <w:spacing w:before="120" w:beforeLines="50" w:after="50" w:line="360" w:lineRule="auto"/>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 xml:space="preserve">                                                   日期：  年  月   日</w:t>
      </w:r>
    </w:p>
    <w:p w14:paraId="0AE512F5">
      <w:pPr>
        <w:snapToGrid w:val="0"/>
        <w:spacing w:before="120" w:beforeLines="50" w:after="50" w:line="360" w:lineRule="auto"/>
        <w:jc w:val="left"/>
        <w:rPr>
          <w:rFonts w:hint="eastAsia" w:ascii="宋体" w:hAnsi="宋体" w:eastAsia="宋体" w:cs="Times New Roman"/>
          <w:b w:val="0"/>
          <w:bCs/>
          <w:color w:val="auto"/>
          <w:sz w:val="24"/>
          <w:szCs w:val="24"/>
          <w:highlight w:val="none"/>
        </w:rPr>
      </w:pPr>
    </w:p>
    <w:p w14:paraId="642AD72A">
      <w:pPr>
        <w:snapToGrid w:val="0"/>
        <w:spacing w:before="120" w:beforeLines="50" w:after="50" w:line="360" w:lineRule="auto"/>
        <w:jc w:val="left"/>
        <w:rPr>
          <w:rFonts w:hint="eastAsia" w:ascii="宋体" w:hAnsi="宋体" w:eastAsia="宋体" w:cs="Times New Roman"/>
          <w:b w:val="0"/>
          <w:bCs/>
          <w:color w:val="auto"/>
          <w:sz w:val="21"/>
          <w:szCs w:val="21"/>
          <w:highlight w:val="none"/>
        </w:rPr>
      </w:pPr>
      <w:r>
        <w:rPr>
          <w:rFonts w:hint="eastAsia" w:ascii="宋体" w:hAnsi="宋体" w:eastAsia="宋体" w:cs="Times New Roman"/>
          <w:b w:val="0"/>
          <w:bCs/>
          <w:color w:val="auto"/>
          <w:sz w:val="21"/>
          <w:szCs w:val="21"/>
          <w:highlight w:val="none"/>
        </w:rPr>
        <w:t>注：</w:t>
      </w:r>
    </w:p>
    <w:p w14:paraId="38FBF233">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eastAsia" w:ascii="宋体" w:hAnsi="宋体" w:eastAsia="宋体" w:cs="Times New Roman"/>
          <w:b w:val="0"/>
          <w:bCs/>
          <w:color w:val="auto"/>
          <w:sz w:val="21"/>
          <w:szCs w:val="21"/>
          <w:highlight w:val="none"/>
        </w:rPr>
      </w:pPr>
      <w:r>
        <w:rPr>
          <w:rFonts w:hint="eastAsia" w:ascii="宋体" w:hAnsi="宋体" w:eastAsia="宋体" w:cs="Times New Roman"/>
          <w:b w:val="0"/>
          <w:bCs/>
          <w:color w:val="auto"/>
          <w:sz w:val="21"/>
          <w:szCs w:val="21"/>
          <w:highlight w:val="none"/>
        </w:rPr>
        <w:t>1.法定代表人和委托代理人必须在授权委托书上签字，</w:t>
      </w:r>
      <w:r>
        <w:rPr>
          <w:rFonts w:hint="eastAsia" w:ascii="宋体" w:hAnsi="宋体" w:eastAsia="宋体" w:cs="Times New Roman"/>
          <w:b/>
          <w:bCs w:val="0"/>
          <w:color w:val="auto"/>
          <w:sz w:val="21"/>
          <w:szCs w:val="21"/>
          <w:highlight w:val="none"/>
        </w:rPr>
        <w:t>否则其</w:t>
      </w:r>
      <w:r>
        <w:rPr>
          <w:rFonts w:hint="eastAsia" w:ascii="宋体" w:hAnsi="宋体" w:eastAsia="宋体" w:cs="Times New Roman"/>
          <w:b/>
          <w:bCs w:val="0"/>
          <w:color w:val="auto"/>
          <w:sz w:val="21"/>
          <w:szCs w:val="21"/>
          <w:highlight w:val="none"/>
          <w:lang w:val="en-US" w:eastAsia="zh-CN"/>
        </w:rPr>
        <w:t>投标</w:t>
      </w:r>
      <w:r>
        <w:rPr>
          <w:rFonts w:hint="eastAsia" w:ascii="宋体" w:hAnsi="宋体" w:eastAsia="宋体" w:cs="Times New Roman"/>
          <w:b/>
          <w:bCs w:val="0"/>
          <w:color w:val="auto"/>
          <w:sz w:val="21"/>
          <w:szCs w:val="21"/>
          <w:highlight w:val="none"/>
        </w:rPr>
        <w:t>文件</w:t>
      </w:r>
      <w:r>
        <w:rPr>
          <w:rFonts w:hint="eastAsia" w:ascii="宋体" w:hAnsi="宋体" w:eastAsia="宋体" w:cs="Times New Roman"/>
          <w:b/>
          <w:bCs w:val="0"/>
          <w:color w:val="auto"/>
          <w:sz w:val="21"/>
          <w:szCs w:val="21"/>
          <w:highlight w:val="none"/>
          <w:lang w:val="en-US" w:eastAsia="zh-CN"/>
        </w:rPr>
        <w:t>按</w:t>
      </w:r>
      <w:r>
        <w:rPr>
          <w:rFonts w:hint="eastAsia" w:ascii="宋体" w:hAnsi="宋体" w:eastAsia="宋体" w:cs="Times New Roman"/>
          <w:b/>
          <w:bCs w:val="0"/>
          <w:color w:val="auto"/>
          <w:sz w:val="21"/>
          <w:szCs w:val="21"/>
          <w:highlight w:val="none"/>
        </w:rPr>
        <w:t>无效响应处理</w:t>
      </w:r>
      <w:r>
        <w:rPr>
          <w:rFonts w:hint="eastAsia" w:ascii="宋体" w:hAnsi="宋体" w:eastAsia="宋体" w:cs="Times New Roman"/>
          <w:b w:val="0"/>
          <w:bCs/>
          <w:color w:val="auto"/>
          <w:sz w:val="21"/>
          <w:szCs w:val="21"/>
          <w:highlight w:val="none"/>
        </w:rPr>
        <w:t>。</w:t>
      </w:r>
    </w:p>
    <w:p w14:paraId="22B6FDFB">
      <w:pPr>
        <w:keepNext w:val="0"/>
        <w:keepLines w:val="0"/>
        <w:pageBreakBefore w:val="0"/>
        <w:widowControl w:val="0"/>
        <w:kinsoku/>
        <w:wordWrap/>
        <w:overflowPunct/>
        <w:topLinePunct w:val="0"/>
        <w:autoSpaceDE/>
        <w:autoSpaceDN/>
        <w:bidi w:val="0"/>
        <w:adjustRightInd/>
        <w:snapToGrid w:val="0"/>
        <w:spacing w:before="120" w:beforeLines="50" w:after="50" w:line="380" w:lineRule="exact"/>
        <w:ind w:firstLine="420" w:firstLineChars="200"/>
        <w:jc w:val="left"/>
        <w:textAlignment w:val="auto"/>
        <w:rPr>
          <w:rFonts w:hint="eastAsia" w:ascii="宋体" w:hAnsi="宋体" w:eastAsia="宋体" w:cs="Times New Roman"/>
          <w:b w:val="0"/>
          <w:bCs/>
          <w:color w:val="auto"/>
          <w:sz w:val="21"/>
          <w:szCs w:val="21"/>
          <w:highlight w:val="none"/>
        </w:rPr>
      </w:pPr>
      <w:r>
        <w:rPr>
          <w:rFonts w:hint="eastAsia" w:ascii="宋体" w:hAnsi="宋体" w:eastAsia="宋体" w:cs="Times New Roman"/>
          <w:b w:val="0"/>
          <w:bCs/>
          <w:color w:val="auto"/>
          <w:sz w:val="21"/>
          <w:szCs w:val="21"/>
          <w:highlight w:val="none"/>
          <w:lang w:val="en-US" w:eastAsia="zh-CN"/>
        </w:rPr>
        <w:t>2.投标人</w:t>
      </w:r>
      <w:r>
        <w:rPr>
          <w:rFonts w:hint="eastAsia" w:ascii="宋体" w:hAnsi="宋体" w:eastAsia="宋体" w:cs="Times New Roman"/>
          <w:b w:val="0"/>
          <w:bCs/>
          <w:color w:val="auto"/>
          <w:sz w:val="21"/>
          <w:szCs w:val="21"/>
          <w:highlight w:val="none"/>
        </w:rPr>
        <w:t>为其他组织或者自然人时，本</w:t>
      </w:r>
      <w:r>
        <w:rPr>
          <w:rFonts w:hint="eastAsia" w:ascii="宋体" w:hAnsi="宋体" w:cs="Times New Roman"/>
          <w:b w:val="0"/>
          <w:bCs/>
          <w:color w:val="auto"/>
          <w:sz w:val="21"/>
          <w:szCs w:val="21"/>
          <w:highlight w:val="none"/>
          <w:lang w:eastAsia="zh-CN"/>
        </w:rPr>
        <w:t>招标</w:t>
      </w:r>
      <w:r>
        <w:rPr>
          <w:rFonts w:hint="eastAsia" w:ascii="宋体" w:hAnsi="宋体" w:eastAsia="宋体" w:cs="Times New Roman"/>
          <w:b w:val="0"/>
          <w:bCs/>
          <w:color w:val="auto"/>
          <w:sz w:val="21"/>
          <w:szCs w:val="21"/>
          <w:highlight w:val="none"/>
        </w:rPr>
        <w:t>文件规定的法定代表人指负责人或者自然人。本</w:t>
      </w:r>
      <w:r>
        <w:rPr>
          <w:rFonts w:hint="eastAsia" w:ascii="宋体" w:hAnsi="宋体" w:cs="Times New Roman"/>
          <w:b w:val="0"/>
          <w:bCs/>
          <w:color w:val="auto"/>
          <w:sz w:val="21"/>
          <w:szCs w:val="21"/>
          <w:highlight w:val="none"/>
          <w:lang w:eastAsia="zh-CN"/>
        </w:rPr>
        <w:t>招标</w:t>
      </w:r>
      <w:r>
        <w:rPr>
          <w:rFonts w:hint="eastAsia" w:ascii="宋体" w:hAnsi="宋体" w:eastAsia="宋体" w:cs="Times New Roman"/>
          <w:b w:val="0"/>
          <w:bCs/>
          <w:color w:val="auto"/>
          <w:sz w:val="21"/>
          <w:szCs w:val="21"/>
          <w:highlight w:val="none"/>
        </w:rPr>
        <w:t>文件所称负责人是指参加</w:t>
      </w:r>
      <w:r>
        <w:rPr>
          <w:rFonts w:hint="eastAsia" w:ascii="宋体" w:hAnsi="宋体" w:cs="Times New Roman"/>
          <w:b w:val="0"/>
          <w:bCs/>
          <w:color w:val="auto"/>
          <w:sz w:val="21"/>
          <w:szCs w:val="21"/>
          <w:highlight w:val="none"/>
          <w:lang w:eastAsia="zh-CN"/>
        </w:rPr>
        <w:t>投标</w:t>
      </w:r>
      <w:r>
        <w:rPr>
          <w:rFonts w:hint="eastAsia" w:ascii="宋体" w:hAnsi="宋体" w:eastAsia="宋体" w:cs="Times New Roman"/>
          <w:b w:val="0"/>
          <w:bCs/>
          <w:color w:val="auto"/>
          <w:sz w:val="21"/>
          <w:szCs w:val="21"/>
          <w:highlight w:val="none"/>
        </w:rPr>
        <w:t>的其他组织营业执照上的负责人，本</w:t>
      </w:r>
      <w:r>
        <w:rPr>
          <w:rFonts w:hint="eastAsia" w:ascii="宋体" w:hAnsi="宋体" w:cs="Times New Roman"/>
          <w:b w:val="0"/>
          <w:bCs/>
          <w:color w:val="auto"/>
          <w:sz w:val="21"/>
          <w:szCs w:val="21"/>
          <w:highlight w:val="none"/>
          <w:lang w:eastAsia="zh-CN"/>
        </w:rPr>
        <w:t>招标</w:t>
      </w:r>
      <w:r>
        <w:rPr>
          <w:rFonts w:hint="eastAsia" w:ascii="宋体" w:hAnsi="宋体" w:eastAsia="宋体" w:cs="Times New Roman"/>
          <w:b w:val="0"/>
          <w:bCs/>
          <w:color w:val="auto"/>
          <w:sz w:val="21"/>
          <w:szCs w:val="21"/>
          <w:highlight w:val="none"/>
        </w:rPr>
        <w:t>文件所称自然人指参与</w:t>
      </w:r>
      <w:r>
        <w:rPr>
          <w:rFonts w:hint="eastAsia" w:ascii="宋体" w:hAnsi="宋体" w:cs="Times New Roman"/>
          <w:b w:val="0"/>
          <w:bCs/>
          <w:color w:val="auto"/>
          <w:sz w:val="21"/>
          <w:szCs w:val="21"/>
          <w:highlight w:val="none"/>
          <w:lang w:eastAsia="zh-CN"/>
        </w:rPr>
        <w:t>投标</w:t>
      </w:r>
      <w:r>
        <w:rPr>
          <w:rFonts w:hint="eastAsia" w:ascii="宋体" w:hAnsi="宋体" w:eastAsia="宋体" w:cs="Times New Roman"/>
          <w:b w:val="0"/>
          <w:bCs/>
          <w:color w:val="auto"/>
          <w:sz w:val="21"/>
          <w:szCs w:val="21"/>
          <w:highlight w:val="none"/>
        </w:rPr>
        <w:t>的自然人本人。</w:t>
      </w:r>
    </w:p>
    <w:p w14:paraId="0E8A155C">
      <w:pPr>
        <w:spacing w:line="360" w:lineRule="auto"/>
        <w:ind w:firstLine="420" w:firstLineChars="200"/>
        <w:rPr>
          <w:rFonts w:hint="eastAsia" w:ascii="宋体" w:hAnsi="宋体" w:eastAsia="宋体" w:cs="Times New Roman"/>
          <w:b w:val="0"/>
          <w:bCs/>
          <w:color w:val="auto"/>
          <w:sz w:val="21"/>
          <w:szCs w:val="21"/>
          <w:highlight w:val="none"/>
        </w:rPr>
      </w:pPr>
      <w:r>
        <w:rPr>
          <w:rFonts w:hint="eastAsia" w:ascii="宋体" w:hAnsi="宋体" w:eastAsia="宋体" w:cs="Times New Roman"/>
          <w:b w:val="0"/>
          <w:bCs/>
          <w:color w:val="auto"/>
          <w:sz w:val="21"/>
          <w:szCs w:val="21"/>
          <w:highlight w:val="none"/>
        </w:rPr>
        <w:t>3.法人、其他组织</w:t>
      </w:r>
      <w:r>
        <w:rPr>
          <w:rFonts w:hint="eastAsia" w:ascii="宋体" w:hAnsi="宋体" w:cs="Times New Roman"/>
          <w:b w:val="0"/>
          <w:bCs/>
          <w:color w:val="auto"/>
          <w:sz w:val="21"/>
          <w:szCs w:val="21"/>
          <w:highlight w:val="none"/>
          <w:lang w:eastAsia="zh-CN"/>
        </w:rPr>
        <w:t>投标</w:t>
      </w:r>
      <w:r>
        <w:rPr>
          <w:rFonts w:hint="eastAsia" w:ascii="宋体" w:hAnsi="宋体" w:eastAsia="宋体" w:cs="Times New Roman"/>
          <w:b w:val="0"/>
          <w:bCs/>
          <w:color w:val="auto"/>
          <w:sz w:val="21"/>
          <w:szCs w:val="21"/>
          <w:highlight w:val="none"/>
        </w:rPr>
        <w:t>时“我方”是指“我单位”，自然人</w:t>
      </w:r>
      <w:r>
        <w:rPr>
          <w:rFonts w:hint="eastAsia" w:ascii="宋体" w:hAnsi="宋体" w:cs="Times New Roman"/>
          <w:b w:val="0"/>
          <w:bCs/>
          <w:color w:val="auto"/>
          <w:sz w:val="21"/>
          <w:szCs w:val="21"/>
          <w:highlight w:val="none"/>
          <w:lang w:eastAsia="zh-CN"/>
        </w:rPr>
        <w:t>投标</w:t>
      </w:r>
      <w:r>
        <w:rPr>
          <w:rFonts w:hint="eastAsia" w:ascii="宋体" w:hAnsi="宋体" w:eastAsia="宋体" w:cs="Times New Roman"/>
          <w:b w:val="0"/>
          <w:bCs/>
          <w:color w:val="auto"/>
          <w:sz w:val="21"/>
          <w:szCs w:val="21"/>
          <w:highlight w:val="none"/>
        </w:rPr>
        <w:t>时“我方”是指“本人”。</w:t>
      </w:r>
    </w:p>
    <w:p w14:paraId="1B6D189D">
      <w:pPr>
        <w:snapToGrid w:val="0"/>
        <w:spacing w:before="120" w:beforeLines="50" w:after="50" w:line="380" w:lineRule="exact"/>
        <w:ind w:firstLine="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r>
        <w:rPr>
          <w:rFonts w:hint="eastAsia" w:ascii="宋体" w:hAnsi="宋体" w:eastAsia="宋体" w:cs="宋体"/>
          <w:b/>
          <w:bCs/>
          <w:color w:val="auto"/>
          <w:sz w:val="32"/>
          <w:szCs w:val="32"/>
          <w:highlight w:val="none"/>
        </w:rPr>
        <w:t>授权委托书（联合体</w:t>
      </w:r>
      <w:r>
        <w:rPr>
          <w:rFonts w:hint="eastAsia" w:ascii="宋体" w:hAnsi="宋体" w:eastAsia="宋体" w:cs="宋体"/>
          <w:b/>
          <w:bCs/>
          <w:color w:val="auto"/>
          <w:sz w:val="32"/>
          <w:szCs w:val="32"/>
          <w:highlight w:val="none"/>
          <w:lang w:eastAsia="zh-CN"/>
        </w:rPr>
        <w:t>投标</w:t>
      </w:r>
      <w:r>
        <w:rPr>
          <w:rFonts w:hint="eastAsia" w:ascii="宋体" w:hAnsi="宋体" w:eastAsia="宋体" w:cs="宋体"/>
          <w:b/>
          <w:bCs/>
          <w:color w:val="auto"/>
          <w:sz w:val="32"/>
          <w:szCs w:val="32"/>
          <w:highlight w:val="none"/>
        </w:rPr>
        <w:t>格式）</w:t>
      </w:r>
    </w:p>
    <w:p w14:paraId="70B8331A">
      <w:pPr>
        <w:spacing w:line="50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（如有委托时）</w:t>
      </w:r>
    </w:p>
    <w:p w14:paraId="2D296FD2">
      <w:pPr>
        <w:spacing w:line="500" w:lineRule="exact"/>
        <w:jc w:val="center"/>
        <w:rPr>
          <w:rFonts w:ascii="方正小标宋简体" w:hAnsi="方正小标宋简体" w:eastAsia="方正小标宋简体" w:cs="方正小标宋简体"/>
          <w:color w:val="auto"/>
          <w:sz w:val="44"/>
          <w:szCs w:val="44"/>
          <w:highlight w:val="none"/>
        </w:rPr>
      </w:pPr>
    </w:p>
    <w:p w14:paraId="4490D1B8">
      <w:pPr>
        <w:spacing w:line="500" w:lineRule="exact"/>
        <w:jc w:val="center"/>
        <w:rPr>
          <w:rFonts w:hint="eastAsia" w:ascii="仿宋_GB2312" w:hAnsi="仿宋_GB2312" w:eastAsia="仿宋_GB2312" w:cs="仿宋_GB2312"/>
          <w:color w:val="auto"/>
          <w:sz w:val="32"/>
          <w:szCs w:val="32"/>
          <w:highlight w:val="none"/>
        </w:rPr>
      </w:pPr>
    </w:p>
    <w:p w14:paraId="38CE1AB3">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根据</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（牵头人名称）与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（联合体其他成员名称）签订的《联合体</w:t>
      </w:r>
      <w:r>
        <w:rPr>
          <w:rFonts w:hint="eastAsia" w:ascii="宋体" w:hAnsi="宋体" w:eastAsia="宋体" w:cs="宋体"/>
          <w:color w:val="auto"/>
          <w:sz w:val="24"/>
          <w:highlight w:val="none"/>
          <w:lang w:eastAsia="zh-CN"/>
        </w:rPr>
        <w:t>投标</w:t>
      </w:r>
      <w:r>
        <w:rPr>
          <w:rFonts w:hint="eastAsia" w:ascii="宋体" w:hAnsi="宋体" w:eastAsia="宋体" w:cs="宋体"/>
          <w:color w:val="auto"/>
          <w:sz w:val="24"/>
          <w:highlight w:val="none"/>
        </w:rPr>
        <w:t>协议书》的内容，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（牵头人名称）的法定代表人</w:t>
      </w:r>
      <w:r>
        <w:rPr>
          <w:rFonts w:hint="eastAsia" w:ascii="宋体" w:hAnsi="宋体" w:eastAsia="宋体" w:cs="宋体"/>
          <w:color w:val="auto"/>
          <w:sz w:val="24"/>
          <w:highlight w:val="none"/>
          <w:u w:val="single"/>
        </w:rPr>
        <w:t xml:space="preserve">      </w:t>
      </w:r>
      <w:r>
        <w:rPr>
          <w:rFonts w:hint="eastAsia" w:ascii="宋体" w:hAnsi="宋体" w:eastAsia="宋体" w:cs="宋体"/>
          <w:i/>
          <w:iCs/>
          <w:color w:val="auto"/>
          <w:sz w:val="24"/>
          <w:highlight w:val="none"/>
          <w:u w:val="single"/>
        </w:rPr>
        <w:t>（姓名）</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w:t>
      </w:r>
      <w:r>
        <w:rPr>
          <w:rFonts w:hint="eastAsia" w:ascii="宋体" w:hAnsi="宋体" w:eastAsia="宋体" w:cs="宋体"/>
          <w:i/>
          <w:iCs/>
          <w:color w:val="auto"/>
          <w:sz w:val="24"/>
          <w:highlight w:val="none"/>
          <w:u w:val="single"/>
        </w:rPr>
        <w:t xml:space="preserve"> （姓名）</w:t>
      </w:r>
      <w:r>
        <w:rPr>
          <w:rFonts w:hint="eastAsia" w:ascii="宋体" w:hAnsi="宋体" w:eastAsia="宋体" w:cs="宋体"/>
          <w:color w:val="auto"/>
          <w:sz w:val="24"/>
          <w:highlight w:val="none"/>
        </w:rPr>
        <w:t>为联合委托代理人，并代表我方全权办理针对上述项目的所有采购程序和环节的具体事务和签署相关文件。</w:t>
      </w:r>
    </w:p>
    <w:p w14:paraId="396F2E9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我方对委托代理人的签字事项负全部责任。</w:t>
      </w:r>
    </w:p>
    <w:p w14:paraId="1BC1FA2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573188B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61394162">
      <w:pPr>
        <w:snapToGrid w:val="0"/>
        <w:spacing w:before="120" w:beforeLines="50" w:after="50" w:line="360" w:lineRule="auto"/>
        <w:ind w:firstLine="480" w:firstLineChars="200"/>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附：委托代理人有效身份证正反面复印件</w:t>
      </w:r>
    </w:p>
    <w:p w14:paraId="142DBDAF">
      <w:pPr>
        <w:spacing w:line="360" w:lineRule="auto"/>
        <w:rPr>
          <w:rFonts w:hint="eastAsia" w:ascii="宋体" w:hAnsi="宋体" w:eastAsia="宋体" w:cs="宋体"/>
          <w:color w:val="auto"/>
          <w:sz w:val="24"/>
          <w:highlight w:val="none"/>
        </w:rPr>
      </w:pPr>
    </w:p>
    <w:p w14:paraId="24E44F1A">
      <w:pPr>
        <w:spacing w:line="360" w:lineRule="auto"/>
        <w:ind w:firstLine="1560" w:firstLineChars="650"/>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牵头人法定代表人（签字）：</w:t>
      </w:r>
    </w:p>
    <w:p w14:paraId="429E1787">
      <w:pPr>
        <w:spacing w:line="360" w:lineRule="auto"/>
        <w:ind w:left="0" w:firstLine="1519" w:firstLineChars="633"/>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w:t>
      </w:r>
      <w:r>
        <w:rPr>
          <w:rFonts w:hint="eastAsia" w:ascii="宋体" w:hAnsi="宋体" w:eastAsia="宋体" w:cs="宋体"/>
          <w:color w:val="auto"/>
          <w:sz w:val="24"/>
          <w:highlight w:val="none"/>
          <w:lang w:eastAsia="zh-CN"/>
        </w:rPr>
        <w:t>名称</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盖公章</w:t>
      </w:r>
      <w:r>
        <w:rPr>
          <w:rFonts w:hint="eastAsia" w:ascii="宋体" w:hAnsi="宋体" w:eastAsia="宋体" w:cs="宋体"/>
          <w:color w:val="auto"/>
          <w:sz w:val="24"/>
          <w:highlight w:val="none"/>
        </w:rPr>
        <w:t>）：</w:t>
      </w:r>
    </w:p>
    <w:p w14:paraId="0D0493AE">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237F585D">
      <w:pPr>
        <w:spacing w:line="360" w:lineRule="auto"/>
        <w:rPr>
          <w:rFonts w:hint="eastAsia" w:ascii="宋体" w:hAnsi="宋体" w:eastAsia="宋体" w:cs="宋体"/>
          <w:color w:val="auto"/>
          <w:sz w:val="24"/>
          <w:highlight w:val="none"/>
        </w:rPr>
      </w:pPr>
    </w:p>
    <w:p w14:paraId="35C84AC6">
      <w:pPr>
        <w:spacing w:line="360" w:lineRule="auto"/>
        <w:ind w:firstLine="1440" w:firstLineChars="6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委托代理人（签字）：</w:t>
      </w:r>
    </w:p>
    <w:p w14:paraId="0B7E656B">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1B7C5DD7">
      <w:pPr>
        <w:spacing w:line="360" w:lineRule="auto"/>
        <w:ind w:firstLine="0"/>
        <w:rPr>
          <w:rFonts w:hint="eastAsia" w:ascii="宋体" w:hAnsi="宋体" w:eastAsia="宋体" w:cs="宋体"/>
          <w:color w:val="auto"/>
          <w:sz w:val="21"/>
          <w:szCs w:val="21"/>
          <w:highlight w:val="none"/>
        </w:rPr>
      </w:pPr>
    </w:p>
    <w:p w14:paraId="604FE44F">
      <w:pPr>
        <w:spacing w:line="360" w:lineRule="auto"/>
        <w:ind w:firstLine="0"/>
        <w:rPr>
          <w:rFonts w:hint="eastAsia" w:ascii="宋体" w:hAnsi="宋体" w:eastAsia="宋体" w:cs="宋体"/>
          <w:color w:val="auto"/>
          <w:sz w:val="21"/>
          <w:szCs w:val="21"/>
          <w:highlight w:val="none"/>
        </w:rPr>
      </w:pPr>
    </w:p>
    <w:p w14:paraId="15027605">
      <w:pPr>
        <w:spacing w:line="360" w:lineRule="auto"/>
        <w:ind w:firstLine="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1FEAC09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法定代表人</w:t>
      </w:r>
      <w:r>
        <w:rPr>
          <w:rFonts w:hint="eastAsia" w:ascii="宋体" w:hAnsi="宋体" w:eastAsia="宋体" w:cs="宋体"/>
          <w:color w:val="auto"/>
          <w:sz w:val="21"/>
          <w:szCs w:val="21"/>
          <w:highlight w:val="none"/>
          <w:lang w:eastAsia="zh-CN"/>
        </w:rPr>
        <w:t>和</w:t>
      </w:r>
      <w:r>
        <w:rPr>
          <w:rFonts w:hint="eastAsia" w:ascii="宋体" w:hAnsi="宋体" w:eastAsia="宋体" w:cs="宋体"/>
          <w:color w:val="auto"/>
          <w:sz w:val="21"/>
          <w:szCs w:val="21"/>
          <w:highlight w:val="none"/>
        </w:rPr>
        <w:t>委托代理人必须在授权委托书上签字，</w:t>
      </w:r>
      <w:r>
        <w:rPr>
          <w:rFonts w:hint="eastAsia" w:ascii="宋体" w:hAnsi="宋体" w:eastAsia="宋体" w:cs="宋体"/>
          <w:b/>
          <w:color w:val="auto"/>
          <w:sz w:val="21"/>
          <w:szCs w:val="21"/>
          <w:highlight w:val="none"/>
        </w:rPr>
        <w:t>否则其</w:t>
      </w:r>
      <w:r>
        <w:rPr>
          <w:rFonts w:hint="eastAsia" w:ascii="宋体" w:hAnsi="宋体" w:eastAsia="宋体" w:cs="宋体"/>
          <w:b/>
          <w:color w:val="auto"/>
          <w:sz w:val="21"/>
          <w:szCs w:val="21"/>
          <w:highlight w:val="none"/>
          <w:lang w:eastAsia="zh-CN"/>
        </w:rPr>
        <w:t>投标</w:t>
      </w:r>
      <w:r>
        <w:rPr>
          <w:rFonts w:hint="eastAsia" w:ascii="宋体" w:hAnsi="宋体" w:eastAsia="宋体" w:cs="宋体"/>
          <w:b/>
          <w:color w:val="auto"/>
          <w:sz w:val="21"/>
          <w:szCs w:val="21"/>
          <w:highlight w:val="none"/>
        </w:rPr>
        <w:t>文件按无效响应处理。</w:t>
      </w:r>
    </w:p>
    <w:p w14:paraId="0880D544">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2.本授权委托书应由联合体牵头人的法定代表人按上述规定签署。</w:t>
      </w:r>
    </w:p>
    <w:p w14:paraId="24F67560">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为其他组织或者自然人时，本</w:t>
      </w:r>
      <w:r>
        <w:rPr>
          <w:rFonts w:hint="eastAsia" w:ascii="宋体" w:hAnsi="宋体" w:eastAsia="宋体" w:cs="宋体"/>
          <w:color w:val="auto"/>
          <w:sz w:val="21"/>
          <w:szCs w:val="21"/>
          <w:highlight w:val="none"/>
          <w:lang w:eastAsia="zh-CN"/>
        </w:rPr>
        <w:t>招标</w:t>
      </w:r>
      <w:r>
        <w:rPr>
          <w:rFonts w:hint="eastAsia" w:ascii="宋体" w:hAnsi="宋体" w:eastAsia="宋体" w:cs="宋体"/>
          <w:color w:val="auto"/>
          <w:sz w:val="21"/>
          <w:szCs w:val="21"/>
          <w:highlight w:val="none"/>
        </w:rPr>
        <w:t>文件规定的法定代表人指负责人或者自然人。本</w:t>
      </w:r>
      <w:r>
        <w:rPr>
          <w:rFonts w:hint="eastAsia" w:ascii="宋体" w:hAnsi="宋体" w:eastAsia="宋体" w:cs="宋体"/>
          <w:color w:val="auto"/>
          <w:sz w:val="21"/>
          <w:szCs w:val="21"/>
          <w:highlight w:val="none"/>
          <w:lang w:eastAsia="zh-CN"/>
        </w:rPr>
        <w:t>招标</w:t>
      </w:r>
      <w:r>
        <w:rPr>
          <w:rFonts w:hint="eastAsia" w:ascii="宋体" w:hAnsi="宋体" w:eastAsia="宋体" w:cs="宋体"/>
          <w:color w:val="auto"/>
          <w:sz w:val="21"/>
          <w:szCs w:val="21"/>
          <w:highlight w:val="none"/>
        </w:rPr>
        <w:t>文件所称负责人是指参加</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的其他组织营业执照上的负责人，本</w:t>
      </w:r>
      <w:r>
        <w:rPr>
          <w:rFonts w:hint="eastAsia" w:ascii="宋体" w:hAnsi="宋体" w:eastAsia="宋体" w:cs="宋体"/>
          <w:color w:val="auto"/>
          <w:sz w:val="21"/>
          <w:szCs w:val="21"/>
          <w:highlight w:val="none"/>
          <w:lang w:eastAsia="zh-CN"/>
        </w:rPr>
        <w:t>招标</w:t>
      </w:r>
      <w:r>
        <w:rPr>
          <w:rFonts w:hint="eastAsia" w:ascii="宋体" w:hAnsi="宋体" w:eastAsia="宋体" w:cs="宋体"/>
          <w:color w:val="auto"/>
          <w:sz w:val="21"/>
          <w:szCs w:val="21"/>
          <w:highlight w:val="none"/>
        </w:rPr>
        <w:t>文件所称自然人指参与</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的自然人本人。</w:t>
      </w:r>
    </w:p>
    <w:p w14:paraId="3E211905">
      <w:pPr>
        <w:spacing w:line="360" w:lineRule="auto"/>
        <w:ind w:firstLine="420" w:firstLineChars="200"/>
        <w:rPr>
          <w:rFonts w:hint="eastAsia" w:ascii="宋体" w:hAnsi="Times New Roman" w:eastAsia="宋体" w:cs="Times New Roman"/>
          <w:b/>
          <w:color w:val="auto"/>
          <w:sz w:val="24"/>
          <w:highlight w:val="none"/>
        </w:rPr>
      </w:pPr>
      <w:r>
        <w:rPr>
          <w:rFonts w:hint="eastAsia" w:ascii="宋体" w:hAnsi="宋体" w:eastAsia="宋体" w:cs="宋体"/>
          <w:color w:val="auto"/>
          <w:sz w:val="21"/>
          <w:szCs w:val="21"/>
          <w:highlight w:val="none"/>
        </w:rPr>
        <w:t>4.法人、其他组织</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时“我方”是指“我单位”，自然人</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时“我方”是指“本人”。</w:t>
      </w:r>
    </w:p>
    <w:p w14:paraId="3B68A1E8">
      <w:pPr>
        <w:spacing w:line="360" w:lineRule="auto"/>
        <w:rPr>
          <w:rFonts w:ascii="宋体" w:cs="宋体"/>
          <w:b/>
          <w:color w:val="auto"/>
          <w:sz w:val="24"/>
          <w:highlight w:val="none"/>
        </w:rPr>
      </w:pPr>
    </w:p>
    <w:p w14:paraId="1236F375">
      <w:pPr>
        <w:spacing w:line="360" w:lineRule="auto"/>
        <w:rPr>
          <w:rFonts w:ascii="宋体" w:cs="宋体"/>
          <w:b/>
          <w:color w:val="auto"/>
          <w:sz w:val="24"/>
          <w:highlight w:val="none"/>
        </w:rPr>
      </w:pPr>
      <w:r>
        <w:rPr>
          <w:rFonts w:hint="eastAsia" w:ascii="宋体" w:cs="宋体"/>
          <w:b/>
          <w:color w:val="auto"/>
          <w:sz w:val="24"/>
          <w:highlight w:val="none"/>
        </w:rPr>
        <w:t>附件：</w:t>
      </w:r>
    </w:p>
    <w:tbl>
      <w:tblPr>
        <w:tblStyle w:val="29"/>
        <w:tblpPr w:leftFromText="180" w:rightFromText="180" w:vertAnchor="text" w:horzAnchor="margin" w:tblpXSpec="left" w:tblpY="263"/>
        <w:tblW w:w="7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5"/>
      </w:tblGrid>
      <w:tr w14:paraId="72E2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7985" w:type="dxa"/>
            <w:tcBorders>
              <w:top w:val="single" w:color="auto" w:sz="4" w:space="0"/>
              <w:left w:val="single" w:color="auto" w:sz="4" w:space="0"/>
              <w:bottom w:val="single" w:color="auto" w:sz="4" w:space="0"/>
              <w:right w:val="single" w:color="auto" w:sz="4" w:space="0"/>
            </w:tcBorders>
          </w:tcPr>
          <w:p w14:paraId="67432F59">
            <w:pPr>
              <w:spacing w:line="360" w:lineRule="auto"/>
              <w:rPr>
                <w:rFonts w:ascii="宋体" w:cs="宋体"/>
                <w:b/>
                <w:color w:val="auto"/>
                <w:sz w:val="24"/>
                <w:highlight w:val="none"/>
              </w:rPr>
            </w:pPr>
          </w:p>
          <w:p w14:paraId="27285AA8">
            <w:pPr>
              <w:spacing w:line="360" w:lineRule="auto"/>
              <w:rPr>
                <w:rFonts w:ascii="宋体" w:cs="宋体"/>
                <w:b/>
                <w:color w:val="auto"/>
                <w:sz w:val="24"/>
                <w:highlight w:val="none"/>
              </w:rPr>
            </w:pPr>
            <w:r>
              <w:rPr>
                <w:rFonts w:hint="eastAsia" w:ascii="宋体" w:cs="宋体"/>
                <w:b/>
                <w:bCs/>
                <w:color w:val="auto"/>
                <w:sz w:val="24"/>
                <w:highlight w:val="none"/>
              </w:rPr>
              <w:t>委托代理人有效</w:t>
            </w:r>
            <w:r>
              <w:rPr>
                <w:rFonts w:hint="eastAsia" w:ascii="宋体" w:cs="宋体"/>
                <w:b/>
                <w:color w:val="auto"/>
                <w:sz w:val="24"/>
                <w:highlight w:val="none"/>
              </w:rPr>
              <w:t>身份证复印件粘</w:t>
            </w:r>
            <w:r>
              <w:rPr>
                <w:rFonts w:hint="eastAsia" w:ascii="宋体" w:cs="宋体"/>
                <w:b/>
                <w:color w:val="auto"/>
                <w:sz w:val="24"/>
                <w:highlight w:val="none"/>
                <w:lang w:val="en-US" w:eastAsia="zh-CN"/>
              </w:rPr>
              <w:t>贴</w:t>
            </w:r>
            <w:r>
              <w:rPr>
                <w:rFonts w:hint="eastAsia" w:ascii="宋体" w:cs="宋体"/>
                <w:b/>
                <w:color w:val="auto"/>
                <w:sz w:val="24"/>
                <w:highlight w:val="none"/>
              </w:rPr>
              <w:t>处（正、反面）</w:t>
            </w:r>
          </w:p>
        </w:tc>
      </w:tr>
    </w:tbl>
    <w:p w14:paraId="59C91990">
      <w:pPr>
        <w:rPr>
          <w:rFonts w:ascii="宋体" w:cs="宋体"/>
          <w:b/>
          <w:color w:val="auto"/>
          <w:sz w:val="24"/>
          <w:szCs w:val="20"/>
          <w:highlight w:val="none"/>
        </w:rPr>
      </w:pPr>
      <w:r>
        <w:rPr>
          <w:rFonts w:hint="eastAsia" w:ascii="宋体" w:cs="宋体"/>
          <w:color w:val="auto"/>
          <w:sz w:val="24"/>
          <w:highlight w:val="none"/>
        </w:rPr>
        <w:br w:type="page"/>
      </w:r>
      <w:r>
        <w:rPr>
          <w:rFonts w:hint="eastAsia" w:ascii="宋体" w:cs="宋体"/>
          <w:b/>
          <w:color w:val="auto"/>
          <w:sz w:val="28"/>
          <w:szCs w:val="28"/>
          <w:highlight w:val="none"/>
        </w:rPr>
        <w:t>6.商务条款偏离表的格式：</w:t>
      </w:r>
    </w:p>
    <w:p w14:paraId="3DDA230E">
      <w:pPr>
        <w:snapToGrid w:val="0"/>
        <w:spacing w:before="120" w:beforeLines="50" w:after="50"/>
        <w:rPr>
          <w:rFonts w:ascii="宋体" w:cs="宋体"/>
          <w:color w:val="auto"/>
          <w:highlight w:val="none"/>
        </w:rPr>
      </w:pPr>
    </w:p>
    <w:p w14:paraId="760F8E29">
      <w:pPr>
        <w:jc w:val="center"/>
        <w:rPr>
          <w:rFonts w:ascii="宋体" w:cs="宋体"/>
          <w:b/>
          <w:bCs/>
          <w:color w:val="auto"/>
          <w:sz w:val="28"/>
          <w:szCs w:val="28"/>
          <w:highlight w:val="none"/>
        </w:rPr>
      </w:pPr>
      <w:r>
        <w:rPr>
          <w:rFonts w:hint="eastAsia" w:ascii="宋体" w:cs="宋体"/>
          <w:b/>
          <w:bCs/>
          <w:color w:val="auto"/>
          <w:sz w:val="28"/>
          <w:szCs w:val="28"/>
          <w:highlight w:val="none"/>
        </w:rPr>
        <w:t>商务条款偏离表</w:t>
      </w:r>
    </w:p>
    <w:p w14:paraId="4C77A73B">
      <w:pPr>
        <w:jc w:val="center"/>
        <w:rPr>
          <w:rFonts w:ascii="宋体" w:cs="宋体"/>
          <w:color w:val="auto"/>
          <w:sz w:val="30"/>
          <w:szCs w:val="20"/>
          <w:highlight w:val="none"/>
        </w:rPr>
      </w:pPr>
    </w:p>
    <w:p w14:paraId="237DF78E">
      <w:pPr>
        <w:spacing w:line="360" w:lineRule="auto"/>
        <w:contextualSpacing/>
        <w:rPr>
          <w:rFonts w:ascii="宋体" w:cs="宋体"/>
          <w:color w:val="auto"/>
          <w:sz w:val="24"/>
          <w:highlight w:val="none"/>
        </w:rPr>
      </w:pPr>
    </w:p>
    <w:p w14:paraId="4EB502E4">
      <w:pPr>
        <w:spacing w:line="480" w:lineRule="auto"/>
        <w:contextualSpacing/>
        <w:rPr>
          <w:rFonts w:ascii="宋体" w:cs="宋体"/>
          <w:color w:val="auto"/>
          <w:sz w:val="24"/>
          <w:highlight w:val="none"/>
          <w:u w:val="single"/>
        </w:rPr>
      </w:pPr>
      <w:r>
        <w:rPr>
          <w:rFonts w:hint="eastAsia" w:ascii="宋体" w:cs="宋体"/>
          <w:color w:val="auto"/>
          <w:sz w:val="24"/>
          <w:highlight w:val="none"/>
        </w:rPr>
        <w:t>项目名称：</w:t>
      </w:r>
      <w:r>
        <w:rPr>
          <w:rFonts w:hint="eastAsia" w:ascii="宋体" w:cs="宋体"/>
          <w:color w:val="auto"/>
          <w:sz w:val="24"/>
          <w:highlight w:val="none"/>
          <w:u w:val="single"/>
        </w:rPr>
        <w:t xml:space="preserve">                 </w:t>
      </w:r>
    </w:p>
    <w:p w14:paraId="162242D2">
      <w:pPr>
        <w:spacing w:line="480" w:lineRule="auto"/>
        <w:contextualSpacing/>
        <w:jc w:val="left"/>
        <w:rPr>
          <w:rFonts w:ascii="宋体" w:cs="宋体"/>
          <w:color w:val="auto"/>
          <w:sz w:val="24"/>
          <w:highlight w:val="none"/>
        </w:rPr>
      </w:pPr>
      <w:r>
        <w:rPr>
          <w:rFonts w:hint="eastAsia" w:ascii="宋体" w:cs="宋体"/>
          <w:color w:val="auto"/>
          <w:sz w:val="24"/>
          <w:highlight w:val="none"/>
        </w:rPr>
        <w:t>项目编号：</w:t>
      </w:r>
      <w:r>
        <w:rPr>
          <w:rFonts w:hint="eastAsia" w:ascii="宋体" w:cs="宋体"/>
          <w:color w:val="auto"/>
          <w:sz w:val="24"/>
          <w:highlight w:val="none"/>
          <w:u w:val="single"/>
        </w:rPr>
        <w:t xml:space="preserve">                 </w:t>
      </w:r>
    </w:p>
    <w:p w14:paraId="178049A4">
      <w:pPr>
        <w:pStyle w:val="16"/>
        <w:spacing w:line="480" w:lineRule="auto"/>
        <w:ind w:left="-422" w:leftChars="-201" w:firstLine="424"/>
        <w:rPr>
          <w:rFonts w:cs="宋体"/>
          <w:color w:val="auto"/>
          <w:sz w:val="24"/>
          <w:szCs w:val="24"/>
          <w:highlight w:val="none"/>
        </w:rPr>
      </w:pPr>
      <w:r>
        <w:rPr>
          <w:rFonts w:hint="eastAsia" w:cs="宋体"/>
          <w:color w:val="auto"/>
          <w:sz w:val="24"/>
          <w:szCs w:val="24"/>
          <w:highlight w:val="none"/>
        </w:rPr>
        <w:t>所投分标（此处有分标时填写具体分标号，无分标时填写“无”）：</w:t>
      </w:r>
      <w:r>
        <w:rPr>
          <w:rFonts w:hint="eastAsia" w:cs="宋体"/>
          <w:color w:val="auto"/>
          <w:sz w:val="24"/>
          <w:szCs w:val="24"/>
          <w:highlight w:val="none"/>
          <w:u w:val="single"/>
        </w:rPr>
        <w:t xml:space="preserve">           </w:t>
      </w:r>
    </w:p>
    <w:tbl>
      <w:tblPr>
        <w:tblStyle w:val="29"/>
        <w:tblW w:w="89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3429"/>
        <w:gridCol w:w="3229"/>
        <w:gridCol w:w="1611"/>
      </w:tblGrid>
      <w:tr w14:paraId="77BE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24" w:type="dxa"/>
            <w:tcBorders>
              <w:top w:val="single" w:color="auto" w:sz="4" w:space="0"/>
              <w:left w:val="single" w:color="auto" w:sz="4" w:space="0"/>
              <w:bottom w:val="single" w:color="auto" w:sz="4" w:space="0"/>
              <w:right w:val="single" w:color="auto" w:sz="4" w:space="0"/>
            </w:tcBorders>
            <w:vAlign w:val="center"/>
          </w:tcPr>
          <w:p w14:paraId="13FA7004">
            <w:pPr>
              <w:spacing w:line="340" w:lineRule="exact"/>
              <w:jc w:val="center"/>
              <w:rPr>
                <w:rFonts w:ascii="宋体" w:cs="宋体"/>
                <w:color w:val="auto"/>
                <w:sz w:val="24"/>
                <w:szCs w:val="24"/>
                <w:highlight w:val="none"/>
              </w:rPr>
            </w:pPr>
            <w:r>
              <w:rPr>
                <w:rFonts w:hint="eastAsia" w:ascii="宋体" w:cs="宋体"/>
                <w:color w:val="auto"/>
                <w:sz w:val="24"/>
                <w:szCs w:val="24"/>
                <w:highlight w:val="none"/>
              </w:rPr>
              <w:t>项号</w:t>
            </w:r>
          </w:p>
        </w:tc>
        <w:tc>
          <w:tcPr>
            <w:tcW w:w="3429" w:type="dxa"/>
            <w:tcBorders>
              <w:top w:val="single" w:color="auto" w:sz="4" w:space="0"/>
              <w:left w:val="single" w:color="auto" w:sz="4" w:space="0"/>
              <w:bottom w:val="single" w:color="auto" w:sz="4" w:space="0"/>
              <w:right w:val="single" w:color="auto" w:sz="4" w:space="0"/>
            </w:tcBorders>
            <w:vAlign w:val="center"/>
          </w:tcPr>
          <w:p w14:paraId="36573F8D">
            <w:pPr>
              <w:spacing w:line="340" w:lineRule="exact"/>
              <w:jc w:val="center"/>
              <w:rPr>
                <w:rFonts w:ascii="宋体" w:cs="宋体"/>
                <w:color w:val="auto"/>
                <w:sz w:val="24"/>
                <w:szCs w:val="24"/>
                <w:highlight w:val="none"/>
              </w:rPr>
            </w:pPr>
            <w:r>
              <w:rPr>
                <w:rFonts w:hint="eastAsia" w:ascii="宋体" w:cs="宋体"/>
                <w:color w:val="auto"/>
                <w:sz w:val="24"/>
                <w:szCs w:val="24"/>
                <w:highlight w:val="none"/>
              </w:rPr>
              <w:t>招标文件的商务条款</w:t>
            </w:r>
          </w:p>
        </w:tc>
        <w:tc>
          <w:tcPr>
            <w:tcW w:w="3229" w:type="dxa"/>
            <w:tcBorders>
              <w:top w:val="single" w:color="auto" w:sz="4" w:space="0"/>
              <w:left w:val="single" w:color="auto" w:sz="4" w:space="0"/>
              <w:bottom w:val="single" w:color="auto" w:sz="4" w:space="0"/>
              <w:right w:val="single" w:color="auto" w:sz="4" w:space="0"/>
            </w:tcBorders>
            <w:vAlign w:val="center"/>
          </w:tcPr>
          <w:p w14:paraId="10757626">
            <w:pPr>
              <w:spacing w:line="340" w:lineRule="exact"/>
              <w:jc w:val="center"/>
              <w:rPr>
                <w:rFonts w:ascii="宋体" w:cs="宋体"/>
                <w:color w:val="auto"/>
                <w:sz w:val="24"/>
                <w:szCs w:val="24"/>
                <w:highlight w:val="none"/>
              </w:rPr>
            </w:pPr>
            <w:r>
              <w:rPr>
                <w:rFonts w:hint="eastAsia" w:ascii="宋体" w:cs="宋体"/>
                <w:color w:val="auto"/>
                <w:sz w:val="24"/>
                <w:szCs w:val="24"/>
                <w:highlight w:val="none"/>
              </w:rPr>
              <w:t>投标文件响应的商务条款</w:t>
            </w:r>
          </w:p>
        </w:tc>
        <w:tc>
          <w:tcPr>
            <w:tcW w:w="1611" w:type="dxa"/>
            <w:tcBorders>
              <w:top w:val="single" w:color="auto" w:sz="4" w:space="0"/>
              <w:left w:val="single" w:color="auto" w:sz="4" w:space="0"/>
              <w:bottom w:val="single" w:color="auto" w:sz="4" w:space="0"/>
              <w:right w:val="single" w:color="auto" w:sz="4" w:space="0"/>
            </w:tcBorders>
            <w:vAlign w:val="center"/>
          </w:tcPr>
          <w:p w14:paraId="4D834C33">
            <w:pPr>
              <w:spacing w:line="340" w:lineRule="exact"/>
              <w:jc w:val="center"/>
              <w:rPr>
                <w:rFonts w:ascii="宋体" w:cs="宋体"/>
                <w:color w:val="auto"/>
                <w:sz w:val="24"/>
                <w:szCs w:val="24"/>
                <w:highlight w:val="none"/>
              </w:rPr>
            </w:pPr>
            <w:r>
              <w:rPr>
                <w:rFonts w:hint="eastAsia" w:ascii="宋体" w:cs="宋体"/>
                <w:color w:val="auto"/>
                <w:sz w:val="24"/>
                <w:szCs w:val="24"/>
                <w:highlight w:val="none"/>
              </w:rPr>
              <w:t>偏离说明</w:t>
            </w:r>
          </w:p>
        </w:tc>
      </w:tr>
      <w:tr w14:paraId="28F6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724" w:type="dxa"/>
            <w:tcBorders>
              <w:top w:val="single" w:color="auto" w:sz="4" w:space="0"/>
              <w:left w:val="single" w:color="auto" w:sz="4" w:space="0"/>
              <w:bottom w:val="single" w:color="auto" w:sz="4" w:space="0"/>
              <w:right w:val="single" w:color="auto" w:sz="4" w:space="0"/>
            </w:tcBorders>
          </w:tcPr>
          <w:p w14:paraId="09A89723">
            <w:pPr>
              <w:spacing w:line="340" w:lineRule="exact"/>
              <w:rPr>
                <w:rFonts w:ascii="宋体" w:cs="宋体"/>
                <w:color w:val="auto"/>
                <w:sz w:val="24"/>
                <w:szCs w:val="24"/>
                <w:highlight w:val="none"/>
              </w:rPr>
            </w:pPr>
            <w:r>
              <w:rPr>
                <w:rFonts w:hint="eastAsia" w:ascii="宋体" w:cs="宋体"/>
                <w:color w:val="auto"/>
                <w:sz w:val="24"/>
                <w:szCs w:val="24"/>
                <w:highlight w:val="none"/>
              </w:rPr>
              <w:t>一</w:t>
            </w:r>
          </w:p>
        </w:tc>
        <w:tc>
          <w:tcPr>
            <w:tcW w:w="3429" w:type="dxa"/>
            <w:tcBorders>
              <w:top w:val="single" w:color="auto" w:sz="4" w:space="0"/>
              <w:left w:val="single" w:color="auto" w:sz="4" w:space="0"/>
              <w:bottom w:val="single" w:color="auto" w:sz="4" w:space="0"/>
              <w:right w:val="single" w:color="auto" w:sz="4" w:space="0"/>
            </w:tcBorders>
          </w:tcPr>
          <w:p w14:paraId="60002480">
            <w:pPr>
              <w:spacing w:line="340" w:lineRule="exact"/>
              <w:rPr>
                <w:rFonts w:ascii="宋体" w:cs="宋体"/>
                <w:color w:val="auto"/>
                <w:sz w:val="24"/>
                <w:szCs w:val="24"/>
                <w:highlight w:val="none"/>
              </w:rPr>
            </w:pPr>
          </w:p>
        </w:tc>
        <w:tc>
          <w:tcPr>
            <w:tcW w:w="3229" w:type="dxa"/>
            <w:tcBorders>
              <w:top w:val="single" w:color="auto" w:sz="4" w:space="0"/>
              <w:left w:val="single" w:color="auto" w:sz="4" w:space="0"/>
              <w:bottom w:val="single" w:color="auto" w:sz="4" w:space="0"/>
              <w:right w:val="single" w:color="auto" w:sz="4" w:space="0"/>
            </w:tcBorders>
          </w:tcPr>
          <w:p w14:paraId="280B4DE0">
            <w:pPr>
              <w:spacing w:line="340" w:lineRule="exact"/>
              <w:rPr>
                <w:rFonts w:ascii="宋体" w:cs="宋体"/>
                <w:color w:val="auto"/>
                <w:sz w:val="24"/>
                <w:szCs w:val="24"/>
                <w:highlight w:val="none"/>
              </w:rPr>
            </w:pPr>
          </w:p>
        </w:tc>
        <w:tc>
          <w:tcPr>
            <w:tcW w:w="1611" w:type="dxa"/>
            <w:tcBorders>
              <w:top w:val="single" w:color="auto" w:sz="4" w:space="0"/>
              <w:left w:val="single" w:color="auto" w:sz="4" w:space="0"/>
              <w:bottom w:val="single" w:color="auto" w:sz="4" w:space="0"/>
              <w:right w:val="single" w:color="auto" w:sz="4" w:space="0"/>
            </w:tcBorders>
          </w:tcPr>
          <w:p w14:paraId="16381ED1">
            <w:pPr>
              <w:spacing w:line="300" w:lineRule="exact"/>
              <w:rPr>
                <w:rFonts w:ascii="宋体" w:cs="宋体"/>
                <w:color w:val="auto"/>
                <w:sz w:val="24"/>
                <w:szCs w:val="24"/>
                <w:highlight w:val="none"/>
              </w:rPr>
            </w:pPr>
          </w:p>
        </w:tc>
      </w:tr>
      <w:tr w14:paraId="79D8C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724" w:type="dxa"/>
            <w:tcBorders>
              <w:top w:val="single" w:color="auto" w:sz="4" w:space="0"/>
              <w:left w:val="single" w:color="auto" w:sz="4" w:space="0"/>
              <w:bottom w:val="single" w:color="auto" w:sz="4" w:space="0"/>
              <w:right w:val="single" w:color="auto" w:sz="4" w:space="0"/>
            </w:tcBorders>
          </w:tcPr>
          <w:p w14:paraId="10CE2236">
            <w:pPr>
              <w:spacing w:line="340" w:lineRule="exact"/>
              <w:rPr>
                <w:rFonts w:ascii="宋体" w:cs="宋体"/>
                <w:color w:val="auto"/>
                <w:sz w:val="24"/>
                <w:szCs w:val="24"/>
                <w:highlight w:val="none"/>
              </w:rPr>
            </w:pPr>
            <w:r>
              <w:rPr>
                <w:rFonts w:hint="eastAsia" w:ascii="宋体" w:cs="宋体"/>
                <w:color w:val="auto"/>
                <w:sz w:val="24"/>
                <w:szCs w:val="24"/>
                <w:highlight w:val="none"/>
              </w:rPr>
              <w:t>二</w:t>
            </w:r>
          </w:p>
        </w:tc>
        <w:tc>
          <w:tcPr>
            <w:tcW w:w="3429" w:type="dxa"/>
            <w:tcBorders>
              <w:top w:val="single" w:color="auto" w:sz="4" w:space="0"/>
              <w:left w:val="single" w:color="auto" w:sz="4" w:space="0"/>
              <w:bottom w:val="single" w:color="auto" w:sz="4" w:space="0"/>
              <w:right w:val="single" w:color="auto" w:sz="4" w:space="0"/>
            </w:tcBorders>
          </w:tcPr>
          <w:p w14:paraId="45FE0569">
            <w:pPr>
              <w:spacing w:line="340" w:lineRule="exact"/>
              <w:rPr>
                <w:rFonts w:ascii="宋体" w:cs="宋体"/>
                <w:color w:val="auto"/>
                <w:sz w:val="24"/>
                <w:szCs w:val="24"/>
                <w:highlight w:val="none"/>
              </w:rPr>
            </w:pPr>
          </w:p>
        </w:tc>
        <w:tc>
          <w:tcPr>
            <w:tcW w:w="3229" w:type="dxa"/>
            <w:tcBorders>
              <w:top w:val="single" w:color="auto" w:sz="4" w:space="0"/>
              <w:left w:val="single" w:color="auto" w:sz="4" w:space="0"/>
              <w:bottom w:val="single" w:color="auto" w:sz="4" w:space="0"/>
              <w:right w:val="single" w:color="auto" w:sz="4" w:space="0"/>
            </w:tcBorders>
          </w:tcPr>
          <w:p w14:paraId="0B59B96E">
            <w:pPr>
              <w:spacing w:line="340" w:lineRule="exact"/>
              <w:rPr>
                <w:rFonts w:ascii="宋体" w:cs="宋体"/>
                <w:color w:val="auto"/>
                <w:sz w:val="24"/>
                <w:szCs w:val="24"/>
                <w:highlight w:val="none"/>
              </w:rPr>
            </w:pPr>
          </w:p>
        </w:tc>
        <w:tc>
          <w:tcPr>
            <w:tcW w:w="1611" w:type="dxa"/>
            <w:tcBorders>
              <w:top w:val="single" w:color="auto" w:sz="4" w:space="0"/>
              <w:left w:val="single" w:color="auto" w:sz="4" w:space="0"/>
              <w:bottom w:val="single" w:color="auto" w:sz="4" w:space="0"/>
              <w:right w:val="single" w:color="auto" w:sz="4" w:space="0"/>
            </w:tcBorders>
          </w:tcPr>
          <w:p w14:paraId="724C5664">
            <w:pPr>
              <w:spacing w:line="300" w:lineRule="exact"/>
              <w:rPr>
                <w:rFonts w:ascii="宋体" w:cs="宋体"/>
                <w:color w:val="auto"/>
                <w:sz w:val="24"/>
                <w:szCs w:val="24"/>
                <w:highlight w:val="none"/>
              </w:rPr>
            </w:pPr>
          </w:p>
        </w:tc>
      </w:tr>
      <w:tr w14:paraId="4008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724" w:type="dxa"/>
            <w:tcBorders>
              <w:top w:val="single" w:color="auto" w:sz="4" w:space="0"/>
              <w:left w:val="single" w:color="auto" w:sz="4" w:space="0"/>
              <w:bottom w:val="single" w:color="auto" w:sz="4" w:space="0"/>
              <w:right w:val="single" w:color="auto" w:sz="4" w:space="0"/>
            </w:tcBorders>
          </w:tcPr>
          <w:p w14:paraId="4E231008">
            <w:pPr>
              <w:spacing w:line="340" w:lineRule="exact"/>
              <w:rPr>
                <w:rFonts w:ascii="宋体" w:cs="宋体"/>
                <w:color w:val="auto"/>
                <w:sz w:val="24"/>
                <w:szCs w:val="24"/>
                <w:highlight w:val="none"/>
              </w:rPr>
            </w:pPr>
            <w:r>
              <w:rPr>
                <w:rFonts w:hint="eastAsia" w:ascii="宋体" w:cs="宋体"/>
                <w:color w:val="auto"/>
                <w:sz w:val="24"/>
                <w:szCs w:val="24"/>
                <w:highlight w:val="none"/>
              </w:rPr>
              <w:t>...</w:t>
            </w:r>
          </w:p>
        </w:tc>
        <w:tc>
          <w:tcPr>
            <w:tcW w:w="3429" w:type="dxa"/>
            <w:tcBorders>
              <w:top w:val="single" w:color="auto" w:sz="4" w:space="0"/>
              <w:left w:val="single" w:color="auto" w:sz="4" w:space="0"/>
              <w:bottom w:val="single" w:color="auto" w:sz="4" w:space="0"/>
              <w:right w:val="single" w:color="auto" w:sz="4" w:space="0"/>
            </w:tcBorders>
          </w:tcPr>
          <w:p w14:paraId="0360EF2A">
            <w:pPr>
              <w:spacing w:line="340" w:lineRule="exact"/>
              <w:rPr>
                <w:rFonts w:ascii="宋体" w:cs="宋体"/>
                <w:color w:val="auto"/>
                <w:sz w:val="24"/>
                <w:szCs w:val="24"/>
                <w:highlight w:val="none"/>
              </w:rPr>
            </w:pPr>
          </w:p>
        </w:tc>
        <w:tc>
          <w:tcPr>
            <w:tcW w:w="3229" w:type="dxa"/>
            <w:tcBorders>
              <w:top w:val="single" w:color="auto" w:sz="4" w:space="0"/>
              <w:left w:val="single" w:color="auto" w:sz="4" w:space="0"/>
              <w:bottom w:val="single" w:color="auto" w:sz="4" w:space="0"/>
              <w:right w:val="single" w:color="auto" w:sz="4" w:space="0"/>
            </w:tcBorders>
          </w:tcPr>
          <w:p w14:paraId="7791AD51">
            <w:pPr>
              <w:spacing w:line="340" w:lineRule="exact"/>
              <w:rPr>
                <w:rFonts w:ascii="宋体" w:cs="宋体"/>
                <w:color w:val="auto"/>
                <w:sz w:val="24"/>
                <w:szCs w:val="24"/>
                <w:highlight w:val="none"/>
              </w:rPr>
            </w:pPr>
          </w:p>
        </w:tc>
        <w:tc>
          <w:tcPr>
            <w:tcW w:w="1611" w:type="dxa"/>
            <w:tcBorders>
              <w:top w:val="single" w:color="auto" w:sz="4" w:space="0"/>
              <w:left w:val="single" w:color="auto" w:sz="4" w:space="0"/>
              <w:bottom w:val="single" w:color="auto" w:sz="4" w:space="0"/>
              <w:right w:val="single" w:color="auto" w:sz="4" w:space="0"/>
            </w:tcBorders>
          </w:tcPr>
          <w:p w14:paraId="1E637B8F">
            <w:pPr>
              <w:spacing w:line="300" w:lineRule="exact"/>
              <w:rPr>
                <w:rFonts w:ascii="宋体" w:cs="宋体"/>
                <w:color w:val="auto"/>
                <w:sz w:val="24"/>
                <w:szCs w:val="24"/>
                <w:highlight w:val="none"/>
              </w:rPr>
            </w:pPr>
          </w:p>
        </w:tc>
      </w:tr>
    </w:tbl>
    <w:p w14:paraId="45D9FE52">
      <w:pPr>
        <w:pStyle w:val="16"/>
        <w:spacing w:line="360" w:lineRule="auto"/>
        <w:ind w:left="-708" w:leftChars="-337"/>
        <w:rPr>
          <w:rFonts w:cs="宋体"/>
          <w:color w:val="auto"/>
          <w:highlight w:val="none"/>
        </w:rPr>
      </w:pPr>
    </w:p>
    <w:p w14:paraId="5328466B">
      <w:pPr>
        <w:pStyle w:val="16"/>
        <w:spacing w:line="360" w:lineRule="auto"/>
        <w:ind w:firstLine="480" w:firstLineChars="200"/>
        <w:rPr>
          <w:rFonts w:cs="宋体"/>
          <w:color w:val="auto"/>
          <w:sz w:val="24"/>
          <w:szCs w:val="24"/>
          <w:highlight w:val="none"/>
        </w:rPr>
      </w:pPr>
      <w:r>
        <w:rPr>
          <w:rFonts w:hint="eastAsia" w:cs="宋体"/>
          <w:color w:val="auto"/>
          <w:sz w:val="24"/>
          <w:szCs w:val="24"/>
          <w:highlight w:val="none"/>
        </w:rPr>
        <w:t>注：</w:t>
      </w:r>
    </w:p>
    <w:p w14:paraId="635FBC83">
      <w:pPr>
        <w:pStyle w:val="16"/>
        <w:spacing w:line="360" w:lineRule="auto"/>
        <w:ind w:right="754" w:rightChars="359" w:firstLine="480" w:firstLineChars="200"/>
        <w:rPr>
          <w:rFonts w:cs="宋体"/>
          <w:color w:val="auto"/>
          <w:sz w:val="24"/>
          <w:szCs w:val="24"/>
          <w:highlight w:val="none"/>
        </w:rPr>
      </w:pPr>
      <w:r>
        <w:rPr>
          <w:rFonts w:hint="eastAsia" w:cs="宋体"/>
          <w:color w:val="auto"/>
          <w:sz w:val="24"/>
          <w:szCs w:val="24"/>
          <w:highlight w:val="none"/>
        </w:rPr>
        <w:t>1.表格内容均需按要求填写并加盖投标人公章。</w:t>
      </w:r>
    </w:p>
    <w:p w14:paraId="234C955E">
      <w:pPr>
        <w:pStyle w:val="16"/>
        <w:spacing w:line="360" w:lineRule="auto"/>
        <w:ind w:right="754" w:rightChars="359" w:firstLine="480" w:firstLineChars="200"/>
        <w:rPr>
          <w:rFonts w:cs="宋体"/>
          <w:color w:val="auto"/>
          <w:sz w:val="24"/>
          <w:szCs w:val="24"/>
          <w:highlight w:val="none"/>
        </w:rPr>
      </w:pPr>
      <w:r>
        <w:rPr>
          <w:rFonts w:hint="eastAsia" w:cs="宋体"/>
          <w:color w:val="auto"/>
          <w:sz w:val="24"/>
          <w:szCs w:val="24"/>
          <w:highlight w:val="none"/>
        </w:rPr>
        <w:t>▲2.必须对本项目招标文件“第二章  采购需求”中“商务条款”的全部要求，详细填写响应的具体内容，并作出偏离说明。“偏离说明”一栏应当选择“正偏离”或“负偏离”或“无偏离”进行填写。</w:t>
      </w:r>
    </w:p>
    <w:p w14:paraId="5932B081">
      <w:pPr>
        <w:pStyle w:val="16"/>
        <w:spacing w:line="360" w:lineRule="auto"/>
        <w:ind w:firstLine="480" w:firstLineChars="200"/>
        <w:rPr>
          <w:rFonts w:cs="宋体"/>
          <w:color w:val="auto"/>
          <w:sz w:val="24"/>
          <w:szCs w:val="24"/>
          <w:highlight w:val="none"/>
        </w:rPr>
      </w:pPr>
      <w:r>
        <w:rPr>
          <w:rFonts w:hint="eastAsia" w:cs="宋体"/>
          <w:color w:val="auto"/>
          <w:sz w:val="24"/>
          <w:szCs w:val="24"/>
          <w:highlight w:val="none"/>
        </w:rPr>
        <w:t>3.当投标文件的商务内容低于招标文件要求时，投标人应当如实写明“负偏离”。</w:t>
      </w:r>
    </w:p>
    <w:p w14:paraId="7576BA7E">
      <w:pPr>
        <w:snapToGrid w:val="0"/>
        <w:spacing w:before="50" w:after="50"/>
        <w:rPr>
          <w:rFonts w:ascii="宋体" w:cs="宋体"/>
          <w:color w:val="auto"/>
          <w:sz w:val="24"/>
          <w:highlight w:val="none"/>
        </w:rPr>
      </w:pPr>
    </w:p>
    <w:p w14:paraId="0CDD86CB">
      <w:pPr>
        <w:snapToGrid w:val="0"/>
        <w:spacing w:line="360" w:lineRule="auto"/>
        <w:ind w:firstLine="4935" w:firstLineChars="2350"/>
        <w:rPr>
          <w:rFonts w:hint="eastAsia" w:ascii="宋体" w:cs="宋体"/>
          <w:color w:val="auto"/>
          <w:kern w:val="0"/>
          <w:sz w:val="24"/>
          <w:highlight w:val="none"/>
          <w:lang w:val="zh-CN"/>
        </w:rPr>
      </w:pP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kern w:val="0"/>
          <w:sz w:val="24"/>
          <w:highlight w:val="none"/>
          <w:lang w:val="zh-CN"/>
        </w:rPr>
        <w:t>投标人名称（盖公章）：</w:t>
      </w:r>
    </w:p>
    <w:p w14:paraId="4B4A8011">
      <w:pPr>
        <w:snapToGrid w:val="0"/>
        <w:spacing w:line="360" w:lineRule="auto"/>
        <w:ind w:firstLine="5280" w:firstLineChars="2200"/>
        <w:rPr>
          <w:rFonts w:ascii="宋体" w:cs="宋体"/>
          <w:color w:val="auto"/>
          <w:kern w:val="0"/>
          <w:sz w:val="24"/>
          <w:highlight w:val="none"/>
          <w:lang w:val="zh-CN"/>
        </w:rPr>
      </w:pPr>
      <w:r>
        <w:rPr>
          <w:rFonts w:hint="eastAsia" w:ascii="宋体" w:cs="宋体"/>
          <w:color w:val="auto"/>
          <w:kern w:val="0"/>
          <w:sz w:val="24"/>
          <w:highlight w:val="none"/>
          <w:lang w:val="zh-CN"/>
        </w:rPr>
        <w:t>日期</w:t>
      </w:r>
      <w:r>
        <w:rPr>
          <w:rFonts w:hint="eastAsia" w:ascii="宋体" w:cs="宋体"/>
          <w:color w:val="auto"/>
          <w:kern w:val="0"/>
          <w:sz w:val="24"/>
          <w:highlight w:val="none"/>
        </w:rPr>
        <w:t>：</w:t>
      </w:r>
      <w:r>
        <w:rPr>
          <w:rFonts w:hint="eastAsia" w:ascii="宋体" w:cs="宋体"/>
          <w:color w:val="auto"/>
          <w:kern w:val="0"/>
          <w:sz w:val="24"/>
          <w:highlight w:val="none"/>
          <w:lang w:val="en-US" w:eastAsia="zh-CN"/>
        </w:rPr>
        <w:t xml:space="preserve">    </w:t>
      </w:r>
      <w:r>
        <w:rPr>
          <w:rFonts w:hint="eastAsia" w:ascii="宋体" w:cs="宋体"/>
          <w:color w:val="auto"/>
          <w:kern w:val="0"/>
          <w:sz w:val="24"/>
          <w:highlight w:val="none"/>
        </w:rPr>
        <w:t>年</w:t>
      </w:r>
      <w:r>
        <w:rPr>
          <w:rFonts w:hint="eastAsia" w:ascii="宋体" w:cs="宋体"/>
          <w:color w:val="auto"/>
          <w:kern w:val="0"/>
          <w:sz w:val="24"/>
          <w:highlight w:val="none"/>
          <w:lang w:val="en-US" w:eastAsia="zh-CN"/>
        </w:rPr>
        <w:t xml:space="preserve">    </w:t>
      </w:r>
      <w:r>
        <w:rPr>
          <w:rFonts w:hint="eastAsia" w:ascii="宋体" w:cs="宋体"/>
          <w:color w:val="auto"/>
          <w:kern w:val="0"/>
          <w:sz w:val="24"/>
          <w:highlight w:val="none"/>
          <w:lang w:val="zh-CN"/>
        </w:rPr>
        <w:t>月</w:t>
      </w:r>
      <w:r>
        <w:rPr>
          <w:rFonts w:hint="eastAsia" w:ascii="宋体" w:cs="宋体"/>
          <w:color w:val="auto"/>
          <w:kern w:val="0"/>
          <w:sz w:val="24"/>
          <w:highlight w:val="none"/>
          <w:lang w:val="en-US" w:eastAsia="zh-CN"/>
        </w:rPr>
        <w:t xml:space="preserve">    </w:t>
      </w:r>
      <w:r>
        <w:rPr>
          <w:rFonts w:hint="eastAsia" w:ascii="宋体" w:cs="宋体"/>
          <w:color w:val="auto"/>
          <w:kern w:val="0"/>
          <w:sz w:val="24"/>
          <w:highlight w:val="none"/>
          <w:lang w:val="zh-CN"/>
        </w:rPr>
        <w:t>日</w:t>
      </w:r>
    </w:p>
    <w:p w14:paraId="34171D2D">
      <w:pPr>
        <w:widowControl/>
        <w:jc w:val="left"/>
        <w:rPr>
          <w:rFonts w:ascii="宋体" w:cs="宋体"/>
          <w:color w:val="auto"/>
          <w:szCs w:val="21"/>
          <w:highlight w:val="none"/>
        </w:rPr>
        <w:sectPr>
          <w:pgSz w:w="11906" w:h="16838"/>
          <w:pgMar w:top="1440" w:right="1134" w:bottom="1440" w:left="1197" w:header="851" w:footer="992" w:gutter="0"/>
          <w:cols w:space="720" w:num="1"/>
          <w:docGrid w:linePitch="312" w:charSpace="0"/>
        </w:sectPr>
      </w:pPr>
    </w:p>
    <w:p w14:paraId="778D75D1">
      <w:pPr>
        <w:pStyle w:val="23"/>
        <w:snapToGrid w:val="0"/>
        <w:rPr>
          <w:rFonts w:ascii="宋体" w:cs="宋体"/>
          <w:i/>
          <w:iCs/>
          <w:color w:val="auto"/>
          <w:szCs w:val="28"/>
          <w:highlight w:val="none"/>
        </w:rPr>
      </w:pPr>
      <w:r>
        <w:rPr>
          <w:rFonts w:hint="eastAsia" w:ascii="宋体" w:cs="宋体"/>
          <w:b/>
          <w:bCs/>
          <w:color w:val="auto"/>
          <w:sz w:val="30"/>
          <w:szCs w:val="30"/>
          <w:highlight w:val="none"/>
        </w:rPr>
        <w:t>7.投标人类似的业绩证明文件（如有要求）：</w:t>
      </w:r>
    </w:p>
    <w:p w14:paraId="7F276E29">
      <w:pPr>
        <w:spacing w:line="360" w:lineRule="auto"/>
        <w:ind w:firstLine="2880" w:firstLineChars="900"/>
        <w:contextualSpacing/>
        <w:rPr>
          <w:rFonts w:hint="eastAsia" w:ascii="宋体" w:cs="宋体"/>
          <w:color w:val="auto"/>
          <w:sz w:val="32"/>
          <w:szCs w:val="32"/>
          <w:highlight w:val="none"/>
        </w:rPr>
      </w:pPr>
    </w:p>
    <w:p w14:paraId="0F8AD332">
      <w:pPr>
        <w:spacing w:line="360" w:lineRule="auto"/>
        <w:contextualSpacing/>
        <w:jc w:val="center"/>
        <w:rPr>
          <w:rFonts w:ascii="宋体" w:cs="宋体"/>
          <w:color w:val="auto"/>
          <w:sz w:val="28"/>
          <w:szCs w:val="28"/>
          <w:highlight w:val="none"/>
        </w:rPr>
      </w:pPr>
      <w:r>
        <w:rPr>
          <w:rFonts w:hint="eastAsia" w:ascii="宋体" w:cs="宋体"/>
          <w:color w:val="auto"/>
          <w:sz w:val="28"/>
          <w:szCs w:val="28"/>
          <w:highlight w:val="none"/>
        </w:rPr>
        <w:t>类似项目的业绩一览表</w:t>
      </w:r>
    </w:p>
    <w:p w14:paraId="4F044FE5">
      <w:pPr>
        <w:autoSpaceDE w:val="0"/>
        <w:autoSpaceDN w:val="0"/>
        <w:spacing w:line="360" w:lineRule="auto"/>
        <w:jc w:val="left"/>
        <w:rPr>
          <w:rFonts w:ascii="宋体" w:cs="宋体"/>
          <w:color w:val="auto"/>
          <w:sz w:val="24"/>
          <w:highlight w:val="none"/>
        </w:rPr>
      </w:pPr>
    </w:p>
    <w:p w14:paraId="470397CA">
      <w:pPr>
        <w:autoSpaceDE w:val="0"/>
        <w:autoSpaceDN w:val="0"/>
        <w:spacing w:line="360" w:lineRule="auto"/>
        <w:jc w:val="left"/>
        <w:rPr>
          <w:rFonts w:ascii="宋体" w:cs="宋体"/>
          <w:color w:val="auto"/>
          <w:sz w:val="24"/>
          <w:highlight w:val="none"/>
        </w:rPr>
      </w:pPr>
      <w:r>
        <w:rPr>
          <w:rFonts w:hint="eastAsia" w:ascii="宋体" w:cs="宋体"/>
          <w:color w:val="auto"/>
          <w:sz w:val="24"/>
          <w:highlight w:val="none"/>
        </w:rPr>
        <w:t>所投分标（如有则填写，无分标时填写“无”或者留空）：</w:t>
      </w:r>
    </w:p>
    <w:tbl>
      <w:tblPr>
        <w:tblStyle w:val="29"/>
        <w:tblW w:w="971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24"/>
        <w:gridCol w:w="1813"/>
        <w:gridCol w:w="1687"/>
        <w:gridCol w:w="1016"/>
        <w:gridCol w:w="1016"/>
        <w:gridCol w:w="1018"/>
        <w:gridCol w:w="1938"/>
      </w:tblGrid>
      <w:tr w14:paraId="314B1A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224" w:type="dxa"/>
            <w:vMerge w:val="restart"/>
            <w:tcBorders>
              <w:top w:val="single" w:color="auto" w:sz="4" w:space="0"/>
              <w:left w:val="single" w:color="auto" w:sz="4" w:space="0"/>
              <w:bottom w:val="single" w:color="auto" w:sz="4" w:space="0"/>
              <w:right w:val="single" w:color="auto" w:sz="4" w:space="0"/>
            </w:tcBorders>
            <w:vAlign w:val="center"/>
          </w:tcPr>
          <w:p w14:paraId="2A81CE75">
            <w:pPr>
              <w:snapToGrid w:val="0"/>
              <w:spacing w:line="2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p>
          <w:p w14:paraId="4CCC9332">
            <w:pPr>
              <w:snapToGrid w:val="0"/>
              <w:spacing w:line="2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1813" w:type="dxa"/>
            <w:vMerge w:val="restart"/>
            <w:tcBorders>
              <w:top w:val="single" w:color="auto" w:sz="4" w:space="0"/>
              <w:left w:val="single" w:color="auto" w:sz="4" w:space="0"/>
              <w:bottom w:val="single" w:color="auto" w:sz="4" w:space="0"/>
              <w:right w:val="single" w:color="auto" w:sz="4" w:space="0"/>
            </w:tcBorders>
            <w:vAlign w:val="center"/>
          </w:tcPr>
          <w:p w14:paraId="320D87DF">
            <w:pPr>
              <w:snapToGrid w:val="0"/>
              <w:spacing w:line="2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1687" w:type="dxa"/>
            <w:vMerge w:val="restart"/>
            <w:tcBorders>
              <w:top w:val="single" w:color="auto" w:sz="4" w:space="0"/>
              <w:left w:val="single" w:color="auto" w:sz="4" w:space="0"/>
              <w:bottom w:val="single" w:color="auto" w:sz="4" w:space="0"/>
              <w:right w:val="single" w:color="auto" w:sz="4" w:space="0"/>
            </w:tcBorders>
            <w:vAlign w:val="center"/>
          </w:tcPr>
          <w:p w14:paraId="135889DC">
            <w:pPr>
              <w:snapToGrid w:val="0"/>
              <w:spacing w:line="2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w:t>
            </w:r>
          </w:p>
          <w:p w14:paraId="1A512C52">
            <w:pPr>
              <w:snapToGrid w:val="0"/>
              <w:spacing w:line="2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（万元）</w:t>
            </w:r>
          </w:p>
        </w:tc>
        <w:tc>
          <w:tcPr>
            <w:tcW w:w="3050" w:type="dxa"/>
            <w:gridSpan w:val="3"/>
            <w:tcBorders>
              <w:top w:val="single" w:color="auto" w:sz="4" w:space="0"/>
              <w:left w:val="single" w:color="auto" w:sz="4" w:space="0"/>
              <w:bottom w:val="single" w:color="auto" w:sz="4" w:space="0"/>
              <w:right w:val="single" w:color="auto" w:sz="4" w:space="0"/>
            </w:tcBorders>
            <w:vAlign w:val="center"/>
          </w:tcPr>
          <w:p w14:paraId="1247793F">
            <w:pPr>
              <w:snapToGrid w:val="0"/>
              <w:spacing w:line="2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附件在投标文件中页码</w:t>
            </w:r>
          </w:p>
        </w:tc>
        <w:tc>
          <w:tcPr>
            <w:tcW w:w="1938" w:type="dxa"/>
            <w:vMerge w:val="restart"/>
            <w:tcBorders>
              <w:top w:val="single" w:color="auto" w:sz="4" w:space="0"/>
              <w:left w:val="single" w:color="auto" w:sz="4" w:space="0"/>
              <w:bottom w:val="single" w:color="auto" w:sz="4" w:space="0"/>
              <w:right w:val="single" w:color="auto" w:sz="4" w:space="0"/>
            </w:tcBorders>
            <w:vAlign w:val="center"/>
          </w:tcPr>
          <w:p w14:paraId="58EA8FF0">
            <w:pPr>
              <w:snapToGrid w:val="0"/>
              <w:spacing w:line="2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采购人联系人及</w:t>
            </w:r>
          </w:p>
          <w:p w14:paraId="2EDF9081">
            <w:pPr>
              <w:snapToGrid w:val="0"/>
              <w:spacing w:line="2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r>
      <w:tr w14:paraId="34E321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224" w:type="dxa"/>
            <w:vMerge w:val="continue"/>
            <w:tcBorders>
              <w:top w:val="single" w:color="auto" w:sz="4" w:space="0"/>
              <w:left w:val="single" w:color="auto" w:sz="4" w:space="0"/>
              <w:bottom w:val="single" w:color="auto" w:sz="4" w:space="0"/>
              <w:right w:val="single" w:color="auto" w:sz="4" w:space="0"/>
            </w:tcBorders>
            <w:vAlign w:val="center"/>
          </w:tcPr>
          <w:p w14:paraId="3BF827AD"/>
        </w:tc>
        <w:tc>
          <w:tcPr>
            <w:tcW w:w="1813" w:type="dxa"/>
            <w:vMerge w:val="continue"/>
            <w:tcBorders>
              <w:top w:val="single" w:color="auto" w:sz="4" w:space="0"/>
              <w:left w:val="single" w:color="auto" w:sz="4" w:space="0"/>
              <w:bottom w:val="single" w:color="auto" w:sz="4" w:space="0"/>
              <w:right w:val="single" w:color="auto" w:sz="4" w:space="0"/>
            </w:tcBorders>
            <w:vAlign w:val="center"/>
          </w:tcPr>
          <w:p w14:paraId="4FB0F289"/>
        </w:tc>
        <w:tc>
          <w:tcPr>
            <w:tcW w:w="1687" w:type="dxa"/>
            <w:vMerge w:val="continue"/>
            <w:tcBorders>
              <w:top w:val="single" w:color="auto" w:sz="4" w:space="0"/>
              <w:left w:val="single" w:color="auto" w:sz="4" w:space="0"/>
              <w:bottom w:val="single" w:color="auto" w:sz="4" w:space="0"/>
              <w:right w:val="single" w:color="auto" w:sz="4" w:space="0"/>
            </w:tcBorders>
            <w:vAlign w:val="center"/>
          </w:tcPr>
          <w:p w14:paraId="2B036B09"/>
        </w:tc>
        <w:tc>
          <w:tcPr>
            <w:tcW w:w="1016" w:type="dxa"/>
            <w:tcBorders>
              <w:top w:val="single" w:color="auto" w:sz="4" w:space="0"/>
              <w:left w:val="single" w:color="auto" w:sz="4" w:space="0"/>
              <w:bottom w:val="single" w:color="auto" w:sz="4" w:space="0"/>
              <w:right w:val="single" w:color="auto" w:sz="4" w:space="0"/>
            </w:tcBorders>
            <w:vAlign w:val="center"/>
          </w:tcPr>
          <w:p w14:paraId="0B4F4ABF">
            <w:pPr>
              <w:snapToGrid w:val="0"/>
              <w:spacing w:line="2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w:t>
            </w:r>
          </w:p>
        </w:tc>
        <w:tc>
          <w:tcPr>
            <w:tcW w:w="1016" w:type="dxa"/>
            <w:tcBorders>
              <w:top w:val="single" w:color="auto" w:sz="4" w:space="0"/>
              <w:left w:val="single" w:color="auto" w:sz="4" w:space="0"/>
              <w:bottom w:val="single" w:color="auto" w:sz="4" w:space="0"/>
              <w:right w:val="single" w:color="auto" w:sz="4" w:space="0"/>
            </w:tcBorders>
            <w:vAlign w:val="center"/>
          </w:tcPr>
          <w:p w14:paraId="099B6FC8">
            <w:pPr>
              <w:snapToGrid w:val="0"/>
              <w:spacing w:line="2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w:t>
            </w:r>
          </w:p>
          <w:p w14:paraId="6BFE4C8B">
            <w:pPr>
              <w:snapToGrid w:val="0"/>
              <w:spacing w:line="2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报告</w:t>
            </w:r>
          </w:p>
        </w:tc>
        <w:tc>
          <w:tcPr>
            <w:tcW w:w="1018" w:type="dxa"/>
            <w:tcBorders>
              <w:top w:val="single" w:color="auto" w:sz="4" w:space="0"/>
              <w:left w:val="single" w:color="auto" w:sz="4" w:space="0"/>
              <w:bottom w:val="single" w:color="auto" w:sz="4" w:space="0"/>
              <w:right w:val="single" w:color="auto" w:sz="4" w:space="0"/>
            </w:tcBorders>
            <w:vAlign w:val="center"/>
          </w:tcPr>
          <w:p w14:paraId="065E99CB">
            <w:pPr>
              <w:snapToGrid w:val="0"/>
              <w:spacing w:line="2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用户</w:t>
            </w:r>
          </w:p>
          <w:p w14:paraId="4371B8EF">
            <w:pPr>
              <w:snapToGrid w:val="0"/>
              <w:spacing w:line="2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评价</w:t>
            </w:r>
          </w:p>
        </w:tc>
        <w:tc>
          <w:tcPr>
            <w:tcW w:w="1938" w:type="dxa"/>
            <w:vMerge w:val="continue"/>
            <w:tcBorders>
              <w:top w:val="single" w:color="auto" w:sz="4" w:space="0"/>
              <w:left w:val="single" w:color="auto" w:sz="4" w:space="0"/>
              <w:bottom w:val="single" w:color="auto" w:sz="4" w:space="0"/>
              <w:right w:val="single" w:color="auto" w:sz="4" w:space="0"/>
            </w:tcBorders>
            <w:vAlign w:val="center"/>
          </w:tcPr>
          <w:p w14:paraId="7086DC65"/>
        </w:tc>
      </w:tr>
      <w:tr w14:paraId="096136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224" w:type="dxa"/>
            <w:tcBorders>
              <w:top w:val="single" w:color="auto" w:sz="4" w:space="0"/>
              <w:left w:val="single" w:color="auto" w:sz="4" w:space="0"/>
              <w:bottom w:val="single" w:color="auto" w:sz="4" w:space="0"/>
              <w:right w:val="single" w:color="auto" w:sz="4" w:space="0"/>
            </w:tcBorders>
          </w:tcPr>
          <w:p w14:paraId="78E02C2C">
            <w:pPr>
              <w:snapToGrid w:val="0"/>
              <w:spacing w:line="240" w:lineRule="exact"/>
              <w:jc w:val="left"/>
              <w:rPr>
                <w:rFonts w:hint="eastAsia" w:ascii="宋体" w:hAnsi="宋体" w:eastAsia="宋体" w:cs="宋体"/>
                <w:color w:val="auto"/>
                <w:sz w:val="24"/>
                <w:szCs w:val="24"/>
                <w:highlight w:val="none"/>
              </w:rPr>
            </w:pPr>
          </w:p>
        </w:tc>
        <w:tc>
          <w:tcPr>
            <w:tcW w:w="1813" w:type="dxa"/>
            <w:tcBorders>
              <w:top w:val="single" w:color="auto" w:sz="4" w:space="0"/>
              <w:left w:val="single" w:color="auto" w:sz="4" w:space="0"/>
              <w:bottom w:val="single" w:color="auto" w:sz="4" w:space="0"/>
              <w:right w:val="single" w:color="auto" w:sz="4" w:space="0"/>
            </w:tcBorders>
          </w:tcPr>
          <w:p w14:paraId="32F12077">
            <w:pPr>
              <w:snapToGrid w:val="0"/>
              <w:spacing w:line="240" w:lineRule="exact"/>
              <w:jc w:val="left"/>
              <w:rPr>
                <w:rFonts w:hint="eastAsia" w:ascii="宋体" w:hAnsi="宋体" w:eastAsia="宋体" w:cs="宋体"/>
                <w:color w:val="auto"/>
                <w:sz w:val="24"/>
                <w:szCs w:val="24"/>
                <w:highlight w:val="none"/>
              </w:rPr>
            </w:pPr>
          </w:p>
        </w:tc>
        <w:tc>
          <w:tcPr>
            <w:tcW w:w="1687" w:type="dxa"/>
            <w:tcBorders>
              <w:top w:val="single" w:color="auto" w:sz="4" w:space="0"/>
              <w:left w:val="single" w:color="auto" w:sz="4" w:space="0"/>
              <w:bottom w:val="single" w:color="auto" w:sz="4" w:space="0"/>
              <w:right w:val="single" w:color="auto" w:sz="4" w:space="0"/>
            </w:tcBorders>
          </w:tcPr>
          <w:p w14:paraId="62FF419A">
            <w:pPr>
              <w:snapToGrid w:val="0"/>
              <w:spacing w:line="240" w:lineRule="exact"/>
              <w:jc w:val="left"/>
              <w:rPr>
                <w:rFonts w:hint="eastAsia" w:ascii="宋体" w:hAnsi="宋体" w:eastAsia="宋体" w:cs="宋体"/>
                <w:color w:val="auto"/>
                <w:sz w:val="24"/>
                <w:szCs w:val="24"/>
                <w:highlight w:val="none"/>
              </w:rPr>
            </w:pPr>
          </w:p>
        </w:tc>
        <w:tc>
          <w:tcPr>
            <w:tcW w:w="1016" w:type="dxa"/>
            <w:tcBorders>
              <w:top w:val="single" w:color="auto" w:sz="4" w:space="0"/>
              <w:left w:val="single" w:color="auto" w:sz="4" w:space="0"/>
              <w:bottom w:val="single" w:color="auto" w:sz="4" w:space="0"/>
              <w:right w:val="single" w:color="auto" w:sz="4" w:space="0"/>
            </w:tcBorders>
          </w:tcPr>
          <w:p w14:paraId="69341A21">
            <w:pPr>
              <w:snapToGrid w:val="0"/>
              <w:spacing w:line="240" w:lineRule="exact"/>
              <w:jc w:val="left"/>
              <w:rPr>
                <w:rFonts w:hint="eastAsia" w:ascii="宋体" w:hAnsi="宋体" w:eastAsia="宋体" w:cs="宋体"/>
                <w:color w:val="auto"/>
                <w:sz w:val="24"/>
                <w:szCs w:val="24"/>
                <w:highlight w:val="none"/>
              </w:rPr>
            </w:pPr>
          </w:p>
        </w:tc>
        <w:tc>
          <w:tcPr>
            <w:tcW w:w="1016" w:type="dxa"/>
            <w:tcBorders>
              <w:top w:val="single" w:color="auto" w:sz="4" w:space="0"/>
              <w:left w:val="single" w:color="auto" w:sz="4" w:space="0"/>
              <w:bottom w:val="single" w:color="auto" w:sz="4" w:space="0"/>
              <w:right w:val="single" w:color="auto" w:sz="4" w:space="0"/>
            </w:tcBorders>
          </w:tcPr>
          <w:p w14:paraId="2A029C27">
            <w:pPr>
              <w:snapToGrid w:val="0"/>
              <w:spacing w:line="240" w:lineRule="exact"/>
              <w:jc w:val="left"/>
              <w:rPr>
                <w:rFonts w:hint="eastAsia" w:ascii="宋体" w:hAnsi="宋体" w:eastAsia="宋体" w:cs="宋体"/>
                <w:color w:val="auto"/>
                <w:sz w:val="24"/>
                <w:szCs w:val="24"/>
                <w:highlight w:val="none"/>
              </w:rPr>
            </w:pPr>
          </w:p>
        </w:tc>
        <w:tc>
          <w:tcPr>
            <w:tcW w:w="1018" w:type="dxa"/>
            <w:tcBorders>
              <w:top w:val="single" w:color="auto" w:sz="4" w:space="0"/>
              <w:left w:val="single" w:color="auto" w:sz="4" w:space="0"/>
              <w:bottom w:val="single" w:color="auto" w:sz="4" w:space="0"/>
              <w:right w:val="single" w:color="auto" w:sz="4" w:space="0"/>
            </w:tcBorders>
          </w:tcPr>
          <w:p w14:paraId="26A5613E">
            <w:pPr>
              <w:snapToGrid w:val="0"/>
              <w:spacing w:line="240" w:lineRule="exact"/>
              <w:jc w:val="left"/>
              <w:rPr>
                <w:rFonts w:hint="eastAsia" w:ascii="宋体" w:hAnsi="宋体" w:eastAsia="宋体" w:cs="宋体"/>
                <w:color w:val="auto"/>
                <w:sz w:val="24"/>
                <w:szCs w:val="24"/>
                <w:highlight w:val="none"/>
              </w:rPr>
            </w:pPr>
          </w:p>
        </w:tc>
        <w:tc>
          <w:tcPr>
            <w:tcW w:w="1938" w:type="dxa"/>
            <w:tcBorders>
              <w:top w:val="single" w:color="auto" w:sz="4" w:space="0"/>
              <w:left w:val="single" w:color="auto" w:sz="4" w:space="0"/>
              <w:bottom w:val="single" w:color="auto" w:sz="4" w:space="0"/>
              <w:right w:val="single" w:color="auto" w:sz="4" w:space="0"/>
            </w:tcBorders>
          </w:tcPr>
          <w:p w14:paraId="47DCFCE7">
            <w:pPr>
              <w:snapToGrid w:val="0"/>
              <w:spacing w:line="240" w:lineRule="exact"/>
              <w:jc w:val="left"/>
              <w:rPr>
                <w:rFonts w:hint="eastAsia" w:ascii="宋体" w:hAnsi="宋体" w:eastAsia="宋体" w:cs="宋体"/>
                <w:color w:val="auto"/>
                <w:sz w:val="24"/>
                <w:szCs w:val="24"/>
                <w:highlight w:val="none"/>
              </w:rPr>
            </w:pPr>
          </w:p>
        </w:tc>
      </w:tr>
      <w:tr w14:paraId="728D35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24" w:type="dxa"/>
            <w:tcBorders>
              <w:top w:val="single" w:color="auto" w:sz="4" w:space="0"/>
              <w:left w:val="single" w:color="auto" w:sz="4" w:space="0"/>
              <w:bottom w:val="single" w:color="auto" w:sz="4" w:space="0"/>
              <w:right w:val="single" w:color="auto" w:sz="4" w:space="0"/>
            </w:tcBorders>
          </w:tcPr>
          <w:p w14:paraId="60172BF5">
            <w:pPr>
              <w:snapToGrid w:val="0"/>
              <w:spacing w:before="50" w:after="166" w:afterLines="50" w:line="400" w:lineRule="exact"/>
              <w:jc w:val="left"/>
              <w:rPr>
                <w:rFonts w:hint="eastAsia" w:ascii="宋体" w:hAnsi="宋体" w:eastAsia="宋体" w:cs="宋体"/>
                <w:color w:val="auto"/>
                <w:sz w:val="24"/>
                <w:szCs w:val="24"/>
                <w:highlight w:val="none"/>
              </w:rPr>
            </w:pPr>
          </w:p>
        </w:tc>
        <w:tc>
          <w:tcPr>
            <w:tcW w:w="1813" w:type="dxa"/>
            <w:tcBorders>
              <w:top w:val="single" w:color="auto" w:sz="4" w:space="0"/>
              <w:left w:val="single" w:color="auto" w:sz="4" w:space="0"/>
              <w:bottom w:val="single" w:color="auto" w:sz="4" w:space="0"/>
              <w:right w:val="single" w:color="auto" w:sz="4" w:space="0"/>
            </w:tcBorders>
          </w:tcPr>
          <w:p w14:paraId="4A580D04">
            <w:pPr>
              <w:snapToGrid w:val="0"/>
              <w:spacing w:before="50" w:after="166" w:afterLines="50" w:line="400" w:lineRule="exact"/>
              <w:jc w:val="left"/>
              <w:rPr>
                <w:rFonts w:hint="eastAsia" w:ascii="宋体" w:hAnsi="宋体" w:eastAsia="宋体" w:cs="宋体"/>
                <w:color w:val="auto"/>
                <w:sz w:val="24"/>
                <w:szCs w:val="24"/>
                <w:highlight w:val="none"/>
              </w:rPr>
            </w:pPr>
          </w:p>
        </w:tc>
        <w:tc>
          <w:tcPr>
            <w:tcW w:w="1687" w:type="dxa"/>
            <w:tcBorders>
              <w:top w:val="single" w:color="auto" w:sz="4" w:space="0"/>
              <w:left w:val="single" w:color="auto" w:sz="4" w:space="0"/>
              <w:bottom w:val="single" w:color="auto" w:sz="4" w:space="0"/>
              <w:right w:val="single" w:color="auto" w:sz="4" w:space="0"/>
            </w:tcBorders>
          </w:tcPr>
          <w:p w14:paraId="31A4594C">
            <w:pPr>
              <w:snapToGrid w:val="0"/>
              <w:spacing w:before="50" w:after="166" w:afterLines="50" w:line="400" w:lineRule="exact"/>
              <w:jc w:val="left"/>
              <w:rPr>
                <w:rFonts w:hint="eastAsia" w:ascii="宋体" w:hAnsi="宋体" w:eastAsia="宋体" w:cs="宋体"/>
                <w:color w:val="auto"/>
                <w:sz w:val="24"/>
                <w:szCs w:val="24"/>
                <w:highlight w:val="none"/>
              </w:rPr>
            </w:pPr>
          </w:p>
        </w:tc>
        <w:tc>
          <w:tcPr>
            <w:tcW w:w="1016" w:type="dxa"/>
            <w:tcBorders>
              <w:top w:val="single" w:color="auto" w:sz="4" w:space="0"/>
              <w:left w:val="single" w:color="auto" w:sz="4" w:space="0"/>
              <w:bottom w:val="single" w:color="auto" w:sz="4" w:space="0"/>
              <w:right w:val="single" w:color="auto" w:sz="4" w:space="0"/>
            </w:tcBorders>
          </w:tcPr>
          <w:p w14:paraId="22E9F71B">
            <w:pPr>
              <w:snapToGrid w:val="0"/>
              <w:spacing w:before="50" w:after="166" w:afterLines="50" w:line="400" w:lineRule="exact"/>
              <w:jc w:val="left"/>
              <w:rPr>
                <w:rFonts w:hint="eastAsia" w:ascii="宋体" w:hAnsi="宋体" w:eastAsia="宋体" w:cs="宋体"/>
                <w:color w:val="auto"/>
                <w:sz w:val="24"/>
                <w:szCs w:val="24"/>
                <w:highlight w:val="none"/>
              </w:rPr>
            </w:pPr>
          </w:p>
        </w:tc>
        <w:tc>
          <w:tcPr>
            <w:tcW w:w="1016" w:type="dxa"/>
            <w:tcBorders>
              <w:top w:val="single" w:color="auto" w:sz="4" w:space="0"/>
              <w:left w:val="single" w:color="auto" w:sz="4" w:space="0"/>
              <w:bottom w:val="single" w:color="auto" w:sz="4" w:space="0"/>
              <w:right w:val="single" w:color="auto" w:sz="4" w:space="0"/>
            </w:tcBorders>
          </w:tcPr>
          <w:p w14:paraId="2FB05D68">
            <w:pPr>
              <w:snapToGrid w:val="0"/>
              <w:spacing w:before="50" w:after="166" w:afterLines="50" w:line="400" w:lineRule="exact"/>
              <w:jc w:val="left"/>
              <w:rPr>
                <w:rFonts w:hint="eastAsia" w:ascii="宋体" w:hAnsi="宋体" w:eastAsia="宋体" w:cs="宋体"/>
                <w:color w:val="auto"/>
                <w:sz w:val="24"/>
                <w:szCs w:val="24"/>
                <w:highlight w:val="none"/>
              </w:rPr>
            </w:pPr>
          </w:p>
        </w:tc>
        <w:tc>
          <w:tcPr>
            <w:tcW w:w="1018" w:type="dxa"/>
            <w:tcBorders>
              <w:top w:val="single" w:color="auto" w:sz="4" w:space="0"/>
              <w:left w:val="single" w:color="auto" w:sz="4" w:space="0"/>
              <w:bottom w:val="single" w:color="auto" w:sz="4" w:space="0"/>
              <w:right w:val="single" w:color="auto" w:sz="4" w:space="0"/>
            </w:tcBorders>
          </w:tcPr>
          <w:p w14:paraId="7E30A16C">
            <w:pPr>
              <w:snapToGrid w:val="0"/>
              <w:spacing w:before="50" w:after="166" w:afterLines="50" w:line="400" w:lineRule="exact"/>
              <w:jc w:val="left"/>
              <w:rPr>
                <w:rFonts w:hint="eastAsia" w:ascii="宋体" w:hAnsi="宋体" w:eastAsia="宋体" w:cs="宋体"/>
                <w:color w:val="auto"/>
                <w:sz w:val="24"/>
                <w:szCs w:val="24"/>
                <w:highlight w:val="none"/>
              </w:rPr>
            </w:pPr>
          </w:p>
        </w:tc>
        <w:tc>
          <w:tcPr>
            <w:tcW w:w="1938" w:type="dxa"/>
            <w:tcBorders>
              <w:top w:val="single" w:color="auto" w:sz="4" w:space="0"/>
              <w:left w:val="single" w:color="auto" w:sz="4" w:space="0"/>
              <w:bottom w:val="single" w:color="auto" w:sz="4" w:space="0"/>
              <w:right w:val="single" w:color="auto" w:sz="4" w:space="0"/>
            </w:tcBorders>
          </w:tcPr>
          <w:p w14:paraId="6DF70DBF">
            <w:pPr>
              <w:snapToGrid w:val="0"/>
              <w:spacing w:before="50" w:after="166" w:afterLines="50" w:line="400" w:lineRule="exact"/>
              <w:jc w:val="left"/>
              <w:rPr>
                <w:rFonts w:hint="eastAsia" w:ascii="宋体" w:hAnsi="宋体" w:eastAsia="宋体" w:cs="宋体"/>
                <w:color w:val="auto"/>
                <w:sz w:val="24"/>
                <w:szCs w:val="24"/>
                <w:highlight w:val="none"/>
              </w:rPr>
            </w:pPr>
          </w:p>
        </w:tc>
      </w:tr>
      <w:tr w14:paraId="01B738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224" w:type="dxa"/>
            <w:tcBorders>
              <w:top w:val="single" w:color="auto" w:sz="4" w:space="0"/>
              <w:left w:val="single" w:color="auto" w:sz="4" w:space="0"/>
              <w:bottom w:val="single" w:color="auto" w:sz="4" w:space="0"/>
              <w:right w:val="single" w:color="auto" w:sz="4" w:space="0"/>
            </w:tcBorders>
          </w:tcPr>
          <w:p w14:paraId="4EAEA2CF">
            <w:pPr>
              <w:snapToGrid w:val="0"/>
              <w:spacing w:before="50" w:after="166" w:afterLines="50" w:line="400" w:lineRule="exact"/>
              <w:jc w:val="left"/>
              <w:rPr>
                <w:rFonts w:hint="eastAsia" w:ascii="宋体" w:hAnsi="宋体" w:eastAsia="宋体" w:cs="宋体"/>
                <w:color w:val="auto"/>
                <w:sz w:val="24"/>
                <w:szCs w:val="24"/>
                <w:highlight w:val="none"/>
              </w:rPr>
            </w:pPr>
          </w:p>
        </w:tc>
        <w:tc>
          <w:tcPr>
            <w:tcW w:w="1813" w:type="dxa"/>
            <w:tcBorders>
              <w:top w:val="single" w:color="auto" w:sz="4" w:space="0"/>
              <w:left w:val="single" w:color="auto" w:sz="4" w:space="0"/>
              <w:bottom w:val="single" w:color="auto" w:sz="4" w:space="0"/>
              <w:right w:val="single" w:color="auto" w:sz="4" w:space="0"/>
            </w:tcBorders>
          </w:tcPr>
          <w:p w14:paraId="2A9B055E">
            <w:pPr>
              <w:snapToGrid w:val="0"/>
              <w:spacing w:before="50" w:after="166" w:afterLines="50" w:line="400" w:lineRule="exact"/>
              <w:jc w:val="left"/>
              <w:rPr>
                <w:rFonts w:hint="eastAsia" w:ascii="宋体" w:hAnsi="宋体" w:eastAsia="宋体" w:cs="宋体"/>
                <w:color w:val="auto"/>
                <w:sz w:val="24"/>
                <w:szCs w:val="24"/>
                <w:highlight w:val="none"/>
              </w:rPr>
            </w:pPr>
          </w:p>
        </w:tc>
        <w:tc>
          <w:tcPr>
            <w:tcW w:w="1687" w:type="dxa"/>
            <w:tcBorders>
              <w:top w:val="single" w:color="auto" w:sz="4" w:space="0"/>
              <w:left w:val="single" w:color="auto" w:sz="4" w:space="0"/>
              <w:bottom w:val="single" w:color="auto" w:sz="4" w:space="0"/>
              <w:right w:val="single" w:color="auto" w:sz="4" w:space="0"/>
            </w:tcBorders>
          </w:tcPr>
          <w:p w14:paraId="36E51E90">
            <w:pPr>
              <w:snapToGrid w:val="0"/>
              <w:spacing w:before="50" w:after="166" w:afterLines="50" w:line="400" w:lineRule="exact"/>
              <w:jc w:val="left"/>
              <w:rPr>
                <w:rFonts w:hint="eastAsia" w:ascii="宋体" w:hAnsi="宋体" w:eastAsia="宋体" w:cs="宋体"/>
                <w:color w:val="auto"/>
                <w:sz w:val="24"/>
                <w:szCs w:val="24"/>
                <w:highlight w:val="none"/>
              </w:rPr>
            </w:pPr>
          </w:p>
        </w:tc>
        <w:tc>
          <w:tcPr>
            <w:tcW w:w="1016" w:type="dxa"/>
            <w:tcBorders>
              <w:top w:val="single" w:color="auto" w:sz="4" w:space="0"/>
              <w:left w:val="single" w:color="auto" w:sz="4" w:space="0"/>
              <w:bottom w:val="single" w:color="auto" w:sz="4" w:space="0"/>
              <w:right w:val="single" w:color="auto" w:sz="4" w:space="0"/>
            </w:tcBorders>
          </w:tcPr>
          <w:p w14:paraId="4E914409">
            <w:pPr>
              <w:snapToGrid w:val="0"/>
              <w:spacing w:before="50" w:after="166" w:afterLines="50" w:line="400" w:lineRule="exact"/>
              <w:jc w:val="left"/>
              <w:rPr>
                <w:rFonts w:hint="eastAsia" w:ascii="宋体" w:hAnsi="宋体" w:eastAsia="宋体" w:cs="宋体"/>
                <w:color w:val="auto"/>
                <w:sz w:val="24"/>
                <w:szCs w:val="24"/>
                <w:highlight w:val="none"/>
              </w:rPr>
            </w:pPr>
          </w:p>
        </w:tc>
        <w:tc>
          <w:tcPr>
            <w:tcW w:w="1016" w:type="dxa"/>
            <w:tcBorders>
              <w:top w:val="single" w:color="auto" w:sz="4" w:space="0"/>
              <w:left w:val="single" w:color="auto" w:sz="4" w:space="0"/>
              <w:bottom w:val="single" w:color="auto" w:sz="4" w:space="0"/>
              <w:right w:val="single" w:color="auto" w:sz="4" w:space="0"/>
            </w:tcBorders>
          </w:tcPr>
          <w:p w14:paraId="71EA8F20">
            <w:pPr>
              <w:snapToGrid w:val="0"/>
              <w:spacing w:before="50" w:after="166" w:afterLines="50" w:line="400" w:lineRule="exact"/>
              <w:jc w:val="left"/>
              <w:rPr>
                <w:rFonts w:hint="eastAsia" w:ascii="宋体" w:hAnsi="宋体" w:eastAsia="宋体" w:cs="宋体"/>
                <w:color w:val="auto"/>
                <w:sz w:val="24"/>
                <w:szCs w:val="24"/>
                <w:highlight w:val="none"/>
              </w:rPr>
            </w:pPr>
          </w:p>
        </w:tc>
        <w:tc>
          <w:tcPr>
            <w:tcW w:w="1018" w:type="dxa"/>
            <w:tcBorders>
              <w:top w:val="single" w:color="auto" w:sz="4" w:space="0"/>
              <w:left w:val="single" w:color="auto" w:sz="4" w:space="0"/>
              <w:bottom w:val="single" w:color="auto" w:sz="4" w:space="0"/>
              <w:right w:val="single" w:color="auto" w:sz="4" w:space="0"/>
            </w:tcBorders>
          </w:tcPr>
          <w:p w14:paraId="18A14506">
            <w:pPr>
              <w:snapToGrid w:val="0"/>
              <w:spacing w:before="50" w:after="166" w:afterLines="50" w:line="400" w:lineRule="exact"/>
              <w:jc w:val="left"/>
              <w:rPr>
                <w:rFonts w:hint="eastAsia" w:ascii="宋体" w:hAnsi="宋体" w:eastAsia="宋体" w:cs="宋体"/>
                <w:color w:val="auto"/>
                <w:sz w:val="24"/>
                <w:szCs w:val="24"/>
                <w:highlight w:val="none"/>
              </w:rPr>
            </w:pPr>
          </w:p>
        </w:tc>
        <w:tc>
          <w:tcPr>
            <w:tcW w:w="1938" w:type="dxa"/>
            <w:tcBorders>
              <w:top w:val="single" w:color="auto" w:sz="4" w:space="0"/>
              <w:left w:val="single" w:color="auto" w:sz="4" w:space="0"/>
              <w:bottom w:val="single" w:color="auto" w:sz="4" w:space="0"/>
              <w:right w:val="single" w:color="auto" w:sz="4" w:space="0"/>
            </w:tcBorders>
          </w:tcPr>
          <w:p w14:paraId="62E50367">
            <w:pPr>
              <w:snapToGrid w:val="0"/>
              <w:spacing w:before="50" w:after="166" w:afterLines="50" w:line="400" w:lineRule="exact"/>
              <w:jc w:val="left"/>
              <w:rPr>
                <w:rFonts w:hint="eastAsia" w:ascii="宋体" w:hAnsi="宋体" w:eastAsia="宋体" w:cs="宋体"/>
                <w:color w:val="auto"/>
                <w:sz w:val="24"/>
                <w:szCs w:val="24"/>
                <w:highlight w:val="none"/>
              </w:rPr>
            </w:pPr>
          </w:p>
        </w:tc>
      </w:tr>
      <w:tr w14:paraId="72E434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24" w:type="dxa"/>
            <w:tcBorders>
              <w:top w:val="single" w:color="auto" w:sz="4" w:space="0"/>
              <w:left w:val="single" w:color="auto" w:sz="4" w:space="0"/>
              <w:bottom w:val="single" w:color="auto" w:sz="4" w:space="0"/>
              <w:right w:val="single" w:color="auto" w:sz="4" w:space="0"/>
            </w:tcBorders>
          </w:tcPr>
          <w:p w14:paraId="286155ED">
            <w:pPr>
              <w:snapToGrid w:val="0"/>
              <w:spacing w:before="50" w:after="166" w:afterLines="50" w:line="400" w:lineRule="exact"/>
              <w:jc w:val="left"/>
              <w:rPr>
                <w:rFonts w:hint="eastAsia" w:ascii="宋体" w:hAnsi="宋体" w:eastAsia="宋体" w:cs="宋体"/>
                <w:color w:val="auto"/>
                <w:sz w:val="24"/>
                <w:szCs w:val="24"/>
                <w:highlight w:val="none"/>
              </w:rPr>
            </w:pPr>
          </w:p>
        </w:tc>
        <w:tc>
          <w:tcPr>
            <w:tcW w:w="1813" w:type="dxa"/>
            <w:tcBorders>
              <w:top w:val="single" w:color="auto" w:sz="4" w:space="0"/>
              <w:left w:val="single" w:color="auto" w:sz="4" w:space="0"/>
              <w:bottom w:val="single" w:color="auto" w:sz="4" w:space="0"/>
              <w:right w:val="single" w:color="auto" w:sz="4" w:space="0"/>
            </w:tcBorders>
          </w:tcPr>
          <w:p w14:paraId="09BD2206">
            <w:pPr>
              <w:snapToGrid w:val="0"/>
              <w:spacing w:before="50" w:after="166" w:afterLines="50" w:line="400" w:lineRule="exact"/>
              <w:jc w:val="left"/>
              <w:rPr>
                <w:rFonts w:hint="eastAsia" w:ascii="宋体" w:hAnsi="宋体" w:eastAsia="宋体" w:cs="宋体"/>
                <w:color w:val="auto"/>
                <w:sz w:val="24"/>
                <w:szCs w:val="24"/>
                <w:highlight w:val="none"/>
              </w:rPr>
            </w:pPr>
          </w:p>
        </w:tc>
        <w:tc>
          <w:tcPr>
            <w:tcW w:w="1687" w:type="dxa"/>
            <w:tcBorders>
              <w:top w:val="single" w:color="auto" w:sz="4" w:space="0"/>
              <w:left w:val="single" w:color="auto" w:sz="4" w:space="0"/>
              <w:bottom w:val="single" w:color="auto" w:sz="4" w:space="0"/>
              <w:right w:val="single" w:color="auto" w:sz="4" w:space="0"/>
            </w:tcBorders>
          </w:tcPr>
          <w:p w14:paraId="2410071D">
            <w:pPr>
              <w:snapToGrid w:val="0"/>
              <w:spacing w:before="50" w:after="166" w:afterLines="50" w:line="400" w:lineRule="exact"/>
              <w:jc w:val="left"/>
              <w:rPr>
                <w:rFonts w:hint="eastAsia" w:ascii="宋体" w:hAnsi="宋体" w:eastAsia="宋体" w:cs="宋体"/>
                <w:color w:val="auto"/>
                <w:sz w:val="24"/>
                <w:szCs w:val="24"/>
                <w:highlight w:val="none"/>
              </w:rPr>
            </w:pPr>
          </w:p>
        </w:tc>
        <w:tc>
          <w:tcPr>
            <w:tcW w:w="1016" w:type="dxa"/>
            <w:tcBorders>
              <w:top w:val="single" w:color="auto" w:sz="4" w:space="0"/>
              <w:left w:val="single" w:color="auto" w:sz="4" w:space="0"/>
              <w:bottom w:val="single" w:color="auto" w:sz="4" w:space="0"/>
              <w:right w:val="single" w:color="auto" w:sz="4" w:space="0"/>
            </w:tcBorders>
          </w:tcPr>
          <w:p w14:paraId="63284D78">
            <w:pPr>
              <w:snapToGrid w:val="0"/>
              <w:spacing w:before="50" w:after="166" w:afterLines="50" w:line="400" w:lineRule="exact"/>
              <w:jc w:val="left"/>
              <w:rPr>
                <w:rFonts w:hint="eastAsia" w:ascii="宋体" w:hAnsi="宋体" w:eastAsia="宋体" w:cs="宋体"/>
                <w:color w:val="auto"/>
                <w:sz w:val="24"/>
                <w:szCs w:val="24"/>
                <w:highlight w:val="none"/>
              </w:rPr>
            </w:pPr>
          </w:p>
        </w:tc>
        <w:tc>
          <w:tcPr>
            <w:tcW w:w="1016" w:type="dxa"/>
            <w:tcBorders>
              <w:top w:val="single" w:color="auto" w:sz="4" w:space="0"/>
              <w:left w:val="single" w:color="auto" w:sz="4" w:space="0"/>
              <w:bottom w:val="single" w:color="auto" w:sz="4" w:space="0"/>
              <w:right w:val="single" w:color="auto" w:sz="4" w:space="0"/>
            </w:tcBorders>
          </w:tcPr>
          <w:p w14:paraId="7AA7B087">
            <w:pPr>
              <w:snapToGrid w:val="0"/>
              <w:spacing w:before="50" w:after="166" w:afterLines="50" w:line="400" w:lineRule="exact"/>
              <w:jc w:val="left"/>
              <w:rPr>
                <w:rFonts w:hint="eastAsia" w:ascii="宋体" w:hAnsi="宋体" w:eastAsia="宋体" w:cs="宋体"/>
                <w:color w:val="auto"/>
                <w:sz w:val="24"/>
                <w:szCs w:val="24"/>
                <w:highlight w:val="none"/>
              </w:rPr>
            </w:pPr>
          </w:p>
        </w:tc>
        <w:tc>
          <w:tcPr>
            <w:tcW w:w="1018" w:type="dxa"/>
            <w:tcBorders>
              <w:top w:val="single" w:color="auto" w:sz="4" w:space="0"/>
              <w:left w:val="single" w:color="auto" w:sz="4" w:space="0"/>
              <w:bottom w:val="single" w:color="auto" w:sz="4" w:space="0"/>
              <w:right w:val="single" w:color="auto" w:sz="4" w:space="0"/>
            </w:tcBorders>
          </w:tcPr>
          <w:p w14:paraId="25EBA84C">
            <w:pPr>
              <w:snapToGrid w:val="0"/>
              <w:spacing w:before="50" w:after="166" w:afterLines="50" w:line="400" w:lineRule="exact"/>
              <w:jc w:val="left"/>
              <w:rPr>
                <w:rFonts w:hint="eastAsia" w:ascii="宋体" w:hAnsi="宋体" w:eastAsia="宋体" w:cs="宋体"/>
                <w:color w:val="auto"/>
                <w:sz w:val="24"/>
                <w:szCs w:val="24"/>
                <w:highlight w:val="none"/>
              </w:rPr>
            </w:pPr>
          </w:p>
        </w:tc>
        <w:tc>
          <w:tcPr>
            <w:tcW w:w="1938" w:type="dxa"/>
            <w:tcBorders>
              <w:top w:val="single" w:color="auto" w:sz="4" w:space="0"/>
              <w:left w:val="single" w:color="auto" w:sz="4" w:space="0"/>
              <w:bottom w:val="single" w:color="auto" w:sz="4" w:space="0"/>
              <w:right w:val="single" w:color="auto" w:sz="4" w:space="0"/>
            </w:tcBorders>
          </w:tcPr>
          <w:p w14:paraId="76ADABAF">
            <w:pPr>
              <w:snapToGrid w:val="0"/>
              <w:spacing w:before="50" w:after="166" w:afterLines="50" w:line="400" w:lineRule="exact"/>
              <w:jc w:val="left"/>
              <w:rPr>
                <w:rFonts w:hint="eastAsia" w:ascii="宋体" w:hAnsi="宋体" w:eastAsia="宋体" w:cs="宋体"/>
                <w:color w:val="auto"/>
                <w:sz w:val="24"/>
                <w:szCs w:val="24"/>
                <w:highlight w:val="none"/>
              </w:rPr>
            </w:pPr>
          </w:p>
        </w:tc>
      </w:tr>
      <w:tr w14:paraId="074DB2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24" w:type="dxa"/>
            <w:tcBorders>
              <w:top w:val="single" w:color="auto" w:sz="4" w:space="0"/>
              <w:left w:val="single" w:color="auto" w:sz="4" w:space="0"/>
              <w:bottom w:val="single" w:color="auto" w:sz="4" w:space="0"/>
              <w:right w:val="single" w:color="auto" w:sz="4" w:space="0"/>
            </w:tcBorders>
          </w:tcPr>
          <w:p w14:paraId="3B512004">
            <w:pPr>
              <w:snapToGrid w:val="0"/>
              <w:spacing w:before="50" w:after="166" w:afterLines="50" w:line="400" w:lineRule="exact"/>
              <w:jc w:val="left"/>
              <w:rPr>
                <w:rFonts w:hint="eastAsia" w:ascii="宋体" w:hAnsi="宋体" w:eastAsia="宋体" w:cs="宋体"/>
                <w:color w:val="auto"/>
                <w:sz w:val="24"/>
                <w:szCs w:val="24"/>
                <w:highlight w:val="none"/>
              </w:rPr>
            </w:pPr>
          </w:p>
        </w:tc>
        <w:tc>
          <w:tcPr>
            <w:tcW w:w="1813" w:type="dxa"/>
            <w:tcBorders>
              <w:top w:val="single" w:color="auto" w:sz="4" w:space="0"/>
              <w:left w:val="single" w:color="auto" w:sz="4" w:space="0"/>
              <w:bottom w:val="single" w:color="auto" w:sz="4" w:space="0"/>
              <w:right w:val="single" w:color="auto" w:sz="4" w:space="0"/>
            </w:tcBorders>
          </w:tcPr>
          <w:p w14:paraId="37618B09">
            <w:pPr>
              <w:snapToGrid w:val="0"/>
              <w:spacing w:before="50" w:after="166" w:afterLines="50" w:line="400" w:lineRule="exact"/>
              <w:jc w:val="left"/>
              <w:rPr>
                <w:rFonts w:hint="eastAsia" w:ascii="宋体" w:hAnsi="宋体" w:eastAsia="宋体" w:cs="宋体"/>
                <w:color w:val="auto"/>
                <w:sz w:val="24"/>
                <w:szCs w:val="24"/>
                <w:highlight w:val="none"/>
              </w:rPr>
            </w:pPr>
          </w:p>
        </w:tc>
        <w:tc>
          <w:tcPr>
            <w:tcW w:w="1687" w:type="dxa"/>
            <w:tcBorders>
              <w:top w:val="single" w:color="auto" w:sz="4" w:space="0"/>
              <w:left w:val="single" w:color="auto" w:sz="4" w:space="0"/>
              <w:bottom w:val="single" w:color="auto" w:sz="4" w:space="0"/>
              <w:right w:val="single" w:color="auto" w:sz="4" w:space="0"/>
            </w:tcBorders>
          </w:tcPr>
          <w:p w14:paraId="09FF4660">
            <w:pPr>
              <w:snapToGrid w:val="0"/>
              <w:spacing w:before="50" w:after="166" w:afterLines="50" w:line="400" w:lineRule="exact"/>
              <w:jc w:val="left"/>
              <w:rPr>
                <w:rFonts w:hint="eastAsia" w:ascii="宋体" w:hAnsi="宋体" w:eastAsia="宋体" w:cs="宋体"/>
                <w:color w:val="auto"/>
                <w:sz w:val="24"/>
                <w:szCs w:val="24"/>
                <w:highlight w:val="none"/>
              </w:rPr>
            </w:pPr>
          </w:p>
        </w:tc>
        <w:tc>
          <w:tcPr>
            <w:tcW w:w="1016" w:type="dxa"/>
            <w:tcBorders>
              <w:top w:val="single" w:color="auto" w:sz="4" w:space="0"/>
              <w:left w:val="single" w:color="auto" w:sz="4" w:space="0"/>
              <w:bottom w:val="single" w:color="auto" w:sz="4" w:space="0"/>
              <w:right w:val="single" w:color="auto" w:sz="4" w:space="0"/>
            </w:tcBorders>
          </w:tcPr>
          <w:p w14:paraId="625683EF">
            <w:pPr>
              <w:snapToGrid w:val="0"/>
              <w:spacing w:before="50" w:after="166" w:afterLines="50" w:line="400" w:lineRule="exact"/>
              <w:jc w:val="left"/>
              <w:rPr>
                <w:rFonts w:hint="eastAsia" w:ascii="宋体" w:hAnsi="宋体" w:eastAsia="宋体" w:cs="宋体"/>
                <w:color w:val="auto"/>
                <w:sz w:val="24"/>
                <w:szCs w:val="24"/>
                <w:highlight w:val="none"/>
              </w:rPr>
            </w:pPr>
          </w:p>
        </w:tc>
        <w:tc>
          <w:tcPr>
            <w:tcW w:w="1016" w:type="dxa"/>
            <w:tcBorders>
              <w:top w:val="single" w:color="auto" w:sz="4" w:space="0"/>
              <w:left w:val="single" w:color="auto" w:sz="4" w:space="0"/>
              <w:bottom w:val="single" w:color="auto" w:sz="4" w:space="0"/>
              <w:right w:val="single" w:color="auto" w:sz="4" w:space="0"/>
            </w:tcBorders>
          </w:tcPr>
          <w:p w14:paraId="20533956">
            <w:pPr>
              <w:snapToGrid w:val="0"/>
              <w:spacing w:before="50" w:after="166" w:afterLines="50" w:line="400" w:lineRule="exact"/>
              <w:jc w:val="left"/>
              <w:rPr>
                <w:rFonts w:hint="eastAsia" w:ascii="宋体" w:hAnsi="宋体" w:eastAsia="宋体" w:cs="宋体"/>
                <w:color w:val="auto"/>
                <w:sz w:val="24"/>
                <w:szCs w:val="24"/>
                <w:highlight w:val="none"/>
              </w:rPr>
            </w:pPr>
          </w:p>
        </w:tc>
        <w:tc>
          <w:tcPr>
            <w:tcW w:w="1018" w:type="dxa"/>
            <w:tcBorders>
              <w:top w:val="single" w:color="auto" w:sz="4" w:space="0"/>
              <w:left w:val="single" w:color="auto" w:sz="4" w:space="0"/>
              <w:bottom w:val="single" w:color="auto" w:sz="4" w:space="0"/>
              <w:right w:val="single" w:color="auto" w:sz="4" w:space="0"/>
            </w:tcBorders>
          </w:tcPr>
          <w:p w14:paraId="413F2A86">
            <w:pPr>
              <w:snapToGrid w:val="0"/>
              <w:spacing w:before="50" w:after="166" w:afterLines="50" w:line="400" w:lineRule="exact"/>
              <w:jc w:val="left"/>
              <w:rPr>
                <w:rFonts w:hint="eastAsia" w:ascii="宋体" w:hAnsi="宋体" w:eastAsia="宋体" w:cs="宋体"/>
                <w:color w:val="auto"/>
                <w:sz w:val="24"/>
                <w:szCs w:val="24"/>
                <w:highlight w:val="none"/>
              </w:rPr>
            </w:pPr>
          </w:p>
        </w:tc>
        <w:tc>
          <w:tcPr>
            <w:tcW w:w="1938" w:type="dxa"/>
            <w:tcBorders>
              <w:top w:val="single" w:color="auto" w:sz="4" w:space="0"/>
              <w:left w:val="single" w:color="auto" w:sz="4" w:space="0"/>
              <w:bottom w:val="single" w:color="auto" w:sz="4" w:space="0"/>
              <w:right w:val="single" w:color="auto" w:sz="4" w:space="0"/>
            </w:tcBorders>
          </w:tcPr>
          <w:p w14:paraId="26186137">
            <w:pPr>
              <w:snapToGrid w:val="0"/>
              <w:spacing w:before="50" w:after="166" w:afterLines="50" w:line="400" w:lineRule="exact"/>
              <w:jc w:val="left"/>
              <w:rPr>
                <w:rFonts w:hint="eastAsia" w:ascii="宋体" w:hAnsi="宋体" w:eastAsia="宋体" w:cs="宋体"/>
                <w:color w:val="auto"/>
                <w:sz w:val="24"/>
                <w:szCs w:val="24"/>
                <w:highlight w:val="none"/>
              </w:rPr>
            </w:pPr>
          </w:p>
        </w:tc>
      </w:tr>
    </w:tbl>
    <w:p w14:paraId="6EDFD62B">
      <w:pPr>
        <w:pStyle w:val="16"/>
        <w:spacing w:line="360" w:lineRule="auto"/>
        <w:ind w:left="72"/>
        <w:rPr>
          <w:rFonts w:cs="宋体"/>
          <w:color w:val="auto"/>
          <w:sz w:val="24"/>
          <w:szCs w:val="24"/>
          <w:highlight w:val="none"/>
        </w:rPr>
      </w:pPr>
      <w:r>
        <w:rPr>
          <w:rFonts w:hint="eastAsia" w:cs="宋体"/>
          <w:color w:val="auto"/>
          <w:sz w:val="24"/>
          <w:szCs w:val="24"/>
          <w:highlight w:val="none"/>
        </w:rPr>
        <w:t>注：在填写时，如本表格不适合投标人的实际情况，可参照本表格式自行制表填写，并附上相关证明材料。</w:t>
      </w:r>
    </w:p>
    <w:p w14:paraId="5FE1F1EC">
      <w:pPr>
        <w:snapToGrid w:val="0"/>
        <w:spacing w:line="360" w:lineRule="auto"/>
        <w:ind w:firstLine="4935" w:firstLineChars="2350"/>
        <w:rPr>
          <w:rFonts w:ascii="宋体" w:cs="宋体"/>
          <w:color w:val="auto"/>
          <w:szCs w:val="21"/>
          <w:highlight w:val="none"/>
        </w:rPr>
      </w:pPr>
      <w:r>
        <w:rPr>
          <w:rFonts w:hint="eastAsia" w:ascii="宋体" w:cs="宋体"/>
          <w:color w:val="auto"/>
          <w:szCs w:val="21"/>
          <w:highlight w:val="none"/>
        </w:rPr>
        <w:t xml:space="preserve"> </w:t>
      </w:r>
    </w:p>
    <w:p w14:paraId="00CC147C">
      <w:pPr>
        <w:snapToGrid w:val="0"/>
        <w:spacing w:line="360" w:lineRule="auto"/>
        <w:ind w:firstLine="4935" w:firstLineChars="2350"/>
        <w:rPr>
          <w:rFonts w:ascii="宋体" w:cs="宋体"/>
          <w:color w:val="auto"/>
          <w:szCs w:val="21"/>
          <w:highlight w:val="none"/>
        </w:rPr>
      </w:pPr>
    </w:p>
    <w:p w14:paraId="26355BB0">
      <w:pPr>
        <w:snapToGrid w:val="0"/>
        <w:spacing w:line="360" w:lineRule="auto"/>
        <w:ind w:left="5187" w:leftChars="2470" w:firstLine="4620" w:firstLineChars="2200"/>
        <w:rPr>
          <w:rFonts w:ascii="宋体" w:cs="宋体"/>
          <w:color w:val="auto"/>
          <w:kern w:val="0"/>
          <w:sz w:val="24"/>
          <w:highlight w:val="none"/>
        </w:rPr>
      </w:pPr>
      <w:r>
        <w:rPr>
          <w:rFonts w:hint="eastAsia" w:ascii="宋体" w:cs="宋体"/>
          <w:color w:val="auto"/>
          <w:szCs w:val="21"/>
          <w:highlight w:val="none"/>
        </w:rPr>
        <w:t xml:space="preserve"> </w:t>
      </w:r>
      <w:r>
        <w:rPr>
          <w:rFonts w:hint="eastAsia" w:ascii="宋体" w:cs="宋体"/>
          <w:color w:val="auto"/>
          <w:kern w:val="0"/>
          <w:sz w:val="24"/>
          <w:highlight w:val="none"/>
          <w:lang w:val="zh-CN"/>
        </w:rPr>
        <w:t>投标人名称（盖公章）：</w:t>
      </w:r>
    </w:p>
    <w:p w14:paraId="0E66F037">
      <w:pPr>
        <w:snapToGrid w:val="0"/>
        <w:spacing w:line="360" w:lineRule="auto"/>
        <w:ind w:firstLine="5280" w:firstLineChars="2200"/>
        <w:rPr>
          <w:rFonts w:ascii="宋体" w:cs="宋体"/>
          <w:color w:val="auto"/>
          <w:kern w:val="0"/>
          <w:sz w:val="24"/>
          <w:highlight w:val="none"/>
          <w:lang w:val="zh-CN"/>
        </w:rPr>
      </w:pPr>
      <w:r>
        <w:rPr>
          <w:rFonts w:hint="eastAsia" w:ascii="宋体" w:cs="宋体"/>
          <w:color w:val="auto"/>
          <w:kern w:val="0"/>
          <w:sz w:val="24"/>
          <w:highlight w:val="none"/>
          <w:lang w:val="zh-CN"/>
        </w:rPr>
        <w:t>日期</w:t>
      </w:r>
      <w:r>
        <w:rPr>
          <w:rFonts w:hint="eastAsia" w:ascii="宋体" w:cs="宋体"/>
          <w:color w:val="auto"/>
          <w:kern w:val="0"/>
          <w:sz w:val="24"/>
          <w:highlight w:val="none"/>
        </w:rPr>
        <w:t>：</w:t>
      </w:r>
      <w:r>
        <w:rPr>
          <w:rFonts w:hint="eastAsia" w:ascii="宋体" w:cs="宋体"/>
          <w:color w:val="auto"/>
          <w:kern w:val="0"/>
          <w:sz w:val="24"/>
          <w:highlight w:val="none"/>
          <w:lang w:val="en-US" w:eastAsia="zh-CN"/>
        </w:rPr>
        <w:t xml:space="preserve">    </w:t>
      </w:r>
      <w:r>
        <w:rPr>
          <w:rFonts w:hint="eastAsia" w:ascii="宋体" w:cs="宋体"/>
          <w:color w:val="auto"/>
          <w:kern w:val="0"/>
          <w:sz w:val="24"/>
          <w:highlight w:val="none"/>
        </w:rPr>
        <w:t>年</w:t>
      </w:r>
      <w:r>
        <w:rPr>
          <w:rFonts w:hint="eastAsia" w:ascii="宋体" w:cs="宋体"/>
          <w:color w:val="auto"/>
          <w:kern w:val="0"/>
          <w:sz w:val="24"/>
          <w:highlight w:val="none"/>
          <w:lang w:val="en-US" w:eastAsia="zh-CN"/>
        </w:rPr>
        <w:t xml:space="preserve">    </w:t>
      </w:r>
      <w:r>
        <w:rPr>
          <w:rFonts w:hint="eastAsia" w:ascii="宋体" w:cs="宋体"/>
          <w:color w:val="auto"/>
          <w:kern w:val="0"/>
          <w:sz w:val="24"/>
          <w:highlight w:val="none"/>
          <w:lang w:val="zh-CN"/>
        </w:rPr>
        <w:t>月</w:t>
      </w:r>
      <w:r>
        <w:rPr>
          <w:rFonts w:hint="eastAsia" w:ascii="宋体" w:cs="宋体"/>
          <w:color w:val="auto"/>
          <w:kern w:val="0"/>
          <w:sz w:val="24"/>
          <w:highlight w:val="none"/>
          <w:lang w:val="en-US" w:eastAsia="zh-CN"/>
        </w:rPr>
        <w:t xml:space="preserve">    </w:t>
      </w:r>
      <w:r>
        <w:rPr>
          <w:rFonts w:hint="eastAsia" w:ascii="宋体" w:cs="宋体"/>
          <w:color w:val="auto"/>
          <w:kern w:val="0"/>
          <w:sz w:val="24"/>
          <w:highlight w:val="none"/>
          <w:lang w:val="zh-CN"/>
        </w:rPr>
        <w:t>日</w:t>
      </w:r>
    </w:p>
    <w:p w14:paraId="27DB3DD6">
      <w:pPr>
        <w:widowControl/>
        <w:spacing w:line="360" w:lineRule="auto"/>
        <w:jc w:val="left"/>
        <w:rPr>
          <w:rFonts w:ascii="宋体" w:cs="宋体"/>
          <w:color w:val="auto"/>
          <w:kern w:val="0"/>
          <w:sz w:val="24"/>
          <w:highlight w:val="none"/>
          <w:lang w:val="zh-CN"/>
        </w:rPr>
        <w:sectPr>
          <w:pgSz w:w="11906" w:h="16838"/>
          <w:pgMar w:top="1134" w:right="1134" w:bottom="1134" w:left="1134" w:header="720" w:footer="720" w:gutter="0"/>
          <w:cols w:space="720" w:num="1"/>
          <w:docGrid w:type="lines" w:linePitch="331" w:charSpace="0"/>
        </w:sectPr>
      </w:pPr>
    </w:p>
    <w:p w14:paraId="5AC87FB4">
      <w:pPr>
        <w:pStyle w:val="16"/>
        <w:spacing w:line="500" w:lineRule="exact"/>
        <w:jc w:val="left"/>
        <w:rPr>
          <w:rFonts w:cs="宋体"/>
          <w:b/>
          <w:bCs/>
          <w:color w:val="auto"/>
          <w:sz w:val="28"/>
          <w:szCs w:val="28"/>
          <w:highlight w:val="none"/>
        </w:rPr>
      </w:pPr>
      <w:r>
        <w:rPr>
          <w:rFonts w:hint="eastAsia" w:cs="宋体"/>
          <w:b/>
          <w:color w:val="auto"/>
          <w:sz w:val="28"/>
          <w:szCs w:val="28"/>
          <w:highlight w:val="none"/>
          <w:lang w:val="en-US" w:eastAsia="zh-CN"/>
        </w:rPr>
        <w:t>8</w:t>
      </w:r>
      <w:r>
        <w:rPr>
          <w:rFonts w:hint="eastAsia" w:cs="宋体"/>
          <w:b/>
          <w:color w:val="auto"/>
          <w:sz w:val="28"/>
          <w:szCs w:val="28"/>
          <w:highlight w:val="none"/>
        </w:rPr>
        <w:t>.技术需求偏离表的格式：</w:t>
      </w:r>
    </w:p>
    <w:p w14:paraId="21B0C52E">
      <w:pPr>
        <w:pStyle w:val="16"/>
        <w:spacing w:line="500" w:lineRule="exact"/>
        <w:jc w:val="center"/>
        <w:rPr>
          <w:rFonts w:hint="eastAsia" w:cs="宋体"/>
          <w:b/>
          <w:bCs/>
          <w:color w:val="auto"/>
          <w:sz w:val="30"/>
          <w:szCs w:val="30"/>
          <w:highlight w:val="none"/>
        </w:rPr>
      </w:pPr>
    </w:p>
    <w:p w14:paraId="617DC6B7">
      <w:pPr>
        <w:pStyle w:val="16"/>
        <w:spacing w:line="500" w:lineRule="exact"/>
        <w:jc w:val="center"/>
        <w:rPr>
          <w:rFonts w:cs="宋体"/>
          <w:b/>
          <w:bCs/>
          <w:color w:val="auto"/>
          <w:sz w:val="28"/>
          <w:szCs w:val="28"/>
          <w:highlight w:val="none"/>
        </w:rPr>
      </w:pPr>
      <w:r>
        <w:rPr>
          <w:rFonts w:hint="eastAsia" w:cs="宋体"/>
          <w:b/>
          <w:bCs/>
          <w:color w:val="auto"/>
          <w:sz w:val="28"/>
          <w:szCs w:val="28"/>
          <w:highlight w:val="none"/>
        </w:rPr>
        <w:t>技术需求偏离表</w:t>
      </w:r>
    </w:p>
    <w:p w14:paraId="6F076363">
      <w:pPr>
        <w:pStyle w:val="16"/>
        <w:spacing w:line="440" w:lineRule="exact"/>
        <w:ind w:firstLine="420" w:firstLineChars="200"/>
        <w:rPr>
          <w:rFonts w:cs="宋体"/>
          <w:color w:val="auto"/>
          <w:highlight w:val="none"/>
        </w:rPr>
      </w:pPr>
    </w:p>
    <w:p w14:paraId="3FA92476">
      <w:pPr>
        <w:spacing w:line="480" w:lineRule="auto"/>
        <w:contextualSpacing/>
        <w:rPr>
          <w:rFonts w:ascii="宋体" w:cs="宋体"/>
          <w:color w:val="auto"/>
          <w:sz w:val="24"/>
          <w:highlight w:val="none"/>
          <w:u w:val="single"/>
        </w:rPr>
      </w:pPr>
      <w:r>
        <w:rPr>
          <w:rFonts w:hint="eastAsia" w:ascii="宋体" w:cs="宋体"/>
          <w:color w:val="auto"/>
          <w:sz w:val="24"/>
          <w:highlight w:val="none"/>
        </w:rPr>
        <w:t>项目</w:t>
      </w:r>
      <w:r>
        <w:rPr>
          <w:rFonts w:hint="eastAsia" w:cs="宋体"/>
          <w:color w:val="auto"/>
          <w:sz w:val="24"/>
          <w:highlight w:val="none"/>
        </w:rPr>
        <w:t>名称</w:t>
      </w:r>
      <w:r>
        <w:rPr>
          <w:rFonts w:hint="eastAsia" w:ascii="宋体" w:cs="宋体"/>
          <w:color w:val="auto"/>
          <w:sz w:val="24"/>
          <w:highlight w:val="none"/>
        </w:rPr>
        <w:t>：</w:t>
      </w:r>
      <w:r>
        <w:rPr>
          <w:rFonts w:hint="eastAsia" w:ascii="宋体" w:cs="宋体"/>
          <w:color w:val="auto"/>
          <w:sz w:val="24"/>
          <w:highlight w:val="none"/>
          <w:u w:val="single"/>
        </w:rPr>
        <w:t xml:space="preserve">                 </w:t>
      </w:r>
    </w:p>
    <w:p w14:paraId="6484884C">
      <w:pPr>
        <w:pStyle w:val="16"/>
        <w:spacing w:line="480" w:lineRule="auto"/>
        <w:rPr>
          <w:color w:val="auto"/>
          <w:highlight w:val="none"/>
        </w:rPr>
      </w:pPr>
      <w:r>
        <w:rPr>
          <w:rFonts w:hint="eastAsia" w:cs="宋体"/>
          <w:color w:val="auto"/>
          <w:sz w:val="24"/>
          <w:highlight w:val="none"/>
        </w:rPr>
        <w:t>项目编号：</w:t>
      </w:r>
      <w:r>
        <w:rPr>
          <w:rFonts w:hint="eastAsia" w:cs="宋体"/>
          <w:color w:val="auto"/>
          <w:sz w:val="24"/>
          <w:highlight w:val="none"/>
          <w:u w:val="single"/>
        </w:rPr>
        <w:t xml:space="preserve">                 </w:t>
      </w:r>
    </w:p>
    <w:p w14:paraId="41B3928D">
      <w:pPr>
        <w:pStyle w:val="16"/>
        <w:spacing w:line="480" w:lineRule="auto"/>
        <w:rPr>
          <w:color w:val="auto"/>
          <w:sz w:val="24"/>
          <w:szCs w:val="24"/>
          <w:highlight w:val="none"/>
        </w:rPr>
      </w:pPr>
      <w:r>
        <w:rPr>
          <w:rFonts w:hint="eastAsia" w:cs="宋体"/>
          <w:color w:val="auto"/>
          <w:sz w:val="24"/>
          <w:szCs w:val="24"/>
          <w:highlight w:val="none"/>
        </w:rPr>
        <w:t>所投分标（此处有分标时填写具体分标号，无分标时填写“无”）：</w:t>
      </w:r>
      <w:r>
        <w:rPr>
          <w:rFonts w:hint="eastAsia" w:cs="宋体"/>
          <w:color w:val="auto"/>
          <w:sz w:val="24"/>
          <w:szCs w:val="24"/>
          <w:highlight w:val="none"/>
          <w:u w:val="single"/>
        </w:rPr>
        <w:t xml:space="preserve">           </w:t>
      </w:r>
    </w:p>
    <w:tbl>
      <w:tblPr>
        <w:tblStyle w:val="29"/>
        <w:tblW w:w="101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395"/>
        <w:gridCol w:w="3280"/>
        <w:gridCol w:w="3612"/>
        <w:gridCol w:w="1130"/>
      </w:tblGrid>
      <w:tr w14:paraId="61C2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9"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18C4A165">
            <w:pPr>
              <w:widowControl/>
              <w:jc w:val="left"/>
              <w:rPr>
                <w:rFonts w:ascii="宋体" w:cs="宋体"/>
                <w:color w:val="auto"/>
                <w:sz w:val="24"/>
                <w:szCs w:val="24"/>
                <w:highlight w:val="none"/>
              </w:rPr>
            </w:pPr>
            <w:r>
              <w:rPr>
                <w:rFonts w:hint="eastAsia" w:ascii="宋体" w:cs="宋体"/>
                <w:color w:val="auto"/>
                <w:sz w:val="24"/>
                <w:szCs w:val="24"/>
                <w:highlight w:val="none"/>
              </w:rPr>
              <w:t>项号</w:t>
            </w:r>
          </w:p>
        </w:tc>
        <w:tc>
          <w:tcPr>
            <w:tcW w:w="1395" w:type="dxa"/>
            <w:tcBorders>
              <w:top w:val="single" w:color="auto" w:sz="4" w:space="0"/>
              <w:left w:val="single" w:color="auto" w:sz="4" w:space="0"/>
              <w:bottom w:val="single" w:color="auto" w:sz="4" w:space="0"/>
              <w:right w:val="single" w:color="auto" w:sz="4" w:space="0"/>
            </w:tcBorders>
            <w:vAlign w:val="center"/>
          </w:tcPr>
          <w:p w14:paraId="0BC923FC">
            <w:pPr>
              <w:jc w:val="center"/>
              <w:rPr>
                <w:rFonts w:ascii="宋体" w:cs="宋体"/>
                <w:color w:val="auto"/>
                <w:sz w:val="24"/>
                <w:szCs w:val="24"/>
                <w:highlight w:val="none"/>
              </w:rPr>
            </w:pPr>
            <w:r>
              <w:rPr>
                <w:rFonts w:hint="eastAsia" w:ascii="宋体" w:cs="宋体"/>
                <w:color w:val="auto"/>
                <w:sz w:val="24"/>
                <w:szCs w:val="24"/>
                <w:highlight w:val="none"/>
              </w:rPr>
              <w:t>标的名称</w:t>
            </w:r>
          </w:p>
        </w:tc>
        <w:tc>
          <w:tcPr>
            <w:tcW w:w="3280" w:type="dxa"/>
            <w:tcBorders>
              <w:top w:val="single" w:color="auto" w:sz="4" w:space="0"/>
              <w:left w:val="single" w:color="auto" w:sz="4" w:space="0"/>
              <w:bottom w:val="single" w:color="auto" w:sz="4" w:space="0"/>
              <w:right w:val="single" w:color="auto" w:sz="4" w:space="0"/>
            </w:tcBorders>
            <w:vAlign w:val="center"/>
          </w:tcPr>
          <w:p w14:paraId="0788E513">
            <w:pPr>
              <w:jc w:val="center"/>
              <w:rPr>
                <w:rFonts w:ascii="宋体" w:cs="宋体"/>
                <w:color w:val="auto"/>
                <w:sz w:val="24"/>
                <w:szCs w:val="24"/>
                <w:highlight w:val="none"/>
              </w:rPr>
            </w:pPr>
            <w:r>
              <w:rPr>
                <w:rFonts w:hint="eastAsia" w:ascii="宋体"/>
                <w:color w:val="auto"/>
                <w:sz w:val="24"/>
                <w:szCs w:val="24"/>
                <w:highlight w:val="none"/>
              </w:rPr>
              <w:t>招标文件采购需求中的</w:t>
            </w:r>
            <w:r>
              <w:rPr>
                <w:rFonts w:hint="eastAsia" w:ascii="宋体" w:cs="宋体"/>
                <w:color w:val="auto"/>
                <w:sz w:val="24"/>
                <w:szCs w:val="24"/>
                <w:highlight w:val="none"/>
              </w:rPr>
              <w:t>技术参数及配置</w:t>
            </w:r>
          </w:p>
        </w:tc>
        <w:tc>
          <w:tcPr>
            <w:tcW w:w="3612" w:type="dxa"/>
            <w:tcBorders>
              <w:top w:val="single" w:color="auto" w:sz="4" w:space="0"/>
              <w:left w:val="single" w:color="auto" w:sz="4" w:space="0"/>
              <w:bottom w:val="single" w:color="auto" w:sz="4" w:space="0"/>
              <w:right w:val="single" w:color="auto" w:sz="4" w:space="0"/>
            </w:tcBorders>
            <w:vAlign w:val="center"/>
          </w:tcPr>
          <w:p w14:paraId="5D6AB051">
            <w:pPr>
              <w:jc w:val="center"/>
              <w:rPr>
                <w:rFonts w:ascii="宋体" w:cs="宋体"/>
                <w:color w:val="auto"/>
                <w:sz w:val="24"/>
                <w:szCs w:val="24"/>
                <w:highlight w:val="none"/>
              </w:rPr>
            </w:pPr>
            <w:r>
              <w:rPr>
                <w:rFonts w:hint="eastAsia" w:ascii="宋体"/>
                <w:color w:val="auto"/>
                <w:sz w:val="24"/>
                <w:szCs w:val="24"/>
                <w:highlight w:val="none"/>
              </w:rPr>
              <w:t>投标文件响应的</w:t>
            </w:r>
            <w:r>
              <w:rPr>
                <w:rFonts w:hint="eastAsia" w:ascii="宋体" w:cs="宋体"/>
                <w:color w:val="auto"/>
                <w:sz w:val="24"/>
                <w:szCs w:val="24"/>
                <w:highlight w:val="none"/>
              </w:rPr>
              <w:t>技术参数及配置</w:t>
            </w:r>
          </w:p>
        </w:tc>
        <w:tc>
          <w:tcPr>
            <w:tcW w:w="1130" w:type="dxa"/>
            <w:tcBorders>
              <w:top w:val="single" w:color="auto" w:sz="4" w:space="0"/>
              <w:left w:val="single" w:color="auto" w:sz="4" w:space="0"/>
              <w:bottom w:val="single" w:color="auto" w:sz="4" w:space="0"/>
              <w:right w:val="single" w:color="auto" w:sz="4" w:space="0"/>
            </w:tcBorders>
            <w:vAlign w:val="center"/>
          </w:tcPr>
          <w:p w14:paraId="59598325">
            <w:pPr>
              <w:widowControl/>
              <w:jc w:val="center"/>
              <w:rPr>
                <w:rFonts w:hint="eastAsia" w:ascii="宋体"/>
                <w:color w:val="auto"/>
                <w:sz w:val="24"/>
                <w:szCs w:val="24"/>
                <w:highlight w:val="none"/>
              </w:rPr>
            </w:pPr>
            <w:r>
              <w:rPr>
                <w:rFonts w:hint="eastAsia" w:ascii="宋体"/>
                <w:color w:val="auto"/>
                <w:sz w:val="24"/>
                <w:szCs w:val="24"/>
                <w:highlight w:val="none"/>
              </w:rPr>
              <w:t>偏离</w:t>
            </w:r>
          </w:p>
          <w:p w14:paraId="167D7CB9">
            <w:pPr>
              <w:widowControl/>
              <w:jc w:val="center"/>
              <w:rPr>
                <w:rFonts w:ascii="宋体" w:cs="宋体"/>
                <w:color w:val="auto"/>
                <w:sz w:val="24"/>
                <w:szCs w:val="24"/>
                <w:highlight w:val="none"/>
              </w:rPr>
            </w:pPr>
            <w:r>
              <w:rPr>
                <w:rFonts w:hint="eastAsia" w:ascii="宋体"/>
                <w:color w:val="auto"/>
                <w:sz w:val="24"/>
                <w:szCs w:val="24"/>
                <w:highlight w:val="none"/>
              </w:rPr>
              <w:t>说明</w:t>
            </w:r>
          </w:p>
        </w:tc>
      </w:tr>
      <w:tr w14:paraId="1A4A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141CFDA8">
            <w:pPr>
              <w:jc w:val="center"/>
              <w:rPr>
                <w:rFonts w:ascii="宋体" w:cs="宋体"/>
                <w:color w:val="auto"/>
                <w:sz w:val="24"/>
                <w:szCs w:val="24"/>
                <w:highlight w:val="none"/>
              </w:rPr>
            </w:pPr>
            <w:r>
              <w:rPr>
                <w:rFonts w:hint="eastAsia" w:ascii="宋体" w:cs="宋体"/>
                <w:color w:val="auto"/>
                <w:sz w:val="24"/>
                <w:szCs w:val="24"/>
                <w:highlight w:val="none"/>
              </w:rPr>
              <w:t>1</w:t>
            </w:r>
          </w:p>
        </w:tc>
        <w:tc>
          <w:tcPr>
            <w:tcW w:w="1395" w:type="dxa"/>
            <w:tcBorders>
              <w:top w:val="single" w:color="auto" w:sz="4" w:space="0"/>
              <w:left w:val="single" w:color="auto" w:sz="4" w:space="0"/>
              <w:bottom w:val="single" w:color="auto" w:sz="4" w:space="0"/>
              <w:right w:val="single" w:color="auto" w:sz="4" w:space="0"/>
            </w:tcBorders>
            <w:vAlign w:val="center"/>
          </w:tcPr>
          <w:p w14:paraId="1558E900">
            <w:pPr>
              <w:rPr>
                <w:rFonts w:ascii="宋体" w:cs="宋体"/>
                <w:color w:val="auto"/>
                <w:sz w:val="24"/>
                <w:szCs w:val="24"/>
                <w:highlight w:val="none"/>
              </w:rPr>
            </w:pPr>
          </w:p>
        </w:tc>
        <w:tc>
          <w:tcPr>
            <w:tcW w:w="3280" w:type="dxa"/>
            <w:tcBorders>
              <w:top w:val="single" w:color="auto" w:sz="4" w:space="0"/>
              <w:left w:val="single" w:color="auto" w:sz="4" w:space="0"/>
              <w:bottom w:val="single" w:color="auto" w:sz="4" w:space="0"/>
              <w:right w:val="single" w:color="auto" w:sz="4" w:space="0"/>
            </w:tcBorders>
            <w:vAlign w:val="center"/>
          </w:tcPr>
          <w:p w14:paraId="3B49670F">
            <w:pPr>
              <w:rPr>
                <w:rFonts w:ascii="宋体" w:cs="宋体"/>
                <w:color w:val="auto"/>
                <w:sz w:val="24"/>
                <w:szCs w:val="24"/>
                <w:highlight w:val="none"/>
              </w:rPr>
            </w:pPr>
          </w:p>
        </w:tc>
        <w:tc>
          <w:tcPr>
            <w:tcW w:w="3612" w:type="dxa"/>
            <w:tcBorders>
              <w:top w:val="single" w:color="auto" w:sz="4" w:space="0"/>
              <w:left w:val="single" w:color="auto" w:sz="4" w:space="0"/>
              <w:bottom w:val="single" w:color="auto" w:sz="4" w:space="0"/>
              <w:right w:val="single" w:color="auto" w:sz="4" w:space="0"/>
            </w:tcBorders>
            <w:vAlign w:val="center"/>
          </w:tcPr>
          <w:p w14:paraId="009F5400">
            <w:pPr>
              <w:rPr>
                <w:rFonts w:ascii="宋体" w:cs="宋体"/>
                <w:color w:val="auto"/>
                <w:sz w:val="24"/>
                <w:szCs w:val="24"/>
                <w:highlight w:val="none"/>
              </w:rPr>
            </w:pPr>
          </w:p>
        </w:tc>
        <w:tc>
          <w:tcPr>
            <w:tcW w:w="1130" w:type="dxa"/>
            <w:tcBorders>
              <w:top w:val="single" w:color="auto" w:sz="4" w:space="0"/>
              <w:left w:val="single" w:color="auto" w:sz="4" w:space="0"/>
              <w:bottom w:val="single" w:color="auto" w:sz="4" w:space="0"/>
              <w:right w:val="single" w:color="auto" w:sz="4" w:space="0"/>
            </w:tcBorders>
            <w:vAlign w:val="center"/>
          </w:tcPr>
          <w:p w14:paraId="403AB511">
            <w:pPr>
              <w:rPr>
                <w:rFonts w:ascii="宋体" w:cs="宋体"/>
                <w:color w:val="auto"/>
                <w:sz w:val="24"/>
                <w:szCs w:val="24"/>
                <w:highlight w:val="none"/>
              </w:rPr>
            </w:pPr>
          </w:p>
        </w:tc>
      </w:tr>
      <w:tr w14:paraId="099B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72C7A0B9">
            <w:pPr>
              <w:jc w:val="center"/>
              <w:rPr>
                <w:rFonts w:ascii="宋体" w:cs="宋体"/>
                <w:color w:val="auto"/>
                <w:sz w:val="24"/>
                <w:szCs w:val="24"/>
                <w:highlight w:val="none"/>
              </w:rPr>
            </w:pPr>
            <w:r>
              <w:rPr>
                <w:rFonts w:hint="eastAsia" w:ascii="宋体" w:cs="宋体"/>
                <w:color w:val="auto"/>
                <w:sz w:val="24"/>
                <w:szCs w:val="24"/>
                <w:highlight w:val="none"/>
              </w:rPr>
              <w:t>2</w:t>
            </w:r>
          </w:p>
        </w:tc>
        <w:tc>
          <w:tcPr>
            <w:tcW w:w="1395" w:type="dxa"/>
            <w:tcBorders>
              <w:top w:val="single" w:color="auto" w:sz="4" w:space="0"/>
              <w:left w:val="single" w:color="auto" w:sz="4" w:space="0"/>
              <w:bottom w:val="single" w:color="auto" w:sz="4" w:space="0"/>
              <w:right w:val="single" w:color="auto" w:sz="4" w:space="0"/>
            </w:tcBorders>
            <w:vAlign w:val="center"/>
          </w:tcPr>
          <w:p w14:paraId="3606C397">
            <w:pPr>
              <w:rPr>
                <w:rFonts w:ascii="宋体" w:cs="宋体"/>
                <w:color w:val="auto"/>
                <w:sz w:val="24"/>
                <w:szCs w:val="24"/>
                <w:highlight w:val="none"/>
              </w:rPr>
            </w:pPr>
          </w:p>
        </w:tc>
        <w:tc>
          <w:tcPr>
            <w:tcW w:w="3280" w:type="dxa"/>
            <w:tcBorders>
              <w:top w:val="single" w:color="auto" w:sz="4" w:space="0"/>
              <w:left w:val="single" w:color="auto" w:sz="4" w:space="0"/>
              <w:bottom w:val="single" w:color="auto" w:sz="4" w:space="0"/>
              <w:right w:val="single" w:color="auto" w:sz="4" w:space="0"/>
            </w:tcBorders>
            <w:vAlign w:val="center"/>
          </w:tcPr>
          <w:p w14:paraId="216D61BB">
            <w:pPr>
              <w:rPr>
                <w:rFonts w:ascii="宋体" w:cs="宋体"/>
                <w:color w:val="auto"/>
                <w:sz w:val="24"/>
                <w:szCs w:val="24"/>
                <w:highlight w:val="none"/>
              </w:rPr>
            </w:pPr>
          </w:p>
        </w:tc>
        <w:tc>
          <w:tcPr>
            <w:tcW w:w="3612" w:type="dxa"/>
            <w:tcBorders>
              <w:top w:val="single" w:color="auto" w:sz="4" w:space="0"/>
              <w:left w:val="single" w:color="auto" w:sz="4" w:space="0"/>
              <w:bottom w:val="single" w:color="auto" w:sz="4" w:space="0"/>
              <w:right w:val="single" w:color="auto" w:sz="4" w:space="0"/>
            </w:tcBorders>
            <w:vAlign w:val="center"/>
          </w:tcPr>
          <w:p w14:paraId="7EFF32E7">
            <w:pPr>
              <w:rPr>
                <w:rFonts w:ascii="宋体" w:cs="宋体"/>
                <w:color w:val="auto"/>
                <w:sz w:val="24"/>
                <w:szCs w:val="24"/>
                <w:highlight w:val="none"/>
              </w:rPr>
            </w:pPr>
          </w:p>
        </w:tc>
        <w:tc>
          <w:tcPr>
            <w:tcW w:w="1130" w:type="dxa"/>
            <w:tcBorders>
              <w:top w:val="single" w:color="auto" w:sz="4" w:space="0"/>
              <w:left w:val="single" w:color="auto" w:sz="4" w:space="0"/>
              <w:bottom w:val="single" w:color="auto" w:sz="4" w:space="0"/>
              <w:right w:val="single" w:color="auto" w:sz="4" w:space="0"/>
            </w:tcBorders>
            <w:vAlign w:val="center"/>
          </w:tcPr>
          <w:p w14:paraId="3C00859A">
            <w:pPr>
              <w:rPr>
                <w:rFonts w:ascii="宋体" w:cs="宋体"/>
                <w:color w:val="auto"/>
                <w:sz w:val="24"/>
                <w:szCs w:val="24"/>
                <w:highlight w:val="none"/>
              </w:rPr>
            </w:pPr>
          </w:p>
        </w:tc>
      </w:tr>
      <w:tr w14:paraId="04DB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584DB211">
            <w:pPr>
              <w:rPr>
                <w:rFonts w:ascii="宋体" w:cs="宋体"/>
                <w:color w:val="auto"/>
                <w:sz w:val="24"/>
                <w:szCs w:val="24"/>
                <w:highlight w:val="none"/>
              </w:rPr>
            </w:pPr>
            <w:r>
              <w:rPr>
                <w:rFonts w:hint="eastAsia" w:ascii="宋体" w:cs="宋体"/>
                <w:color w:val="auto"/>
                <w:sz w:val="24"/>
                <w:szCs w:val="24"/>
                <w:highlight w:val="none"/>
              </w:rPr>
              <w:t>...</w:t>
            </w:r>
          </w:p>
        </w:tc>
        <w:tc>
          <w:tcPr>
            <w:tcW w:w="1395" w:type="dxa"/>
            <w:tcBorders>
              <w:top w:val="single" w:color="auto" w:sz="4" w:space="0"/>
              <w:left w:val="single" w:color="auto" w:sz="4" w:space="0"/>
              <w:bottom w:val="single" w:color="auto" w:sz="4" w:space="0"/>
              <w:right w:val="single" w:color="auto" w:sz="4" w:space="0"/>
            </w:tcBorders>
            <w:vAlign w:val="center"/>
          </w:tcPr>
          <w:p w14:paraId="5AF7C3D0">
            <w:pPr>
              <w:rPr>
                <w:rFonts w:ascii="宋体" w:cs="宋体"/>
                <w:color w:val="auto"/>
                <w:sz w:val="24"/>
                <w:szCs w:val="24"/>
                <w:highlight w:val="none"/>
              </w:rPr>
            </w:pPr>
          </w:p>
        </w:tc>
        <w:tc>
          <w:tcPr>
            <w:tcW w:w="3280" w:type="dxa"/>
            <w:tcBorders>
              <w:top w:val="single" w:color="auto" w:sz="4" w:space="0"/>
              <w:left w:val="single" w:color="auto" w:sz="4" w:space="0"/>
              <w:bottom w:val="single" w:color="auto" w:sz="4" w:space="0"/>
              <w:right w:val="single" w:color="auto" w:sz="4" w:space="0"/>
            </w:tcBorders>
            <w:vAlign w:val="center"/>
          </w:tcPr>
          <w:p w14:paraId="1C1B60B1">
            <w:pPr>
              <w:rPr>
                <w:rFonts w:ascii="宋体" w:cs="宋体"/>
                <w:color w:val="auto"/>
                <w:sz w:val="24"/>
                <w:szCs w:val="24"/>
                <w:highlight w:val="none"/>
              </w:rPr>
            </w:pPr>
          </w:p>
        </w:tc>
        <w:tc>
          <w:tcPr>
            <w:tcW w:w="3612" w:type="dxa"/>
            <w:tcBorders>
              <w:top w:val="single" w:color="auto" w:sz="4" w:space="0"/>
              <w:left w:val="single" w:color="auto" w:sz="4" w:space="0"/>
              <w:bottom w:val="single" w:color="auto" w:sz="4" w:space="0"/>
              <w:right w:val="single" w:color="auto" w:sz="4" w:space="0"/>
            </w:tcBorders>
            <w:vAlign w:val="center"/>
          </w:tcPr>
          <w:p w14:paraId="13FB5FA1">
            <w:pPr>
              <w:rPr>
                <w:rFonts w:ascii="宋体" w:cs="宋体"/>
                <w:color w:val="auto"/>
                <w:sz w:val="24"/>
                <w:szCs w:val="24"/>
                <w:highlight w:val="none"/>
              </w:rPr>
            </w:pPr>
          </w:p>
        </w:tc>
        <w:tc>
          <w:tcPr>
            <w:tcW w:w="1130" w:type="dxa"/>
            <w:tcBorders>
              <w:top w:val="single" w:color="auto" w:sz="4" w:space="0"/>
              <w:left w:val="single" w:color="auto" w:sz="4" w:space="0"/>
              <w:bottom w:val="single" w:color="auto" w:sz="4" w:space="0"/>
              <w:right w:val="single" w:color="auto" w:sz="4" w:space="0"/>
            </w:tcBorders>
            <w:vAlign w:val="center"/>
          </w:tcPr>
          <w:p w14:paraId="6DD480CD">
            <w:pPr>
              <w:rPr>
                <w:rFonts w:ascii="宋体" w:cs="宋体"/>
                <w:color w:val="auto"/>
                <w:sz w:val="24"/>
                <w:szCs w:val="24"/>
                <w:highlight w:val="none"/>
              </w:rPr>
            </w:pPr>
          </w:p>
        </w:tc>
      </w:tr>
      <w:tr w14:paraId="20A4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10191" w:type="dxa"/>
            <w:gridSpan w:val="5"/>
            <w:tcBorders>
              <w:top w:val="single" w:color="auto" w:sz="4" w:space="0"/>
              <w:left w:val="single" w:color="auto" w:sz="4" w:space="0"/>
              <w:bottom w:val="single" w:color="auto" w:sz="4" w:space="0"/>
              <w:right w:val="single" w:color="auto" w:sz="4" w:space="0"/>
            </w:tcBorders>
            <w:vAlign w:val="center"/>
          </w:tcPr>
          <w:p w14:paraId="6D8C28F1">
            <w:pPr>
              <w:rPr>
                <w:rFonts w:ascii="宋体" w:cs="宋体"/>
                <w:color w:val="auto"/>
                <w:sz w:val="24"/>
                <w:szCs w:val="24"/>
                <w:highlight w:val="none"/>
              </w:rPr>
            </w:pPr>
            <w:r>
              <w:rPr>
                <w:rFonts w:hint="eastAsia" w:ascii="宋体" w:cs="宋体"/>
                <w:color w:val="auto"/>
                <w:sz w:val="24"/>
                <w:szCs w:val="24"/>
                <w:highlight w:val="none"/>
              </w:rPr>
              <w:t>投标货物中，属于优先采购节能产品为本项目招标文件“第二章 采购需求”中“需求一览表”的第   项产品：</w:t>
            </w:r>
            <w:r>
              <w:rPr>
                <w:rFonts w:hint="eastAsia" w:ascii="宋体" w:cs="宋体"/>
                <w:color w:val="auto"/>
                <w:sz w:val="24"/>
                <w:szCs w:val="24"/>
                <w:highlight w:val="none"/>
                <w:u w:val="single"/>
              </w:rPr>
              <w:t xml:space="preserve">        </w:t>
            </w:r>
            <w:r>
              <w:rPr>
                <w:rFonts w:hint="eastAsia" w:ascii="宋体" w:cs="宋体"/>
                <w:color w:val="auto"/>
                <w:sz w:val="24"/>
                <w:szCs w:val="24"/>
                <w:highlight w:val="none"/>
              </w:rPr>
              <w:t>，合计</w:t>
            </w:r>
            <w:r>
              <w:rPr>
                <w:rFonts w:hint="eastAsia" w:ascii="宋体" w:cs="宋体"/>
                <w:color w:val="auto"/>
                <w:sz w:val="24"/>
                <w:szCs w:val="24"/>
                <w:highlight w:val="none"/>
                <w:u w:val="single"/>
              </w:rPr>
              <w:t xml:space="preserve">     </w:t>
            </w:r>
            <w:r>
              <w:rPr>
                <w:rFonts w:hint="eastAsia" w:ascii="宋体" w:cs="宋体"/>
                <w:color w:val="auto"/>
                <w:sz w:val="24"/>
                <w:szCs w:val="24"/>
                <w:highlight w:val="none"/>
              </w:rPr>
              <w:t>项；属于优先采购环境标志产品为本项目招标文件“第二章 采购需求”中“需求一览表”的第   项产品：</w:t>
            </w:r>
            <w:r>
              <w:rPr>
                <w:rFonts w:hint="eastAsia" w:ascii="宋体" w:cs="宋体"/>
                <w:color w:val="auto"/>
                <w:sz w:val="24"/>
                <w:szCs w:val="24"/>
                <w:highlight w:val="none"/>
                <w:u w:val="single"/>
              </w:rPr>
              <w:t xml:space="preserve">        </w:t>
            </w:r>
            <w:r>
              <w:rPr>
                <w:rFonts w:hint="eastAsia" w:ascii="宋体" w:cs="宋体"/>
                <w:color w:val="auto"/>
                <w:sz w:val="24"/>
                <w:szCs w:val="24"/>
                <w:highlight w:val="none"/>
              </w:rPr>
              <w:t>，合计</w:t>
            </w:r>
            <w:r>
              <w:rPr>
                <w:rFonts w:hint="eastAsia" w:ascii="宋体" w:cs="宋体"/>
                <w:color w:val="auto"/>
                <w:sz w:val="24"/>
                <w:szCs w:val="24"/>
                <w:highlight w:val="none"/>
                <w:u w:val="single"/>
              </w:rPr>
              <w:t xml:space="preserve">     </w:t>
            </w:r>
            <w:r>
              <w:rPr>
                <w:rFonts w:hint="eastAsia" w:ascii="宋体" w:cs="宋体"/>
                <w:color w:val="auto"/>
                <w:sz w:val="24"/>
                <w:szCs w:val="24"/>
                <w:highlight w:val="none"/>
              </w:rPr>
              <w:t xml:space="preserve">项。 </w:t>
            </w:r>
            <w:r>
              <w:rPr>
                <w:rFonts w:hint="eastAsia" w:ascii="宋体" w:cs="宋体"/>
                <w:b/>
                <w:bCs/>
                <w:color w:val="auto"/>
                <w:sz w:val="24"/>
                <w:szCs w:val="24"/>
                <w:highlight w:val="none"/>
              </w:rPr>
              <w:t>（注：如有，请逐项列出，如无填写“无”或者留空。）</w:t>
            </w:r>
          </w:p>
        </w:tc>
      </w:tr>
    </w:tbl>
    <w:p w14:paraId="099BDA71">
      <w:pPr>
        <w:pStyle w:val="16"/>
        <w:spacing w:line="360" w:lineRule="auto"/>
        <w:rPr>
          <w:rFonts w:cs="宋体"/>
          <w:color w:val="auto"/>
          <w:szCs w:val="21"/>
          <w:highlight w:val="none"/>
        </w:rPr>
      </w:pPr>
    </w:p>
    <w:p w14:paraId="66D3993A">
      <w:pPr>
        <w:pStyle w:val="16"/>
        <w:spacing w:line="360" w:lineRule="auto"/>
        <w:rPr>
          <w:rFonts w:cs="宋体"/>
          <w:color w:val="auto"/>
          <w:sz w:val="24"/>
          <w:szCs w:val="24"/>
          <w:highlight w:val="none"/>
        </w:rPr>
      </w:pPr>
      <w:r>
        <w:rPr>
          <w:rFonts w:hint="eastAsia" w:cs="宋体"/>
          <w:color w:val="auto"/>
          <w:sz w:val="24"/>
          <w:szCs w:val="24"/>
          <w:highlight w:val="none"/>
        </w:rPr>
        <w:t>注：</w:t>
      </w:r>
    </w:p>
    <w:p w14:paraId="62348DF9">
      <w:pPr>
        <w:pStyle w:val="16"/>
        <w:spacing w:line="360" w:lineRule="auto"/>
        <w:ind w:firstLine="480" w:firstLineChars="200"/>
        <w:rPr>
          <w:rFonts w:cs="宋体"/>
          <w:color w:val="auto"/>
          <w:sz w:val="24"/>
          <w:szCs w:val="24"/>
          <w:highlight w:val="none"/>
        </w:rPr>
      </w:pPr>
      <w:r>
        <w:rPr>
          <w:rFonts w:hint="eastAsia" w:cs="宋体"/>
          <w:color w:val="auto"/>
          <w:sz w:val="24"/>
          <w:szCs w:val="24"/>
          <w:highlight w:val="none"/>
        </w:rPr>
        <w:t>1.表格内容均需按要求填写并加盖投标人公章。</w:t>
      </w:r>
    </w:p>
    <w:p w14:paraId="0AC4296D">
      <w:pPr>
        <w:pStyle w:val="16"/>
        <w:spacing w:line="360" w:lineRule="auto"/>
        <w:ind w:firstLine="480" w:firstLineChars="200"/>
        <w:rPr>
          <w:rFonts w:cs="宋体"/>
          <w:color w:val="auto"/>
          <w:sz w:val="24"/>
          <w:szCs w:val="24"/>
          <w:highlight w:val="none"/>
        </w:rPr>
      </w:pPr>
      <w:r>
        <w:rPr>
          <w:rFonts w:hint="eastAsia" w:cs="宋体"/>
          <w:color w:val="auto"/>
          <w:sz w:val="24"/>
          <w:szCs w:val="24"/>
          <w:highlight w:val="none"/>
        </w:rPr>
        <w:t>▲2.必须对本项目招标文件“第二章  采购需求”中“技术参数及配置”条款的全部要求，详细填写响应的具体内容，并作出偏离说明。“偏离说明”一栏应当选择“正偏离”或“负偏离”或“无偏离”进行填写。</w:t>
      </w:r>
    </w:p>
    <w:p w14:paraId="22B96F4F">
      <w:pPr>
        <w:pStyle w:val="16"/>
        <w:spacing w:line="360" w:lineRule="auto"/>
        <w:ind w:firstLine="480" w:firstLineChars="200"/>
        <w:rPr>
          <w:rFonts w:cs="宋体"/>
          <w:color w:val="auto"/>
          <w:sz w:val="24"/>
          <w:szCs w:val="24"/>
          <w:highlight w:val="none"/>
        </w:rPr>
      </w:pPr>
      <w:r>
        <w:rPr>
          <w:rFonts w:hint="eastAsia" w:cs="宋体"/>
          <w:bCs/>
          <w:color w:val="auto"/>
          <w:sz w:val="24"/>
          <w:szCs w:val="24"/>
          <w:highlight w:val="none"/>
        </w:rPr>
        <w:t>3.当投标文件的</w:t>
      </w:r>
      <w:r>
        <w:rPr>
          <w:rFonts w:hint="eastAsia" w:cs="宋体"/>
          <w:color w:val="auto"/>
          <w:sz w:val="24"/>
          <w:szCs w:val="24"/>
          <w:highlight w:val="none"/>
        </w:rPr>
        <w:t>技术参数及配置</w:t>
      </w:r>
      <w:r>
        <w:rPr>
          <w:rFonts w:hint="eastAsia" w:cs="宋体"/>
          <w:bCs/>
          <w:color w:val="auto"/>
          <w:sz w:val="24"/>
          <w:szCs w:val="24"/>
          <w:highlight w:val="none"/>
        </w:rPr>
        <w:t>内容低于招标文件要求时，投标人应当如实写明“负偏离”。</w:t>
      </w:r>
    </w:p>
    <w:p w14:paraId="30E4B51A">
      <w:pPr>
        <w:snapToGrid w:val="0"/>
        <w:spacing w:line="360" w:lineRule="auto"/>
        <w:ind w:firstLine="5640" w:firstLineChars="2350"/>
        <w:rPr>
          <w:rFonts w:ascii="宋体" w:cs="宋体"/>
          <w:color w:val="auto"/>
          <w:kern w:val="0"/>
          <w:sz w:val="24"/>
          <w:highlight w:val="none"/>
          <w:lang w:val="zh-CN"/>
        </w:rPr>
      </w:pPr>
    </w:p>
    <w:p w14:paraId="6A2AEFD3">
      <w:pPr>
        <w:pStyle w:val="20"/>
        <w:rPr>
          <w:color w:val="auto"/>
          <w:highlight w:val="none"/>
          <w:lang w:val="zh-CN"/>
        </w:rPr>
      </w:pPr>
    </w:p>
    <w:p w14:paraId="083A18AF">
      <w:pPr>
        <w:snapToGrid w:val="0"/>
        <w:spacing w:line="360" w:lineRule="auto"/>
        <w:ind w:firstLine="5880" w:firstLineChars="2450"/>
        <w:rPr>
          <w:rFonts w:ascii="宋体" w:cs="宋体"/>
          <w:color w:val="auto"/>
          <w:kern w:val="0"/>
          <w:sz w:val="24"/>
          <w:highlight w:val="none"/>
        </w:rPr>
      </w:pPr>
      <w:r>
        <w:rPr>
          <w:rFonts w:hint="eastAsia" w:ascii="宋体" w:cs="宋体"/>
          <w:color w:val="auto"/>
          <w:kern w:val="0"/>
          <w:sz w:val="24"/>
          <w:highlight w:val="none"/>
          <w:lang w:val="zh-CN"/>
        </w:rPr>
        <w:t>投标人名称（盖公章）：</w:t>
      </w:r>
    </w:p>
    <w:p w14:paraId="5198D1C5">
      <w:pPr>
        <w:snapToGrid w:val="0"/>
        <w:spacing w:line="360" w:lineRule="auto"/>
        <w:ind w:firstLine="5880" w:firstLineChars="2450"/>
        <w:rPr>
          <w:rFonts w:ascii="宋体" w:cs="宋体"/>
          <w:color w:val="auto"/>
          <w:kern w:val="0"/>
          <w:sz w:val="24"/>
          <w:highlight w:val="none"/>
          <w:lang w:val="zh-CN"/>
        </w:rPr>
      </w:pPr>
      <w:r>
        <w:rPr>
          <w:rFonts w:hint="eastAsia" w:ascii="宋体" w:cs="宋体"/>
          <w:color w:val="auto"/>
          <w:kern w:val="0"/>
          <w:sz w:val="24"/>
          <w:highlight w:val="none"/>
          <w:lang w:val="zh-CN"/>
        </w:rPr>
        <w:t>日期</w:t>
      </w:r>
      <w:r>
        <w:rPr>
          <w:rFonts w:hint="eastAsia" w:ascii="宋体" w:cs="宋体"/>
          <w:color w:val="auto"/>
          <w:kern w:val="0"/>
          <w:sz w:val="24"/>
          <w:highlight w:val="none"/>
        </w:rPr>
        <w:t>：</w:t>
      </w:r>
      <w:r>
        <w:rPr>
          <w:rFonts w:hint="eastAsia" w:ascii="宋体" w:cs="宋体"/>
          <w:color w:val="auto"/>
          <w:kern w:val="0"/>
          <w:sz w:val="24"/>
          <w:highlight w:val="none"/>
          <w:lang w:val="en-US" w:eastAsia="zh-CN"/>
        </w:rPr>
        <w:t xml:space="preserve">    </w:t>
      </w:r>
      <w:r>
        <w:rPr>
          <w:rFonts w:hint="eastAsia" w:ascii="宋体" w:cs="宋体"/>
          <w:color w:val="auto"/>
          <w:kern w:val="0"/>
          <w:sz w:val="24"/>
          <w:highlight w:val="none"/>
        </w:rPr>
        <w:t>年</w:t>
      </w:r>
      <w:r>
        <w:rPr>
          <w:rFonts w:hint="eastAsia" w:ascii="宋体" w:cs="宋体"/>
          <w:color w:val="auto"/>
          <w:kern w:val="0"/>
          <w:sz w:val="24"/>
          <w:highlight w:val="none"/>
          <w:lang w:val="en-US" w:eastAsia="zh-CN"/>
        </w:rPr>
        <w:t xml:space="preserve">    </w:t>
      </w:r>
      <w:r>
        <w:rPr>
          <w:rFonts w:hint="eastAsia" w:ascii="宋体" w:cs="宋体"/>
          <w:color w:val="auto"/>
          <w:kern w:val="0"/>
          <w:sz w:val="24"/>
          <w:highlight w:val="none"/>
          <w:lang w:val="zh-CN"/>
        </w:rPr>
        <w:t>月</w:t>
      </w:r>
      <w:r>
        <w:rPr>
          <w:rFonts w:hint="eastAsia" w:ascii="宋体" w:cs="宋体"/>
          <w:color w:val="auto"/>
          <w:kern w:val="0"/>
          <w:sz w:val="24"/>
          <w:highlight w:val="none"/>
          <w:lang w:val="en-US" w:eastAsia="zh-CN"/>
        </w:rPr>
        <w:t xml:space="preserve">    </w:t>
      </w:r>
      <w:r>
        <w:rPr>
          <w:rFonts w:hint="eastAsia" w:ascii="宋体" w:cs="宋体"/>
          <w:color w:val="auto"/>
          <w:kern w:val="0"/>
          <w:sz w:val="24"/>
          <w:highlight w:val="none"/>
          <w:lang w:val="zh-CN"/>
        </w:rPr>
        <w:t>日</w:t>
      </w:r>
    </w:p>
    <w:p w14:paraId="1AAF9D82">
      <w:pPr>
        <w:widowControl/>
        <w:jc w:val="left"/>
        <w:rPr>
          <w:rFonts w:ascii="宋体" w:cs="宋体"/>
          <w:color w:val="auto"/>
          <w:sz w:val="30"/>
          <w:szCs w:val="20"/>
          <w:highlight w:val="none"/>
        </w:rPr>
        <w:sectPr>
          <w:pgSz w:w="11906" w:h="16838"/>
          <w:pgMar w:top="1134" w:right="1134" w:bottom="1134" w:left="1134" w:header="720" w:footer="720" w:gutter="0"/>
          <w:cols w:space="720" w:num="1"/>
          <w:docGrid w:type="lines" w:linePitch="331" w:charSpace="0"/>
        </w:sectPr>
      </w:pPr>
    </w:p>
    <w:p w14:paraId="5391043D">
      <w:pPr>
        <w:pStyle w:val="23"/>
        <w:snapToGrid w:val="0"/>
        <w:rPr>
          <w:rFonts w:ascii="宋体" w:cs="宋体"/>
          <w:i/>
          <w:iCs/>
          <w:color w:val="auto"/>
          <w:sz w:val="28"/>
          <w:szCs w:val="28"/>
          <w:highlight w:val="none"/>
        </w:rPr>
      </w:pPr>
      <w:r>
        <w:rPr>
          <w:rFonts w:hint="eastAsia" w:ascii="宋体" w:cs="宋体"/>
          <w:b/>
          <w:color w:val="auto"/>
          <w:sz w:val="28"/>
          <w:szCs w:val="28"/>
          <w:highlight w:val="none"/>
          <w:lang w:val="en-US" w:eastAsia="zh-CN"/>
        </w:rPr>
        <w:t>9</w:t>
      </w:r>
      <w:r>
        <w:rPr>
          <w:rFonts w:hint="eastAsia" w:ascii="宋体" w:cs="宋体"/>
          <w:b/>
          <w:color w:val="auto"/>
          <w:sz w:val="28"/>
          <w:szCs w:val="28"/>
          <w:highlight w:val="none"/>
        </w:rPr>
        <w:t>.项目实施人员一览表、售后服务人员情况表的格式</w:t>
      </w:r>
      <w:r>
        <w:rPr>
          <w:rFonts w:hint="eastAsia" w:ascii="宋体" w:cs="宋体"/>
          <w:b/>
          <w:bCs/>
          <w:color w:val="auto"/>
          <w:sz w:val="28"/>
          <w:szCs w:val="28"/>
          <w:highlight w:val="none"/>
        </w:rPr>
        <w:t>：</w:t>
      </w:r>
    </w:p>
    <w:p w14:paraId="142196FF">
      <w:pPr>
        <w:autoSpaceDE w:val="0"/>
        <w:autoSpaceDN w:val="0"/>
        <w:spacing w:line="360" w:lineRule="auto"/>
        <w:jc w:val="left"/>
        <w:rPr>
          <w:rFonts w:ascii="宋体" w:cs="宋体"/>
          <w:color w:val="auto"/>
          <w:szCs w:val="21"/>
          <w:highlight w:val="none"/>
        </w:rPr>
      </w:pPr>
    </w:p>
    <w:p w14:paraId="54120556">
      <w:pPr>
        <w:snapToGrid w:val="0"/>
        <w:spacing w:line="360" w:lineRule="auto"/>
        <w:rPr>
          <w:rFonts w:ascii="宋体" w:cs="宋体"/>
          <w:b/>
          <w:color w:val="auto"/>
          <w:sz w:val="24"/>
          <w:highlight w:val="none"/>
        </w:rPr>
      </w:pPr>
    </w:p>
    <w:p w14:paraId="7937749A">
      <w:pPr>
        <w:pStyle w:val="20"/>
        <w:rPr>
          <w:color w:val="auto"/>
          <w:highlight w:val="none"/>
        </w:rPr>
      </w:pPr>
    </w:p>
    <w:p w14:paraId="7A296091">
      <w:pPr>
        <w:snapToGrid w:val="0"/>
        <w:spacing w:line="360" w:lineRule="auto"/>
        <w:ind w:firstLine="551" w:firstLineChars="196"/>
        <w:jc w:val="center"/>
        <w:rPr>
          <w:rFonts w:ascii="宋体" w:cs="宋体"/>
          <w:b/>
          <w:bCs/>
          <w:color w:val="auto"/>
          <w:kern w:val="0"/>
          <w:sz w:val="28"/>
          <w:szCs w:val="28"/>
          <w:highlight w:val="none"/>
          <w:lang w:val="zh-CN"/>
        </w:rPr>
      </w:pPr>
      <w:r>
        <w:rPr>
          <w:rFonts w:hint="eastAsia" w:ascii="宋体" w:cs="宋体"/>
          <w:b/>
          <w:bCs/>
          <w:color w:val="auto"/>
          <w:kern w:val="0"/>
          <w:sz w:val="28"/>
          <w:szCs w:val="28"/>
          <w:highlight w:val="none"/>
          <w:lang w:val="zh-CN"/>
        </w:rPr>
        <w:t>项目实施人员一览表（如有要求）</w:t>
      </w:r>
    </w:p>
    <w:p w14:paraId="6ABE9339">
      <w:pPr>
        <w:pStyle w:val="16"/>
        <w:rPr>
          <w:color w:val="auto"/>
          <w:sz w:val="24"/>
          <w:szCs w:val="24"/>
          <w:highlight w:val="none"/>
        </w:rPr>
      </w:pPr>
    </w:p>
    <w:p w14:paraId="1E7EC545">
      <w:pPr>
        <w:pStyle w:val="16"/>
        <w:rPr>
          <w:rFonts w:hint="eastAsia"/>
          <w:color w:val="auto"/>
          <w:sz w:val="24"/>
          <w:szCs w:val="24"/>
          <w:highlight w:val="none"/>
          <w:u w:val="single"/>
        </w:rPr>
      </w:pPr>
      <w:r>
        <w:rPr>
          <w:rFonts w:hint="eastAsia"/>
          <w:color w:val="auto"/>
          <w:sz w:val="24"/>
          <w:szCs w:val="24"/>
          <w:highlight w:val="none"/>
        </w:rPr>
        <w:t>所投分标（此处有分标时填写具体分标号，无分标时填写“无”）：</w:t>
      </w:r>
      <w:r>
        <w:rPr>
          <w:rFonts w:hint="eastAsia"/>
          <w:color w:val="auto"/>
          <w:sz w:val="24"/>
          <w:szCs w:val="24"/>
          <w:highlight w:val="none"/>
          <w:u w:val="single"/>
        </w:rPr>
        <w:t xml:space="preserve">        </w:t>
      </w:r>
    </w:p>
    <w:tbl>
      <w:tblPr>
        <w:tblStyle w:val="29"/>
        <w:tblW w:w="97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0"/>
        <w:gridCol w:w="1191"/>
        <w:gridCol w:w="763"/>
        <w:gridCol w:w="765"/>
        <w:gridCol w:w="1022"/>
        <w:gridCol w:w="1588"/>
        <w:gridCol w:w="2001"/>
        <w:gridCol w:w="2007"/>
      </w:tblGrid>
      <w:tr w14:paraId="19DD7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jc w:val="center"/>
        </w:trPr>
        <w:tc>
          <w:tcPr>
            <w:tcW w:w="420" w:type="dxa"/>
            <w:tcBorders>
              <w:top w:val="single" w:color="auto" w:sz="6" w:space="0"/>
              <w:left w:val="single" w:color="auto" w:sz="6" w:space="0"/>
              <w:bottom w:val="single" w:color="auto" w:sz="6" w:space="0"/>
              <w:right w:val="single" w:color="auto" w:sz="6" w:space="0"/>
            </w:tcBorders>
            <w:vAlign w:val="center"/>
          </w:tcPr>
          <w:p w14:paraId="2736D926">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191" w:type="dxa"/>
            <w:tcBorders>
              <w:top w:val="single" w:color="auto" w:sz="6" w:space="0"/>
              <w:left w:val="single" w:color="auto" w:sz="6" w:space="0"/>
              <w:bottom w:val="single" w:color="auto" w:sz="6" w:space="0"/>
              <w:right w:val="single" w:color="auto" w:sz="6" w:space="0"/>
            </w:tcBorders>
            <w:vAlign w:val="center"/>
          </w:tcPr>
          <w:p w14:paraId="072F9A81">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763" w:type="dxa"/>
            <w:tcBorders>
              <w:top w:val="single" w:color="auto" w:sz="6" w:space="0"/>
              <w:left w:val="single" w:color="auto" w:sz="6" w:space="0"/>
              <w:bottom w:val="single" w:color="auto" w:sz="6" w:space="0"/>
              <w:right w:val="single" w:color="auto" w:sz="6" w:space="0"/>
            </w:tcBorders>
            <w:vAlign w:val="center"/>
          </w:tcPr>
          <w:p w14:paraId="249E4020">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性别</w:t>
            </w:r>
          </w:p>
        </w:tc>
        <w:tc>
          <w:tcPr>
            <w:tcW w:w="765" w:type="dxa"/>
            <w:tcBorders>
              <w:top w:val="single" w:color="auto" w:sz="6" w:space="0"/>
              <w:left w:val="single" w:color="auto" w:sz="6" w:space="0"/>
              <w:bottom w:val="single" w:color="auto" w:sz="6" w:space="0"/>
              <w:right w:val="single" w:color="auto" w:sz="6" w:space="0"/>
            </w:tcBorders>
            <w:vAlign w:val="center"/>
          </w:tcPr>
          <w:p w14:paraId="1FCD176E">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年龄</w:t>
            </w:r>
          </w:p>
        </w:tc>
        <w:tc>
          <w:tcPr>
            <w:tcW w:w="1022" w:type="dxa"/>
            <w:tcBorders>
              <w:top w:val="single" w:color="auto" w:sz="6" w:space="0"/>
              <w:left w:val="single" w:color="auto" w:sz="6" w:space="0"/>
              <w:bottom w:val="single" w:color="auto" w:sz="6" w:space="0"/>
              <w:right w:val="single" w:color="auto" w:sz="6" w:space="0"/>
            </w:tcBorders>
            <w:vAlign w:val="center"/>
          </w:tcPr>
          <w:p w14:paraId="12A34E49">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学历</w:t>
            </w:r>
            <w:r>
              <w:rPr>
                <w:rFonts w:hint="eastAsia" w:ascii="宋体" w:hAnsi="宋体" w:eastAsia="宋体" w:cs="宋体"/>
                <w:color w:val="auto"/>
                <w:sz w:val="24"/>
                <w:szCs w:val="24"/>
                <w:highlight w:val="none"/>
                <w:lang w:eastAsia="zh-CN"/>
              </w:rPr>
              <w:t>及</w:t>
            </w:r>
            <w:r>
              <w:rPr>
                <w:rFonts w:hint="eastAsia" w:ascii="宋体" w:hAnsi="宋体" w:eastAsia="宋体" w:cs="宋体"/>
                <w:color w:val="auto"/>
                <w:sz w:val="24"/>
                <w:szCs w:val="24"/>
                <w:highlight w:val="none"/>
              </w:rPr>
              <w:t>专业</w:t>
            </w:r>
          </w:p>
          <w:p w14:paraId="2DDFEA86">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(页码)</w:t>
            </w:r>
          </w:p>
        </w:tc>
        <w:tc>
          <w:tcPr>
            <w:tcW w:w="1588" w:type="dxa"/>
            <w:tcBorders>
              <w:top w:val="single" w:color="auto" w:sz="6" w:space="0"/>
              <w:left w:val="single" w:color="auto" w:sz="6" w:space="0"/>
              <w:bottom w:val="single" w:color="auto" w:sz="6" w:space="0"/>
              <w:right w:val="single" w:color="auto" w:sz="6" w:space="0"/>
            </w:tcBorders>
            <w:vAlign w:val="center"/>
          </w:tcPr>
          <w:p w14:paraId="305A659E">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职称</w:t>
            </w:r>
            <w:r>
              <w:rPr>
                <w:rFonts w:hint="eastAsia" w:ascii="宋体" w:hAnsi="宋体" w:eastAsia="宋体" w:cs="宋体"/>
                <w:color w:val="auto"/>
                <w:sz w:val="24"/>
                <w:szCs w:val="24"/>
                <w:highlight w:val="none"/>
                <w:lang w:eastAsia="zh-CN"/>
              </w:rPr>
              <w:t>或职业资格证书</w:t>
            </w:r>
          </w:p>
          <w:p w14:paraId="6D8571DB">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(页码)</w:t>
            </w:r>
          </w:p>
        </w:tc>
        <w:tc>
          <w:tcPr>
            <w:tcW w:w="2001" w:type="dxa"/>
            <w:tcBorders>
              <w:top w:val="single" w:color="auto" w:sz="6" w:space="0"/>
              <w:left w:val="single" w:color="auto" w:sz="6" w:space="0"/>
              <w:bottom w:val="single" w:color="auto" w:sz="6" w:space="0"/>
              <w:right w:val="single" w:color="auto" w:sz="6" w:space="0"/>
            </w:tcBorders>
            <w:vAlign w:val="center"/>
          </w:tcPr>
          <w:p w14:paraId="62338891">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本项目中的职责</w:t>
            </w:r>
          </w:p>
        </w:tc>
        <w:tc>
          <w:tcPr>
            <w:tcW w:w="2007" w:type="dxa"/>
            <w:tcBorders>
              <w:top w:val="single" w:color="auto" w:sz="6" w:space="0"/>
              <w:left w:val="single" w:color="auto" w:sz="6" w:space="0"/>
              <w:bottom w:val="single" w:color="auto" w:sz="6" w:space="0"/>
              <w:right w:val="single" w:color="auto" w:sz="6" w:space="0"/>
            </w:tcBorders>
            <w:vAlign w:val="center"/>
          </w:tcPr>
          <w:p w14:paraId="24103102">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类似</w:t>
            </w:r>
            <w:r>
              <w:rPr>
                <w:rFonts w:hint="eastAsia" w:ascii="宋体" w:hAnsi="宋体" w:eastAsia="宋体" w:cs="宋体"/>
                <w:color w:val="auto"/>
                <w:sz w:val="24"/>
                <w:szCs w:val="24"/>
                <w:highlight w:val="none"/>
              </w:rPr>
              <w:t>项目经历</w:t>
            </w:r>
          </w:p>
        </w:tc>
      </w:tr>
      <w:tr w14:paraId="3C62E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420" w:type="dxa"/>
            <w:tcBorders>
              <w:top w:val="single" w:color="auto" w:sz="6" w:space="0"/>
              <w:left w:val="single" w:color="auto" w:sz="6" w:space="0"/>
              <w:bottom w:val="single" w:color="auto" w:sz="6" w:space="0"/>
              <w:right w:val="single" w:color="auto" w:sz="6" w:space="0"/>
            </w:tcBorders>
          </w:tcPr>
          <w:p w14:paraId="136B0CCB">
            <w:pPr>
              <w:autoSpaceDE w:val="0"/>
              <w:autoSpaceDN w:val="0"/>
              <w:spacing w:line="240" w:lineRule="auto"/>
              <w:jc w:val="center"/>
              <w:rPr>
                <w:rFonts w:hint="eastAsia" w:ascii="宋体" w:hAnsi="宋体" w:eastAsia="宋体" w:cs="宋体"/>
                <w:color w:val="auto"/>
                <w:sz w:val="24"/>
                <w:szCs w:val="24"/>
                <w:highlight w:val="none"/>
              </w:rPr>
            </w:pPr>
          </w:p>
        </w:tc>
        <w:tc>
          <w:tcPr>
            <w:tcW w:w="1191" w:type="dxa"/>
            <w:tcBorders>
              <w:top w:val="single" w:color="auto" w:sz="6" w:space="0"/>
              <w:left w:val="single" w:color="auto" w:sz="6" w:space="0"/>
              <w:bottom w:val="single" w:color="auto" w:sz="6" w:space="0"/>
              <w:right w:val="single" w:color="auto" w:sz="6" w:space="0"/>
            </w:tcBorders>
          </w:tcPr>
          <w:p w14:paraId="2219573D">
            <w:pPr>
              <w:autoSpaceDE w:val="0"/>
              <w:autoSpaceDN w:val="0"/>
              <w:spacing w:line="240" w:lineRule="auto"/>
              <w:rPr>
                <w:rFonts w:hint="eastAsia" w:ascii="宋体" w:hAnsi="宋体" w:eastAsia="宋体" w:cs="宋体"/>
                <w:color w:val="auto"/>
                <w:sz w:val="24"/>
                <w:szCs w:val="24"/>
                <w:highlight w:val="none"/>
              </w:rPr>
            </w:pPr>
          </w:p>
        </w:tc>
        <w:tc>
          <w:tcPr>
            <w:tcW w:w="763" w:type="dxa"/>
            <w:tcBorders>
              <w:top w:val="single" w:color="auto" w:sz="6" w:space="0"/>
              <w:left w:val="single" w:color="auto" w:sz="6" w:space="0"/>
              <w:bottom w:val="single" w:color="auto" w:sz="6" w:space="0"/>
              <w:right w:val="single" w:color="auto" w:sz="6" w:space="0"/>
            </w:tcBorders>
          </w:tcPr>
          <w:p w14:paraId="349EC834">
            <w:pPr>
              <w:autoSpaceDE w:val="0"/>
              <w:autoSpaceDN w:val="0"/>
              <w:spacing w:line="240" w:lineRule="auto"/>
              <w:rPr>
                <w:rFonts w:hint="eastAsia" w:ascii="宋体" w:hAnsi="宋体" w:eastAsia="宋体" w:cs="宋体"/>
                <w:color w:val="auto"/>
                <w:sz w:val="24"/>
                <w:szCs w:val="24"/>
                <w:highlight w:val="none"/>
              </w:rPr>
            </w:pPr>
          </w:p>
        </w:tc>
        <w:tc>
          <w:tcPr>
            <w:tcW w:w="765" w:type="dxa"/>
            <w:tcBorders>
              <w:top w:val="single" w:color="auto" w:sz="6" w:space="0"/>
              <w:left w:val="single" w:color="auto" w:sz="6" w:space="0"/>
              <w:bottom w:val="single" w:color="auto" w:sz="6" w:space="0"/>
              <w:right w:val="single" w:color="auto" w:sz="6" w:space="0"/>
            </w:tcBorders>
          </w:tcPr>
          <w:p w14:paraId="25622E89">
            <w:pPr>
              <w:autoSpaceDE w:val="0"/>
              <w:autoSpaceDN w:val="0"/>
              <w:spacing w:line="240" w:lineRule="auto"/>
              <w:rPr>
                <w:rFonts w:hint="eastAsia" w:ascii="宋体" w:hAnsi="宋体" w:eastAsia="宋体" w:cs="宋体"/>
                <w:color w:val="auto"/>
                <w:sz w:val="24"/>
                <w:szCs w:val="24"/>
                <w:highlight w:val="none"/>
              </w:rPr>
            </w:pPr>
          </w:p>
        </w:tc>
        <w:tc>
          <w:tcPr>
            <w:tcW w:w="1022" w:type="dxa"/>
            <w:tcBorders>
              <w:top w:val="single" w:color="auto" w:sz="6" w:space="0"/>
              <w:left w:val="single" w:color="auto" w:sz="6" w:space="0"/>
              <w:bottom w:val="single" w:color="auto" w:sz="6" w:space="0"/>
              <w:right w:val="single" w:color="auto" w:sz="6" w:space="0"/>
            </w:tcBorders>
          </w:tcPr>
          <w:p w14:paraId="56DE68FA">
            <w:pPr>
              <w:autoSpaceDE w:val="0"/>
              <w:autoSpaceDN w:val="0"/>
              <w:spacing w:line="240" w:lineRule="auto"/>
              <w:rPr>
                <w:rFonts w:hint="eastAsia" w:ascii="宋体" w:hAnsi="宋体" w:eastAsia="宋体" w:cs="宋体"/>
                <w:color w:val="auto"/>
                <w:sz w:val="24"/>
                <w:szCs w:val="24"/>
                <w:highlight w:val="none"/>
              </w:rPr>
            </w:pPr>
          </w:p>
        </w:tc>
        <w:tc>
          <w:tcPr>
            <w:tcW w:w="1588" w:type="dxa"/>
            <w:tcBorders>
              <w:top w:val="single" w:color="auto" w:sz="6" w:space="0"/>
              <w:left w:val="single" w:color="auto" w:sz="6" w:space="0"/>
              <w:bottom w:val="single" w:color="auto" w:sz="6" w:space="0"/>
              <w:right w:val="single" w:color="auto" w:sz="6" w:space="0"/>
            </w:tcBorders>
          </w:tcPr>
          <w:p w14:paraId="5CF1D9AB">
            <w:pPr>
              <w:autoSpaceDE w:val="0"/>
              <w:autoSpaceDN w:val="0"/>
              <w:spacing w:line="240" w:lineRule="auto"/>
              <w:rPr>
                <w:rFonts w:hint="eastAsia" w:ascii="宋体" w:hAnsi="宋体" w:eastAsia="宋体" w:cs="宋体"/>
                <w:color w:val="auto"/>
                <w:sz w:val="24"/>
                <w:szCs w:val="24"/>
                <w:highlight w:val="none"/>
              </w:rPr>
            </w:pPr>
          </w:p>
        </w:tc>
        <w:tc>
          <w:tcPr>
            <w:tcW w:w="2001" w:type="dxa"/>
            <w:tcBorders>
              <w:top w:val="single" w:color="auto" w:sz="6" w:space="0"/>
              <w:left w:val="single" w:color="auto" w:sz="6" w:space="0"/>
              <w:bottom w:val="single" w:color="auto" w:sz="6" w:space="0"/>
              <w:right w:val="single" w:color="auto" w:sz="6" w:space="0"/>
            </w:tcBorders>
          </w:tcPr>
          <w:p w14:paraId="5DCD7EE1">
            <w:pPr>
              <w:autoSpaceDE w:val="0"/>
              <w:autoSpaceDN w:val="0"/>
              <w:spacing w:line="240" w:lineRule="auto"/>
              <w:rPr>
                <w:rFonts w:hint="eastAsia" w:ascii="宋体" w:hAnsi="宋体" w:eastAsia="宋体" w:cs="宋体"/>
                <w:color w:val="auto"/>
                <w:sz w:val="24"/>
                <w:szCs w:val="24"/>
                <w:highlight w:val="none"/>
              </w:rPr>
            </w:pPr>
          </w:p>
        </w:tc>
        <w:tc>
          <w:tcPr>
            <w:tcW w:w="2007" w:type="dxa"/>
            <w:tcBorders>
              <w:top w:val="single" w:color="auto" w:sz="6" w:space="0"/>
              <w:left w:val="single" w:color="auto" w:sz="6" w:space="0"/>
              <w:bottom w:val="single" w:color="auto" w:sz="6" w:space="0"/>
              <w:right w:val="single" w:color="auto" w:sz="6" w:space="0"/>
            </w:tcBorders>
          </w:tcPr>
          <w:p w14:paraId="0BA33A12">
            <w:pPr>
              <w:autoSpaceDE w:val="0"/>
              <w:autoSpaceDN w:val="0"/>
              <w:spacing w:line="240" w:lineRule="auto"/>
              <w:rPr>
                <w:rFonts w:hint="eastAsia" w:ascii="宋体" w:hAnsi="宋体" w:eastAsia="宋体" w:cs="宋体"/>
                <w:color w:val="auto"/>
                <w:sz w:val="24"/>
                <w:szCs w:val="24"/>
                <w:highlight w:val="none"/>
              </w:rPr>
            </w:pPr>
          </w:p>
        </w:tc>
      </w:tr>
      <w:tr w14:paraId="2B80D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jc w:val="center"/>
        </w:trPr>
        <w:tc>
          <w:tcPr>
            <w:tcW w:w="420" w:type="dxa"/>
            <w:tcBorders>
              <w:top w:val="single" w:color="auto" w:sz="6" w:space="0"/>
              <w:left w:val="single" w:color="auto" w:sz="6" w:space="0"/>
              <w:bottom w:val="single" w:color="auto" w:sz="6" w:space="0"/>
              <w:right w:val="single" w:color="auto" w:sz="6" w:space="0"/>
            </w:tcBorders>
          </w:tcPr>
          <w:p w14:paraId="6FA8D5CE">
            <w:pPr>
              <w:autoSpaceDE w:val="0"/>
              <w:autoSpaceDN w:val="0"/>
              <w:spacing w:line="360" w:lineRule="auto"/>
              <w:jc w:val="center"/>
              <w:rPr>
                <w:rFonts w:hint="eastAsia" w:ascii="宋体" w:hAnsi="宋体" w:eastAsia="宋体" w:cs="宋体"/>
                <w:color w:val="auto"/>
                <w:sz w:val="24"/>
                <w:szCs w:val="24"/>
                <w:highlight w:val="none"/>
              </w:rPr>
            </w:pPr>
          </w:p>
        </w:tc>
        <w:tc>
          <w:tcPr>
            <w:tcW w:w="1191" w:type="dxa"/>
            <w:tcBorders>
              <w:top w:val="single" w:color="auto" w:sz="6" w:space="0"/>
              <w:left w:val="single" w:color="auto" w:sz="6" w:space="0"/>
              <w:bottom w:val="single" w:color="auto" w:sz="6" w:space="0"/>
              <w:right w:val="single" w:color="auto" w:sz="6" w:space="0"/>
            </w:tcBorders>
          </w:tcPr>
          <w:p w14:paraId="2D276BC0">
            <w:pPr>
              <w:autoSpaceDE w:val="0"/>
              <w:autoSpaceDN w:val="0"/>
              <w:spacing w:line="360" w:lineRule="auto"/>
              <w:rPr>
                <w:rFonts w:hint="eastAsia" w:ascii="宋体" w:hAnsi="宋体" w:eastAsia="宋体" w:cs="宋体"/>
                <w:color w:val="auto"/>
                <w:sz w:val="24"/>
                <w:szCs w:val="24"/>
                <w:highlight w:val="none"/>
              </w:rPr>
            </w:pPr>
          </w:p>
        </w:tc>
        <w:tc>
          <w:tcPr>
            <w:tcW w:w="763" w:type="dxa"/>
            <w:tcBorders>
              <w:top w:val="single" w:color="auto" w:sz="6" w:space="0"/>
              <w:left w:val="single" w:color="auto" w:sz="6" w:space="0"/>
              <w:bottom w:val="single" w:color="auto" w:sz="6" w:space="0"/>
              <w:right w:val="single" w:color="auto" w:sz="6" w:space="0"/>
            </w:tcBorders>
          </w:tcPr>
          <w:p w14:paraId="00F371A3">
            <w:pPr>
              <w:autoSpaceDE w:val="0"/>
              <w:autoSpaceDN w:val="0"/>
              <w:spacing w:line="360" w:lineRule="auto"/>
              <w:rPr>
                <w:rFonts w:hint="eastAsia" w:ascii="宋体" w:hAnsi="宋体" w:eastAsia="宋体" w:cs="宋体"/>
                <w:color w:val="auto"/>
                <w:sz w:val="24"/>
                <w:szCs w:val="24"/>
                <w:highlight w:val="none"/>
              </w:rPr>
            </w:pPr>
          </w:p>
        </w:tc>
        <w:tc>
          <w:tcPr>
            <w:tcW w:w="765" w:type="dxa"/>
            <w:tcBorders>
              <w:top w:val="single" w:color="auto" w:sz="6" w:space="0"/>
              <w:left w:val="single" w:color="auto" w:sz="6" w:space="0"/>
              <w:bottom w:val="single" w:color="auto" w:sz="6" w:space="0"/>
              <w:right w:val="single" w:color="auto" w:sz="6" w:space="0"/>
            </w:tcBorders>
          </w:tcPr>
          <w:p w14:paraId="3CAE5D0D">
            <w:pPr>
              <w:autoSpaceDE w:val="0"/>
              <w:autoSpaceDN w:val="0"/>
              <w:spacing w:line="360" w:lineRule="auto"/>
              <w:rPr>
                <w:rFonts w:hint="eastAsia" w:ascii="宋体" w:hAnsi="宋体" w:eastAsia="宋体" w:cs="宋体"/>
                <w:color w:val="auto"/>
                <w:sz w:val="24"/>
                <w:szCs w:val="24"/>
                <w:highlight w:val="none"/>
              </w:rPr>
            </w:pPr>
          </w:p>
        </w:tc>
        <w:tc>
          <w:tcPr>
            <w:tcW w:w="1022" w:type="dxa"/>
            <w:tcBorders>
              <w:top w:val="single" w:color="auto" w:sz="6" w:space="0"/>
              <w:left w:val="single" w:color="auto" w:sz="6" w:space="0"/>
              <w:bottom w:val="single" w:color="auto" w:sz="6" w:space="0"/>
              <w:right w:val="single" w:color="auto" w:sz="6" w:space="0"/>
            </w:tcBorders>
          </w:tcPr>
          <w:p w14:paraId="2EDFD49A">
            <w:pPr>
              <w:autoSpaceDE w:val="0"/>
              <w:autoSpaceDN w:val="0"/>
              <w:spacing w:line="360" w:lineRule="auto"/>
              <w:rPr>
                <w:rFonts w:hint="eastAsia" w:ascii="宋体" w:hAnsi="宋体" w:eastAsia="宋体" w:cs="宋体"/>
                <w:color w:val="auto"/>
                <w:sz w:val="24"/>
                <w:szCs w:val="24"/>
                <w:highlight w:val="none"/>
              </w:rPr>
            </w:pPr>
          </w:p>
        </w:tc>
        <w:tc>
          <w:tcPr>
            <w:tcW w:w="1588" w:type="dxa"/>
            <w:tcBorders>
              <w:top w:val="single" w:color="auto" w:sz="6" w:space="0"/>
              <w:left w:val="single" w:color="auto" w:sz="6" w:space="0"/>
              <w:bottom w:val="single" w:color="auto" w:sz="6" w:space="0"/>
              <w:right w:val="single" w:color="auto" w:sz="6" w:space="0"/>
            </w:tcBorders>
          </w:tcPr>
          <w:p w14:paraId="069AB859">
            <w:pPr>
              <w:autoSpaceDE w:val="0"/>
              <w:autoSpaceDN w:val="0"/>
              <w:spacing w:line="360" w:lineRule="auto"/>
              <w:rPr>
                <w:rFonts w:hint="eastAsia" w:ascii="宋体" w:hAnsi="宋体" w:eastAsia="宋体" w:cs="宋体"/>
                <w:color w:val="auto"/>
                <w:sz w:val="24"/>
                <w:szCs w:val="24"/>
                <w:highlight w:val="none"/>
              </w:rPr>
            </w:pPr>
          </w:p>
        </w:tc>
        <w:tc>
          <w:tcPr>
            <w:tcW w:w="2001" w:type="dxa"/>
            <w:tcBorders>
              <w:top w:val="single" w:color="auto" w:sz="6" w:space="0"/>
              <w:left w:val="single" w:color="auto" w:sz="6" w:space="0"/>
              <w:bottom w:val="single" w:color="auto" w:sz="6" w:space="0"/>
              <w:right w:val="single" w:color="auto" w:sz="6" w:space="0"/>
            </w:tcBorders>
          </w:tcPr>
          <w:p w14:paraId="71C1127D">
            <w:pPr>
              <w:autoSpaceDE w:val="0"/>
              <w:autoSpaceDN w:val="0"/>
              <w:spacing w:line="360" w:lineRule="auto"/>
              <w:rPr>
                <w:rFonts w:hint="eastAsia" w:ascii="宋体" w:hAnsi="宋体" w:eastAsia="宋体" w:cs="宋体"/>
                <w:color w:val="auto"/>
                <w:sz w:val="24"/>
                <w:szCs w:val="24"/>
                <w:highlight w:val="none"/>
              </w:rPr>
            </w:pPr>
          </w:p>
        </w:tc>
        <w:tc>
          <w:tcPr>
            <w:tcW w:w="2007" w:type="dxa"/>
            <w:tcBorders>
              <w:top w:val="single" w:color="auto" w:sz="6" w:space="0"/>
              <w:left w:val="single" w:color="auto" w:sz="6" w:space="0"/>
              <w:bottom w:val="single" w:color="auto" w:sz="6" w:space="0"/>
              <w:right w:val="single" w:color="auto" w:sz="6" w:space="0"/>
            </w:tcBorders>
          </w:tcPr>
          <w:p w14:paraId="6DBF72AF">
            <w:pPr>
              <w:autoSpaceDE w:val="0"/>
              <w:autoSpaceDN w:val="0"/>
              <w:spacing w:line="360" w:lineRule="auto"/>
              <w:rPr>
                <w:rFonts w:hint="eastAsia" w:ascii="宋体" w:hAnsi="宋体" w:eastAsia="宋体" w:cs="宋体"/>
                <w:color w:val="auto"/>
                <w:sz w:val="24"/>
                <w:szCs w:val="24"/>
                <w:highlight w:val="none"/>
              </w:rPr>
            </w:pPr>
          </w:p>
        </w:tc>
      </w:tr>
    </w:tbl>
    <w:p w14:paraId="16C992BE">
      <w:pPr>
        <w:spacing w:line="360" w:lineRule="auto"/>
        <w:rPr>
          <w:rFonts w:ascii="宋体" w:cs="宋体"/>
          <w:b/>
          <w:bCs/>
          <w:color w:val="auto"/>
          <w:sz w:val="24"/>
          <w:szCs w:val="24"/>
          <w:highlight w:val="none"/>
        </w:rPr>
      </w:pPr>
      <w:r>
        <w:rPr>
          <w:rFonts w:hint="eastAsia" w:ascii="宋体" w:cs="宋体"/>
          <w:b/>
          <w:color w:val="auto"/>
          <w:sz w:val="24"/>
          <w:szCs w:val="24"/>
          <w:highlight w:val="none"/>
        </w:rPr>
        <w:t>注：投标人可参照上述格式自行编制，并注明所在投标</w:t>
      </w:r>
      <w:r>
        <w:rPr>
          <w:rFonts w:hint="eastAsia" w:ascii="宋体" w:cs="宋体"/>
          <w:b/>
          <w:color w:val="auto"/>
          <w:sz w:val="24"/>
          <w:szCs w:val="24"/>
          <w:highlight w:val="none"/>
          <w:lang w:val="en-US" w:eastAsia="zh-CN"/>
        </w:rPr>
        <w:t>商务</w:t>
      </w:r>
      <w:r>
        <w:rPr>
          <w:rFonts w:hint="eastAsia" w:ascii="宋体" w:cs="宋体"/>
          <w:b/>
          <w:color w:val="auto"/>
          <w:sz w:val="24"/>
          <w:szCs w:val="24"/>
          <w:highlight w:val="none"/>
        </w:rPr>
        <w:t>技术文件页码。</w:t>
      </w:r>
    </w:p>
    <w:p w14:paraId="5211BCA7">
      <w:pPr>
        <w:snapToGrid w:val="0"/>
        <w:spacing w:line="360" w:lineRule="auto"/>
        <w:ind w:firstLine="472" w:firstLineChars="196"/>
        <w:rPr>
          <w:rFonts w:ascii="宋体" w:cs="宋体"/>
          <w:b/>
          <w:bCs/>
          <w:color w:val="auto"/>
          <w:kern w:val="0"/>
          <w:sz w:val="24"/>
          <w:highlight w:val="none"/>
          <w:lang w:val="zh-CN"/>
        </w:rPr>
      </w:pPr>
    </w:p>
    <w:p w14:paraId="7D1D652B">
      <w:pPr>
        <w:snapToGrid w:val="0"/>
        <w:spacing w:line="360" w:lineRule="auto"/>
        <w:ind w:firstLine="5280" w:firstLineChars="2200"/>
        <w:rPr>
          <w:rFonts w:ascii="宋体" w:cs="宋体"/>
          <w:color w:val="auto"/>
          <w:kern w:val="0"/>
          <w:sz w:val="24"/>
          <w:highlight w:val="none"/>
        </w:rPr>
      </w:pPr>
      <w:r>
        <w:rPr>
          <w:rFonts w:hint="eastAsia" w:ascii="宋体" w:cs="宋体"/>
          <w:color w:val="auto"/>
          <w:kern w:val="0"/>
          <w:sz w:val="24"/>
          <w:highlight w:val="none"/>
          <w:lang w:val="zh-CN"/>
        </w:rPr>
        <w:t>投标人名称（盖公章）：</w:t>
      </w:r>
    </w:p>
    <w:p w14:paraId="26CF055F">
      <w:pPr>
        <w:snapToGrid w:val="0"/>
        <w:spacing w:line="360" w:lineRule="auto"/>
        <w:ind w:firstLine="5280" w:firstLineChars="2200"/>
        <w:jc w:val="left"/>
        <w:rPr>
          <w:rFonts w:ascii="宋体" w:cs="宋体"/>
          <w:b/>
          <w:bCs/>
          <w:color w:val="auto"/>
          <w:sz w:val="24"/>
          <w:highlight w:val="none"/>
        </w:rPr>
      </w:pPr>
      <w:r>
        <w:rPr>
          <w:rFonts w:hint="eastAsia" w:ascii="宋体" w:cs="宋体"/>
          <w:color w:val="auto"/>
          <w:kern w:val="0"/>
          <w:sz w:val="24"/>
          <w:highlight w:val="none"/>
          <w:lang w:val="zh-CN"/>
        </w:rPr>
        <w:t>日期</w:t>
      </w:r>
      <w:r>
        <w:rPr>
          <w:rFonts w:hint="eastAsia" w:ascii="宋体" w:cs="宋体"/>
          <w:color w:val="auto"/>
          <w:kern w:val="0"/>
          <w:sz w:val="24"/>
          <w:highlight w:val="none"/>
        </w:rPr>
        <w:t xml:space="preserve">：  年  </w:t>
      </w:r>
      <w:r>
        <w:rPr>
          <w:rFonts w:hint="eastAsia" w:ascii="宋体" w:cs="宋体"/>
          <w:color w:val="auto"/>
          <w:kern w:val="0"/>
          <w:sz w:val="24"/>
          <w:highlight w:val="none"/>
          <w:lang w:val="zh-CN"/>
        </w:rPr>
        <w:t>月</w:t>
      </w:r>
      <w:r>
        <w:rPr>
          <w:rFonts w:hint="eastAsia" w:ascii="宋体" w:cs="宋体"/>
          <w:color w:val="auto"/>
          <w:kern w:val="0"/>
          <w:sz w:val="24"/>
          <w:highlight w:val="none"/>
        </w:rPr>
        <w:t xml:space="preserve">   </w:t>
      </w:r>
      <w:r>
        <w:rPr>
          <w:rFonts w:hint="eastAsia" w:ascii="宋体" w:cs="宋体"/>
          <w:color w:val="auto"/>
          <w:kern w:val="0"/>
          <w:sz w:val="24"/>
          <w:highlight w:val="none"/>
          <w:lang w:val="zh-CN"/>
        </w:rPr>
        <w:t>日</w:t>
      </w:r>
    </w:p>
    <w:p w14:paraId="72BDC681">
      <w:pPr>
        <w:snapToGrid w:val="0"/>
        <w:spacing w:line="360" w:lineRule="auto"/>
        <w:jc w:val="center"/>
        <w:rPr>
          <w:rFonts w:ascii="宋体" w:cs="宋体"/>
          <w:b/>
          <w:bCs/>
          <w:color w:val="auto"/>
          <w:sz w:val="24"/>
          <w:highlight w:val="none"/>
        </w:rPr>
      </w:pPr>
    </w:p>
    <w:p w14:paraId="59B8AA8C">
      <w:pPr>
        <w:snapToGrid w:val="0"/>
        <w:spacing w:line="360" w:lineRule="auto"/>
        <w:jc w:val="center"/>
        <w:rPr>
          <w:rFonts w:hint="eastAsia" w:ascii="宋体" w:cs="宋体"/>
          <w:b/>
          <w:bCs/>
          <w:color w:val="auto"/>
          <w:sz w:val="24"/>
          <w:highlight w:val="none"/>
        </w:rPr>
      </w:pPr>
      <w:r>
        <w:rPr>
          <w:rFonts w:hint="eastAsia" w:ascii="宋体" w:cs="宋体"/>
          <w:b/>
          <w:bCs/>
          <w:color w:val="auto"/>
          <w:sz w:val="24"/>
          <w:highlight w:val="none"/>
        </w:rPr>
        <w:t xml:space="preserve">                    </w:t>
      </w:r>
    </w:p>
    <w:p w14:paraId="6E87E85C">
      <w:pPr>
        <w:snapToGrid w:val="0"/>
        <w:spacing w:line="360" w:lineRule="auto"/>
        <w:jc w:val="center"/>
        <w:rPr>
          <w:rFonts w:hint="eastAsia" w:ascii="宋体" w:cs="宋体"/>
          <w:color w:val="auto"/>
          <w:sz w:val="24"/>
          <w:highlight w:val="none"/>
        </w:rPr>
      </w:pPr>
      <w:r>
        <w:rPr>
          <w:rFonts w:hint="eastAsia" w:ascii="宋体" w:cs="宋体"/>
          <w:b/>
          <w:color w:val="auto"/>
          <w:kern w:val="0"/>
          <w:sz w:val="24"/>
          <w:highlight w:val="none"/>
        </w:rPr>
        <w:t>售后服务人员情况表</w:t>
      </w:r>
      <w:r>
        <w:rPr>
          <w:rFonts w:hint="eastAsia" w:ascii="宋体" w:cs="宋体"/>
          <w:color w:val="auto"/>
          <w:sz w:val="24"/>
          <w:highlight w:val="none"/>
        </w:rPr>
        <w:t>（如有要求，参照此格式自制）</w:t>
      </w:r>
    </w:p>
    <w:tbl>
      <w:tblPr>
        <w:tblStyle w:val="2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1"/>
        <w:gridCol w:w="971"/>
        <w:gridCol w:w="725"/>
        <w:gridCol w:w="876"/>
        <w:gridCol w:w="886"/>
        <w:gridCol w:w="1064"/>
        <w:gridCol w:w="1312"/>
        <w:gridCol w:w="1242"/>
        <w:gridCol w:w="886"/>
        <w:gridCol w:w="1358"/>
      </w:tblGrid>
      <w:tr w14:paraId="0D7ED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jc w:val="center"/>
        </w:trPr>
        <w:tc>
          <w:tcPr>
            <w:tcW w:w="451" w:type="dxa"/>
            <w:tcBorders>
              <w:top w:val="single" w:color="auto" w:sz="6" w:space="0"/>
              <w:left w:val="single" w:color="auto" w:sz="6" w:space="0"/>
              <w:bottom w:val="single" w:color="auto" w:sz="6" w:space="0"/>
              <w:right w:val="single" w:color="auto" w:sz="4" w:space="0"/>
            </w:tcBorders>
            <w:vAlign w:val="center"/>
          </w:tcPr>
          <w:p w14:paraId="2FFD14DA">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971" w:type="dxa"/>
            <w:tcBorders>
              <w:top w:val="single" w:color="auto" w:sz="6" w:space="0"/>
              <w:left w:val="single" w:color="auto" w:sz="4" w:space="0"/>
              <w:bottom w:val="single" w:color="auto" w:sz="6" w:space="0"/>
              <w:right w:val="single" w:color="auto" w:sz="6" w:space="0"/>
            </w:tcBorders>
            <w:vAlign w:val="center"/>
          </w:tcPr>
          <w:p w14:paraId="3ADC308C">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类别</w:t>
            </w:r>
          </w:p>
        </w:tc>
        <w:tc>
          <w:tcPr>
            <w:tcW w:w="725" w:type="dxa"/>
            <w:tcBorders>
              <w:top w:val="single" w:color="auto" w:sz="6" w:space="0"/>
              <w:left w:val="single" w:color="auto" w:sz="6" w:space="0"/>
              <w:bottom w:val="single" w:color="auto" w:sz="6" w:space="0"/>
              <w:right w:val="single" w:color="auto" w:sz="6" w:space="0"/>
            </w:tcBorders>
            <w:vAlign w:val="center"/>
          </w:tcPr>
          <w:p w14:paraId="06DAF81F">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876" w:type="dxa"/>
            <w:tcBorders>
              <w:top w:val="single" w:color="auto" w:sz="6" w:space="0"/>
              <w:left w:val="single" w:color="auto" w:sz="6" w:space="0"/>
              <w:bottom w:val="single" w:color="auto" w:sz="6" w:space="0"/>
              <w:right w:val="single" w:color="auto" w:sz="6" w:space="0"/>
            </w:tcBorders>
            <w:vAlign w:val="center"/>
          </w:tcPr>
          <w:p w14:paraId="074964BC">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性别</w:t>
            </w:r>
          </w:p>
        </w:tc>
        <w:tc>
          <w:tcPr>
            <w:tcW w:w="886" w:type="dxa"/>
            <w:tcBorders>
              <w:top w:val="single" w:color="auto" w:sz="6" w:space="0"/>
              <w:left w:val="single" w:color="auto" w:sz="6" w:space="0"/>
              <w:bottom w:val="single" w:color="auto" w:sz="6" w:space="0"/>
              <w:right w:val="single" w:color="auto" w:sz="6" w:space="0"/>
            </w:tcBorders>
            <w:vAlign w:val="center"/>
          </w:tcPr>
          <w:p w14:paraId="6004879C">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年龄</w:t>
            </w:r>
          </w:p>
        </w:tc>
        <w:tc>
          <w:tcPr>
            <w:tcW w:w="1064" w:type="dxa"/>
            <w:tcBorders>
              <w:top w:val="single" w:color="auto" w:sz="6" w:space="0"/>
              <w:left w:val="single" w:color="auto" w:sz="6" w:space="0"/>
              <w:bottom w:val="single" w:color="auto" w:sz="6" w:space="0"/>
              <w:right w:val="single" w:color="auto" w:sz="6" w:space="0"/>
            </w:tcBorders>
            <w:vAlign w:val="center"/>
          </w:tcPr>
          <w:p w14:paraId="263CACB3">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学历</w:t>
            </w:r>
            <w:r>
              <w:rPr>
                <w:rFonts w:hint="eastAsia" w:ascii="宋体" w:hAnsi="宋体" w:eastAsia="宋体" w:cs="宋体"/>
                <w:color w:val="auto"/>
                <w:sz w:val="24"/>
                <w:szCs w:val="24"/>
                <w:highlight w:val="none"/>
                <w:lang w:eastAsia="zh-CN"/>
              </w:rPr>
              <w:t>及</w:t>
            </w:r>
            <w:r>
              <w:rPr>
                <w:rFonts w:hint="eastAsia" w:ascii="宋体" w:hAnsi="宋体" w:eastAsia="宋体" w:cs="宋体"/>
                <w:color w:val="auto"/>
                <w:sz w:val="24"/>
                <w:szCs w:val="24"/>
                <w:highlight w:val="none"/>
              </w:rPr>
              <w:t>专业</w:t>
            </w:r>
          </w:p>
        </w:tc>
        <w:tc>
          <w:tcPr>
            <w:tcW w:w="1312" w:type="dxa"/>
            <w:tcBorders>
              <w:top w:val="single" w:color="auto" w:sz="6" w:space="0"/>
              <w:left w:val="single" w:color="auto" w:sz="6" w:space="0"/>
              <w:bottom w:val="single" w:color="auto" w:sz="6" w:space="0"/>
              <w:right w:val="single" w:color="auto" w:sz="6" w:space="0"/>
            </w:tcBorders>
            <w:vAlign w:val="center"/>
          </w:tcPr>
          <w:p w14:paraId="75D94517">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职称</w:t>
            </w:r>
            <w:r>
              <w:rPr>
                <w:rFonts w:hint="eastAsia" w:ascii="宋体" w:hAnsi="宋体" w:eastAsia="宋体" w:cs="宋体"/>
                <w:color w:val="auto"/>
                <w:sz w:val="24"/>
                <w:szCs w:val="24"/>
                <w:highlight w:val="none"/>
                <w:lang w:val="en-US" w:eastAsia="zh-CN"/>
              </w:rPr>
              <w:t>/职业资格证书</w:t>
            </w:r>
          </w:p>
        </w:tc>
        <w:tc>
          <w:tcPr>
            <w:tcW w:w="1242" w:type="dxa"/>
            <w:tcBorders>
              <w:top w:val="single" w:color="auto" w:sz="6" w:space="0"/>
              <w:left w:val="single" w:color="auto" w:sz="6" w:space="0"/>
              <w:bottom w:val="single" w:color="auto" w:sz="6" w:space="0"/>
              <w:right w:val="single" w:color="auto" w:sz="6" w:space="0"/>
            </w:tcBorders>
            <w:vAlign w:val="center"/>
          </w:tcPr>
          <w:p w14:paraId="3B2ADA7B">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本项目中的职责</w:t>
            </w:r>
          </w:p>
        </w:tc>
        <w:tc>
          <w:tcPr>
            <w:tcW w:w="886" w:type="dxa"/>
            <w:tcBorders>
              <w:top w:val="single" w:color="auto" w:sz="6" w:space="0"/>
              <w:left w:val="single" w:color="auto" w:sz="6" w:space="0"/>
              <w:bottom w:val="single" w:color="auto" w:sz="6" w:space="0"/>
              <w:right w:val="single" w:color="auto" w:sz="6" w:space="0"/>
            </w:tcBorders>
            <w:vAlign w:val="center"/>
          </w:tcPr>
          <w:p w14:paraId="50E8CDD4">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响应时间</w:t>
            </w:r>
          </w:p>
        </w:tc>
        <w:tc>
          <w:tcPr>
            <w:tcW w:w="1358" w:type="dxa"/>
            <w:tcBorders>
              <w:top w:val="single" w:color="auto" w:sz="6" w:space="0"/>
              <w:left w:val="single" w:color="auto" w:sz="6" w:space="0"/>
              <w:bottom w:val="single" w:color="auto" w:sz="6" w:space="0"/>
              <w:right w:val="single" w:color="auto" w:sz="6" w:space="0"/>
            </w:tcBorders>
            <w:vAlign w:val="center"/>
          </w:tcPr>
          <w:p w14:paraId="13E66937">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承诺</w:t>
            </w:r>
            <w:r>
              <w:rPr>
                <w:rFonts w:hint="eastAsia" w:ascii="宋体" w:hAnsi="宋体" w:eastAsia="宋体" w:cs="宋体"/>
                <w:color w:val="auto"/>
                <w:sz w:val="24"/>
                <w:szCs w:val="24"/>
                <w:highlight w:val="none"/>
              </w:rPr>
              <w:t>到达现场时间</w:t>
            </w:r>
          </w:p>
        </w:tc>
      </w:tr>
      <w:tr w14:paraId="1B02A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451" w:type="dxa"/>
            <w:tcBorders>
              <w:top w:val="single" w:color="auto" w:sz="6" w:space="0"/>
              <w:left w:val="single" w:color="auto" w:sz="6" w:space="0"/>
              <w:bottom w:val="single" w:color="auto" w:sz="6" w:space="0"/>
              <w:right w:val="single" w:color="auto" w:sz="4" w:space="0"/>
            </w:tcBorders>
            <w:vAlign w:val="center"/>
          </w:tcPr>
          <w:p w14:paraId="795D651D">
            <w:pPr>
              <w:autoSpaceDE w:val="0"/>
              <w:autoSpaceDN w:val="0"/>
              <w:spacing w:line="240" w:lineRule="auto"/>
              <w:jc w:val="center"/>
              <w:rPr>
                <w:rFonts w:hint="eastAsia" w:ascii="宋体" w:hAnsi="宋体" w:eastAsia="宋体" w:cs="宋体"/>
                <w:color w:val="auto"/>
                <w:sz w:val="24"/>
                <w:szCs w:val="24"/>
                <w:highlight w:val="none"/>
              </w:rPr>
            </w:pPr>
          </w:p>
        </w:tc>
        <w:tc>
          <w:tcPr>
            <w:tcW w:w="971" w:type="dxa"/>
            <w:tcBorders>
              <w:top w:val="single" w:color="auto" w:sz="6" w:space="0"/>
              <w:left w:val="single" w:color="auto" w:sz="4" w:space="0"/>
              <w:bottom w:val="single" w:color="auto" w:sz="6" w:space="0"/>
              <w:right w:val="single" w:color="auto" w:sz="6" w:space="0"/>
            </w:tcBorders>
            <w:vAlign w:val="center"/>
          </w:tcPr>
          <w:p w14:paraId="3E734FCA">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总协调人</w:t>
            </w:r>
          </w:p>
        </w:tc>
        <w:tc>
          <w:tcPr>
            <w:tcW w:w="725" w:type="dxa"/>
            <w:tcBorders>
              <w:top w:val="single" w:color="auto" w:sz="6" w:space="0"/>
              <w:left w:val="single" w:color="auto" w:sz="6" w:space="0"/>
              <w:bottom w:val="single" w:color="auto" w:sz="6" w:space="0"/>
              <w:right w:val="single" w:color="auto" w:sz="6" w:space="0"/>
            </w:tcBorders>
            <w:vAlign w:val="center"/>
          </w:tcPr>
          <w:p w14:paraId="69FECF99">
            <w:pPr>
              <w:autoSpaceDE w:val="0"/>
              <w:autoSpaceDN w:val="0"/>
              <w:spacing w:line="240" w:lineRule="auto"/>
              <w:jc w:val="center"/>
              <w:rPr>
                <w:rFonts w:hint="eastAsia" w:ascii="宋体" w:hAnsi="宋体" w:eastAsia="宋体" w:cs="宋体"/>
                <w:color w:val="auto"/>
                <w:sz w:val="24"/>
                <w:szCs w:val="24"/>
                <w:highlight w:val="none"/>
              </w:rPr>
            </w:pPr>
          </w:p>
        </w:tc>
        <w:tc>
          <w:tcPr>
            <w:tcW w:w="876" w:type="dxa"/>
            <w:tcBorders>
              <w:top w:val="single" w:color="auto" w:sz="6" w:space="0"/>
              <w:left w:val="single" w:color="auto" w:sz="6" w:space="0"/>
              <w:bottom w:val="single" w:color="auto" w:sz="6" w:space="0"/>
              <w:right w:val="single" w:color="auto" w:sz="6" w:space="0"/>
            </w:tcBorders>
            <w:vAlign w:val="center"/>
          </w:tcPr>
          <w:p w14:paraId="28D45520">
            <w:pPr>
              <w:autoSpaceDE w:val="0"/>
              <w:autoSpaceDN w:val="0"/>
              <w:spacing w:line="240" w:lineRule="auto"/>
              <w:jc w:val="center"/>
              <w:rPr>
                <w:rFonts w:hint="eastAsia" w:ascii="宋体" w:hAnsi="宋体" w:eastAsia="宋体" w:cs="宋体"/>
                <w:color w:val="auto"/>
                <w:sz w:val="24"/>
                <w:szCs w:val="24"/>
                <w:highlight w:val="none"/>
              </w:rPr>
            </w:pPr>
          </w:p>
        </w:tc>
        <w:tc>
          <w:tcPr>
            <w:tcW w:w="886" w:type="dxa"/>
            <w:tcBorders>
              <w:top w:val="single" w:color="auto" w:sz="6" w:space="0"/>
              <w:left w:val="single" w:color="auto" w:sz="6" w:space="0"/>
              <w:bottom w:val="single" w:color="auto" w:sz="6" w:space="0"/>
              <w:right w:val="single" w:color="auto" w:sz="6" w:space="0"/>
            </w:tcBorders>
            <w:vAlign w:val="center"/>
          </w:tcPr>
          <w:p w14:paraId="754EE1F5">
            <w:pPr>
              <w:autoSpaceDE w:val="0"/>
              <w:autoSpaceDN w:val="0"/>
              <w:spacing w:line="240" w:lineRule="auto"/>
              <w:jc w:val="center"/>
              <w:rPr>
                <w:rFonts w:hint="eastAsia" w:ascii="宋体" w:hAnsi="宋体" w:eastAsia="宋体" w:cs="宋体"/>
                <w:color w:val="auto"/>
                <w:sz w:val="24"/>
                <w:szCs w:val="24"/>
                <w:highlight w:val="none"/>
              </w:rPr>
            </w:pPr>
          </w:p>
        </w:tc>
        <w:tc>
          <w:tcPr>
            <w:tcW w:w="1064" w:type="dxa"/>
            <w:tcBorders>
              <w:top w:val="single" w:color="auto" w:sz="6" w:space="0"/>
              <w:left w:val="single" w:color="auto" w:sz="6" w:space="0"/>
              <w:bottom w:val="single" w:color="auto" w:sz="6" w:space="0"/>
              <w:right w:val="single" w:color="auto" w:sz="6" w:space="0"/>
            </w:tcBorders>
            <w:vAlign w:val="center"/>
          </w:tcPr>
          <w:p w14:paraId="5E17165A">
            <w:pPr>
              <w:autoSpaceDE w:val="0"/>
              <w:autoSpaceDN w:val="0"/>
              <w:spacing w:line="240" w:lineRule="auto"/>
              <w:jc w:val="center"/>
              <w:rPr>
                <w:rFonts w:hint="eastAsia" w:ascii="宋体" w:hAnsi="宋体" w:eastAsia="宋体" w:cs="宋体"/>
                <w:color w:val="auto"/>
                <w:sz w:val="24"/>
                <w:szCs w:val="24"/>
                <w:highlight w:val="none"/>
              </w:rPr>
            </w:pPr>
          </w:p>
        </w:tc>
        <w:tc>
          <w:tcPr>
            <w:tcW w:w="1312" w:type="dxa"/>
            <w:tcBorders>
              <w:top w:val="single" w:color="auto" w:sz="6" w:space="0"/>
              <w:left w:val="single" w:color="auto" w:sz="6" w:space="0"/>
              <w:bottom w:val="single" w:color="auto" w:sz="6" w:space="0"/>
              <w:right w:val="single" w:color="auto" w:sz="6" w:space="0"/>
            </w:tcBorders>
            <w:vAlign w:val="center"/>
          </w:tcPr>
          <w:p w14:paraId="6DAD1AB5">
            <w:pPr>
              <w:autoSpaceDE w:val="0"/>
              <w:autoSpaceDN w:val="0"/>
              <w:spacing w:line="240" w:lineRule="auto"/>
              <w:jc w:val="center"/>
              <w:rPr>
                <w:rFonts w:hint="eastAsia" w:ascii="宋体" w:hAnsi="宋体" w:eastAsia="宋体" w:cs="宋体"/>
                <w:color w:val="auto"/>
                <w:sz w:val="24"/>
                <w:szCs w:val="24"/>
                <w:highlight w:val="none"/>
              </w:rPr>
            </w:pPr>
          </w:p>
        </w:tc>
        <w:tc>
          <w:tcPr>
            <w:tcW w:w="1242" w:type="dxa"/>
            <w:tcBorders>
              <w:top w:val="single" w:color="auto" w:sz="6" w:space="0"/>
              <w:left w:val="single" w:color="auto" w:sz="6" w:space="0"/>
              <w:bottom w:val="single" w:color="auto" w:sz="6" w:space="0"/>
              <w:right w:val="single" w:color="auto" w:sz="6" w:space="0"/>
            </w:tcBorders>
            <w:vAlign w:val="center"/>
          </w:tcPr>
          <w:p w14:paraId="50626A8F">
            <w:pPr>
              <w:autoSpaceDE w:val="0"/>
              <w:autoSpaceDN w:val="0"/>
              <w:spacing w:line="240" w:lineRule="auto"/>
              <w:jc w:val="center"/>
              <w:rPr>
                <w:rFonts w:hint="eastAsia" w:ascii="宋体" w:hAnsi="宋体" w:eastAsia="宋体" w:cs="宋体"/>
                <w:color w:val="auto"/>
                <w:sz w:val="24"/>
                <w:szCs w:val="24"/>
                <w:highlight w:val="none"/>
              </w:rPr>
            </w:pPr>
          </w:p>
        </w:tc>
        <w:tc>
          <w:tcPr>
            <w:tcW w:w="886" w:type="dxa"/>
            <w:tcBorders>
              <w:top w:val="single" w:color="auto" w:sz="6" w:space="0"/>
              <w:left w:val="single" w:color="auto" w:sz="6" w:space="0"/>
              <w:bottom w:val="single" w:color="auto" w:sz="6" w:space="0"/>
              <w:right w:val="single" w:color="auto" w:sz="6" w:space="0"/>
            </w:tcBorders>
            <w:vAlign w:val="center"/>
          </w:tcPr>
          <w:p w14:paraId="484F950E">
            <w:pPr>
              <w:autoSpaceDE w:val="0"/>
              <w:autoSpaceDN w:val="0"/>
              <w:spacing w:line="240" w:lineRule="auto"/>
              <w:jc w:val="center"/>
              <w:rPr>
                <w:rFonts w:hint="eastAsia" w:ascii="宋体" w:hAnsi="宋体" w:eastAsia="宋体" w:cs="宋体"/>
                <w:color w:val="auto"/>
                <w:sz w:val="24"/>
                <w:szCs w:val="24"/>
                <w:highlight w:val="none"/>
              </w:rPr>
            </w:pPr>
          </w:p>
        </w:tc>
        <w:tc>
          <w:tcPr>
            <w:tcW w:w="1358" w:type="dxa"/>
            <w:tcBorders>
              <w:top w:val="single" w:color="auto" w:sz="6" w:space="0"/>
              <w:left w:val="single" w:color="auto" w:sz="6" w:space="0"/>
              <w:bottom w:val="single" w:color="auto" w:sz="6" w:space="0"/>
              <w:right w:val="single" w:color="auto" w:sz="6" w:space="0"/>
            </w:tcBorders>
            <w:vAlign w:val="center"/>
          </w:tcPr>
          <w:p w14:paraId="622E2FC7">
            <w:pPr>
              <w:autoSpaceDE w:val="0"/>
              <w:autoSpaceDN w:val="0"/>
              <w:spacing w:line="240" w:lineRule="auto"/>
              <w:jc w:val="center"/>
              <w:rPr>
                <w:rFonts w:hint="eastAsia" w:ascii="宋体" w:hAnsi="宋体" w:eastAsia="宋体" w:cs="宋体"/>
                <w:color w:val="auto"/>
                <w:sz w:val="24"/>
                <w:szCs w:val="24"/>
                <w:highlight w:val="none"/>
              </w:rPr>
            </w:pPr>
          </w:p>
        </w:tc>
      </w:tr>
      <w:tr w14:paraId="53C44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451" w:type="dxa"/>
            <w:tcBorders>
              <w:top w:val="single" w:color="auto" w:sz="6" w:space="0"/>
              <w:left w:val="single" w:color="auto" w:sz="6" w:space="0"/>
              <w:bottom w:val="single" w:color="auto" w:sz="6" w:space="0"/>
              <w:right w:val="single" w:color="auto" w:sz="4" w:space="0"/>
            </w:tcBorders>
            <w:vAlign w:val="center"/>
          </w:tcPr>
          <w:p w14:paraId="411B1888">
            <w:pPr>
              <w:autoSpaceDE w:val="0"/>
              <w:autoSpaceDN w:val="0"/>
              <w:spacing w:line="240" w:lineRule="auto"/>
              <w:jc w:val="center"/>
              <w:rPr>
                <w:rFonts w:hint="eastAsia" w:ascii="宋体" w:hAnsi="宋体" w:eastAsia="宋体" w:cs="宋体"/>
                <w:color w:val="auto"/>
                <w:sz w:val="24"/>
                <w:szCs w:val="24"/>
                <w:highlight w:val="none"/>
              </w:rPr>
            </w:pPr>
          </w:p>
        </w:tc>
        <w:tc>
          <w:tcPr>
            <w:tcW w:w="971" w:type="dxa"/>
            <w:tcBorders>
              <w:top w:val="single" w:color="auto" w:sz="6" w:space="0"/>
              <w:left w:val="single" w:color="auto" w:sz="4" w:space="0"/>
              <w:bottom w:val="single" w:color="auto" w:sz="6" w:space="0"/>
              <w:right w:val="single" w:color="auto" w:sz="6" w:space="0"/>
            </w:tcBorders>
            <w:vAlign w:val="center"/>
          </w:tcPr>
          <w:p w14:paraId="14FFDE3C">
            <w:pPr>
              <w:autoSpaceDE w:val="0"/>
              <w:autoSpaceDN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售后人员</w:t>
            </w:r>
          </w:p>
        </w:tc>
        <w:tc>
          <w:tcPr>
            <w:tcW w:w="725" w:type="dxa"/>
            <w:tcBorders>
              <w:top w:val="single" w:color="auto" w:sz="6" w:space="0"/>
              <w:left w:val="single" w:color="auto" w:sz="6" w:space="0"/>
              <w:bottom w:val="single" w:color="auto" w:sz="6" w:space="0"/>
              <w:right w:val="single" w:color="auto" w:sz="6" w:space="0"/>
            </w:tcBorders>
            <w:vAlign w:val="center"/>
          </w:tcPr>
          <w:p w14:paraId="6579B3A3">
            <w:pPr>
              <w:autoSpaceDE w:val="0"/>
              <w:autoSpaceDN w:val="0"/>
              <w:spacing w:line="240" w:lineRule="auto"/>
              <w:jc w:val="center"/>
              <w:rPr>
                <w:rFonts w:hint="eastAsia" w:ascii="宋体" w:hAnsi="宋体" w:eastAsia="宋体" w:cs="宋体"/>
                <w:color w:val="auto"/>
                <w:sz w:val="24"/>
                <w:szCs w:val="24"/>
                <w:highlight w:val="none"/>
              </w:rPr>
            </w:pPr>
          </w:p>
        </w:tc>
        <w:tc>
          <w:tcPr>
            <w:tcW w:w="876" w:type="dxa"/>
            <w:tcBorders>
              <w:top w:val="single" w:color="auto" w:sz="6" w:space="0"/>
              <w:left w:val="single" w:color="auto" w:sz="6" w:space="0"/>
              <w:bottom w:val="single" w:color="auto" w:sz="6" w:space="0"/>
              <w:right w:val="single" w:color="auto" w:sz="6" w:space="0"/>
            </w:tcBorders>
            <w:vAlign w:val="center"/>
          </w:tcPr>
          <w:p w14:paraId="40B2615E">
            <w:pPr>
              <w:autoSpaceDE w:val="0"/>
              <w:autoSpaceDN w:val="0"/>
              <w:spacing w:line="240" w:lineRule="auto"/>
              <w:jc w:val="center"/>
              <w:rPr>
                <w:rFonts w:hint="eastAsia" w:ascii="宋体" w:hAnsi="宋体" w:eastAsia="宋体" w:cs="宋体"/>
                <w:color w:val="auto"/>
                <w:sz w:val="24"/>
                <w:szCs w:val="24"/>
                <w:highlight w:val="none"/>
              </w:rPr>
            </w:pPr>
          </w:p>
        </w:tc>
        <w:tc>
          <w:tcPr>
            <w:tcW w:w="886" w:type="dxa"/>
            <w:tcBorders>
              <w:top w:val="single" w:color="auto" w:sz="6" w:space="0"/>
              <w:left w:val="single" w:color="auto" w:sz="6" w:space="0"/>
              <w:bottom w:val="single" w:color="auto" w:sz="6" w:space="0"/>
              <w:right w:val="single" w:color="auto" w:sz="6" w:space="0"/>
            </w:tcBorders>
            <w:vAlign w:val="center"/>
          </w:tcPr>
          <w:p w14:paraId="1F9A41F3">
            <w:pPr>
              <w:autoSpaceDE w:val="0"/>
              <w:autoSpaceDN w:val="0"/>
              <w:spacing w:line="240" w:lineRule="auto"/>
              <w:jc w:val="center"/>
              <w:rPr>
                <w:rFonts w:hint="eastAsia" w:ascii="宋体" w:hAnsi="宋体" w:eastAsia="宋体" w:cs="宋体"/>
                <w:color w:val="auto"/>
                <w:sz w:val="24"/>
                <w:szCs w:val="24"/>
                <w:highlight w:val="none"/>
              </w:rPr>
            </w:pPr>
          </w:p>
        </w:tc>
        <w:tc>
          <w:tcPr>
            <w:tcW w:w="1064" w:type="dxa"/>
            <w:tcBorders>
              <w:top w:val="single" w:color="auto" w:sz="6" w:space="0"/>
              <w:left w:val="single" w:color="auto" w:sz="6" w:space="0"/>
              <w:bottom w:val="single" w:color="auto" w:sz="6" w:space="0"/>
              <w:right w:val="single" w:color="auto" w:sz="6" w:space="0"/>
            </w:tcBorders>
            <w:vAlign w:val="center"/>
          </w:tcPr>
          <w:p w14:paraId="05FA201E">
            <w:pPr>
              <w:autoSpaceDE w:val="0"/>
              <w:autoSpaceDN w:val="0"/>
              <w:spacing w:line="240" w:lineRule="auto"/>
              <w:jc w:val="center"/>
              <w:rPr>
                <w:rFonts w:hint="eastAsia" w:ascii="宋体" w:hAnsi="宋体" w:eastAsia="宋体" w:cs="宋体"/>
                <w:color w:val="auto"/>
                <w:sz w:val="24"/>
                <w:szCs w:val="24"/>
                <w:highlight w:val="none"/>
              </w:rPr>
            </w:pPr>
          </w:p>
        </w:tc>
        <w:tc>
          <w:tcPr>
            <w:tcW w:w="1312" w:type="dxa"/>
            <w:tcBorders>
              <w:top w:val="single" w:color="auto" w:sz="6" w:space="0"/>
              <w:left w:val="single" w:color="auto" w:sz="6" w:space="0"/>
              <w:bottom w:val="single" w:color="auto" w:sz="6" w:space="0"/>
              <w:right w:val="single" w:color="auto" w:sz="6" w:space="0"/>
            </w:tcBorders>
            <w:vAlign w:val="center"/>
          </w:tcPr>
          <w:p w14:paraId="449580BF">
            <w:pPr>
              <w:autoSpaceDE w:val="0"/>
              <w:autoSpaceDN w:val="0"/>
              <w:spacing w:line="240" w:lineRule="auto"/>
              <w:jc w:val="center"/>
              <w:rPr>
                <w:rFonts w:hint="eastAsia" w:ascii="宋体" w:hAnsi="宋体" w:eastAsia="宋体" w:cs="宋体"/>
                <w:color w:val="auto"/>
                <w:sz w:val="24"/>
                <w:szCs w:val="24"/>
                <w:highlight w:val="none"/>
              </w:rPr>
            </w:pPr>
          </w:p>
        </w:tc>
        <w:tc>
          <w:tcPr>
            <w:tcW w:w="1242" w:type="dxa"/>
            <w:tcBorders>
              <w:top w:val="single" w:color="auto" w:sz="6" w:space="0"/>
              <w:left w:val="single" w:color="auto" w:sz="6" w:space="0"/>
              <w:bottom w:val="single" w:color="auto" w:sz="6" w:space="0"/>
              <w:right w:val="single" w:color="auto" w:sz="6" w:space="0"/>
            </w:tcBorders>
            <w:vAlign w:val="center"/>
          </w:tcPr>
          <w:p w14:paraId="31F77859">
            <w:pPr>
              <w:autoSpaceDE w:val="0"/>
              <w:autoSpaceDN w:val="0"/>
              <w:spacing w:line="240" w:lineRule="auto"/>
              <w:jc w:val="center"/>
              <w:rPr>
                <w:rFonts w:hint="eastAsia" w:ascii="宋体" w:hAnsi="宋体" w:eastAsia="宋体" w:cs="宋体"/>
                <w:color w:val="auto"/>
                <w:sz w:val="24"/>
                <w:szCs w:val="24"/>
                <w:highlight w:val="none"/>
              </w:rPr>
            </w:pPr>
          </w:p>
        </w:tc>
        <w:tc>
          <w:tcPr>
            <w:tcW w:w="886" w:type="dxa"/>
            <w:tcBorders>
              <w:top w:val="single" w:color="auto" w:sz="6" w:space="0"/>
              <w:left w:val="single" w:color="auto" w:sz="6" w:space="0"/>
              <w:bottom w:val="single" w:color="auto" w:sz="6" w:space="0"/>
              <w:right w:val="single" w:color="auto" w:sz="6" w:space="0"/>
            </w:tcBorders>
            <w:vAlign w:val="center"/>
          </w:tcPr>
          <w:p w14:paraId="4EE85018">
            <w:pPr>
              <w:autoSpaceDE w:val="0"/>
              <w:autoSpaceDN w:val="0"/>
              <w:spacing w:line="240" w:lineRule="auto"/>
              <w:jc w:val="center"/>
              <w:rPr>
                <w:rFonts w:hint="eastAsia" w:ascii="宋体" w:hAnsi="宋体" w:eastAsia="宋体" w:cs="宋体"/>
                <w:color w:val="auto"/>
                <w:sz w:val="24"/>
                <w:szCs w:val="24"/>
                <w:highlight w:val="none"/>
              </w:rPr>
            </w:pPr>
          </w:p>
        </w:tc>
        <w:tc>
          <w:tcPr>
            <w:tcW w:w="1358" w:type="dxa"/>
            <w:tcBorders>
              <w:top w:val="single" w:color="auto" w:sz="6" w:space="0"/>
              <w:left w:val="single" w:color="auto" w:sz="6" w:space="0"/>
              <w:bottom w:val="single" w:color="auto" w:sz="6" w:space="0"/>
              <w:right w:val="single" w:color="auto" w:sz="6" w:space="0"/>
            </w:tcBorders>
            <w:vAlign w:val="center"/>
          </w:tcPr>
          <w:p w14:paraId="5509E1F8">
            <w:pPr>
              <w:autoSpaceDE w:val="0"/>
              <w:autoSpaceDN w:val="0"/>
              <w:spacing w:line="240" w:lineRule="auto"/>
              <w:jc w:val="center"/>
              <w:rPr>
                <w:rFonts w:hint="eastAsia" w:ascii="宋体" w:hAnsi="宋体" w:eastAsia="宋体" w:cs="宋体"/>
                <w:color w:val="auto"/>
                <w:sz w:val="24"/>
                <w:szCs w:val="24"/>
                <w:highlight w:val="none"/>
              </w:rPr>
            </w:pPr>
          </w:p>
        </w:tc>
      </w:tr>
      <w:tr w14:paraId="08C11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451" w:type="dxa"/>
            <w:tcBorders>
              <w:top w:val="single" w:color="auto" w:sz="6" w:space="0"/>
              <w:left w:val="single" w:color="auto" w:sz="6" w:space="0"/>
              <w:bottom w:val="single" w:color="auto" w:sz="6" w:space="0"/>
              <w:right w:val="single" w:color="auto" w:sz="4" w:space="0"/>
            </w:tcBorders>
            <w:vAlign w:val="center"/>
          </w:tcPr>
          <w:p w14:paraId="75A42ABC">
            <w:pPr>
              <w:autoSpaceDE w:val="0"/>
              <w:autoSpaceDN w:val="0"/>
              <w:spacing w:line="240" w:lineRule="auto"/>
              <w:jc w:val="center"/>
              <w:rPr>
                <w:rFonts w:hint="eastAsia" w:ascii="宋体" w:hAnsi="宋体" w:eastAsia="宋体" w:cs="宋体"/>
                <w:color w:val="auto"/>
                <w:sz w:val="24"/>
                <w:szCs w:val="24"/>
                <w:highlight w:val="none"/>
              </w:rPr>
            </w:pPr>
          </w:p>
        </w:tc>
        <w:tc>
          <w:tcPr>
            <w:tcW w:w="971" w:type="dxa"/>
            <w:tcBorders>
              <w:top w:val="single" w:color="auto" w:sz="6" w:space="0"/>
              <w:left w:val="single" w:color="auto" w:sz="4" w:space="0"/>
              <w:bottom w:val="single" w:color="auto" w:sz="6" w:space="0"/>
              <w:right w:val="single" w:color="auto" w:sz="6" w:space="0"/>
            </w:tcBorders>
            <w:vAlign w:val="center"/>
          </w:tcPr>
          <w:p w14:paraId="5DFA6DB7">
            <w:pPr>
              <w:autoSpaceDE w:val="0"/>
              <w:autoSpaceDN w:val="0"/>
              <w:spacing w:line="240" w:lineRule="auto"/>
              <w:jc w:val="center"/>
              <w:rPr>
                <w:rFonts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w:t>
            </w:r>
          </w:p>
        </w:tc>
        <w:tc>
          <w:tcPr>
            <w:tcW w:w="725" w:type="dxa"/>
            <w:tcBorders>
              <w:top w:val="single" w:color="auto" w:sz="6" w:space="0"/>
              <w:left w:val="single" w:color="auto" w:sz="6" w:space="0"/>
              <w:bottom w:val="single" w:color="auto" w:sz="6" w:space="0"/>
              <w:right w:val="single" w:color="auto" w:sz="6" w:space="0"/>
            </w:tcBorders>
            <w:vAlign w:val="center"/>
          </w:tcPr>
          <w:p w14:paraId="2F9914C4">
            <w:pPr>
              <w:autoSpaceDE w:val="0"/>
              <w:autoSpaceDN w:val="0"/>
              <w:spacing w:line="240" w:lineRule="auto"/>
              <w:jc w:val="center"/>
              <w:rPr>
                <w:rFonts w:hint="eastAsia" w:ascii="宋体" w:hAnsi="宋体" w:eastAsia="宋体" w:cs="宋体"/>
                <w:color w:val="auto"/>
                <w:sz w:val="24"/>
                <w:szCs w:val="24"/>
                <w:highlight w:val="none"/>
              </w:rPr>
            </w:pPr>
          </w:p>
        </w:tc>
        <w:tc>
          <w:tcPr>
            <w:tcW w:w="876" w:type="dxa"/>
            <w:tcBorders>
              <w:top w:val="single" w:color="auto" w:sz="6" w:space="0"/>
              <w:left w:val="single" w:color="auto" w:sz="6" w:space="0"/>
              <w:bottom w:val="single" w:color="auto" w:sz="6" w:space="0"/>
              <w:right w:val="single" w:color="auto" w:sz="6" w:space="0"/>
            </w:tcBorders>
            <w:vAlign w:val="center"/>
          </w:tcPr>
          <w:p w14:paraId="0CBB11F8">
            <w:pPr>
              <w:autoSpaceDE w:val="0"/>
              <w:autoSpaceDN w:val="0"/>
              <w:spacing w:line="240" w:lineRule="auto"/>
              <w:jc w:val="center"/>
              <w:rPr>
                <w:rFonts w:hint="eastAsia" w:ascii="宋体" w:hAnsi="宋体" w:eastAsia="宋体" w:cs="宋体"/>
                <w:color w:val="auto"/>
                <w:sz w:val="24"/>
                <w:szCs w:val="24"/>
                <w:highlight w:val="none"/>
              </w:rPr>
            </w:pPr>
          </w:p>
        </w:tc>
        <w:tc>
          <w:tcPr>
            <w:tcW w:w="886" w:type="dxa"/>
            <w:tcBorders>
              <w:top w:val="single" w:color="auto" w:sz="6" w:space="0"/>
              <w:left w:val="single" w:color="auto" w:sz="6" w:space="0"/>
              <w:bottom w:val="single" w:color="auto" w:sz="6" w:space="0"/>
              <w:right w:val="single" w:color="auto" w:sz="6" w:space="0"/>
            </w:tcBorders>
            <w:vAlign w:val="center"/>
          </w:tcPr>
          <w:p w14:paraId="692A87AF">
            <w:pPr>
              <w:autoSpaceDE w:val="0"/>
              <w:autoSpaceDN w:val="0"/>
              <w:spacing w:line="240" w:lineRule="auto"/>
              <w:jc w:val="center"/>
              <w:rPr>
                <w:rFonts w:hint="eastAsia" w:ascii="宋体" w:hAnsi="宋体" w:eastAsia="宋体" w:cs="宋体"/>
                <w:color w:val="auto"/>
                <w:sz w:val="24"/>
                <w:szCs w:val="24"/>
                <w:highlight w:val="none"/>
              </w:rPr>
            </w:pPr>
          </w:p>
        </w:tc>
        <w:tc>
          <w:tcPr>
            <w:tcW w:w="1064" w:type="dxa"/>
            <w:tcBorders>
              <w:top w:val="single" w:color="auto" w:sz="6" w:space="0"/>
              <w:left w:val="single" w:color="auto" w:sz="6" w:space="0"/>
              <w:bottom w:val="single" w:color="auto" w:sz="6" w:space="0"/>
              <w:right w:val="single" w:color="auto" w:sz="6" w:space="0"/>
            </w:tcBorders>
            <w:vAlign w:val="center"/>
          </w:tcPr>
          <w:p w14:paraId="54F91F57">
            <w:pPr>
              <w:autoSpaceDE w:val="0"/>
              <w:autoSpaceDN w:val="0"/>
              <w:spacing w:line="240" w:lineRule="auto"/>
              <w:jc w:val="center"/>
              <w:rPr>
                <w:rFonts w:hint="eastAsia" w:ascii="宋体" w:hAnsi="宋体" w:eastAsia="宋体" w:cs="宋体"/>
                <w:color w:val="auto"/>
                <w:sz w:val="24"/>
                <w:szCs w:val="24"/>
                <w:highlight w:val="none"/>
              </w:rPr>
            </w:pPr>
          </w:p>
        </w:tc>
        <w:tc>
          <w:tcPr>
            <w:tcW w:w="1312" w:type="dxa"/>
            <w:tcBorders>
              <w:top w:val="single" w:color="auto" w:sz="6" w:space="0"/>
              <w:left w:val="single" w:color="auto" w:sz="6" w:space="0"/>
              <w:bottom w:val="single" w:color="auto" w:sz="6" w:space="0"/>
              <w:right w:val="single" w:color="auto" w:sz="6" w:space="0"/>
            </w:tcBorders>
            <w:vAlign w:val="center"/>
          </w:tcPr>
          <w:p w14:paraId="29005E15">
            <w:pPr>
              <w:autoSpaceDE w:val="0"/>
              <w:autoSpaceDN w:val="0"/>
              <w:spacing w:line="240" w:lineRule="auto"/>
              <w:jc w:val="center"/>
              <w:rPr>
                <w:rFonts w:hint="eastAsia" w:ascii="宋体" w:hAnsi="宋体" w:eastAsia="宋体" w:cs="宋体"/>
                <w:color w:val="auto"/>
                <w:sz w:val="24"/>
                <w:szCs w:val="24"/>
                <w:highlight w:val="none"/>
              </w:rPr>
            </w:pPr>
          </w:p>
        </w:tc>
        <w:tc>
          <w:tcPr>
            <w:tcW w:w="1242" w:type="dxa"/>
            <w:tcBorders>
              <w:top w:val="single" w:color="auto" w:sz="6" w:space="0"/>
              <w:left w:val="single" w:color="auto" w:sz="6" w:space="0"/>
              <w:bottom w:val="single" w:color="auto" w:sz="6" w:space="0"/>
              <w:right w:val="single" w:color="auto" w:sz="6" w:space="0"/>
            </w:tcBorders>
            <w:vAlign w:val="center"/>
          </w:tcPr>
          <w:p w14:paraId="70495886">
            <w:pPr>
              <w:autoSpaceDE w:val="0"/>
              <w:autoSpaceDN w:val="0"/>
              <w:spacing w:line="240" w:lineRule="auto"/>
              <w:jc w:val="center"/>
              <w:rPr>
                <w:rFonts w:hint="eastAsia" w:ascii="宋体" w:hAnsi="宋体" w:eastAsia="宋体" w:cs="宋体"/>
                <w:color w:val="auto"/>
                <w:sz w:val="24"/>
                <w:szCs w:val="24"/>
                <w:highlight w:val="none"/>
              </w:rPr>
            </w:pPr>
          </w:p>
        </w:tc>
        <w:tc>
          <w:tcPr>
            <w:tcW w:w="886" w:type="dxa"/>
            <w:tcBorders>
              <w:top w:val="single" w:color="auto" w:sz="6" w:space="0"/>
              <w:left w:val="single" w:color="auto" w:sz="6" w:space="0"/>
              <w:bottom w:val="single" w:color="auto" w:sz="6" w:space="0"/>
              <w:right w:val="single" w:color="auto" w:sz="6" w:space="0"/>
            </w:tcBorders>
            <w:vAlign w:val="center"/>
          </w:tcPr>
          <w:p w14:paraId="5AE029B9">
            <w:pPr>
              <w:autoSpaceDE w:val="0"/>
              <w:autoSpaceDN w:val="0"/>
              <w:spacing w:line="240" w:lineRule="auto"/>
              <w:jc w:val="center"/>
              <w:rPr>
                <w:rFonts w:hint="eastAsia" w:ascii="宋体" w:hAnsi="宋体" w:eastAsia="宋体" w:cs="宋体"/>
                <w:color w:val="auto"/>
                <w:sz w:val="24"/>
                <w:szCs w:val="24"/>
                <w:highlight w:val="none"/>
              </w:rPr>
            </w:pPr>
          </w:p>
        </w:tc>
        <w:tc>
          <w:tcPr>
            <w:tcW w:w="1358" w:type="dxa"/>
            <w:tcBorders>
              <w:top w:val="single" w:color="auto" w:sz="6" w:space="0"/>
              <w:left w:val="single" w:color="auto" w:sz="6" w:space="0"/>
              <w:bottom w:val="single" w:color="auto" w:sz="6" w:space="0"/>
              <w:right w:val="single" w:color="auto" w:sz="6" w:space="0"/>
            </w:tcBorders>
            <w:vAlign w:val="center"/>
          </w:tcPr>
          <w:p w14:paraId="5B824603">
            <w:pPr>
              <w:autoSpaceDE w:val="0"/>
              <w:autoSpaceDN w:val="0"/>
              <w:spacing w:line="240" w:lineRule="auto"/>
              <w:jc w:val="center"/>
              <w:rPr>
                <w:rFonts w:hint="eastAsia" w:ascii="宋体" w:hAnsi="宋体" w:eastAsia="宋体" w:cs="宋体"/>
                <w:color w:val="auto"/>
                <w:sz w:val="24"/>
                <w:szCs w:val="24"/>
                <w:highlight w:val="none"/>
              </w:rPr>
            </w:pPr>
          </w:p>
        </w:tc>
      </w:tr>
    </w:tbl>
    <w:p w14:paraId="5821C936">
      <w:pPr>
        <w:pStyle w:val="20"/>
        <w:rPr>
          <w:color w:val="auto"/>
          <w:highlight w:val="none"/>
        </w:rPr>
      </w:pPr>
    </w:p>
    <w:p w14:paraId="4930F55E">
      <w:pPr>
        <w:pStyle w:val="20"/>
        <w:rPr>
          <w:rFonts w:ascii="宋体" w:cs="宋体"/>
          <w:color w:val="auto"/>
          <w:sz w:val="21"/>
          <w:szCs w:val="21"/>
          <w:highlight w:val="none"/>
        </w:rPr>
      </w:pPr>
    </w:p>
    <w:p w14:paraId="1556AF57">
      <w:pPr>
        <w:pStyle w:val="20"/>
        <w:rPr>
          <w:color w:val="auto"/>
          <w:highlight w:val="none"/>
        </w:rPr>
      </w:pPr>
    </w:p>
    <w:p w14:paraId="1D4DAAF0">
      <w:pPr>
        <w:snapToGrid w:val="0"/>
        <w:spacing w:line="360" w:lineRule="auto"/>
        <w:ind w:firstLine="5280" w:firstLineChars="2200"/>
        <w:rPr>
          <w:rFonts w:ascii="宋体" w:cs="宋体"/>
          <w:color w:val="auto"/>
          <w:kern w:val="0"/>
          <w:sz w:val="24"/>
          <w:highlight w:val="none"/>
        </w:rPr>
      </w:pPr>
      <w:r>
        <w:rPr>
          <w:rFonts w:hint="eastAsia" w:ascii="宋体" w:cs="宋体"/>
          <w:color w:val="auto"/>
          <w:kern w:val="0"/>
          <w:sz w:val="24"/>
          <w:highlight w:val="none"/>
          <w:lang w:val="zh-CN"/>
        </w:rPr>
        <w:t>投标人名称（盖公章）：</w:t>
      </w:r>
    </w:p>
    <w:p w14:paraId="7051E910">
      <w:pPr>
        <w:snapToGrid w:val="0"/>
        <w:spacing w:line="360" w:lineRule="auto"/>
        <w:jc w:val="center"/>
        <w:rPr>
          <w:rFonts w:ascii="宋体" w:cs="宋体"/>
          <w:b/>
          <w:bCs/>
          <w:color w:val="auto"/>
          <w:sz w:val="24"/>
          <w:highlight w:val="none"/>
        </w:rPr>
      </w:pPr>
      <w:r>
        <w:rPr>
          <w:rFonts w:hint="eastAsia" w:ascii="宋体" w:cs="宋体"/>
          <w:color w:val="auto"/>
          <w:kern w:val="0"/>
          <w:sz w:val="24"/>
          <w:highlight w:val="none"/>
        </w:rPr>
        <w:t xml:space="preserve">                          </w:t>
      </w:r>
      <w:r>
        <w:rPr>
          <w:rFonts w:hint="eastAsia" w:ascii="宋体" w:cs="宋体"/>
          <w:color w:val="auto"/>
          <w:kern w:val="0"/>
          <w:sz w:val="24"/>
          <w:highlight w:val="none"/>
          <w:lang w:val="zh-CN"/>
        </w:rPr>
        <w:t>日期</w:t>
      </w:r>
      <w:r>
        <w:rPr>
          <w:rFonts w:hint="eastAsia" w:ascii="宋体" w:cs="宋体"/>
          <w:color w:val="auto"/>
          <w:kern w:val="0"/>
          <w:sz w:val="24"/>
          <w:highlight w:val="none"/>
        </w:rPr>
        <w:t xml:space="preserve">：  年  </w:t>
      </w:r>
      <w:r>
        <w:rPr>
          <w:rFonts w:hint="eastAsia" w:ascii="宋体" w:cs="宋体"/>
          <w:color w:val="auto"/>
          <w:kern w:val="0"/>
          <w:sz w:val="24"/>
          <w:highlight w:val="none"/>
          <w:lang w:val="zh-CN"/>
        </w:rPr>
        <w:t>月</w:t>
      </w:r>
      <w:r>
        <w:rPr>
          <w:rFonts w:hint="eastAsia" w:ascii="宋体" w:cs="宋体"/>
          <w:color w:val="auto"/>
          <w:kern w:val="0"/>
          <w:sz w:val="24"/>
          <w:highlight w:val="none"/>
        </w:rPr>
        <w:t xml:space="preserve">   </w:t>
      </w:r>
      <w:r>
        <w:rPr>
          <w:rFonts w:hint="eastAsia" w:ascii="宋体" w:cs="宋体"/>
          <w:color w:val="auto"/>
          <w:kern w:val="0"/>
          <w:sz w:val="24"/>
          <w:highlight w:val="none"/>
          <w:lang w:val="zh-CN"/>
        </w:rPr>
        <w:t>日</w:t>
      </w:r>
    </w:p>
    <w:p w14:paraId="48825F3B">
      <w:pPr>
        <w:snapToGrid w:val="0"/>
        <w:spacing w:line="360" w:lineRule="auto"/>
        <w:jc w:val="center"/>
        <w:rPr>
          <w:rFonts w:ascii="宋体" w:cs="宋体"/>
          <w:b/>
          <w:bCs/>
          <w:color w:val="auto"/>
          <w:sz w:val="24"/>
          <w:highlight w:val="none"/>
        </w:rPr>
      </w:pPr>
    </w:p>
    <w:p w14:paraId="0E72094E">
      <w:pPr>
        <w:pStyle w:val="16"/>
        <w:jc w:val="center"/>
        <w:outlineLvl w:val="1"/>
        <w:rPr>
          <w:rFonts w:cs="宋体"/>
          <w:b/>
          <w:bCs/>
          <w:color w:val="auto"/>
          <w:sz w:val="28"/>
          <w:szCs w:val="28"/>
          <w:highlight w:val="none"/>
        </w:rPr>
      </w:pPr>
      <w:r>
        <w:rPr>
          <w:rFonts w:hint="eastAsia" w:cs="宋体"/>
          <w:b/>
          <w:bCs/>
          <w:color w:val="auto"/>
          <w:sz w:val="24"/>
          <w:szCs w:val="24"/>
          <w:highlight w:val="none"/>
        </w:rPr>
        <w:br w:type="page"/>
      </w:r>
      <w:bookmarkStart w:id="281" w:name="_Toc21638"/>
      <w:bookmarkStart w:id="282" w:name="_Toc10710"/>
      <w:bookmarkStart w:id="283" w:name="_Toc31296"/>
      <w:bookmarkStart w:id="284" w:name="_Toc17482"/>
      <w:bookmarkStart w:id="285" w:name="_Toc27076"/>
      <w:r>
        <w:rPr>
          <w:rFonts w:hint="eastAsia" w:cs="宋体"/>
          <w:b/>
          <w:bCs/>
          <w:color w:val="auto"/>
          <w:sz w:val="28"/>
          <w:szCs w:val="28"/>
          <w:highlight w:val="none"/>
        </w:rPr>
        <w:t>第</w:t>
      </w:r>
      <w:r>
        <w:rPr>
          <w:rFonts w:hint="eastAsia" w:cs="宋体"/>
          <w:b/>
          <w:bCs/>
          <w:color w:val="auto"/>
          <w:sz w:val="28"/>
          <w:szCs w:val="28"/>
          <w:highlight w:val="none"/>
          <w:lang w:val="en-US" w:eastAsia="zh-CN"/>
        </w:rPr>
        <w:t>三</w:t>
      </w:r>
      <w:r>
        <w:rPr>
          <w:rFonts w:hint="eastAsia" w:cs="宋体"/>
          <w:b/>
          <w:bCs/>
          <w:color w:val="auto"/>
          <w:sz w:val="28"/>
          <w:szCs w:val="28"/>
          <w:highlight w:val="none"/>
        </w:rPr>
        <w:t>节 报价文件格式</w:t>
      </w:r>
      <w:bookmarkEnd w:id="281"/>
      <w:bookmarkEnd w:id="282"/>
      <w:bookmarkEnd w:id="283"/>
      <w:bookmarkEnd w:id="284"/>
      <w:bookmarkEnd w:id="285"/>
    </w:p>
    <w:p w14:paraId="41A94996">
      <w:pPr>
        <w:snapToGrid w:val="0"/>
        <w:spacing w:before="166" w:beforeLines="50" w:after="50" w:line="400" w:lineRule="exact"/>
        <w:jc w:val="left"/>
        <w:rPr>
          <w:rFonts w:ascii="宋体" w:cs="宋体"/>
          <w:color w:val="auto"/>
          <w:sz w:val="24"/>
          <w:highlight w:val="none"/>
        </w:rPr>
      </w:pPr>
    </w:p>
    <w:p w14:paraId="029142E6">
      <w:pPr>
        <w:snapToGrid w:val="0"/>
        <w:spacing w:before="166" w:beforeLines="50" w:after="50" w:line="400" w:lineRule="exact"/>
        <w:jc w:val="left"/>
        <w:rPr>
          <w:rFonts w:ascii="宋体" w:cs="宋体"/>
          <w:b/>
          <w:bCs/>
          <w:color w:val="auto"/>
          <w:sz w:val="28"/>
          <w:szCs w:val="28"/>
          <w:highlight w:val="none"/>
        </w:rPr>
      </w:pPr>
      <w:r>
        <w:rPr>
          <w:rFonts w:hint="eastAsia" w:ascii="宋体" w:cs="宋体"/>
          <w:color w:val="auto"/>
          <w:sz w:val="24"/>
          <w:highlight w:val="none"/>
        </w:rPr>
        <w:t xml:space="preserve"> </w:t>
      </w:r>
      <w:r>
        <w:rPr>
          <w:rFonts w:hint="eastAsia" w:ascii="宋体" w:cs="宋体"/>
          <w:b/>
          <w:bCs/>
          <w:color w:val="auto"/>
          <w:sz w:val="28"/>
          <w:szCs w:val="28"/>
          <w:highlight w:val="none"/>
        </w:rPr>
        <w:t>1.报价文件封面的格式</w:t>
      </w:r>
      <w:r>
        <w:rPr>
          <w:rFonts w:hint="eastAsia" w:ascii="宋体" w:cs="宋体"/>
          <w:b/>
          <w:color w:val="auto"/>
          <w:sz w:val="28"/>
          <w:szCs w:val="28"/>
          <w:highlight w:val="none"/>
        </w:rPr>
        <w:t>（参照此格式自拟）</w:t>
      </w:r>
      <w:r>
        <w:rPr>
          <w:rFonts w:hint="eastAsia" w:ascii="宋体" w:cs="宋体"/>
          <w:b/>
          <w:bCs/>
          <w:color w:val="auto"/>
          <w:sz w:val="28"/>
          <w:szCs w:val="28"/>
          <w:highlight w:val="none"/>
        </w:rPr>
        <w:t xml:space="preserve">： </w:t>
      </w:r>
    </w:p>
    <w:p w14:paraId="43E304BE">
      <w:pPr>
        <w:snapToGrid w:val="0"/>
        <w:spacing w:before="166" w:beforeLines="50" w:after="50" w:line="400" w:lineRule="exact"/>
        <w:jc w:val="left"/>
        <w:rPr>
          <w:rFonts w:ascii="宋体" w:cs="宋体"/>
          <w:b/>
          <w:bCs/>
          <w:color w:val="auto"/>
          <w:sz w:val="28"/>
          <w:szCs w:val="28"/>
          <w:highlight w:val="none"/>
        </w:rPr>
      </w:pPr>
    </w:p>
    <w:p w14:paraId="40083AE3">
      <w:pPr>
        <w:snapToGrid w:val="0"/>
        <w:spacing w:before="166" w:beforeLines="50" w:after="50" w:line="400" w:lineRule="exact"/>
        <w:jc w:val="left"/>
        <w:rPr>
          <w:rFonts w:ascii="宋体" w:cs="宋体"/>
          <w:color w:val="auto"/>
          <w:sz w:val="24"/>
          <w:highlight w:val="none"/>
        </w:rPr>
      </w:pPr>
      <w:r>
        <w:rPr>
          <w:rFonts w:hint="eastAsia" w:ascii="宋体" w:cs="宋体"/>
          <w:b/>
          <w:bCs/>
          <w:color w:val="auto"/>
          <w:sz w:val="28"/>
          <w:szCs w:val="28"/>
          <w:highlight w:val="none"/>
        </w:rPr>
        <w:t xml:space="preserve">   </w:t>
      </w:r>
      <w:r>
        <w:rPr>
          <w:rFonts w:hint="eastAsia" w:ascii="宋体" w:cs="宋体"/>
          <w:color w:val="auto"/>
          <w:sz w:val="24"/>
          <w:highlight w:val="none"/>
        </w:rPr>
        <w:t xml:space="preserve">                                            </w:t>
      </w:r>
    </w:p>
    <w:p w14:paraId="3A33FE8E">
      <w:pPr>
        <w:snapToGrid w:val="0"/>
        <w:spacing w:before="166" w:beforeLines="50" w:after="50" w:line="400" w:lineRule="exact"/>
        <w:ind w:firstLine="5760" w:firstLineChars="2400"/>
        <w:rPr>
          <w:rFonts w:ascii="宋体" w:cs="宋体"/>
          <w:bCs/>
          <w:color w:val="auto"/>
          <w:sz w:val="32"/>
          <w:szCs w:val="20"/>
          <w:highlight w:val="none"/>
        </w:rPr>
      </w:pPr>
      <w:r>
        <w:rPr>
          <w:rFonts w:hint="eastAsia" w:ascii="宋体" w:cs="宋体"/>
          <w:color w:val="auto"/>
          <w:sz w:val="24"/>
          <w:highlight w:val="none"/>
        </w:rPr>
        <w:t xml:space="preserve">    </w:t>
      </w:r>
      <w:r>
        <w:rPr>
          <w:rFonts w:hint="eastAsia" w:ascii="宋体" w:cs="宋体"/>
          <w:bCs/>
          <w:color w:val="auto"/>
          <w:highlight w:val="none"/>
        </w:rPr>
        <w:t>电子投标文件</w:t>
      </w:r>
    </w:p>
    <w:p w14:paraId="3E9F01A4">
      <w:pPr>
        <w:snapToGrid w:val="0"/>
        <w:spacing w:before="166" w:beforeLines="50" w:after="50" w:line="400" w:lineRule="exact"/>
        <w:jc w:val="center"/>
        <w:rPr>
          <w:rFonts w:ascii="宋体" w:cs="宋体"/>
          <w:bCs/>
          <w:color w:val="auto"/>
          <w:sz w:val="24"/>
          <w:szCs w:val="20"/>
          <w:highlight w:val="none"/>
        </w:rPr>
      </w:pPr>
    </w:p>
    <w:p w14:paraId="380F0747">
      <w:pPr>
        <w:snapToGrid w:val="0"/>
        <w:spacing w:before="166" w:beforeLines="50" w:after="50" w:line="400" w:lineRule="exact"/>
        <w:jc w:val="center"/>
        <w:rPr>
          <w:rFonts w:ascii="宋体" w:cs="宋体"/>
          <w:b/>
          <w:bCs/>
          <w:color w:val="auto"/>
          <w:sz w:val="32"/>
          <w:szCs w:val="32"/>
          <w:highlight w:val="none"/>
        </w:rPr>
      </w:pPr>
    </w:p>
    <w:p w14:paraId="1BFD73F9">
      <w:pPr>
        <w:snapToGrid w:val="0"/>
        <w:spacing w:before="166" w:beforeLines="50" w:after="50" w:line="400" w:lineRule="exact"/>
        <w:jc w:val="center"/>
        <w:rPr>
          <w:rFonts w:ascii="宋体" w:cs="宋体"/>
          <w:b/>
          <w:bCs/>
          <w:color w:val="auto"/>
          <w:sz w:val="32"/>
          <w:szCs w:val="32"/>
          <w:highlight w:val="none"/>
        </w:rPr>
      </w:pPr>
      <w:r>
        <w:rPr>
          <w:rFonts w:hint="eastAsia" w:ascii="宋体" w:cs="宋体"/>
          <w:b/>
          <w:bCs/>
          <w:color w:val="auto"/>
          <w:sz w:val="32"/>
          <w:szCs w:val="32"/>
          <w:highlight w:val="none"/>
        </w:rPr>
        <w:t>报价文件</w:t>
      </w:r>
    </w:p>
    <w:p w14:paraId="4EF9E325">
      <w:pPr>
        <w:snapToGrid w:val="0"/>
        <w:spacing w:before="166" w:beforeLines="50" w:after="50" w:line="400" w:lineRule="exact"/>
        <w:rPr>
          <w:rFonts w:ascii="宋体" w:cs="宋体"/>
          <w:bCs/>
          <w:color w:val="auto"/>
          <w:sz w:val="24"/>
          <w:szCs w:val="20"/>
          <w:highlight w:val="none"/>
        </w:rPr>
      </w:pPr>
    </w:p>
    <w:p w14:paraId="16B7625C">
      <w:pPr>
        <w:snapToGrid w:val="0"/>
        <w:spacing w:before="166" w:beforeLines="50" w:after="50" w:line="400" w:lineRule="exact"/>
        <w:rPr>
          <w:rFonts w:ascii="宋体" w:cs="宋体"/>
          <w:bCs/>
          <w:color w:val="auto"/>
          <w:sz w:val="24"/>
          <w:szCs w:val="20"/>
          <w:highlight w:val="none"/>
        </w:rPr>
      </w:pPr>
    </w:p>
    <w:p w14:paraId="3023629B">
      <w:pPr>
        <w:snapToGrid w:val="0"/>
        <w:spacing w:before="166" w:beforeLines="50" w:after="50" w:line="400" w:lineRule="exact"/>
        <w:rPr>
          <w:rFonts w:ascii="宋体" w:cs="宋体"/>
          <w:bCs/>
          <w:color w:val="auto"/>
          <w:sz w:val="24"/>
          <w:szCs w:val="20"/>
          <w:highlight w:val="none"/>
        </w:rPr>
      </w:pPr>
    </w:p>
    <w:p w14:paraId="52D39027">
      <w:pPr>
        <w:snapToGrid w:val="0"/>
        <w:spacing w:before="166" w:beforeLines="50" w:after="50" w:line="400" w:lineRule="exact"/>
        <w:rPr>
          <w:rFonts w:ascii="宋体" w:cs="宋体"/>
          <w:bCs/>
          <w:color w:val="auto"/>
          <w:sz w:val="24"/>
          <w:szCs w:val="20"/>
          <w:highlight w:val="none"/>
        </w:rPr>
      </w:pPr>
    </w:p>
    <w:p w14:paraId="7CE6E78D">
      <w:pPr>
        <w:snapToGrid w:val="0"/>
        <w:spacing w:before="166" w:beforeLines="50" w:after="50" w:line="400" w:lineRule="exact"/>
        <w:ind w:firstLine="360" w:firstLineChars="150"/>
        <w:rPr>
          <w:rFonts w:ascii="宋体" w:cs="宋体"/>
          <w:bCs/>
          <w:color w:val="auto"/>
          <w:sz w:val="24"/>
          <w:highlight w:val="none"/>
        </w:rPr>
      </w:pPr>
      <w:r>
        <w:rPr>
          <w:rFonts w:hint="eastAsia" w:ascii="宋体" w:cs="宋体"/>
          <w:bCs/>
          <w:color w:val="auto"/>
          <w:sz w:val="24"/>
          <w:highlight w:val="none"/>
        </w:rPr>
        <w:t xml:space="preserve">项目名称： </w:t>
      </w:r>
    </w:p>
    <w:p w14:paraId="60C4E1CB">
      <w:pPr>
        <w:snapToGrid w:val="0"/>
        <w:spacing w:before="166" w:beforeLines="50" w:after="50" w:line="400" w:lineRule="exact"/>
        <w:ind w:firstLine="360" w:firstLineChars="150"/>
        <w:rPr>
          <w:rFonts w:ascii="宋体" w:cs="宋体"/>
          <w:bCs/>
          <w:color w:val="auto"/>
          <w:sz w:val="24"/>
          <w:highlight w:val="none"/>
        </w:rPr>
      </w:pPr>
    </w:p>
    <w:p w14:paraId="16A932BF">
      <w:pPr>
        <w:snapToGrid w:val="0"/>
        <w:spacing w:before="166" w:beforeLines="50" w:after="50" w:line="400" w:lineRule="exact"/>
        <w:ind w:firstLine="360" w:firstLineChars="150"/>
        <w:rPr>
          <w:rFonts w:ascii="宋体" w:cs="宋体"/>
          <w:bCs/>
          <w:color w:val="auto"/>
          <w:sz w:val="24"/>
          <w:highlight w:val="none"/>
        </w:rPr>
      </w:pPr>
      <w:r>
        <w:rPr>
          <w:rFonts w:hint="eastAsia" w:ascii="宋体" w:cs="宋体"/>
          <w:bCs/>
          <w:color w:val="auto"/>
          <w:sz w:val="24"/>
          <w:highlight w:val="none"/>
        </w:rPr>
        <w:t xml:space="preserve">项目编号： </w:t>
      </w:r>
    </w:p>
    <w:p w14:paraId="4F619B8A">
      <w:pPr>
        <w:snapToGrid w:val="0"/>
        <w:spacing w:before="166" w:beforeLines="50" w:after="50" w:line="400" w:lineRule="exact"/>
        <w:ind w:firstLine="360" w:firstLineChars="150"/>
        <w:rPr>
          <w:rFonts w:ascii="宋体" w:cs="宋体"/>
          <w:bCs/>
          <w:color w:val="auto"/>
          <w:sz w:val="24"/>
          <w:highlight w:val="none"/>
        </w:rPr>
      </w:pPr>
    </w:p>
    <w:p w14:paraId="4ED7B60B">
      <w:pPr>
        <w:snapToGrid w:val="0"/>
        <w:spacing w:before="166" w:beforeLines="50" w:after="50" w:line="400" w:lineRule="exact"/>
        <w:ind w:firstLine="360" w:firstLineChars="150"/>
        <w:rPr>
          <w:rFonts w:ascii="宋体" w:cs="宋体"/>
          <w:bCs/>
          <w:color w:val="auto"/>
          <w:sz w:val="24"/>
          <w:highlight w:val="none"/>
        </w:rPr>
      </w:pPr>
      <w:r>
        <w:rPr>
          <w:rFonts w:hint="eastAsia" w:ascii="宋体" w:cs="宋体"/>
          <w:bCs/>
          <w:color w:val="auto"/>
          <w:sz w:val="24"/>
          <w:highlight w:val="none"/>
        </w:rPr>
        <w:t>所投分标（如有则填写，无分标时填写“无”或者留空）：</w:t>
      </w:r>
    </w:p>
    <w:p w14:paraId="34893BE1">
      <w:pPr>
        <w:snapToGrid w:val="0"/>
        <w:spacing w:before="166" w:beforeLines="50" w:after="50" w:line="400" w:lineRule="exact"/>
        <w:ind w:firstLine="360" w:firstLineChars="150"/>
        <w:rPr>
          <w:rFonts w:ascii="宋体" w:cs="宋体"/>
          <w:bCs/>
          <w:color w:val="auto"/>
          <w:sz w:val="24"/>
          <w:highlight w:val="none"/>
        </w:rPr>
      </w:pPr>
    </w:p>
    <w:p w14:paraId="57BA8AE1">
      <w:pPr>
        <w:snapToGrid w:val="0"/>
        <w:spacing w:before="166" w:beforeLines="50" w:after="50" w:line="400" w:lineRule="exact"/>
        <w:ind w:firstLine="360" w:firstLineChars="150"/>
        <w:rPr>
          <w:rFonts w:ascii="宋体" w:cs="宋体"/>
          <w:bCs/>
          <w:color w:val="auto"/>
          <w:sz w:val="24"/>
          <w:highlight w:val="none"/>
        </w:rPr>
      </w:pPr>
      <w:r>
        <w:rPr>
          <w:rFonts w:hint="eastAsia" w:ascii="宋体" w:cs="宋体"/>
          <w:bCs/>
          <w:color w:val="auto"/>
          <w:sz w:val="24"/>
          <w:highlight w:val="none"/>
        </w:rPr>
        <w:t>投标人名称：</w:t>
      </w:r>
    </w:p>
    <w:p w14:paraId="285DFFE8">
      <w:pPr>
        <w:snapToGrid w:val="0"/>
        <w:spacing w:before="166" w:beforeLines="50" w:after="50" w:line="400" w:lineRule="exact"/>
        <w:ind w:firstLine="360" w:firstLineChars="150"/>
        <w:rPr>
          <w:rFonts w:ascii="宋体" w:cs="宋体"/>
          <w:bCs/>
          <w:color w:val="auto"/>
          <w:sz w:val="24"/>
          <w:highlight w:val="none"/>
        </w:rPr>
      </w:pPr>
    </w:p>
    <w:p w14:paraId="0B80649D">
      <w:pPr>
        <w:pStyle w:val="7"/>
        <w:snapToGrid w:val="0"/>
        <w:spacing w:before="50" w:after="50" w:line="400" w:lineRule="exact"/>
        <w:ind w:firstLine="960" w:firstLineChars="400"/>
        <w:rPr>
          <w:rFonts w:ascii="宋体" w:cs="宋体"/>
          <w:bCs/>
          <w:color w:val="auto"/>
          <w:sz w:val="24"/>
          <w:szCs w:val="24"/>
          <w:highlight w:val="none"/>
        </w:rPr>
      </w:pPr>
    </w:p>
    <w:p w14:paraId="6FE9DA8E">
      <w:pPr>
        <w:snapToGrid w:val="0"/>
        <w:spacing w:before="166" w:beforeLines="50" w:after="50" w:line="400" w:lineRule="exact"/>
        <w:rPr>
          <w:rFonts w:ascii="宋体" w:cs="宋体"/>
          <w:color w:val="auto"/>
          <w:sz w:val="24"/>
          <w:highlight w:val="none"/>
        </w:rPr>
      </w:pPr>
      <w:r>
        <w:rPr>
          <w:rFonts w:hint="eastAsia" w:ascii="宋体" w:cs="宋体"/>
          <w:color w:val="auto"/>
          <w:sz w:val="24"/>
          <w:highlight w:val="none"/>
        </w:rPr>
        <w:t xml:space="preserve">                                      年   月   日</w:t>
      </w:r>
    </w:p>
    <w:p w14:paraId="24FC0915">
      <w:pPr>
        <w:widowControl/>
        <w:jc w:val="left"/>
        <w:rPr>
          <w:rFonts w:ascii="宋体" w:cs="宋体"/>
          <w:color w:val="auto"/>
          <w:sz w:val="24"/>
          <w:highlight w:val="none"/>
        </w:rPr>
        <w:sectPr>
          <w:pgSz w:w="11906" w:h="16838"/>
          <w:pgMar w:top="1134" w:right="1134" w:bottom="1134" w:left="1134" w:header="720" w:footer="720" w:gutter="0"/>
          <w:cols w:space="720" w:num="1"/>
          <w:docGrid w:type="lines" w:linePitch="331" w:charSpace="0"/>
        </w:sectPr>
      </w:pPr>
    </w:p>
    <w:p w14:paraId="14E63EB1">
      <w:pPr>
        <w:snapToGrid w:val="0"/>
        <w:spacing w:before="166" w:beforeLines="50" w:after="50" w:line="360" w:lineRule="auto"/>
        <w:jc w:val="left"/>
        <w:rPr>
          <w:rFonts w:ascii="宋体" w:cs="宋体"/>
          <w:color w:val="auto"/>
          <w:sz w:val="28"/>
          <w:szCs w:val="28"/>
          <w:highlight w:val="none"/>
        </w:rPr>
      </w:pPr>
      <w:r>
        <w:rPr>
          <w:rFonts w:hint="eastAsia" w:ascii="宋体" w:cs="宋体"/>
          <w:b/>
          <w:color w:val="auto"/>
          <w:sz w:val="28"/>
          <w:szCs w:val="28"/>
          <w:highlight w:val="none"/>
        </w:rPr>
        <w:t>2.</w:t>
      </w:r>
      <w:r>
        <w:rPr>
          <w:rFonts w:hint="eastAsia" w:ascii="宋体" w:cs="宋体"/>
          <w:b/>
          <w:bCs/>
          <w:color w:val="auto"/>
          <w:sz w:val="28"/>
          <w:szCs w:val="28"/>
          <w:highlight w:val="none"/>
        </w:rPr>
        <w:t>报价文件目录</w:t>
      </w:r>
    </w:p>
    <w:p w14:paraId="1AA0EB43">
      <w:pPr>
        <w:snapToGrid w:val="0"/>
        <w:spacing w:before="50" w:after="166" w:afterLines="50" w:line="360" w:lineRule="auto"/>
        <w:jc w:val="left"/>
        <w:rPr>
          <w:rFonts w:ascii="宋体" w:cs="宋体"/>
          <w:b/>
          <w:color w:val="auto"/>
          <w:sz w:val="28"/>
          <w:szCs w:val="28"/>
          <w:highlight w:val="none"/>
        </w:rPr>
      </w:pPr>
      <w:r>
        <w:rPr>
          <w:rFonts w:hint="eastAsia" w:ascii="宋体" w:cs="宋体"/>
          <w:color w:val="auto"/>
          <w:sz w:val="28"/>
          <w:szCs w:val="28"/>
          <w:highlight w:val="none"/>
        </w:rPr>
        <w:t>根据招标文件规定及投标人提供的材料自行编写目录</w:t>
      </w:r>
      <w:r>
        <w:rPr>
          <w:rFonts w:hint="eastAsia" w:ascii="宋体" w:cs="宋体"/>
          <w:color w:val="auto"/>
          <w:kern w:val="0"/>
          <w:sz w:val="28"/>
          <w:szCs w:val="28"/>
          <w:highlight w:val="none"/>
        </w:rPr>
        <w:t>（部分格式后附）</w:t>
      </w:r>
      <w:r>
        <w:rPr>
          <w:rFonts w:hint="eastAsia" w:ascii="宋体" w:cs="宋体"/>
          <w:color w:val="auto"/>
          <w:sz w:val="28"/>
          <w:szCs w:val="28"/>
          <w:highlight w:val="none"/>
        </w:rPr>
        <w:t>。</w:t>
      </w:r>
    </w:p>
    <w:p w14:paraId="331BDBD4">
      <w:pPr>
        <w:spacing w:line="360" w:lineRule="auto"/>
        <w:rPr>
          <w:rFonts w:ascii="宋体" w:cs="宋体"/>
          <w:color w:val="auto"/>
          <w:sz w:val="24"/>
          <w:highlight w:val="none"/>
        </w:rPr>
      </w:pPr>
      <w:r>
        <w:rPr>
          <w:rFonts w:hint="eastAsia" w:ascii="宋体" w:cs="宋体"/>
          <w:color w:val="auto"/>
          <w:sz w:val="24"/>
          <w:highlight w:val="none"/>
        </w:rPr>
        <w:br w:type="page"/>
      </w:r>
      <w:r>
        <w:rPr>
          <w:rFonts w:hint="eastAsia" w:ascii="宋体" w:cs="宋体"/>
          <w:b/>
          <w:bCs/>
          <w:color w:val="auto"/>
          <w:sz w:val="28"/>
          <w:szCs w:val="28"/>
          <w:highlight w:val="none"/>
        </w:rPr>
        <w:t>3.投标函的格式：</w:t>
      </w:r>
    </w:p>
    <w:p w14:paraId="6273D935">
      <w:pPr>
        <w:pStyle w:val="16"/>
        <w:spacing w:line="500" w:lineRule="exact"/>
        <w:jc w:val="center"/>
        <w:rPr>
          <w:rFonts w:cs="宋体"/>
          <w:b/>
          <w:bCs/>
          <w:color w:val="auto"/>
          <w:sz w:val="30"/>
          <w:szCs w:val="30"/>
          <w:highlight w:val="none"/>
        </w:rPr>
      </w:pPr>
      <w:r>
        <w:rPr>
          <w:rFonts w:hint="eastAsia" w:cs="宋体"/>
          <w:b/>
          <w:bCs/>
          <w:color w:val="auto"/>
          <w:sz w:val="30"/>
          <w:szCs w:val="30"/>
          <w:highlight w:val="none"/>
        </w:rPr>
        <w:t>投标函</w:t>
      </w:r>
    </w:p>
    <w:p w14:paraId="63A83E01">
      <w:pPr>
        <w:pStyle w:val="16"/>
        <w:spacing w:line="440" w:lineRule="exact"/>
        <w:ind w:firstLine="420" w:firstLineChars="200"/>
        <w:rPr>
          <w:rFonts w:cs="宋体"/>
          <w:color w:val="auto"/>
          <w:highlight w:val="none"/>
        </w:rPr>
      </w:pPr>
    </w:p>
    <w:p w14:paraId="7EC09C4A">
      <w:pPr>
        <w:pStyle w:val="16"/>
        <w:spacing w:line="480" w:lineRule="exact"/>
        <w:ind w:firstLine="420" w:firstLineChars="200"/>
        <w:rPr>
          <w:rFonts w:cs="宋体"/>
          <w:color w:val="auto"/>
          <w:highlight w:val="none"/>
        </w:rPr>
      </w:pPr>
      <w:r>
        <w:rPr>
          <w:rFonts w:hint="eastAsia" w:cs="宋体"/>
          <w:color w:val="auto"/>
          <w:highlight w:val="none"/>
        </w:rPr>
        <w:t>致：</w:t>
      </w:r>
      <w:bookmarkStart w:id="286" w:name="PO_3000001867_PM031_4"/>
      <w:r>
        <w:rPr>
          <w:rFonts w:hint="eastAsia" w:cs="宋体"/>
          <w:color w:val="auto"/>
          <w:highlight w:val="none"/>
          <w:u w:val="single"/>
        </w:rPr>
        <w:t>广西科联招标中心有限公司</w:t>
      </w:r>
      <w:bookmarkEnd w:id="286"/>
      <w:r>
        <w:rPr>
          <w:rFonts w:hint="eastAsia" w:cs="宋体"/>
          <w:color w:val="auto"/>
          <w:highlight w:val="none"/>
        </w:rPr>
        <w:t xml:space="preserve"> </w:t>
      </w:r>
    </w:p>
    <w:p w14:paraId="1E9672F2">
      <w:pPr>
        <w:pStyle w:val="16"/>
        <w:spacing w:line="480" w:lineRule="exact"/>
        <w:ind w:firstLine="420" w:firstLineChars="200"/>
        <w:rPr>
          <w:rFonts w:cs="宋体"/>
          <w:color w:val="auto"/>
          <w:highlight w:val="none"/>
        </w:rPr>
      </w:pPr>
      <w:r>
        <w:rPr>
          <w:rFonts w:hint="eastAsia" w:cs="宋体"/>
          <w:color w:val="auto"/>
          <w:highlight w:val="none"/>
        </w:rPr>
        <w:t>我方已仔细阅读了贵方组织的</w:t>
      </w:r>
      <w:r>
        <w:rPr>
          <w:rFonts w:hint="eastAsia" w:cs="宋体"/>
          <w:color w:val="auto"/>
          <w:highlight w:val="none"/>
          <w:u w:val="single"/>
        </w:rPr>
        <w:t xml:space="preserve">  </w:t>
      </w:r>
      <w:r>
        <w:rPr>
          <w:rFonts w:hint="eastAsia" w:cs="宋体"/>
          <w:i/>
          <w:iCs/>
          <w:color w:val="auto"/>
          <w:highlight w:val="none"/>
          <w:u w:val="single"/>
        </w:rPr>
        <w:t>（项目名称）</w:t>
      </w:r>
      <w:r>
        <w:rPr>
          <w:rFonts w:hint="eastAsia" w:cs="宋体"/>
          <w:color w:val="auto"/>
          <w:highlight w:val="none"/>
          <w:u w:val="single"/>
        </w:rPr>
        <w:t xml:space="preserve">  </w:t>
      </w:r>
      <w:r>
        <w:rPr>
          <w:rFonts w:hint="eastAsia" w:cs="宋体"/>
          <w:color w:val="auto"/>
          <w:highlight w:val="none"/>
        </w:rPr>
        <w:t>项目（项目编号：        ）的招标文件的全部内容，授权</w:t>
      </w:r>
      <w:r>
        <w:rPr>
          <w:rFonts w:hint="eastAsia" w:cs="宋体"/>
          <w:color w:val="auto"/>
          <w:highlight w:val="none"/>
          <w:u w:val="single"/>
        </w:rPr>
        <w:t xml:space="preserve">                      </w:t>
      </w:r>
      <w:r>
        <w:rPr>
          <w:rFonts w:hint="eastAsia" w:cs="宋体"/>
          <w:color w:val="auto"/>
          <w:highlight w:val="none"/>
        </w:rPr>
        <w:t>(全权代表姓名)</w:t>
      </w:r>
      <w:r>
        <w:rPr>
          <w:rFonts w:hint="eastAsia" w:cs="宋体"/>
          <w:color w:val="auto"/>
          <w:highlight w:val="none"/>
          <w:u w:val="single"/>
        </w:rPr>
        <w:t xml:space="preserve">          </w:t>
      </w:r>
      <w:r>
        <w:rPr>
          <w:rFonts w:hint="eastAsia" w:cs="宋体"/>
          <w:color w:val="auto"/>
          <w:highlight w:val="none"/>
        </w:rPr>
        <w:t xml:space="preserve"> (职务、职称)为全权代表，现正式递交下述文件参加贵方组织的本次政府采购活动： </w:t>
      </w:r>
    </w:p>
    <w:p w14:paraId="5012B081">
      <w:pPr>
        <w:pStyle w:val="16"/>
        <w:spacing w:line="480" w:lineRule="exact"/>
        <w:ind w:firstLine="420" w:firstLineChars="200"/>
        <w:rPr>
          <w:rFonts w:hint="eastAsia" w:cs="宋体"/>
          <w:color w:val="auto"/>
          <w:highlight w:val="none"/>
        </w:rPr>
      </w:pPr>
      <w:r>
        <w:rPr>
          <w:rFonts w:hint="eastAsia" w:cs="宋体"/>
          <w:color w:val="auto"/>
          <w:highlight w:val="none"/>
        </w:rPr>
        <w:t>一、报价文件电子版（包含按投标人须知前附表要求提交的全部文件）；</w:t>
      </w:r>
    </w:p>
    <w:p w14:paraId="398B64B9">
      <w:pPr>
        <w:pStyle w:val="16"/>
        <w:spacing w:line="480" w:lineRule="exact"/>
        <w:ind w:firstLine="420" w:firstLineChars="200"/>
        <w:rPr>
          <w:rFonts w:hint="eastAsia" w:cs="宋体"/>
          <w:color w:val="auto"/>
          <w:highlight w:val="none"/>
        </w:rPr>
      </w:pPr>
      <w:r>
        <w:rPr>
          <w:rFonts w:hint="eastAsia" w:cs="宋体"/>
          <w:color w:val="auto"/>
          <w:highlight w:val="none"/>
        </w:rPr>
        <w:t>二、资格文件电子版（包含按投标人须知前附表要求提交的全部文件）；</w:t>
      </w:r>
    </w:p>
    <w:p w14:paraId="3EE5718A">
      <w:pPr>
        <w:pStyle w:val="16"/>
        <w:spacing w:line="480" w:lineRule="exact"/>
        <w:ind w:firstLine="420" w:firstLineChars="200"/>
        <w:rPr>
          <w:rFonts w:hint="eastAsia" w:cs="宋体"/>
          <w:color w:val="auto"/>
          <w:highlight w:val="none"/>
        </w:rPr>
      </w:pPr>
      <w:r>
        <w:rPr>
          <w:rFonts w:hint="eastAsia" w:cs="宋体"/>
          <w:color w:val="auto"/>
          <w:highlight w:val="none"/>
        </w:rPr>
        <w:t>三、</w:t>
      </w:r>
      <w:r>
        <w:rPr>
          <w:rFonts w:hint="eastAsia" w:cs="宋体"/>
          <w:color w:val="auto"/>
          <w:highlight w:val="none"/>
          <w:lang w:val="en-US" w:eastAsia="zh-CN"/>
        </w:rPr>
        <w:t>商务</w:t>
      </w:r>
      <w:r>
        <w:rPr>
          <w:rFonts w:hint="eastAsia" w:cs="宋体"/>
          <w:color w:val="auto"/>
          <w:highlight w:val="none"/>
        </w:rPr>
        <w:t>技术文件电子版（包含按投标人须知前附表要求提交的全部文件）；</w:t>
      </w:r>
    </w:p>
    <w:p w14:paraId="2C4954E9">
      <w:pPr>
        <w:pStyle w:val="16"/>
        <w:spacing w:line="480" w:lineRule="exact"/>
        <w:ind w:firstLine="420" w:firstLineChars="200"/>
        <w:rPr>
          <w:rFonts w:cs="宋体"/>
          <w:color w:val="auto"/>
          <w:highlight w:val="none"/>
        </w:rPr>
      </w:pPr>
      <w:r>
        <w:rPr>
          <w:rFonts w:hint="eastAsia" w:cs="宋体"/>
          <w:color w:val="auto"/>
          <w:highlight w:val="none"/>
        </w:rPr>
        <w:t>据此函，我方兹宣布：</w:t>
      </w:r>
    </w:p>
    <w:p w14:paraId="2BC81724">
      <w:pPr>
        <w:pStyle w:val="16"/>
        <w:spacing w:line="480" w:lineRule="exact"/>
        <w:ind w:firstLine="420" w:firstLineChars="200"/>
        <w:rPr>
          <w:rFonts w:cs="宋体"/>
          <w:color w:val="auto"/>
          <w:highlight w:val="none"/>
          <w:u w:val="single"/>
        </w:rPr>
      </w:pPr>
      <w:r>
        <w:rPr>
          <w:rFonts w:hint="eastAsia" w:cs="宋体"/>
          <w:color w:val="auto"/>
          <w:highlight w:val="none"/>
        </w:rPr>
        <w:t>1、我方愿意以开标一览表中的投标总</w:t>
      </w:r>
      <w:r>
        <w:rPr>
          <w:rFonts w:hint="eastAsia" w:cs="宋体"/>
          <w:color w:val="auto"/>
          <w:szCs w:val="22"/>
          <w:highlight w:val="none"/>
        </w:rPr>
        <w:t>报价，</w:t>
      </w:r>
      <w:r>
        <w:rPr>
          <w:rFonts w:hint="eastAsia" w:cs="宋体"/>
          <w:color w:val="auto"/>
          <w:highlight w:val="none"/>
        </w:rPr>
        <w:t>提供本项目招标文件“第二章  采购需求”相应的采购内容，具体详见开标一览表。</w:t>
      </w:r>
    </w:p>
    <w:p w14:paraId="7D9604BC">
      <w:pPr>
        <w:pStyle w:val="16"/>
        <w:spacing w:line="480" w:lineRule="exact"/>
        <w:ind w:firstLine="420" w:firstLineChars="200"/>
        <w:rPr>
          <w:rFonts w:cs="宋体"/>
          <w:color w:val="auto"/>
          <w:highlight w:val="none"/>
          <w:u w:val="single"/>
        </w:rPr>
      </w:pPr>
      <w:r>
        <w:rPr>
          <w:rFonts w:hint="eastAsia" w:cs="宋体"/>
          <w:color w:val="auto"/>
          <w:highlight w:val="none"/>
        </w:rPr>
        <w:t>2、我方同意自本项目招标文件“第三章 投标人须知”第一节 投标人须知前附表 第21.1项规定的投标截止时间（开标时间）起遵循本投标函，并承诺在“投标人须知前附表”第17.2项规定的投标有效期内不修改、撤销投标文件。</w:t>
      </w:r>
    </w:p>
    <w:p w14:paraId="6024F6F5">
      <w:pPr>
        <w:pStyle w:val="16"/>
        <w:spacing w:line="480" w:lineRule="exact"/>
        <w:ind w:firstLine="420" w:firstLineChars="200"/>
        <w:rPr>
          <w:rFonts w:cs="宋体"/>
          <w:color w:val="auto"/>
          <w:highlight w:val="none"/>
          <w:u w:val="single"/>
        </w:rPr>
      </w:pPr>
      <w:r>
        <w:rPr>
          <w:rFonts w:hint="eastAsia" w:cs="宋体"/>
          <w:color w:val="auto"/>
          <w:highlight w:val="none"/>
        </w:rPr>
        <w:t>3、我方所递交的投标文件及有关资料都是内容完整、真实和准确的。</w:t>
      </w:r>
    </w:p>
    <w:p w14:paraId="489FDD4B">
      <w:pPr>
        <w:pStyle w:val="16"/>
        <w:spacing w:line="480" w:lineRule="exact"/>
        <w:ind w:firstLine="482"/>
        <w:rPr>
          <w:rFonts w:cs="宋体"/>
          <w:color w:val="auto"/>
          <w:highlight w:val="none"/>
        </w:rPr>
      </w:pPr>
      <w:r>
        <w:rPr>
          <w:rFonts w:hint="eastAsia" w:cs="宋体"/>
          <w:color w:val="auto"/>
          <w:highlight w:val="none"/>
        </w:rPr>
        <w:t>4、</w:t>
      </w:r>
      <w:r>
        <w:rPr>
          <w:rFonts w:hint="eastAsia" w:cs="宋体"/>
          <w:color w:val="auto"/>
          <w:szCs w:val="21"/>
          <w:highlight w:val="none"/>
        </w:rPr>
        <w:t>如本项目采购内容涉及须符合国家强制规定的，我方承诺我方本次投标（包括资格条件和所投产品）均符合国家有关强制规定。</w:t>
      </w:r>
    </w:p>
    <w:p w14:paraId="42501909">
      <w:pPr>
        <w:pStyle w:val="16"/>
        <w:spacing w:line="480" w:lineRule="exact"/>
        <w:ind w:firstLine="420" w:firstLineChars="200"/>
        <w:rPr>
          <w:rFonts w:cs="宋体"/>
          <w:color w:val="auto"/>
          <w:highlight w:val="none"/>
        </w:rPr>
      </w:pPr>
      <w:r>
        <w:rPr>
          <w:rFonts w:hint="eastAsia" w:cs="宋体"/>
          <w:color w:val="auto"/>
          <w:highlight w:val="none"/>
        </w:rPr>
        <w:t>5、如我方中标，我方承诺在收到中标通知书后，在中标通知书规定的期限内，根据招标文件、我方的投标文件及有关澄清承诺书的要求按第五章“拟签订的合同文本”与采购人订立书面合同，并按照合同约定承担完成合同的责任和义务。</w:t>
      </w:r>
    </w:p>
    <w:p w14:paraId="59F3605C">
      <w:pPr>
        <w:pStyle w:val="16"/>
        <w:spacing w:line="480" w:lineRule="exact"/>
        <w:ind w:firstLine="420" w:firstLineChars="200"/>
        <w:rPr>
          <w:rFonts w:cs="宋体"/>
          <w:color w:val="auto"/>
          <w:highlight w:val="none"/>
        </w:rPr>
      </w:pPr>
      <w:r>
        <w:rPr>
          <w:rFonts w:hint="eastAsia" w:cs="宋体"/>
          <w:color w:val="auto"/>
          <w:highlight w:val="none"/>
        </w:rPr>
        <w:t>6、我方已详细审核招标文件，我方知道必须放弃提出含糊不清或误解问题的权利。</w:t>
      </w:r>
    </w:p>
    <w:p w14:paraId="35F0EE3C">
      <w:pPr>
        <w:pStyle w:val="16"/>
        <w:spacing w:line="480" w:lineRule="exact"/>
        <w:ind w:firstLine="420" w:firstLineChars="200"/>
        <w:rPr>
          <w:rFonts w:cs="宋体"/>
          <w:color w:val="auto"/>
          <w:highlight w:val="none"/>
        </w:rPr>
      </w:pPr>
      <w:r>
        <w:rPr>
          <w:rFonts w:hint="eastAsia" w:cs="宋体"/>
          <w:color w:val="auto"/>
          <w:highlight w:val="none"/>
        </w:rPr>
        <w:t>7、我方同意应贵方要求提供与本</w:t>
      </w:r>
      <w:r>
        <w:rPr>
          <w:rFonts w:hint="eastAsia" w:cs="宋体"/>
          <w:color w:val="auto"/>
          <w:highlight w:val="none"/>
          <w:lang w:val="en-US" w:eastAsia="zh-CN"/>
        </w:rPr>
        <w:t>次</w:t>
      </w:r>
      <w:r>
        <w:rPr>
          <w:rFonts w:hint="eastAsia" w:cs="宋体"/>
          <w:color w:val="auto"/>
          <w:highlight w:val="none"/>
        </w:rPr>
        <w:t>投标有关的任何数据或资料。若贵方需要，我方愿意提供我方作出的一切承诺的证明材料。</w:t>
      </w:r>
    </w:p>
    <w:p w14:paraId="38F23CEE">
      <w:pPr>
        <w:pStyle w:val="16"/>
        <w:spacing w:line="480" w:lineRule="exact"/>
        <w:ind w:firstLine="420" w:firstLineChars="200"/>
        <w:rPr>
          <w:rFonts w:cs="宋体"/>
          <w:color w:val="auto"/>
          <w:highlight w:val="none"/>
        </w:rPr>
      </w:pPr>
      <w:r>
        <w:rPr>
          <w:rFonts w:hint="eastAsia" w:cs="宋体"/>
          <w:color w:val="auto"/>
          <w:highlight w:val="none"/>
        </w:rPr>
        <w:t>8、我方完全理解贵方不一定接受投标报价最低的投标人为中标人的行为。</w:t>
      </w:r>
    </w:p>
    <w:p w14:paraId="2708CEB4">
      <w:pPr>
        <w:pStyle w:val="16"/>
        <w:spacing w:line="480" w:lineRule="exact"/>
        <w:ind w:firstLine="420" w:firstLineChars="200"/>
        <w:rPr>
          <w:rFonts w:cs="宋体"/>
          <w:color w:val="auto"/>
          <w:highlight w:val="none"/>
        </w:rPr>
      </w:pPr>
      <w:r>
        <w:rPr>
          <w:rFonts w:hint="eastAsia" w:cs="宋体"/>
          <w:color w:val="auto"/>
          <w:highlight w:val="none"/>
        </w:rPr>
        <w:t>9、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2D73C04">
      <w:pPr>
        <w:pStyle w:val="16"/>
        <w:numPr>
          <w:ilvl w:val="0"/>
          <w:numId w:val="4"/>
        </w:numPr>
        <w:spacing w:line="480" w:lineRule="exact"/>
        <w:rPr>
          <w:rFonts w:cs="宋体"/>
          <w:color w:val="auto"/>
          <w:highlight w:val="none"/>
        </w:rPr>
      </w:pPr>
      <w:r>
        <w:rPr>
          <w:rFonts w:hint="eastAsia" w:cs="宋体"/>
          <w:color w:val="auto"/>
          <w:highlight w:val="none"/>
        </w:rPr>
        <w:t>提供虚假材料谋取中标、成交的；</w:t>
      </w:r>
    </w:p>
    <w:p w14:paraId="4DFD0F6A">
      <w:pPr>
        <w:pStyle w:val="16"/>
        <w:numPr>
          <w:ilvl w:val="0"/>
          <w:numId w:val="4"/>
        </w:numPr>
        <w:spacing w:line="480" w:lineRule="exact"/>
        <w:rPr>
          <w:rFonts w:cs="宋体"/>
          <w:color w:val="auto"/>
          <w:highlight w:val="none"/>
        </w:rPr>
      </w:pPr>
      <w:r>
        <w:rPr>
          <w:rFonts w:hint="eastAsia" w:cs="宋体"/>
          <w:color w:val="auto"/>
          <w:highlight w:val="none"/>
        </w:rPr>
        <w:t>采取不正当手段诋毁、排挤其他供应商的；</w:t>
      </w:r>
    </w:p>
    <w:p w14:paraId="5786818D">
      <w:pPr>
        <w:pStyle w:val="16"/>
        <w:numPr>
          <w:ilvl w:val="0"/>
          <w:numId w:val="4"/>
        </w:numPr>
        <w:spacing w:line="480" w:lineRule="exact"/>
        <w:rPr>
          <w:rFonts w:cs="宋体"/>
          <w:color w:val="auto"/>
          <w:highlight w:val="none"/>
        </w:rPr>
      </w:pPr>
      <w:r>
        <w:rPr>
          <w:rFonts w:hint="eastAsia" w:cs="宋体"/>
          <w:color w:val="auto"/>
          <w:highlight w:val="none"/>
        </w:rPr>
        <w:t>与采购人、其他供应商或者采购代理机构恶意串通的；</w:t>
      </w:r>
    </w:p>
    <w:p w14:paraId="2DC42738">
      <w:pPr>
        <w:pStyle w:val="16"/>
        <w:numPr>
          <w:ilvl w:val="0"/>
          <w:numId w:val="4"/>
        </w:numPr>
        <w:spacing w:line="480" w:lineRule="exact"/>
        <w:rPr>
          <w:rFonts w:cs="宋体"/>
          <w:color w:val="auto"/>
          <w:highlight w:val="none"/>
        </w:rPr>
      </w:pPr>
      <w:r>
        <w:rPr>
          <w:rFonts w:hint="eastAsia" w:cs="宋体"/>
          <w:color w:val="auto"/>
          <w:highlight w:val="none"/>
        </w:rPr>
        <w:t>向采购人、采购代理机构行贿或者提供其他不正当利益的；</w:t>
      </w:r>
    </w:p>
    <w:p w14:paraId="7BE5430C">
      <w:pPr>
        <w:pStyle w:val="16"/>
        <w:numPr>
          <w:ilvl w:val="0"/>
          <w:numId w:val="4"/>
        </w:numPr>
        <w:spacing w:line="480" w:lineRule="exact"/>
        <w:rPr>
          <w:rFonts w:cs="宋体"/>
          <w:color w:val="auto"/>
          <w:highlight w:val="none"/>
        </w:rPr>
      </w:pPr>
      <w:r>
        <w:rPr>
          <w:rFonts w:hint="eastAsia" w:cs="宋体"/>
          <w:color w:val="auto"/>
          <w:highlight w:val="none"/>
        </w:rPr>
        <w:t>在招标采购过程中与采购人进行协商谈判的；</w:t>
      </w:r>
    </w:p>
    <w:p w14:paraId="28E04912">
      <w:pPr>
        <w:pStyle w:val="16"/>
        <w:numPr>
          <w:ilvl w:val="0"/>
          <w:numId w:val="4"/>
        </w:numPr>
        <w:spacing w:line="480" w:lineRule="exact"/>
        <w:rPr>
          <w:rFonts w:cs="宋体"/>
          <w:color w:val="auto"/>
          <w:highlight w:val="none"/>
        </w:rPr>
      </w:pPr>
      <w:r>
        <w:rPr>
          <w:rFonts w:hint="eastAsia" w:cs="宋体"/>
          <w:color w:val="auto"/>
          <w:highlight w:val="none"/>
        </w:rPr>
        <w:t>拒绝有关部门监督检查或提供虚假情况的。</w:t>
      </w:r>
    </w:p>
    <w:p w14:paraId="53A45302">
      <w:pPr>
        <w:pStyle w:val="16"/>
        <w:spacing w:line="480" w:lineRule="exact"/>
        <w:ind w:firstLine="420"/>
        <w:rPr>
          <w:rFonts w:cs="宋体"/>
          <w:color w:val="auto"/>
          <w:highlight w:val="none"/>
        </w:rPr>
      </w:pPr>
      <w:r>
        <w:rPr>
          <w:rFonts w:hint="eastAsia" w:cs="宋体"/>
          <w:color w:val="auto"/>
          <w:highlight w:val="none"/>
        </w:rPr>
        <w:t>10、以上事项如有虚假或者隐瞒，我方愿意承担一切后果，并不再寻求任何旨在减轻或者免除法律责任的辩解。</w:t>
      </w:r>
    </w:p>
    <w:p w14:paraId="7FB41C0C">
      <w:pPr>
        <w:pStyle w:val="16"/>
        <w:spacing w:line="480" w:lineRule="exact"/>
        <w:ind w:firstLine="420"/>
        <w:rPr>
          <w:rFonts w:cs="宋体"/>
          <w:color w:val="auto"/>
          <w:highlight w:val="none"/>
        </w:rPr>
      </w:pPr>
      <w:r>
        <w:rPr>
          <w:rFonts w:hint="eastAsia" w:cs="宋体"/>
          <w:color w:val="auto"/>
          <w:highlight w:val="none"/>
        </w:rPr>
        <w:t>11、与本投标有关的一切正式往来信函请寄：</w:t>
      </w:r>
    </w:p>
    <w:p w14:paraId="123925B6">
      <w:pPr>
        <w:pStyle w:val="16"/>
        <w:spacing w:line="480" w:lineRule="exact"/>
        <w:ind w:firstLine="420"/>
        <w:rPr>
          <w:rFonts w:cs="宋体"/>
          <w:color w:val="auto"/>
          <w:highlight w:val="none"/>
        </w:rPr>
      </w:pPr>
      <w:r>
        <w:rPr>
          <w:rFonts w:hint="eastAsia" w:cs="宋体"/>
          <w:color w:val="auto"/>
          <w:highlight w:val="none"/>
        </w:rPr>
        <w:t>地址：</w:t>
      </w:r>
      <w:r>
        <w:rPr>
          <w:rFonts w:hint="eastAsia" w:cs="宋体"/>
          <w:color w:val="auto"/>
          <w:highlight w:val="none"/>
          <w:u w:val="single"/>
        </w:rPr>
        <w:t xml:space="preserve">                                                        </w:t>
      </w:r>
      <w:r>
        <w:rPr>
          <w:rFonts w:hint="eastAsia" w:cs="宋体"/>
          <w:color w:val="auto"/>
          <w:highlight w:val="none"/>
        </w:rPr>
        <w:t xml:space="preserve"> </w:t>
      </w:r>
    </w:p>
    <w:p w14:paraId="41399ABC">
      <w:pPr>
        <w:pStyle w:val="16"/>
        <w:spacing w:line="480" w:lineRule="exact"/>
        <w:ind w:firstLine="420"/>
        <w:rPr>
          <w:rFonts w:cs="宋体"/>
          <w:color w:val="auto"/>
          <w:highlight w:val="none"/>
          <w:u w:val="single"/>
        </w:rPr>
      </w:pPr>
      <w:r>
        <w:rPr>
          <w:rFonts w:hint="eastAsia" w:cs="宋体"/>
          <w:color w:val="auto"/>
          <w:highlight w:val="none"/>
        </w:rPr>
        <w:t>电话：</w:t>
      </w:r>
      <w:r>
        <w:rPr>
          <w:rFonts w:hint="eastAsia" w:cs="宋体"/>
          <w:color w:val="auto"/>
          <w:highlight w:val="none"/>
          <w:u w:val="single"/>
        </w:rPr>
        <w:t xml:space="preserve">                                      　　　　　　　　　</w:t>
      </w:r>
    </w:p>
    <w:p w14:paraId="22E76084">
      <w:pPr>
        <w:pStyle w:val="16"/>
        <w:spacing w:line="480" w:lineRule="exact"/>
        <w:ind w:firstLine="420"/>
        <w:rPr>
          <w:rFonts w:cs="宋体"/>
          <w:color w:val="auto"/>
          <w:highlight w:val="none"/>
          <w:u w:val="single"/>
        </w:rPr>
      </w:pPr>
      <w:r>
        <w:rPr>
          <w:rFonts w:hint="eastAsia" w:cs="宋体"/>
          <w:color w:val="auto"/>
          <w:highlight w:val="none"/>
        </w:rPr>
        <w:t>传真：</w:t>
      </w:r>
      <w:r>
        <w:rPr>
          <w:rFonts w:hint="eastAsia" w:cs="宋体"/>
          <w:color w:val="auto"/>
          <w:highlight w:val="none"/>
          <w:u w:val="single"/>
        </w:rPr>
        <w:t>　　　　　　　　　　　　　　　　　　　　　　　　　　　　</w:t>
      </w:r>
    </w:p>
    <w:p w14:paraId="09A20AAD">
      <w:pPr>
        <w:spacing w:line="480" w:lineRule="exact"/>
        <w:ind w:firstLine="420"/>
        <w:rPr>
          <w:rFonts w:ascii="宋体" w:cs="宋体"/>
          <w:color w:val="auto"/>
          <w:highlight w:val="none"/>
          <w:u w:val="single"/>
        </w:rPr>
      </w:pPr>
      <w:r>
        <w:rPr>
          <w:rFonts w:hint="eastAsia" w:ascii="宋体" w:cs="宋体"/>
          <w:color w:val="auto"/>
          <w:kern w:val="0"/>
          <w:sz w:val="20"/>
          <w:szCs w:val="21"/>
          <w:highlight w:val="none"/>
        </w:rPr>
        <w:t>电子邮箱：</w:t>
      </w:r>
      <w:r>
        <w:rPr>
          <w:rFonts w:hint="eastAsia" w:ascii="宋体" w:cs="宋体"/>
          <w:color w:val="auto"/>
          <w:kern w:val="0"/>
          <w:sz w:val="20"/>
          <w:szCs w:val="21"/>
          <w:highlight w:val="none"/>
          <w:u w:val="single"/>
        </w:rPr>
        <w:t>　　　　　　　　　　　　　　　　　　　　　　　　　　　　</w:t>
      </w:r>
    </w:p>
    <w:p w14:paraId="0E7C91EB">
      <w:pPr>
        <w:pStyle w:val="16"/>
        <w:spacing w:line="480" w:lineRule="exact"/>
        <w:ind w:firstLine="420"/>
        <w:rPr>
          <w:rFonts w:cs="宋体"/>
          <w:color w:val="auto"/>
          <w:highlight w:val="none"/>
          <w:u w:val="single"/>
        </w:rPr>
      </w:pPr>
      <w:r>
        <w:rPr>
          <w:rFonts w:hint="eastAsia" w:cs="宋体"/>
          <w:color w:val="auto"/>
          <w:highlight w:val="none"/>
        </w:rPr>
        <w:t>邮政编码：</w:t>
      </w:r>
      <w:r>
        <w:rPr>
          <w:rFonts w:hint="eastAsia" w:cs="宋体"/>
          <w:color w:val="auto"/>
          <w:highlight w:val="none"/>
          <w:u w:val="single"/>
        </w:rPr>
        <w:t xml:space="preserve">                                                    </w:t>
      </w:r>
    </w:p>
    <w:p w14:paraId="274AA548">
      <w:pPr>
        <w:pStyle w:val="16"/>
        <w:spacing w:line="480" w:lineRule="exact"/>
        <w:ind w:firstLine="420"/>
        <w:rPr>
          <w:rFonts w:cs="宋体"/>
          <w:color w:val="auto"/>
          <w:highlight w:val="none"/>
          <w:u w:val="single"/>
        </w:rPr>
      </w:pPr>
      <w:r>
        <w:rPr>
          <w:rFonts w:hint="eastAsia" w:cs="宋体"/>
          <w:color w:val="auto"/>
          <w:highlight w:val="none"/>
        </w:rPr>
        <w:t>开户名称：</w:t>
      </w:r>
      <w:r>
        <w:rPr>
          <w:rFonts w:hint="eastAsia" w:cs="宋体"/>
          <w:color w:val="auto"/>
          <w:highlight w:val="none"/>
          <w:u w:val="single"/>
        </w:rPr>
        <w:t xml:space="preserve">                                                    </w:t>
      </w:r>
    </w:p>
    <w:p w14:paraId="52A9A0B6">
      <w:pPr>
        <w:pStyle w:val="16"/>
        <w:spacing w:line="480" w:lineRule="exact"/>
        <w:ind w:firstLine="420"/>
        <w:rPr>
          <w:rFonts w:cs="宋体"/>
          <w:color w:val="auto"/>
          <w:highlight w:val="none"/>
          <w:u w:val="single"/>
        </w:rPr>
      </w:pPr>
      <w:r>
        <w:rPr>
          <w:rFonts w:hint="eastAsia" w:cs="宋体"/>
          <w:color w:val="auto"/>
          <w:highlight w:val="none"/>
        </w:rPr>
        <w:t>开户银行：</w:t>
      </w:r>
      <w:r>
        <w:rPr>
          <w:rFonts w:hint="eastAsia" w:cs="宋体"/>
          <w:color w:val="auto"/>
          <w:highlight w:val="none"/>
          <w:u w:val="single"/>
        </w:rPr>
        <w:t xml:space="preserve">                                                    </w:t>
      </w:r>
    </w:p>
    <w:p w14:paraId="555E7344">
      <w:pPr>
        <w:pStyle w:val="16"/>
        <w:spacing w:line="480" w:lineRule="exact"/>
        <w:ind w:firstLine="420"/>
        <w:rPr>
          <w:rFonts w:cs="宋体"/>
          <w:color w:val="auto"/>
          <w:highlight w:val="none"/>
          <w:u w:val="single"/>
        </w:rPr>
      </w:pPr>
      <w:r>
        <w:rPr>
          <w:rFonts w:hint="eastAsia" w:cs="宋体"/>
          <w:color w:val="auto"/>
          <w:highlight w:val="none"/>
        </w:rPr>
        <w:t>银行账号：</w:t>
      </w:r>
      <w:r>
        <w:rPr>
          <w:rFonts w:hint="eastAsia" w:cs="宋体"/>
          <w:color w:val="auto"/>
          <w:highlight w:val="none"/>
          <w:u w:val="single"/>
        </w:rPr>
        <w:t xml:space="preserve">                                                    </w:t>
      </w:r>
    </w:p>
    <w:p w14:paraId="77F0BC4D">
      <w:pPr>
        <w:snapToGrid w:val="0"/>
        <w:spacing w:line="360" w:lineRule="auto"/>
        <w:ind w:firstLine="5040" w:firstLineChars="2100"/>
        <w:rPr>
          <w:rFonts w:ascii="宋体" w:cs="宋体"/>
          <w:color w:val="auto"/>
          <w:kern w:val="0"/>
          <w:sz w:val="24"/>
          <w:highlight w:val="none"/>
          <w:lang w:val="zh-CN"/>
        </w:rPr>
      </w:pPr>
    </w:p>
    <w:p w14:paraId="4612B2EC">
      <w:pPr>
        <w:snapToGrid w:val="0"/>
        <w:spacing w:line="360" w:lineRule="auto"/>
        <w:ind w:firstLine="5040" w:firstLineChars="2100"/>
        <w:rPr>
          <w:rFonts w:ascii="宋体" w:cs="宋体"/>
          <w:color w:val="auto"/>
          <w:kern w:val="0"/>
          <w:sz w:val="24"/>
          <w:highlight w:val="none"/>
          <w:lang w:val="zh-CN"/>
        </w:rPr>
      </w:pPr>
    </w:p>
    <w:p w14:paraId="2ED43C8C">
      <w:pPr>
        <w:snapToGrid w:val="0"/>
        <w:spacing w:line="360" w:lineRule="auto"/>
        <w:ind w:firstLine="5040" w:firstLineChars="2100"/>
        <w:rPr>
          <w:rFonts w:ascii="宋体" w:cs="宋体"/>
          <w:color w:val="auto"/>
          <w:kern w:val="0"/>
          <w:sz w:val="24"/>
          <w:highlight w:val="none"/>
        </w:rPr>
      </w:pPr>
      <w:r>
        <w:rPr>
          <w:rFonts w:hint="eastAsia" w:ascii="宋体" w:cs="宋体"/>
          <w:color w:val="auto"/>
          <w:kern w:val="0"/>
          <w:sz w:val="24"/>
          <w:highlight w:val="none"/>
          <w:lang w:val="zh-CN"/>
        </w:rPr>
        <w:t>投标人名称（盖公章）：</w:t>
      </w:r>
    </w:p>
    <w:p w14:paraId="413A8735">
      <w:pPr>
        <w:snapToGrid w:val="0"/>
        <w:spacing w:line="360" w:lineRule="auto"/>
        <w:ind w:firstLine="5160" w:firstLineChars="2150"/>
        <w:rPr>
          <w:rFonts w:ascii="宋体" w:cs="宋体"/>
          <w:color w:val="auto"/>
          <w:kern w:val="0"/>
          <w:sz w:val="24"/>
          <w:highlight w:val="none"/>
          <w:lang w:val="zh-CN"/>
        </w:rPr>
      </w:pPr>
      <w:r>
        <w:rPr>
          <w:rFonts w:hint="eastAsia" w:ascii="宋体" w:cs="宋体"/>
          <w:color w:val="auto"/>
          <w:kern w:val="0"/>
          <w:sz w:val="24"/>
          <w:highlight w:val="none"/>
          <w:lang w:val="zh-CN"/>
        </w:rPr>
        <w:t>日期</w:t>
      </w:r>
      <w:r>
        <w:rPr>
          <w:rFonts w:hint="eastAsia" w:ascii="宋体" w:cs="宋体"/>
          <w:color w:val="auto"/>
          <w:kern w:val="0"/>
          <w:sz w:val="24"/>
          <w:highlight w:val="none"/>
        </w:rPr>
        <w:t xml:space="preserve">：  年  </w:t>
      </w:r>
      <w:r>
        <w:rPr>
          <w:rFonts w:hint="eastAsia" w:ascii="宋体" w:cs="宋体"/>
          <w:color w:val="auto"/>
          <w:kern w:val="0"/>
          <w:sz w:val="24"/>
          <w:highlight w:val="none"/>
          <w:lang w:val="zh-CN"/>
        </w:rPr>
        <w:t>月</w:t>
      </w:r>
      <w:r>
        <w:rPr>
          <w:rFonts w:hint="eastAsia" w:ascii="宋体" w:cs="宋体"/>
          <w:color w:val="auto"/>
          <w:kern w:val="0"/>
          <w:sz w:val="24"/>
          <w:highlight w:val="none"/>
        </w:rPr>
        <w:t xml:space="preserve">   </w:t>
      </w:r>
      <w:r>
        <w:rPr>
          <w:rFonts w:hint="eastAsia" w:ascii="宋体" w:cs="宋体"/>
          <w:color w:val="auto"/>
          <w:kern w:val="0"/>
          <w:sz w:val="24"/>
          <w:highlight w:val="none"/>
          <w:lang w:val="zh-CN"/>
        </w:rPr>
        <w:t>日</w:t>
      </w:r>
    </w:p>
    <w:p w14:paraId="33EA88E6">
      <w:pPr>
        <w:widowControl/>
        <w:spacing w:line="360" w:lineRule="auto"/>
        <w:jc w:val="left"/>
        <w:rPr>
          <w:rFonts w:ascii="宋体" w:cs="宋体"/>
          <w:color w:val="auto"/>
          <w:kern w:val="0"/>
          <w:sz w:val="24"/>
          <w:highlight w:val="none"/>
          <w:lang w:val="zh-CN"/>
        </w:rPr>
        <w:sectPr>
          <w:pgSz w:w="11906" w:h="16838"/>
          <w:pgMar w:top="1134" w:right="1134" w:bottom="1134" w:left="1134" w:header="720" w:footer="720" w:gutter="0"/>
          <w:cols w:space="720" w:num="1"/>
          <w:docGrid w:type="lines" w:linePitch="331" w:charSpace="0"/>
        </w:sectPr>
      </w:pPr>
    </w:p>
    <w:p w14:paraId="5971BB93">
      <w:pPr>
        <w:pStyle w:val="16"/>
        <w:spacing w:line="360" w:lineRule="auto"/>
        <w:jc w:val="left"/>
        <w:rPr>
          <w:rFonts w:cs="宋体"/>
          <w:b/>
          <w:color w:val="auto"/>
          <w:sz w:val="28"/>
          <w:szCs w:val="28"/>
          <w:highlight w:val="none"/>
        </w:rPr>
      </w:pPr>
      <w:r>
        <w:rPr>
          <w:rFonts w:hint="eastAsia" w:cs="宋体"/>
          <w:b/>
          <w:color w:val="auto"/>
          <w:sz w:val="28"/>
          <w:szCs w:val="28"/>
          <w:highlight w:val="none"/>
        </w:rPr>
        <w:t>4. 开标一览表的格式：</w:t>
      </w:r>
    </w:p>
    <w:p w14:paraId="5AF59AF1">
      <w:pPr>
        <w:pStyle w:val="16"/>
        <w:spacing w:line="360" w:lineRule="auto"/>
        <w:jc w:val="center"/>
        <w:rPr>
          <w:rFonts w:cs="宋体"/>
          <w:b/>
          <w:color w:val="auto"/>
          <w:sz w:val="30"/>
          <w:szCs w:val="30"/>
          <w:highlight w:val="none"/>
        </w:rPr>
      </w:pPr>
      <w:r>
        <w:rPr>
          <w:rFonts w:hint="eastAsia" w:cs="宋体"/>
          <w:b/>
          <w:color w:val="auto"/>
          <w:sz w:val="30"/>
          <w:szCs w:val="30"/>
          <w:highlight w:val="none"/>
        </w:rPr>
        <w:t>开标一览表</w:t>
      </w:r>
      <w:r>
        <w:rPr>
          <w:rFonts w:hint="eastAsia" w:cs="宋体"/>
          <w:b/>
          <w:color w:val="auto"/>
          <w:kern w:val="0"/>
          <w:sz w:val="24"/>
          <w:highlight w:val="none"/>
          <w:lang w:val="zh-CN"/>
        </w:rPr>
        <w:t>(单位均为人民币元)</w:t>
      </w:r>
    </w:p>
    <w:p w14:paraId="5B86157F">
      <w:pPr>
        <w:snapToGrid w:val="0"/>
        <w:spacing w:before="50" w:after="50" w:line="480" w:lineRule="auto"/>
        <w:rPr>
          <w:rFonts w:ascii="宋体" w:cs="宋体"/>
          <w:color w:val="auto"/>
          <w:sz w:val="24"/>
          <w:highlight w:val="none"/>
        </w:rPr>
      </w:pPr>
      <w:r>
        <w:rPr>
          <w:rFonts w:hint="eastAsia" w:ascii="宋体" w:cs="宋体"/>
          <w:color w:val="auto"/>
          <w:sz w:val="24"/>
          <w:highlight w:val="none"/>
        </w:rPr>
        <w:t>项目名称：</w:t>
      </w:r>
      <w:r>
        <w:rPr>
          <w:rFonts w:hint="eastAsia" w:ascii="宋体" w:cs="宋体"/>
          <w:color w:val="auto"/>
          <w:sz w:val="24"/>
          <w:highlight w:val="none"/>
          <w:u w:val="single"/>
        </w:rPr>
        <w:t xml:space="preserve">                        </w:t>
      </w:r>
      <w:r>
        <w:rPr>
          <w:rFonts w:hint="eastAsia" w:ascii="宋体" w:cs="宋体"/>
          <w:color w:val="auto"/>
          <w:sz w:val="24"/>
          <w:highlight w:val="none"/>
        </w:rPr>
        <w:t xml:space="preserve">  </w:t>
      </w:r>
    </w:p>
    <w:p w14:paraId="2855FF56">
      <w:pPr>
        <w:snapToGrid w:val="0"/>
        <w:spacing w:before="50" w:after="50" w:line="480" w:lineRule="auto"/>
        <w:rPr>
          <w:rFonts w:ascii="宋体" w:cs="宋体"/>
          <w:color w:val="auto"/>
          <w:sz w:val="24"/>
          <w:highlight w:val="none"/>
          <w:u w:val="single"/>
        </w:rPr>
      </w:pPr>
      <w:r>
        <w:rPr>
          <w:rFonts w:hint="eastAsia" w:ascii="宋体" w:cs="宋体"/>
          <w:color w:val="auto"/>
          <w:sz w:val="24"/>
          <w:highlight w:val="none"/>
        </w:rPr>
        <w:t>项目编号：</w:t>
      </w:r>
      <w:r>
        <w:rPr>
          <w:rFonts w:hint="eastAsia" w:ascii="宋体" w:cs="宋体"/>
          <w:color w:val="auto"/>
          <w:sz w:val="24"/>
          <w:highlight w:val="none"/>
          <w:u w:val="single"/>
        </w:rPr>
        <w:t xml:space="preserve"> </w:t>
      </w:r>
      <w:bookmarkStart w:id="287" w:name="PO_3000001867_PM001_7"/>
      <w:r>
        <w:rPr>
          <w:rFonts w:hint="eastAsia" w:ascii="宋体" w:cs="宋体"/>
          <w:color w:val="auto"/>
          <w:sz w:val="24"/>
          <w:highlight w:val="none"/>
          <w:u w:val="single"/>
        </w:rPr>
        <w:t xml:space="preserve">                      </w:t>
      </w:r>
      <w:bookmarkEnd w:id="287"/>
    </w:p>
    <w:p w14:paraId="4E1BE9CE">
      <w:pPr>
        <w:pStyle w:val="20"/>
        <w:rPr>
          <w:rFonts w:hint="eastAsia" w:cs="宋体"/>
          <w:color w:val="auto"/>
          <w:sz w:val="24"/>
          <w:highlight w:val="none"/>
        </w:rPr>
      </w:pPr>
      <w:r>
        <w:rPr>
          <w:rFonts w:hint="eastAsia" w:ascii="宋体" w:cs="宋体"/>
          <w:bCs/>
          <w:color w:val="auto"/>
          <w:sz w:val="24"/>
          <w:highlight w:val="none"/>
        </w:rPr>
        <w:t>所投分标（如有则填写，无分标时填写“无”或者留空）：</w:t>
      </w:r>
      <w:r>
        <w:rPr>
          <w:rFonts w:hint="eastAsia" w:ascii="宋体" w:cs="宋体"/>
          <w:color w:val="auto"/>
          <w:sz w:val="24"/>
          <w:highlight w:val="none"/>
          <w:u w:val="single"/>
        </w:rPr>
        <w:t xml:space="preserve">           </w:t>
      </w:r>
      <w:r>
        <w:rPr>
          <w:rFonts w:hint="eastAsia" w:cs="宋体"/>
          <w:color w:val="auto"/>
          <w:sz w:val="24"/>
          <w:highlight w:val="none"/>
        </w:rPr>
        <w:t xml:space="preserve">  </w:t>
      </w:r>
    </w:p>
    <w:tbl>
      <w:tblPr>
        <w:tblStyle w:val="29"/>
        <w:tblW w:w="981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1183"/>
        <w:gridCol w:w="1113"/>
        <w:gridCol w:w="1255"/>
        <w:gridCol w:w="1313"/>
        <w:gridCol w:w="1863"/>
        <w:gridCol w:w="1107"/>
      </w:tblGrid>
      <w:tr w14:paraId="595E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vAlign w:val="center"/>
          </w:tcPr>
          <w:p w14:paraId="0859F829">
            <w:pPr>
              <w:rPr>
                <w:rFonts w:hint="eastAsia" w:ascii="宋体" w:hAnsi="宋体" w:cs="宋体"/>
                <w:color w:val="auto"/>
                <w:szCs w:val="22"/>
                <w:highlight w:val="none"/>
              </w:rPr>
            </w:pPr>
            <w:r>
              <w:rPr>
                <w:rFonts w:hint="eastAsia" w:ascii="宋体" w:hAnsi="宋体" w:cs="宋体"/>
                <w:color w:val="auto"/>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03A1954E">
            <w:pPr>
              <w:rPr>
                <w:rFonts w:hint="eastAsia" w:ascii="宋体" w:hAnsi="宋体" w:eastAsia="宋体" w:cs="宋体"/>
                <w:color w:val="auto"/>
                <w:szCs w:val="22"/>
                <w:highlight w:val="none"/>
                <w:lang w:eastAsia="zh-CN"/>
              </w:rPr>
            </w:pPr>
            <w:r>
              <w:rPr>
                <w:rFonts w:hint="eastAsia" w:ascii="宋体" w:hAnsi="宋体" w:cs="宋体"/>
                <w:color w:val="auto"/>
                <w:szCs w:val="22"/>
                <w:highlight w:val="none"/>
                <w:lang w:eastAsia="zh-CN"/>
              </w:rPr>
              <w:t>标的名称</w:t>
            </w:r>
          </w:p>
        </w:tc>
        <w:tc>
          <w:tcPr>
            <w:tcW w:w="1183" w:type="dxa"/>
            <w:tcBorders>
              <w:top w:val="single" w:color="auto" w:sz="4" w:space="0"/>
              <w:left w:val="single" w:color="auto" w:sz="4" w:space="0"/>
              <w:bottom w:val="single" w:color="auto" w:sz="4" w:space="0"/>
              <w:right w:val="single" w:color="auto" w:sz="4" w:space="0"/>
            </w:tcBorders>
            <w:vAlign w:val="center"/>
          </w:tcPr>
          <w:p w14:paraId="4B06037E">
            <w:pPr>
              <w:jc w:val="center"/>
              <w:rPr>
                <w:rFonts w:hint="eastAsia" w:ascii="宋体" w:hAnsi="宋体" w:cs="宋体"/>
                <w:color w:val="auto"/>
                <w:szCs w:val="22"/>
                <w:highlight w:val="none"/>
              </w:rPr>
            </w:pPr>
            <w:r>
              <w:rPr>
                <w:rFonts w:hint="eastAsia" w:ascii="宋体" w:hAnsi="宋体" w:cs="宋体"/>
                <w:color w:val="auto"/>
                <w:szCs w:val="22"/>
                <w:highlight w:val="none"/>
              </w:rPr>
              <w:t>规格型号</w:t>
            </w:r>
          </w:p>
        </w:tc>
        <w:tc>
          <w:tcPr>
            <w:tcW w:w="1113" w:type="dxa"/>
            <w:tcBorders>
              <w:top w:val="single" w:color="auto" w:sz="4" w:space="0"/>
              <w:left w:val="single" w:color="auto" w:sz="4" w:space="0"/>
              <w:bottom w:val="single" w:color="auto" w:sz="4" w:space="0"/>
              <w:right w:val="single" w:color="auto" w:sz="4" w:space="0"/>
            </w:tcBorders>
            <w:vAlign w:val="center"/>
          </w:tcPr>
          <w:p w14:paraId="6F6C95D7">
            <w:pPr>
              <w:jc w:val="center"/>
              <w:rPr>
                <w:rFonts w:hint="eastAsia" w:ascii="宋体" w:hAnsi="宋体" w:eastAsia="宋体" w:cs="宋体"/>
                <w:color w:val="auto"/>
                <w:szCs w:val="22"/>
                <w:highlight w:val="none"/>
                <w:lang w:eastAsia="zh-CN"/>
              </w:rPr>
            </w:pPr>
            <w:r>
              <w:rPr>
                <w:rFonts w:hint="eastAsia" w:ascii="宋体" w:hAnsi="宋体" w:cs="宋体"/>
                <w:color w:val="auto"/>
                <w:szCs w:val="22"/>
                <w:highlight w:val="none"/>
                <w:lang w:eastAsia="zh-CN"/>
              </w:rPr>
              <w:t>品牌（如有）</w:t>
            </w:r>
          </w:p>
        </w:tc>
        <w:tc>
          <w:tcPr>
            <w:tcW w:w="1255" w:type="dxa"/>
            <w:tcBorders>
              <w:top w:val="single" w:color="auto" w:sz="4" w:space="0"/>
              <w:left w:val="single" w:color="auto" w:sz="4" w:space="0"/>
              <w:bottom w:val="single" w:color="auto" w:sz="4" w:space="0"/>
              <w:right w:val="single" w:color="auto" w:sz="4" w:space="0"/>
            </w:tcBorders>
            <w:vAlign w:val="center"/>
          </w:tcPr>
          <w:p w14:paraId="0C2BBAA9">
            <w:pPr>
              <w:jc w:val="center"/>
              <w:rPr>
                <w:rFonts w:hint="eastAsia" w:ascii="宋体" w:hAnsi="宋体" w:cs="宋体"/>
                <w:color w:val="auto"/>
                <w:szCs w:val="22"/>
                <w:highlight w:val="none"/>
                <w:lang w:eastAsia="zh-CN"/>
              </w:rPr>
            </w:pPr>
            <w:r>
              <w:rPr>
                <w:rFonts w:hint="eastAsia" w:ascii="宋体" w:hAnsi="宋体" w:cs="宋体"/>
                <w:color w:val="auto"/>
                <w:szCs w:val="22"/>
                <w:highlight w:val="none"/>
              </w:rPr>
              <w:t>数量</w:t>
            </w:r>
            <w:r>
              <w:rPr>
                <w:rFonts w:hint="eastAsia" w:ascii="宋体" w:hAnsi="宋体" w:cs="宋体"/>
                <w:color w:val="auto"/>
                <w:szCs w:val="22"/>
                <w:highlight w:val="none"/>
                <w:lang w:eastAsia="zh-CN"/>
              </w:rPr>
              <w:t>及单位</w:t>
            </w:r>
          </w:p>
          <w:p w14:paraId="5A9A92EF">
            <w:pPr>
              <w:jc w:val="center"/>
              <w:rPr>
                <w:rFonts w:hint="eastAsia" w:ascii="宋体" w:hAnsi="宋体" w:cs="宋体"/>
                <w:color w:val="auto"/>
                <w:szCs w:val="22"/>
                <w:highlight w:val="none"/>
              </w:rPr>
            </w:pPr>
            <w:r>
              <w:rPr>
                <w:rFonts w:hint="eastAsia" w:ascii="宋体" w:hAnsi="宋体" w:cs="宋体"/>
                <w:color w:val="auto"/>
                <w:szCs w:val="22"/>
                <w:highlight w:val="none"/>
              </w:rPr>
              <w:t>①</w:t>
            </w:r>
          </w:p>
        </w:tc>
        <w:tc>
          <w:tcPr>
            <w:tcW w:w="1313" w:type="dxa"/>
            <w:tcBorders>
              <w:top w:val="single" w:color="auto" w:sz="4" w:space="0"/>
              <w:left w:val="single" w:color="auto" w:sz="4" w:space="0"/>
              <w:bottom w:val="single" w:color="auto" w:sz="4" w:space="0"/>
              <w:right w:val="single" w:color="auto" w:sz="4" w:space="0"/>
            </w:tcBorders>
            <w:vAlign w:val="center"/>
          </w:tcPr>
          <w:p w14:paraId="267299AE">
            <w:pPr>
              <w:jc w:val="center"/>
              <w:rPr>
                <w:rFonts w:hint="eastAsia" w:ascii="宋体" w:hAnsi="宋体" w:cs="宋体"/>
                <w:color w:val="auto"/>
                <w:szCs w:val="22"/>
                <w:highlight w:val="none"/>
              </w:rPr>
            </w:pPr>
            <w:r>
              <w:rPr>
                <w:rFonts w:hint="eastAsia" w:ascii="宋体" w:hAnsi="宋体" w:cs="宋体"/>
                <w:color w:val="auto"/>
                <w:szCs w:val="22"/>
                <w:highlight w:val="none"/>
              </w:rPr>
              <w:t>单价(元)</w:t>
            </w:r>
          </w:p>
          <w:p w14:paraId="28C3BF91">
            <w:pPr>
              <w:jc w:val="center"/>
              <w:rPr>
                <w:rFonts w:hint="eastAsia" w:ascii="宋体" w:hAnsi="宋体" w:cs="宋体"/>
                <w:color w:val="auto"/>
                <w:szCs w:val="22"/>
                <w:highlight w:val="none"/>
              </w:rPr>
            </w:pPr>
            <w:r>
              <w:rPr>
                <w:rFonts w:hint="eastAsia" w:ascii="宋体" w:hAnsi="宋体" w:cs="宋体"/>
                <w:color w:val="auto"/>
                <w:szCs w:val="22"/>
                <w:highlight w:val="none"/>
              </w:rPr>
              <w:t>②</w:t>
            </w:r>
          </w:p>
        </w:tc>
        <w:tc>
          <w:tcPr>
            <w:tcW w:w="1863" w:type="dxa"/>
            <w:tcBorders>
              <w:top w:val="single" w:color="auto" w:sz="4" w:space="0"/>
              <w:left w:val="single" w:color="auto" w:sz="4" w:space="0"/>
              <w:bottom w:val="single" w:color="auto" w:sz="4" w:space="0"/>
              <w:right w:val="single" w:color="auto" w:sz="4" w:space="0"/>
            </w:tcBorders>
            <w:vAlign w:val="center"/>
          </w:tcPr>
          <w:p w14:paraId="75202E22">
            <w:pPr>
              <w:jc w:val="center"/>
              <w:rPr>
                <w:rFonts w:hint="eastAsia" w:ascii="宋体" w:hAnsi="宋体" w:cs="宋体"/>
                <w:color w:val="auto"/>
                <w:szCs w:val="22"/>
                <w:highlight w:val="none"/>
              </w:rPr>
            </w:pPr>
            <w:r>
              <w:rPr>
                <w:rFonts w:hint="eastAsia" w:ascii="宋体" w:hAnsi="宋体" w:cs="宋体"/>
                <w:color w:val="auto"/>
                <w:szCs w:val="22"/>
                <w:highlight w:val="none"/>
              </w:rPr>
              <w:t>单项合</w:t>
            </w:r>
            <w:r>
              <w:rPr>
                <w:rFonts w:hint="eastAsia" w:ascii="宋体" w:hAnsi="宋体" w:cs="宋体"/>
                <w:color w:val="auto"/>
                <w:szCs w:val="22"/>
                <w:highlight w:val="none"/>
                <w:lang w:eastAsia="zh-CN"/>
              </w:rPr>
              <w:t>计</w:t>
            </w:r>
            <w:r>
              <w:rPr>
                <w:rFonts w:hint="eastAsia" w:ascii="宋体" w:hAnsi="宋体" w:cs="宋体"/>
                <w:color w:val="auto"/>
                <w:szCs w:val="22"/>
                <w:highlight w:val="none"/>
              </w:rPr>
              <w:t>（元）</w:t>
            </w:r>
          </w:p>
          <w:p w14:paraId="643E1928">
            <w:pPr>
              <w:jc w:val="center"/>
              <w:rPr>
                <w:rFonts w:hint="eastAsia" w:ascii="宋体" w:hAnsi="宋体" w:cs="宋体"/>
                <w:color w:val="auto"/>
                <w:szCs w:val="22"/>
                <w:highlight w:val="none"/>
              </w:rPr>
            </w:pPr>
            <w:r>
              <w:rPr>
                <w:rFonts w:hint="eastAsia" w:ascii="宋体" w:hAnsi="宋体" w:cs="宋体"/>
                <w:color w:val="auto"/>
                <w:szCs w:val="22"/>
                <w:highlight w:val="none"/>
              </w:rPr>
              <w:t>③＝①×②</w:t>
            </w:r>
          </w:p>
        </w:tc>
        <w:tc>
          <w:tcPr>
            <w:tcW w:w="1107" w:type="dxa"/>
            <w:tcBorders>
              <w:top w:val="single" w:color="auto" w:sz="4" w:space="0"/>
              <w:left w:val="single" w:color="auto" w:sz="4" w:space="0"/>
              <w:bottom w:val="single" w:color="auto" w:sz="4" w:space="0"/>
              <w:right w:val="single" w:color="auto" w:sz="4" w:space="0"/>
            </w:tcBorders>
            <w:vAlign w:val="center"/>
          </w:tcPr>
          <w:p w14:paraId="40E02CDC">
            <w:pPr>
              <w:ind w:firstLine="0"/>
              <w:jc w:val="cente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制造商及产地</w:t>
            </w:r>
          </w:p>
        </w:tc>
      </w:tr>
      <w:tr w14:paraId="56D5B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vAlign w:val="center"/>
          </w:tcPr>
          <w:p w14:paraId="4276C12B">
            <w:pPr>
              <w:jc w:val="center"/>
              <w:rPr>
                <w:rFonts w:hint="eastAsia" w:ascii="宋体" w:hAnsi="宋体" w:cs="宋体"/>
                <w:color w:val="auto"/>
                <w:szCs w:val="22"/>
                <w:highlight w:val="none"/>
              </w:rPr>
            </w:pPr>
            <w:r>
              <w:rPr>
                <w:rFonts w:hint="eastAsia" w:ascii="宋体" w:hAnsi="宋体" w:cs="宋体"/>
                <w:color w:val="auto"/>
                <w:szCs w:val="22"/>
                <w:highlight w:val="none"/>
              </w:rPr>
              <w:t>1</w:t>
            </w:r>
          </w:p>
        </w:tc>
        <w:tc>
          <w:tcPr>
            <w:tcW w:w="1260" w:type="dxa"/>
            <w:tcBorders>
              <w:top w:val="single" w:color="auto" w:sz="4" w:space="0"/>
              <w:left w:val="single" w:color="auto" w:sz="4" w:space="0"/>
              <w:bottom w:val="single" w:color="auto" w:sz="4" w:space="0"/>
              <w:right w:val="single" w:color="auto" w:sz="4" w:space="0"/>
            </w:tcBorders>
            <w:vAlign w:val="center"/>
          </w:tcPr>
          <w:p w14:paraId="3DE59346">
            <w:pPr>
              <w:rPr>
                <w:rFonts w:hint="eastAsia" w:ascii="宋体" w:hAnsi="宋体" w:cs="宋体"/>
                <w:color w:val="auto"/>
                <w:szCs w:val="22"/>
                <w:highlight w:val="none"/>
              </w:rPr>
            </w:pPr>
          </w:p>
        </w:tc>
        <w:tc>
          <w:tcPr>
            <w:tcW w:w="1183" w:type="dxa"/>
            <w:tcBorders>
              <w:top w:val="single" w:color="auto" w:sz="4" w:space="0"/>
              <w:left w:val="single" w:color="auto" w:sz="4" w:space="0"/>
              <w:bottom w:val="single" w:color="auto" w:sz="4" w:space="0"/>
              <w:right w:val="single" w:color="auto" w:sz="4" w:space="0"/>
            </w:tcBorders>
            <w:vAlign w:val="center"/>
          </w:tcPr>
          <w:p w14:paraId="68A66DA7">
            <w:pPr>
              <w:rPr>
                <w:rFonts w:hint="eastAsia" w:ascii="宋体" w:hAnsi="宋体" w:cs="宋体"/>
                <w:color w:val="auto"/>
                <w:szCs w:val="22"/>
                <w:highlight w:val="none"/>
              </w:rPr>
            </w:pPr>
          </w:p>
        </w:tc>
        <w:tc>
          <w:tcPr>
            <w:tcW w:w="1113" w:type="dxa"/>
            <w:tcBorders>
              <w:top w:val="single" w:color="auto" w:sz="4" w:space="0"/>
              <w:left w:val="single" w:color="auto" w:sz="4" w:space="0"/>
              <w:bottom w:val="single" w:color="auto" w:sz="4" w:space="0"/>
              <w:right w:val="single" w:color="auto" w:sz="4" w:space="0"/>
            </w:tcBorders>
            <w:vAlign w:val="center"/>
          </w:tcPr>
          <w:p w14:paraId="110D8794">
            <w:pPr>
              <w:rPr>
                <w:rFonts w:hint="eastAsia" w:ascii="宋体" w:hAnsi="宋体" w:cs="宋体"/>
                <w:color w:val="auto"/>
                <w:szCs w:val="22"/>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01EED7EA">
            <w:pPr>
              <w:rPr>
                <w:rFonts w:hint="eastAsia" w:ascii="宋体" w:hAnsi="宋体" w:cs="宋体"/>
                <w:color w:val="auto"/>
                <w:szCs w:val="22"/>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4E836406">
            <w:pPr>
              <w:rPr>
                <w:rFonts w:hint="eastAsia" w:ascii="宋体" w:hAnsi="宋体" w:cs="宋体"/>
                <w:color w:val="auto"/>
                <w:szCs w:val="22"/>
                <w:highlight w:val="none"/>
              </w:rPr>
            </w:pPr>
          </w:p>
        </w:tc>
        <w:tc>
          <w:tcPr>
            <w:tcW w:w="1863" w:type="dxa"/>
            <w:tcBorders>
              <w:top w:val="single" w:color="auto" w:sz="4" w:space="0"/>
              <w:left w:val="single" w:color="auto" w:sz="4" w:space="0"/>
              <w:bottom w:val="single" w:color="auto" w:sz="4" w:space="0"/>
              <w:right w:val="single" w:color="auto" w:sz="4" w:space="0"/>
            </w:tcBorders>
            <w:vAlign w:val="center"/>
          </w:tcPr>
          <w:p w14:paraId="78D7854D">
            <w:pPr>
              <w:rPr>
                <w:rFonts w:hint="eastAsia" w:ascii="宋体" w:hAnsi="宋体" w:cs="宋体"/>
                <w:color w:val="auto"/>
                <w:szCs w:val="22"/>
                <w:highlight w:val="none"/>
              </w:rPr>
            </w:pPr>
          </w:p>
        </w:tc>
        <w:tc>
          <w:tcPr>
            <w:tcW w:w="1107" w:type="dxa"/>
            <w:tcBorders>
              <w:top w:val="single" w:color="auto" w:sz="4" w:space="0"/>
              <w:left w:val="single" w:color="auto" w:sz="4" w:space="0"/>
              <w:bottom w:val="single" w:color="auto" w:sz="4" w:space="0"/>
              <w:right w:val="single" w:color="auto" w:sz="4" w:space="0"/>
            </w:tcBorders>
          </w:tcPr>
          <w:p w14:paraId="3FED4FB7">
            <w:pPr>
              <w:rPr>
                <w:rFonts w:hint="eastAsia" w:ascii="宋体" w:hAnsi="宋体" w:cs="宋体"/>
                <w:color w:val="auto"/>
                <w:szCs w:val="22"/>
                <w:highlight w:val="none"/>
              </w:rPr>
            </w:pPr>
          </w:p>
        </w:tc>
      </w:tr>
      <w:tr w14:paraId="6DB6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vAlign w:val="center"/>
          </w:tcPr>
          <w:p w14:paraId="02B24329">
            <w:pPr>
              <w:jc w:val="center"/>
              <w:rPr>
                <w:rFonts w:hint="eastAsia" w:ascii="宋体" w:hAnsi="宋体" w:cs="宋体"/>
                <w:color w:val="auto"/>
                <w:szCs w:val="22"/>
                <w:highlight w:val="none"/>
              </w:rPr>
            </w:pPr>
            <w:r>
              <w:rPr>
                <w:rFonts w:hint="eastAsia" w:ascii="宋体" w:hAnsi="宋体" w:cs="宋体"/>
                <w:color w:val="auto"/>
                <w:szCs w:val="22"/>
                <w:highlight w:val="none"/>
              </w:rPr>
              <w:t>2</w:t>
            </w:r>
          </w:p>
        </w:tc>
        <w:tc>
          <w:tcPr>
            <w:tcW w:w="1260" w:type="dxa"/>
            <w:tcBorders>
              <w:top w:val="single" w:color="auto" w:sz="4" w:space="0"/>
              <w:left w:val="single" w:color="auto" w:sz="4" w:space="0"/>
              <w:bottom w:val="single" w:color="auto" w:sz="4" w:space="0"/>
              <w:right w:val="single" w:color="auto" w:sz="4" w:space="0"/>
            </w:tcBorders>
            <w:vAlign w:val="center"/>
          </w:tcPr>
          <w:p w14:paraId="27228351">
            <w:pPr>
              <w:rPr>
                <w:rFonts w:hint="eastAsia" w:ascii="宋体" w:hAnsi="宋体" w:cs="宋体"/>
                <w:color w:val="auto"/>
                <w:szCs w:val="22"/>
                <w:highlight w:val="none"/>
              </w:rPr>
            </w:pPr>
          </w:p>
        </w:tc>
        <w:tc>
          <w:tcPr>
            <w:tcW w:w="1183" w:type="dxa"/>
            <w:tcBorders>
              <w:top w:val="single" w:color="auto" w:sz="4" w:space="0"/>
              <w:left w:val="single" w:color="auto" w:sz="4" w:space="0"/>
              <w:bottom w:val="single" w:color="auto" w:sz="4" w:space="0"/>
              <w:right w:val="single" w:color="auto" w:sz="4" w:space="0"/>
            </w:tcBorders>
            <w:vAlign w:val="center"/>
          </w:tcPr>
          <w:p w14:paraId="1007284E">
            <w:pPr>
              <w:rPr>
                <w:rFonts w:hint="eastAsia" w:ascii="宋体" w:hAnsi="宋体" w:cs="宋体"/>
                <w:color w:val="auto"/>
                <w:szCs w:val="22"/>
                <w:highlight w:val="none"/>
              </w:rPr>
            </w:pPr>
          </w:p>
        </w:tc>
        <w:tc>
          <w:tcPr>
            <w:tcW w:w="1113" w:type="dxa"/>
            <w:tcBorders>
              <w:top w:val="single" w:color="auto" w:sz="4" w:space="0"/>
              <w:left w:val="single" w:color="auto" w:sz="4" w:space="0"/>
              <w:bottom w:val="single" w:color="auto" w:sz="4" w:space="0"/>
              <w:right w:val="single" w:color="auto" w:sz="4" w:space="0"/>
            </w:tcBorders>
            <w:vAlign w:val="center"/>
          </w:tcPr>
          <w:p w14:paraId="312EB93E">
            <w:pPr>
              <w:rPr>
                <w:rFonts w:hint="eastAsia" w:ascii="宋体" w:hAnsi="宋体" w:cs="宋体"/>
                <w:color w:val="auto"/>
                <w:szCs w:val="22"/>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6C5F93B1">
            <w:pPr>
              <w:rPr>
                <w:rFonts w:hint="eastAsia" w:ascii="宋体" w:hAnsi="宋体" w:cs="宋体"/>
                <w:color w:val="auto"/>
                <w:szCs w:val="22"/>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43303D53">
            <w:pPr>
              <w:rPr>
                <w:rFonts w:hint="eastAsia" w:ascii="宋体" w:hAnsi="宋体" w:cs="宋体"/>
                <w:color w:val="auto"/>
                <w:szCs w:val="22"/>
                <w:highlight w:val="none"/>
              </w:rPr>
            </w:pPr>
          </w:p>
        </w:tc>
        <w:tc>
          <w:tcPr>
            <w:tcW w:w="1863" w:type="dxa"/>
            <w:tcBorders>
              <w:top w:val="single" w:color="auto" w:sz="4" w:space="0"/>
              <w:left w:val="single" w:color="auto" w:sz="4" w:space="0"/>
              <w:bottom w:val="single" w:color="auto" w:sz="4" w:space="0"/>
              <w:right w:val="single" w:color="auto" w:sz="4" w:space="0"/>
            </w:tcBorders>
            <w:vAlign w:val="center"/>
          </w:tcPr>
          <w:p w14:paraId="030CA7BF">
            <w:pPr>
              <w:rPr>
                <w:rFonts w:hint="eastAsia" w:ascii="宋体" w:hAnsi="宋体" w:cs="宋体"/>
                <w:color w:val="auto"/>
                <w:szCs w:val="22"/>
                <w:highlight w:val="none"/>
              </w:rPr>
            </w:pPr>
          </w:p>
        </w:tc>
        <w:tc>
          <w:tcPr>
            <w:tcW w:w="1107" w:type="dxa"/>
            <w:tcBorders>
              <w:top w:val="single" w:color="auto" w:sz="4" w:space="0"/>
              <w:left w:val="single" w:color="auto" w:sz="4" w:space="0"/>
              <w:bottom w:val="single" w:color="auto" w:sz="4" w:space="0"/>
              <w:right w:val="single" w:color="auto" w:sz="4" w:space="0"/>
            </w:tcBorders>
          </w:tcPr>
          <w:p w14:paraId="0EA932EF">
            <w:pPr>
              <w:rPr>
                <w:rFonts w:hint="eastAsia" w:ascii="宋体" w:hAnsi="宋体" w:cs="宋体"/>
                <w:color w:val="auto"/>
                <w:szCs w:val="22"/>
                <w:highlight w:val="none"/>
              </w:rPr>
            </w:pPr>
          </w:p>
        </w:tc>
      </w:tr>
      <w:tr w14:paraId="4093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719" w:type="dxa"/>
            <w:tcBorders>
              <w:top w:val="single" w:color="auto" w:sz="4" w:space="0"/>
              <w:left w:val="single" w:color="auto" w:sz="4" w:space="0"/>
              <w:bottom w:val="single" w:color="auto" w:sz="4" w:space="0"/>
              <w:right w:val="single" w:color="auto" w:sz="4" w:space="0"/>
            </w:tcBorders>
            <w:vAlign w:val="center"/>
          </w:tcPr>
          <w:p w14:paraId="79383883">
            <w:pPr>
              <w:jc w:val="center"/>
              <w:rPr>
                <w:rFonts w:hint="eastAsia" w:ascii="宋体" w:hAnsi="宋体" w:cs="宋体"/>
                <w:color w:val="auto"/>
                <w:szCs w:val="22"/>
                <w:highlight w:val="none"/>
              </w:rPr>
            </w:pPr>
            <w:r>
              <w:rPr>
                <w:rFonts w:hint="eastAsia" w:ascii="宋体" w:hAnsi="宋体" w:cs="宋体"/>
                <w:color w:val="auto"/>
                <w:szCs w:val="22"/>
                <w:highlight w:val="none"/>
              </w:rPr>
              <w:t>...</w:t>
            </w:r>
          </w:p>
        </w:tc>
        <w:tc>
          <w:tcPr>
            <w:tcW w:w="1260" w:type="dxa"/>
            <w:tcBorders>
              <w:top w:val="single" w:color="auto" w:sz="4" w:space="0"/>
              <w:left w:val="single" w:color="auto" w:sz="4" w:space="0"/>
              <w:bottom w:val="single" w:color="auto" w:sz="4" w:space="0"/>
              <w:right w:val="single" w:color="auto" w:sz="4" w:space="0"/>
            </w:tcBorders>
            <w:vAlign w:val="center"/>
          </w:tcPr>
          <w:p w14:paraId="4E57F68D">
            <w:pPr>
              <w:rPr>
                <w:rFonts w:hint="eastAsia" w:ascii="宋体" w:hAnsi="宋体" w:cs="宋体"/>
                <w:color w:val="auto"/>
                <w:szCs w:val="22"/>
                <w:highlight w:val="none"/>
              </w:rPr>
            </w:pPr>
          </w:p>
        </w:tc>
        <w:tc>
          <w:tcPr>
            <w:tcW w:w="1183" w:type="dxa"/>
            <w:tcBorders>
              <w:top w:val="single" w:color="auto" w:sz="4" w:space="0"/>
              <w:left w:val="single" w:color="auto" w:sz="4" w:space="0"/>
              <w:bottom w:val="single" w:color="auto" w:sz="4" w:space="0"/>
              <w:right w:val="single" w:color="auto" w:sz="4" w:space="0"/>
            </w:tcBorders>
            <w:vAlign w:val="center"/>
          </w:tcPr>
          <w:p w14:paraId="243C6D80">
            <w:pPr>
              <w:rPr>
                <w:rFonts w:hint="eastAsia" w:ascii="宋体" w:hAnsi="宋体" w:cs="宋体"/>
                <w:color w:val="auto"/>
                <w:szCs w:val="22"/>
                <w:highlight w:val="none"/>
              </w:rPr>
            </w:pPr>
          </w:p>
        </w:tc>
        <w:tc>
          <w:tcPr>
            <w:tcW w:w="1113" w:type="dxa"/>
            <w:tcBorders>
              <w:top w:val="single" w:color="auto" w:sz="4" w:space="0"/>
              <w:left w:val="single" w:color="auto" w:sz="4" w:space="0"/>
              <w:bottom w:val="single" w:color="auto" w:sz="4" w:space="0"/>
              <w:right w:val="single" w:color="auto" w:sz="4" w:space="0"/>
            </w:tcBorders>
            <w:vAlign w:val="center"/>
          </w:tcPr>
          <w:p w14:paraId="3D8A414F">
            <w:pPr>
              <w:rPr>
                <w:rFonts w:hint="eastAsia" w:ascii="宋体" w:hAnsi="宋体" w:cs="宋体"/>
                <w:color w:val="auto"/>
                <w:szCs w:val="22"/>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22405276">
            <w:pPr>
              <w:rPr>
                <w:rFonts w:hint="eastAsia" w:ascii="宋体" w:hAnsi="宋体" w:cs="宋体"/>
                <w:color w:val="auto"/>
                <w:szCs w:val="22"/>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49E7BDD1">
            <w:pPr>
              <w:rPr>
                <w:rFonts w:hint="eastAsia" w:ascii="宋体" w:hAnsi="宋体" w:cs="宋体"/>
                <w:color w:val="auto"/>
                <w:szCs w:val="22"/>
                <w:highlight w:val="none"/>
              </w:rPr>
            </w:pPr>
          </w:p>
        </w:tc>
        <w:tc>
          <w:tcPr>
            <w:tcW w:w="1863" w:type="dxa"/>
            <w:tcBorders>
              <w:top w:val="single" w:color="auto" w:sz="4" w:space="0"/>
              <w:left w:val="single" w:color="auto" w:sz="4" w:space="0"/>
              <w:bottom w:val="single" w:color="auto" w:sz="4" w:space="0"/>
              <w:right w:val="single" w:color="auto" w:sz="4" w:space="0"/>
            </w:tcBorders>
            <w:vAlign w:val="center"/>
          </w:tcPr>
          <w:p w14:paraId="1960C197">
            <w:pPr>
              <w:rPr>
                <w:rFonts w:hint="eastAsia" w:ascii="宋体" w:hAnsi="宋体" w:cs="宋体"/>
                <w:color w:val="auto"/>
                <w:szCs w:val="22"/>
                <w:highlight w:val="none"/>
              </w:rPr>
            </w:pPr>
          </w:p>
        </w:tc>
        <w:tc>
          <w:tcPr>
            <w:tcW w:w="1107" w:type="dxa"/>
            <w:tcBorders>
              <w:top w:val="single" w:color="auto" w:sz="4" w:space="0"/>
              <w:left w:val="single" w:color="auto" w:sz="4" w:space="0"/>
              <w:bottom w:val="single" w:color="auto" w:sz="4" w:space="0"/>
              <w:right w:val="single" w:color="auto" w:sz="4" w:space="0"/>
            </w:tcBorders>
          </w:tcPr>
          <w:p w14:paraId="6C5CA2E8">
            <w:pPr>
              <w:rPr>
                <w:rFonts w:hint="eastAsia" w:ascii="宋体" w:hAnsi="宋体" w:cs="宋体"/>
                <w:color w:val="auto"/>
                <w:szCs w:val="22"/>
                <w:highlight w:val="none"/>
              </w:rPr>
            </w:pPr>
          </w:p>
        </w:tc>
      </w:tr>
      <w:tr w14:paraId="48F8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0C44DC49">
            <w:pPr>
              <w:ind w:firstLine="0"/>
              <w:jc w:val="both"/>
              <w:rPr>
                <w:rFonts w:hint="eastAsia" w:ascii="宋体" w:hAnsi="宋体" w:cs="宋体"/>
                <w:color w:val="auto"/>
                <w:szCs w:val="22"/>
                <w:highlight w:val="none"/>
              </w:rPr>
            </w:pPr>
            <w:r>
              <w:rPr>
                <w:rFonts w:hint="eastAsia" w:hAnsi="宋体" w:cs="宋体"/>
                <w:color w:val="auto"/>
                <w:highlight w:val="none"/>
                <w:lang w:eastAsia="zh-CN"/>
              </w:rPr>
              <w:t>投标总</w:t>
            </w:r>
            <w:r>
              <w:rPr>
                <w:rFonts w:hint="eastAsia" w:ascii="宋体" w:hAnsi="宋体" w:cs="宋体"/>
                <w:color w:val="auto"/>
                <w:szCs w:val="22"/>
                <w:highlight w:val="none"/>
              </w:rPr>
              <w:t xml:space="preserve">报价（包含税费等所有费用）：（大写）人民币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w:t>
            </w:r>
            <w:r>
              <w:rPr>
                <w:rFonts w:hint="eastAsia" w:ascii="宋体" w:hAnsi="宋体" w:cs="宋体"/>
                <w:color w:val="auto"/>
                <w:szCs w:val="22"/>
                <w:highlight w:val="none"/>
                <w:lang w:eastAsia="zh-CN"/>
              </w:rPr>
              <w:t>小写</w:t>
            </w:r>
            <w:r>
              <w:rPr>
                <w:rFonts w:hint="eastAsia" w:ascii="宋体" w:hAnsi="宋体" w:cs="宋体"/>
                <w:color w:val="auto"/>
                <w:szCs w:val="22"/>
                <w:highlight w:val="none"/>
              </w:rPr>
              <w:t>）</w:t>
            </w:r>
            <w:r>
              <w:rPr>
                <w:rFonts w:hint="eastAsia" w:ascii="宋体" w:hAnsi="宋体" w:cs="宋体"/>
                <w:color w:val="auto"/>
                <w:szCs w:val="22"/>
                <w:highlight w:val="none"/>
                <w:lang w:eastAsia="zh-CN"/>
              </w:rPr>
              <w:t>¥</w:t>
            </w:r>
            <w:r>
              <w:rPr>
                <w:rFonts w:hint="eastAsia" w:ascii="宋体" w:hAnsi="宋体" w:cs="宋体"/>
                <w:color w:val="auto"/>
                <w:szCs w:val="22"/>
                <w:highlight w:val="none"/>
              </w:rPr>
              <w:t xml:space="preserve">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u w:val="single"/>
                <w:lang w:val="en-US" w:eastAsia="zh-CN"/>
              </w:rPr>
              <w:t xml:space="preserve">   </w:t>
            </w:r>
            <w:r>
              <w:rPr>
                <w:rFonts w:hint="eastAsia" w:ascii="宋体" w:hAnsi="宋体" w:cs="宋体"/>
                <w:color w:val="auto"/>
                <w:szCs w:val="22"/>
                <w:highlight w:val="none"/>
                <w:u w:val="single"/>
              </w:rPr>
              <w:t xml:space="preserve">  </w:t>
            </w:r>
          </w:p>
        </w:tc>
      </w:tr>
      <w:tr w14:paraId="4DDE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6CD989D4">
            <w:pPr>
              <w:jc w:val="both"/>
              <w:rPr>
                <w:rFonts w:hint="eastAsia" w:ascii="宋体" w:hAnsi="宋体" w:cs="宋体"/>
                <w:color w:val="auto"/>
                <w:szCs w:val="22"/>
                <w:highlight w:val="none"/>
              </w:rPr>
            </w:pPr>
            <w:r>
              <w:rPr>
                <w:rFonts w:hint="eastAsia" w:ascii="宋体" w:hAnsi="宋体" w:cs="宋体"/>
                <w:color w:val="auto"/>
                <w:szCs w:val="22"/>
                <w:highlight w:val="none"/>
                <w:lang w:eastAsia="zh-CN"/>
              </w:rPr>
              <w:t>交付时间：</w:t>
            </w:r>
          </w:p>
        </w:tc>
      </w:tr>
      <w:tr w14:paraId="41D6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2564785A">
            <w:pPr>
              <w:jc w:val="both"/>
              <w:rPr>
                <w:rFonts w:hint="eastAsia" w:ascii="宋体" w:hAnsi="宋体" w:cs="宋体"/>
                <w:color w:val="auto"/>
                <w:szCs w:val="22"/>
                <w:highlight w:val="none"/>
                <w:lang w:eastAsia="zh-CN"/>
              </w:rPr>
            </w:pPr>
            <w:r>
              <w:rPr>
                <w:rFonts w:hint="eastAsia" w:ascii="宋体" w:hAnsi="宋体" w:eastAsia="宋体" w:cs="宋体"/>
                <w:color w:val="auto"/>
                <w:highlight w:val="none"/>
                <w:lang w:val="en-US" w:eastAsia="zh-CN"/>
              </w:rPr>
              <w:t>备注：根据</w:t>
            </w:r>
            <w:r>
              <w:rPr>
                <w:rFonts w:hint="eastAsia" w:ascii="宋体" w:hAnsi="宋体" w:eastAsia="宋体" w:cs="宋体"/>
                <w:color w:val="auto"/>
                <w:szCs w:val="21"/>
                <w:highlight w:val="none"/>
                <w:lang w:val="en-US" w:eastAsia="zh-CN"/>
              </w:rPr>
              <w:t>《国务院办公厅关于在政府采购中实施本国产品标准及相关政策的通知》（国办发</w:t>
            </w:r>
            <w:r>
              <w:rPr>
                <w:rFonts w:hint="eastAsia" w:ascii="宋体" w:hAnsi="宋体" w:eastAsia="宋体" w:cs="宋体"/>
                <w:color w:val="auto"/>
                <w:szCs w:val="21"/>
                <w:highlight w:val="none"/>
              </w:rPr>
              <w:t>〔202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号）</w:t>
            </w:r>
            <w:r>
              <w:rPr>
                <w:rFonts w:hint="eastAsia" w:ascii="宋体" w:hAnsi="宋体" w:eastAsia="宋体" w:cs="宋体"/>
                <w:color w:val="auto"/>
                <w:highlight w:val="none"/>
                <w:lang w:val="en-US" w:eastAsia="zh-CN"/>
              </w:rPr>
              <w:t>的规定，我方提供的符合</w:t>
            </w:r>
            <w:r>
              <w:rPr>
                <w:rFonts w:hint="eastAsia" w:ascii="宋体" w:hAnsi="宋体" w:eastAsia="宋体" w:cs="宋体"/>
                <w:color w:val="auto"/>
                <w:highlight w:val="none"/>
              </w:rPr>
              <w:t>本国产品标准的产品成本之和占提供的全部产品成本之和的比例</w:t>
            </w:r>
            <w:r>
              <w:rPr>
                <w:rFonts w:hint="eastAsia" w:ascii="宋体" w:hAnsi="宋体" w:eastAsia="宋体" w:cs="宋体"/>
                <w:color w:val="auto"/>
                <w:highlight w:val="none"/>
                <w:lang w:val="en-US" w:eastAsia="zh-CN"/>
              </w:rPr>
              <w:t>达到</w:t>
            </w:r>
            <w:r>
              <w:rPr>
                <w:rFonts w:hint="eastAsia" w:ascii="宋体" w:hAnsi="宋体" w:cs="宋体"/>
                <w:color w:val="auto"/>
                <w:highlight w:val="none"/>
                <w:lang w:val="en-US" w:eastAsia="zh-CN"/>
              </w:rPr>
              <w:t xml:space="preserve">   </w:t>
            </w:r>
            <w:r>
              <w:rPr>
                <w:rFonts w:hint="eastAsia" w:ascii="宋体" w:hAnsi="宋体" w:eastAsia="宋体" w:cs="宋体"/>
                <w:color w:val="auto"/>
                <w:highlight w:val="none"/>
                <w:lang w:val="en-US" w:eastAsia="zh-CN"/>
              </w:rPr>
              <w:t>%。</w:t>
            </w:r>
          </w:p>
        </w:tc>
      </w:tr>
    </w:tbl>
    <w:p w14:paraId="44A443CB">
      <w:pPr>
        <w:snapToGrid w:val="0"/>
        <w:spacing w:before="50" w:after="50" w:line="360" w:lineRule="auto"/>
        <w:ind w:firstLine="420" w:firstLineChars="200"/>
        <w:jc w:val="left"/>
        <w:rPr>
          <w:rFonts w:ascii="宋体" w:cs="宋体"/>
          <w:color w:val="auto"/>
          <w:kern w:val="0"/>
          <w:szCs w:val="21"/>
          <w:highlight w:val="none"/>
          <w:lang w:val="zh-CN"/>
        </w:rPr>
      </w:pPr>
      <w:r>
        <w:rPr>
          <w:rFonts w:hint="eastAsia" w:ascii="宋体" w:cs="宋体"/>
          <w:color w:val="auto"/>
          <w:kern w:val="0"/>
          <w:szCs w:val="21"/>
          <w:highlight w:val="none"/>
          <w:lang w:val="zh-CN"/>
        </w:rPr>
        <w:t xml:space="preserve">注： </w:t>
      </w:r>
    </w:p>
    <w:p w14:paraId="3265AA28">
      <w:pPr>
        <w:snapToGrid w:val="0"/>
        <w:spacing w:before="50" w:after="50" w:line="360" w:lineRule="auto"/>
        <w:ind w:firstLine="420" w:firstLineChars="200"/>
        <w:jc w:val="left"/>
        <w:rPr>
          <w:rFonts w:hint="eastAsia" w:ascii="宋体" w:cs="宋体"/>
          <w:b/>
          <w:color w:val="auto"/>
          <w:kern w:val="0"/>
          <w:szCs w:val="21"/>
          <w:highlight w:val="none"/>
          <w:lang w:val="zh-CN"/>
        </w:rPr>
      </w:pPr>
      <w:r>
        <w:rPr>
          <w:rFonts w:hint="eastAsia" w:ascii="宋体" w:cs="宋体"/>
          <w:color w:val="auto"/>
          <w:kern w:val="0"/>
          <w:szCs w:val="21"/>
          <w:highlight w:val="none"/>
          <w:lang w:val="zh-CN"/>
        </w:rPr>
        <w:t>1</w:t>
      </w:r>
      <w:r>
        <w:rPr>
          <w:rFonts w:hint="eastAsia" w:ascii="宋体" w:cs="宋体"/>
          <w:color w:val="auto"/>
          <w:kern w:val="0"/>
          <w:szCs w:val="21"/>
          <w:highlight w:val="none"/>
          <w:lang w:val="en-US" w:eastAsia="zh-CN"/>
        </w:rPr>
        <w:t>.</w:t>
      </w:r>
      <w:r>
        <w:rPr>
          <w:rFonts w:hint="eastAsia" w:ascii="宋体" w:cs="宋体"/>
          <w:color w:val="auto"/>
          <w:kern w:val="0"/>
          <w:szCs w:val="21"/>
          <w:highlight w:val="none"/>
          <w:lang w:val="zh-CN"/>
        </w:rPr>
        <w:t>投标人需按本表格式填写，不得自行更改，也不得留空（备注除外），如有多分标，按分标分别提供开标一览表，必须加盖投标人有效公章，</w:t>
      </w:r>
      <w:r>
        <w:rPr>
          <w:rFonts w:hint="eastAsia" w:ascii="宋体" w:cs="宋体"/>
          <w:b/>
          <w:color w:val="auto"/>
          <w:kern w:val="0"/>
          <w:szCs w:val="21"/>
          <w:highlight w:val="none"/>
          <w:lang w:val="zh-CN"/>
        </w:rPr>
        <w:t>否则其投标作无效标处理。</w:t>
      </w:r>
    </w:p>
    <w:p w14:paraId="03D5BBCF">
      <w:pPr>
        <w:snapToGrid w:val="0"/>
        <w:spacing w:before="50" w:after="50" w:line="360" w:lineRule="auto"/>
        <w:ind w:firstLine="420" w:firstLineChars="200"/>
        <w:jc w:val="left"/>
        <w:rPr>
          <w:rFonts w:hint="eastAsia" w:ascii="宋体" w:cs="宋体"/>
          <w:b/>
          <w:color w:val="auto"/>
          <w:kern w:val="0"/>
          <w:szCs w:val="21"/>
          <w:highlight w:val="none"/>
          <w:lang w:val="zh-CN"/>
        </w:rPr>
      </w:pPr>
      <w:r>
        <w:rPr>
          <w:rFonts w:hint="eastAsia" w:ascii="宋体" w:cs="宋体"/>
          <w:color w:val="auto"/>
          <w:kern w:val="0"/>
          <w:szCs w:val="21"/>
          <w:highlight w:val="none"/>
          <w:lang w:val="zh-CN"/>
        </w:rPr>
        <w:t>2</w:t>
      </w:r>
      <w:r>
        <w:rPr>
          <w:rFonts w:hint="eastAsia" w:ascii="宋体" w:cs="宋体"/>
          <w:color w:val="auto"/>
          <w:kern w:val="0"/>
          <w:szCs w:val="21"/>
          <w:highlight w:val="none"/>
          <w:lang w:val="en-US" w:eastAsia="zh-CN"/>
        </w:rPr>
        <w:t>.</w:t>
      </w:r>
      <w:r>
        <w:rPr>
          <w:rFonts w:hint="eastAsia" w:ascii="宋体" w:cs="宋体"/>
          <w:color w:val="auto"/>
          <w:kern w:val="0"/>
          <w:szCs w:val="21"/>
          <w:highlight w:val="none"/>
          <w:lang w:val="zh-CN"/>
        </w:rPr>
        <w:t>本表内容均不能涂改，</w:t>
      </w:r>
      <w:r>
        <w:rPr>
          <w:rFonts w:hint="eastAsia" w:ascii="宋体" w:cs="宋体"/>
          <w:b/>
          <w:color w:val="auto"/>
          <w:kern w:val="0"/>
          <w:szCs w:val="21"/>
          <w:highlight w:val="none"/>
          <w:lang w:val="zh-CN"/>
        </w:rPr>
        <w:t>否则其投标作无效标处理。</w:t>
      </w:r>
    </w:p>
    <w:p w14:paraId="23079C30">
      <w:pPr>
        <w:snapToGrid w:val="0"/>
        <w:spacing w:before="50" w:after="50" w:line="360" w:lineRule="auto"/>
        <w:ind w:firstLine="420" w:firstLineChars="200"/>
        <w:jc w:val="left"/>
        <w:rPr>
          <w:rFonts w:hint="eastAsia" w:ascii="宋体" w:cs="宋体"/>
          <w:b/>
          <w:color w:val="auto"/>
          <w:kern w:val="0"/>
          <w:szCs w:val="21"/>
          <w:highlight w:val="none"/>
          <w:lang w:val="zh-CN"/>
        </w:rPr>
      </w:pPr>
      <w:r>
        <w:rPr>
          <w:rFonts w:hint="eastAsia" w:ascii="宋体" w:cs="宋体"/>
          <w:color w:val="auto"/>
          <w:kern w:val="0"/>
          <w:szCs w:val="21"/>
          <w:highlight w:val="none"/>
          <w:lang w:val="zh-CN"/>
        </w:rPr>
        <w:t>3</w:t>
      </w:r>
      <w:r>
        <w:rPr>
          <w:rFonts w:hint="eastAsia" w:ascii="宋体" w:cs="宋体"/>
          <w:color w:val="auto"/>
          <w:kern w:val="0"/>
          <w:szCs w:val="21"/>
          <w:highlight w:val="none"/>
          <w:lang w:val="en-US" w:eastAsia="zh-CN"/>
        </w:rPr>
        <w:t>.</w:t>
      </w:r>
      <w:r>
        <w:rPr>
          <w:rFonts w:hint="eastAsia" w:ascii="宋体" w:cs="宋体"/>
          <w:color w:val="auto"/>
          <w:kern w:val="0"/>
          <w:szCs w:val="21"/>
          <w:highlight w:val="none"/>
          <w:lang w:val="zh-CN"/>
        </w:rPr>
        <w:t>如为联合体投标，“投标人名称”处必须列明联合体各方名称，并标注联合体牵头人名称，且盖章处须加盖联合体各方公章，</w:t>
      </w:r>
      <w:r>
        <w:rPr>
          <w:rFonts w:hint="eastAsia" w:ascii="宋体" w:cs="宋体"/>
          <w:b/>
          <w:color w:val="auto"/>
          <w:kern w:val="0"/>
          <w:szCs w:val="21"/>
          <w:highlight w:val="none"/>
          <w:lang w:val="zh-CN"/>
        </w:rPr>
        <w:t>否则其投标作无效标处理。</w:t>
      </w:r>
    </w:p>
    <w:p w14:paraId="14418B74">
      <w:pPr>
        <w:snapToGrid w:val="0"/>
        <w:spacing w:before="50" w:after="50" w:line="360" w:lineRule="auto"/>
        <w:ind w:firstLine="420" w:firstLineChars="200"/>
        <w:jc w:val="left"/>
        <w:rPr>
          <w:rFonts w:hint="eastAsia" w:ascii="宋体" w:cs="宋体"/>
          <w:b/>
          <w:color w:val="auto"/>
          <w:kern w:val="0"/>
          <w:szCs w:val="21"/>
          <w:highlight w:val="none"/>
          <w:lang w:val="zh-CN"/>
        </w:rPr>
      </w:pPr>
      <w:r>
        <w:rPr>
          <w:rFonts w:hint="eastAsia" w:ascii="宋体" w:cs="宋体"/>
          <w:color w:val="auto"/>
          <w:kern w:val="0"/>
          <w:szCs w:val="21"/>
          <w:highlight w:val="none"/>
          <w:lang w:val="zh-CN"/>
        </w:rPr>
        <w:t>4</w:t>
      </w:r>
      <w:r>
        <w:rPr>
          <w:rFonts w:hint="eastAsia" w:ascii="宋体" w:cs="宋体"/>
          <w:color w:val="auto"/>
          <w:kern w:val="0"/>
          <w:szCs w:val="21"/>
          <w:highlight w:val="none"/>
          <w:lang w:val="en-US" w:eastAsia="zh-CN"/>
        </w:rPr>
        <w:t>.</w:t>
      </w:r>
      <w:r>
        <w:rPr>
          <w:rFonts w:hint="eastAsia" w:ascii="宋体" w:hAnsi="宋体" w:eastAsia="宋体" w:cs="宋体"/>
          <w:color w:val="auto"/>
          <w:kern w:val="0"/>
          <w:sz w:val="21"/>
          <w:szCs w:val="21"/>
          <w:highlight w:val="none"/>
          <w:lang w:val="zh-CN"/>
        </w:rPr>
        <w:t>以上表格要求细分项目及报价，在“标的名称”一栏中，填写具体货物，在“规格型号”一栏中，填写具体货物</w:t>
      </w:r>
      <w:r>
        <w:rPr>
          <w:rFonts w:hint="eastAsia" w:ascii="宋体" w:hAnsi="宋体" w:cs="宋体"/>
          <w:color w:val="auto"/>
          <w:kern w:val="0"/>
          <w:sz w:val="21"/>
          <w:szCs w:val="21"/>
          <w:highlight w:val="none"/>
          <w:lang w:val="en-US" w:eastAsia="zh-CN"/>
        </w:rPr>
        <w:t>的</w:t>
      </w:r>
      <w:r>
        <w:rPr>
          <w:rFonts w:hint="eastAsia" w:ascii="宋体" w:hAnsi="宋体" w:eastAsia="宋体" w:cs="宋体"/>
          <w:color w:val="auto"/>
          <w:kern w:val="0"/>
          <w:sz w:val="21"/>
          <w:szCs w:val="21"/>
          <w:highlight w:val="none"/>
          <w:lang w:val="zh-CN"/>
        </w:rPr>
        <w:t>规格型号</w:t>
      </w:r>
      <w:r>
        <w:rPr>
          <w:rFonts w:hint="eastAsia" w:ascii="宋体" w:hAnsi="宋体" w:cs="宋体"/>
          <w:color w:val="auto"/>
          <w:kern w:val="0"/>
          <w:sz w:val="21"/>
          <w:szCs w:val="21"/>
          <w:highlight w:val="none"/>
          <w:lang w:val="zh-CN"/>
        </w:rPr>
        <w:t>（</w:t>
      </w:r>
      <w:r>
        <w:rPr>
          <w:rFonts w:hint="eastAsia"/>
          <w:color w:val="auto"/>
          <w:highlight w:val="none"/>
          <w:lang w:val="en-US" w:eastAsia="zh-CN"/>
        </w:rPr>
        <w:t>如为定制产品，“规格型号”栏可以填写“定制”</w:t>
      </w:r>
      <w:r>
        <w:rPr>
          <w:rFonts w:hint="eastAsia" w:ascii="宋体" w:hAnsi="宋体" w:cs="宋体"/>
          <w:color w:val="auto"/>
          <w:kern w:val="0"/>
          <w:sz w:val="21"/>
          <w:szCs w:val="21"/>
          <w:highlight w:val="none"/>
          <w:lang w:val="zh-CN"/>
        </w:rPr>
        <w:t>）</w:t>
      </w:r>
      <w:r>
        <w:rPr>
          <w:rFonts w:hint="eastAsia" w:ascii="宋体" w:hAnsi="宋体" w:eastAsia="宋体" w:cs="宋体"/>
          <w:color w:val="auto"/>
          <w:kern w:val="0"/>
          <w:sz w:val="21"/>
          <w:szCs w:val="21"/>
          <w:highlight w:val="none"/>
          <w:lang w:val="zh-CN"/>
        </w:rPr>
        <w:t>，</w:t>
      </w:r>
      <w:r>
        <w:rPr>
          <w:rFonts w:hint="eastAsia" w:ascii="宋体" w:hAnsi="宋体" w:eastAsia="宋体" w:cs="宋体"/>
          <w:b/>
          <w:color w:val="auto"/>
          <w:kern w:val="0"/>
          <w:sz w:val="21"/>
          <w:szCs w:val="21"/>
          <w:highlight w:val="none"/>
          <w:lang w:val="zh-CN"/>
        </w:rPr>
        <w:t>否则其投标作无效标处理</w:t>
      </w:r>
      <w:r>
        <w:rPr>
          <w:rFonts w:hint="eastAsia" w:ascii="宋体" w:cs="宋体"/>
          <w:b/>
          <w:color w:val="auto"/>
          <w:kern w:val="0"/>
          <w:szCs w:val="21"/>
          <w:highlight w:val="none"/>
          <w:lang w:val="zh-CN"/>
        </w:rPr>
        <w:t>。</w:t>
      </w:r>
    </w:p>
    <w:p w14:paraId="77CDBAEB">
      <w:pPr>
        <w:snapToGrid w:val="0"/>
        <w:spacing w:before="50" w:after="50" w:line="360" w:lineRule="auto"/>
        <w:ind w:firstLine="420" w:firstLineChars="200"/>
        <w:jc w:val="left"/>
        <w:rPr>
          <w:rFonts w:hint="eastAsia" w:ascii="宋体" w:cs="宋体"/>
          <w:color w:val="auto"/>
          <w:kern w:val="0"/>
          <w:szCs w:val="21"/>
          <w:highlight w:val="none"/>
          <w:lang w:val="zh-CN"/>
        </w:rPr>
      </w:pPr>
      <w:r>
        <w:rPr>
          <w:rFonts w:hint="eastAsia" w:ascii="宋体" w:cs="宋体"/>
          <w:color w:val="auto"/>
          <w:kern w:val="0"/>
          <w:szCs w:val="21"/>
          <w:highlight w:val="none"/>
          <w:lang w:val="zh-CN"/>
        </w:rPr>
        <w:t>5</w:t>
      </w:r>
      <w:r>
        <w:rPr>
          <w:rFonts w:hint="eastAsia" w:ascii="宋体" w:cs="宋体"/>
          <w:color w:val="auto"/>
          <w:kern w:val="0"/>
          <w:szCs w:val="21"/>
          <w:highlight w:val="none"/>
          <w:lang w:val="en-US" w:eastAsia="zh-CN"/>
        </w:rPr>
        <w:t>.</w:t>
      </w:r>
      <w:r>
        <w:rPr>
          <w:rFonts w:hint="eastAsia" w:ascii="宋体" w:hAnsi="宋体" w:eastAsia="宋体" w:cs="宋体"/>
          <w:color w:val="auto"/>
          <w:kern w:val="0"/>
          <w:sz w:val="21"/>
          <w:szCs w:val="21"/>
          <w:highlight w:val="none"/>
          <w:lang w:val="zh-CN"/>
        </w:rPr>
        <w:t>特别提示：采购代理机构将对项目名称和项目编号，中标人名称、地址和中标金额，主要中标标的名称、</w:t>
      </w:r>
      <w:r>
        <w:rPr>
          <w:rFonts w:hint="eastAsia" w:ascii="宋体" w:hAnsi="宋体" w:cs="宋体"/>
          <w:color w:val="auto"/>
          <w:kern w:val="0"/>
          <w:sz w:val="21"/>
          <w:szCs w:val="21"/>
          <w:highlight w:val="none"/>
          <w:lang w:val="en-US" w:eastAsia="zh-CN"/>
        </w:rPr>
        <w:t>品牌（如有）、</w:t>
      </w:r>
      <w:r>
        <w:rPr>
          <w:rFonts w:hint="eastAsia" w:ascii="宋体" w:hAnsi="宋体" w:eastAsia="宋体" w:cs="宋体"/>
          <w:color w:val="auto"/>
          <w:kern w:val="0"/>
          <w:sz w:val="21"/>
          <w:szCs w:val="21"/>
          <w:highlight w:val="none"/>
          <w:lang w:val="zh-CN"/>
        </w:rPr>
        <w:t>规格型号、数量、单价等予以公示</w:t>
      </w:r>
      <w:r>
        <w:rPr>
          <w:rFonts w:hint="eastAsia" w:ascii="宋体" w:cs="宋体"/>
          <w:color w:val="auto"/>
          <w:kern w:val="0"/>
          <w:szCs w:val="21"/>
          <w:highlight w:val="none"/>
          <w:lang w:val="zh-CN"/>
        </w:rPr>
        <w:t>。</w:t>
      </w:r>
    </w:p>
    <w:p w14:paraId="793322D9">
      <w:pPr>
        <w:snapToGrid w:val="0"/>
        <w:spacing w:before="50" w:after="50" w:line="360" w:lineRule="auto"/>
        <w:ind w:firstLine="420" w:firstLineChars="200"/>
        <w:jc w:val="left"/>
        <w:rPr>
          <w:rFonts w:ascii="宋体" w:cs="宋体"/>
          <w:color w:val="auto"/>
          <w:kern w:val="0"/>
          <w:szCs w:val="21"/>
          <w:highlight w:val="none"/>
          <w:lang w:val="zh-CN"/>
        </w:rPr>
      </w:pPr>
      <w:r>
        <w:rPr>
          <w:rFonts w:hint="eastAsia" w:ascii="宋体" w:cs="宋体"/>
          <w:color w:val="auto"/>
          <w:kern w:val="0"/>
          <w:szCs w:val="21"/>
          <w:highlight w:val="none"/>
          <w:lang w:val="zh-CN"/>
        </w:rPr>
        <w:t>6</w:t>
      </w:r>
      <w:r>
        <w:rPr>
          <w:rFonts w:hint="eastAsia" w:ascii="宋体" w:cs="宋体"/>
          <w:color w:val="auto"/>
          <w:kern w:val="0"/>
          <w:szCs w:val="21"/>
          <w:highlight w:val="none"/>
          <w:lang w:val="en-US" w:eastAsia="zh-CN"/>
        </w:rPr>
        <w:t>.</w:t>
      </w:r>
      <w:r>
        <w:rPr>
          <w:rFonts w:hint="eastAsia" w:ascii="宋体" w:cs="宋体"/>
          <w:color w:val="auto"/>
          <w:kern w:val="0"/>
          <w:szCs w:val="21"/>
          <w:highlight w:val="none"/>
          <w:lang w:val="zh-CN"/>
        </w:rPr>
        <w:t>符合招标文件中列明的可享受中小企业扶持政策的投标人，请填写中小企业声明函。注：投标人提供的中小企业声明函内容不实的，属于提供虚假材料谋取中标、成交，</w:t>
      </w:r>
      <w:r>
        <w:rPr>
          <w:rFonts w:hint="eastAsia" w:ascii="宋体" w:cs="宋体"/>
          <w:color w:val="auto"/>
          <w:kern w:val="0"/>
          <w:szCs w:val="21"/>
          <w:highlight w:val="none"/>
          <w:lang w:val="en-US" w:eastAsia="zh-CN"/>
        </w:rPr>
        <w:t>将</w:t>
      </w:r>
      <w:r>
        <w:rPr>
          <w:rFonts w:hint="eastAsia" w:ascii="宋体" w:cs="宋体"/>
          <w:color w:val="auto"/>
          <w:kern w:val="0"/>
          <w:szCs w:val="21"/>
          <w:highlight w:val="none"/>
          <w:lang w:val="zh-CN"/>
        </w:rPr>
        <w:t>依照《中华人民共和国政府采购法》等国家有关规定追究相应责任。</w:t>
      </w:r>
    </w:p>
    <w:p w14:paraId="1A7FA4BD">
      <w:pPr>
        <w:snapToGrid w:val="0"/>
        <w:spacing w:line="360" w:lineRule="auto"/>
        <w:ind w:firstLine="5760" w:firstLineChars="2400"/>
        <w:rPr>
          <w:rFonts w:ascii="宋体" w:cs="宋体"/>
          <w:color w:val="auto"/>
          <w:kern w:val="0"/>
          <w:sz w:val="24"/>
          <w:highlight w:val="none"/>
        </w:rPr>
      </w:pPr>
      <w:r>
        <w:rPr>
          <w:rFonts w:hint="eastAsia" w:ascii="宋体" w:cs="宋体"/>
          <w:color w:val="auto"/>
          <w:kern w:val="0"/>
          <w:sz w:val="24"/>
          <w:highlight w:val="none"/>
          <w:lang w:val="zh-CN"/>
        </w:rPr>
        <w:t>投标人名称（盖公章）：</w:t>
      </w:r>
    </w:p>
    <w:p w14:paraId="6CB39CC9">
      <w:pPr>
        <w:snapToGrid w:val="0"/>
        <w:spacing w:line="360" w:lineRule="auto"/>
        <w:ind w:firstLine="5880" w:firstLineChars="2450"/>
        <w:rPr>
          <w:rFonts w:ascii="宋体" w:cs="宋体"/>
          <w:color w:val="auto"/>
          <w:kern w:val="0"/>
          <w:sz w:val="24"/>
          <w:highlight w:val="none"/>
          <w:lang w:val="zh-CN"/>
        </w:rPr>
      </w:pPr>
      <w:r>
        <w:rPr>
          <w:rFonts w:hint="eastAsia" w:ascii="宋体" w:cs="宋体"/>
          <w:color w:val="auto"/>
          <w:kern w:val="0"/>
          <w:sz w:val="24"/>
          <w:highlight w:val="none"/>
          <w:lang w:val="zh-CN"/>
        </w:rPr>
        <w:t>日期</w:t>
      </w:r>
      <w:r>
        <w:rPr>
          <w:rFonts w:hint="eastAsia" w:ascii="宋体" w:cs="宋体"/>
          <w:color w:val="auto"/>
          <w:kern w:val="0"/>
          <w:sz w:val="24"/>
          <w:highlight w:val="none"/>
        </w:rPr>
        <w:t xml:space="preserve">：  年  </w:t>
      </w:r>
      <w:r>
        <w:rPr>
          <w:rFonts w:hint="eastAsia" w:ascii="宋体" w:cs="宋体"/>
          <w:color w:val="auto"/>
          <w:kern w:val="0"/>
          <w:sz w:val="24"/>
          <w:highlight w:val="none"/>
          <w:lang w:val="zh-CN"/>
        </w:rPr>
        <w:t>月</w:t>
      </w:r>
      <w:r>
        <w:rPr>
          <w:rFonts w:hint="eastAsia" w:ascii="宋体" w:cs="宋体"/>
          <w:color w:val="auto"/>
          <w:kern w:val="0"/>
          <w:sz w:val="24"/>
          <w:highlight w:val="none"/>
        </w:rPr>
        <w:t xml:space="preserve">   </w:t>
      </w:r>
      <w:r>
        <w:rPr>
          <w:rFonts w:hint="eastAsia" w:ascii="宋体" w:cs="宋体"/>
          <w:color w:val="auto"/>
          <w:kern w:val="0"/>
          <w:sz w:val="24"/>
          <w:highlight w:val="none"/>
          <w:lang w:val="zh-CN"/>
        </w:rPr>
        <w:t>日</w:t>
      </w:r>
    </w:p>
    <w:p w14:paraId="1A05799D">
      <w:pPr>
        <w:widowControl/>
        <w:jc w:val="left"/>
        <w:rPr>
          <w:rFonts w:ascii="宋体" w:cs="宋体"/>
          <w:color w:val="auto"/>
          <w:sz w:val="30"/>
          <w:szCs w:val="20"/>
          <w:highlight w:val="none"/>
        </w:rPr>
        <w:sectPr>
          <w:pgSz w:w="11906" w:h="16838"/>
          <w:pgMar w:top="1134" w:right="1134" w:bottom="1134" w:left="1134" w:header="720" w:footer="720" w:gutter="0"/>
          <w:cols w:space="720" w:num="1"/>
          <w:docGrid w:type="lines" w:linePitch="331" w:charSpace="0"/>
        </w:sectPr>
      </w:pPr>
    </w:p>
    <w:p w14:paraId="0EA1D96F">
      <w:pPr>
        <w:snapToGrid w:val="0"/>
        <w:spacing w:before="166" w:beforeLines="50" w:after="50"/>
        <w:jc w:val="center"/>
        <w:outlineLvl w:val="1"/>
        <w:rPr>
          <w:rFonts w:ascii="宋体" w:cs="宋体"/>
          <w:b/>
          <w:bCs/>
          <w:color w:val="auto"/>
          <w:sz w:val="28"/>
          <w:szCs w:val="28"/>
          <w:highlight w:val="none"/>
        </w:rPr>
      </w:pPr>
      <w:bookmarkStart w:id="288" w:name="_Toc19036"/>
      <w:bookmarkStart w:id="289" w:name="_Toc19686840"/>
      <w:bookmarkStart w:id="290" w:name="_Toc12749"/>
      <w:bookmarkStart w:id="291" w:name="_Toc24690"/>
      <w:bookmarkStart w:id="292" w:name="_Toc26722"/>
      <w:bookmarkStart w:id="293" w:name="_Toc8131"/>
      <w:r>
        <w:rPr>
          <w:rFonts w:hint="eastAsia" w:ascii="宋体" w:cs="宋体"/>
          <w:b/>
          <w:bCs/>
          <w:color w:val="auto"/>
          <w:sz w:val="28"/>
          <w:szCs w:val="28"/>
          <w:highlight w:val="none"/>
        </w:rPr>
        <w:t>第</w:t>
      </w:r>
      <w:r>
        <w:rPr>
          <w:rFonts w:hint="eastAsia" w:ascii="宋体" w:cs="宋体"/>
          <w:b/>
          <w:bCs/>
          <w:color w:val="auto"/>
          <w:sz w:val="28"/>
          <w:szCs w:val="28"/>
          <w:highlight w:val="none"/>
          <w:lang w:val="en-US" w:eastAsia="zh-CN"/>
        </w:rPr>
        <w:t>四</w:t>
      </w:r>
      <w:r>
        <w:rPr>
          <w:rFonts w:hint="eastAsia" w:ascii="宋体" w:cs="宋体"/>
          <w:b/>
          <w:bCs/>
          <w:color w:val="auto"/>
          <w:sz w:val="28"/>
          <w:szCs w:val="28"/>
          <w:highlight w:val="none"/>
        </w:rPr>
        <w:t>节 其他文书、文件格式</w:t>
      </w:r>
      <w:bookmarkEnd w:id="288"/>
      <w:bookmarkEnd w:id="289"/>
      <w:bookmarkEnd w:id="290"/>
      <w:bookmarkEnd w:id="291"/>
      <w:bookmarkEnd w:id="292"/>
      <w:bookmarkEnd w:id="293"/>
    </w:p>
    <w:p w14:paraId="255534AA">
      <w:pPr>
        <w:pStyle w:val="16"/>
        <w:jc w:val="left"/>
        <w:rPr>
          <w:rFonts w:cs="宋体"/>
          <w:b/>
          <w:color w:val="auto"/>
          <w:sz w:val="28"/>
          <w:szCs w:val="28"/>
          <w:highlight w:val="none"/>
        </w:rPr>
      </w:pPr>
      <w:r>
        <w:rPr>
          <w:rFonts w:hint="eastAsia" w:cs="宋体"/>
          <w:b/>
          <w:color w:val="auto"/>
          <w:sz w:val="28"/>
          <w:szCs w:val="28"/>
          <w:highlight w:val="none"/>
        </w:rPr>
        <w:t>1.中小企业声明函的格式：</w:t>
      </w:r>
    </w:p>
    <w:p w14:paraId="228A3EBF">
      <w:pPr>
        <w:pStyle w:val="16"/>
        <w:jc w:val="center"/>
        <w:rPr>
          <w:rFonts w:ascii="Times New Roman" w:hAnsi="Times New Roman"/>
          <w:b/>
          <w:color w:val="auto"/>
          <w:sz w:val="28"/>
          <w:szCs w:val="28"/>
          <w:highlight w:val="none"/>
        </w:rPr>
      </w:pPr>
      <w:r>
        <w:rPr>
          <w:rFonts w:hint="eastAsia" w:ascii="Times New Roman" w:hAnsi="Times New Roman"/>
          <w:b/>
          <w:color w:val="auto"/>
          <w:sz w:val="28"/>
          <w:szCs w:val="28"/>
          <w:highlight w:val="none"/>
        </w:rPr>
        <w:t>中小企业声明函</w:t>
      </w:r>
    </w:p>
    <w:p w14:paraId="72D69B5D">
      <w:pPr>
        <w:pStyle w:val="13"/>
        <w:spacing w:line="360" w:lineRule="exact"/>
        <w:ind w:firstLine="404" w:firstLineChars="200"/>
        <w:rPr>
          <w:rFonts w:cs="宋体"/>
          <w:color w:val="auto"/>
          <w:sz w:val="21"/>
          <w:szCs w:val="21"/>
          <w:highlight w:val="none"/>
        </w:rPr>
      </w:pPr>
    </w:p>
    <w:p w14:paraId="55075768">
      <w:pPr>
        <w:pStyle w:val="12"/>
        <w:spacing w:line="360" w:lineRule="exact"/>
        <w:ind w:left="-426" w:leftChars="-203" w:right="142" w:firstLine="480" w:firstLineChars="200"/>
        <w:contextualSpacing/>
        <w:rPr>
          <w:rFonts w:ascii="宋体" w:cs="宋体"/>
          <w:color w:val="auto"/>
          <w:kern w:val="24"/>
          <w:sz w:val="24"/>
          <w:highlight w:val="none"/>
        </w:rPr>
      </w:pPr>
      <w:r>
        <w:rPr>
          <w:rFonts w:hint="eastAsia" w:ascii="宋体" w:cs="宋体"/>
          <w:color w:val="auto"/>
          <w:kern w:val="24"/>
          <w:sz w:val="24"/>
          <w:highlight w:val="none"/>
        </w:rPr>
        <w:t>本公司（联合体）郑重声明，根据《政府采购促进中小企业发展管理办法》（财库﹝2020﹞46号）的规定，本公司（联合体）参加</w:t>
      </w:r>
      <w:r>
        <w:rPr>
          <w:rFonts w:hint="eastAsia" w:ascii="宋体" w:cs="宋体"/>
          <w:i/>
          <w:iCs/>
          <w:color w:val="auto"/>
          <w:kern w:val="24"/>
          <w:sz w:val="24"/>
          <w:highlight w:val="none"/>
          <w:u w:val="single"/>
        </w:rPr>
        <w:t>（单位名称）</w:t>
      </w:r>
      <w:r>
        <w:rPr>
          <w:rFonts w:hint="eastAsia" w:ascii="宋体" w:cs="宋体"/>
          <w:color w:val="auto"/>
          <w:kern w:val="24"/>
          <w:sz w:val="24"/>
          <w:highlight w:val="none"/>
        </w:rPr>
        <w:t>的</w:t>
      </w:r>
      <w:r>
        <w:rPr>
          <w:rFonts w:hint="eastAsia" w:ascii="宋体" w:cs="宋体"/>
          <w:i/>
          <w:iCs/>
          <w:color w:val="auto"/>
          <w:kern w:val="24"/>
          <w:sz w:val="24"/>
          <w:highlight w:val="none"/>
          <w:u w:val="single"/>
        </w:rPr>
        <w:t>（项目名称）</w:t>
      </w:r>
      <w:r>
        <w:rPr>
          <w:rFonts w:hint="eastAsia" w:ascii="宋体" w:cs="宋体"/>
          <w:color w:val="auto"/>
          <w:kern w:val="24"/>
          <w:sz w:val="24"/>
          <w:highlight w:val="none"/>
        </w:rPr>
        <w:t>采购活动，提供的货物全部由符合政策要求的中小企业制造。相关企业（含联合体中的中小企业、签订分包意向协议的中小企业）的具体情况如下：</w:t>
      </w:r>
    </w:p>
    <w:p w14:paraId="5449B9D3">
      <w:pPr>
        <w:tabs>
          <w:tab w:val="left" w:pos="1384"/>
          <w:tab w:val="left" w:pos="4562"/>
          <w:tab w:val="left" w:pos="6803"/>
        </w:tabs>
        <w:spacing w:line="360" w:lineRule="exact"/>
        <w:ind w:left="-426" w:right="-58" w:firstLine="655"/>
        <w:contextualSpacing/>
        <w:rPr>
          <w:rFonts w:ascii="宋体" w:cs="宋体"/>
          <w:color w:val="auto"/>
          <w:kern w:val="24"/>
          <w:sz w:val="24"/>
          <w:highlight w:val="none"/>
        </w:rPr>
      </w:pPr>
      <w:r>
        <w:rPr>
          <w:rFonts w:hint="eastAsia" w:ascii="宋体" w:cs="宋体"/>
          <w:color w:val="auto"/>
          <w:kern w:val="24"/>
          <w:sz w:val="24"/>
          <w:highlight w:val="none"/>
        </w:rPr>
        <w:t>1.</w:t>
      </w:r>
      <w:r>
        <w:rPr>
          <w:rFonts w:hint="eastAsia" w:ascii="宋体" w:cs="宋体"/>
          <w:i/>
          <w:iCs/>
          <w:color w:val="auto"/>
          <w:kern w:val="24"/>
          <w:sz w:val="24"/>
          <w:highlight w:val="none"/>
          <w:u w:val="single"/>
        </w:rPr>
        <w:t>（标的名称）</w:t>
      </w:r>
      <w:r>
        <w:rPr>
          <w:rFonts w:hint="eastAsia" w:ascii="宋体" w:cs="宋体"/>
          <w:color w:val="auto"/>
          <w:kern w:val="24"/>
          <w:sz w:val="24"/>
          <w:highlight w:val="none"/>
        </w:rPr>
        <w:t>，属于</w:t>
      </w:r>
      <w:r>
        <w:rPr>
          <w:rFonts w:hint="eastAsia" w:ascii="宋体" w:cs="宋体"/>
          <w:i/>
          <w:iCs/>
          <w:color w:val="auto"/>
          <w:kern w:val="24"/>
          <w:sz w:val="24"/>
          <w:highlight w:val="none"/>
          <w:u w:val="single"/>
        </w:rPr>
        <w:t>（采购文件中明确的所属行业）行业</w:t>
      </w:r>
      <w:r>
        <w:rPr>
          <w:rFonts w:hint="eastAsia" w:ascii="宋体" w:cs="宋体"/>
          <w:color w:val="auto"/>
          <w:kern w:val="24"/>
          <w:sz w:val="24"/>
          <w:highlight w:val="none"/>
        </w:rPr>
        <w:t>；制造商为</w:t>
      </w:r>
      <w:r>
        <w:rPr>
          <w:rFonts w:hint="eastAsia" w:ascii="宋体" w:cs="宋体"/>
          <w:i/>
          <w:iCs/>
          <w:color w:val="auto"/>
          <w:kern w:val="24"/>
          <w:sz w:val="24"/>
          <w:highlight w:val="none"/>
          <w:u w:val="single"/>
        </w:rPr>
        <w:t>（企业名称）</w:t>
      </w:r>
      <w:r>
        <w:rPr>
          <w:rFonts w:hint="eastAsia" w:ascii="宋体" w:cs="宋体"/>
          <w:color w:val="auto"/>
          <w:kern w:val="24"/>
          <w:sz w:val="24"/>
          <w:highlight w:val="none"/>
        </w:rPr>
        <w:t>，从业人员</w:t>
      </w:r>
      <w:r>
        <w:rPr>
          <w:rFonts w:hint="eastAsia" w:ascii="宋体" w:cs="宋体"/>
          <w:color w:val="auto"/>
          <w:kern w:val="24"/>
          <w:sz w:val="24"/>
          <w:highlight w:val="none"/>
          <w:u w:val="single"/>
        </w:rPr>
        <w:t xml:space="preserve">      </w:t>
      </w:r>
      <w:r>
        <w:rPr>
          <w:rFonts w:hint="eastAsia" w:ascii="宋体" w:cs="宋体"/>
          <w:color w:val="auto"/>
          <w:kern w:val="24"/>
          <w:sz w:val="24"/>
          <w:highlight w:val="none"/>
        </w:rPr>
        <w:t>人，营业收入为</w:t>
      </w:r>
      <w:r>
        <w:rPr>
          <w:rFonts w:hint="eastAsia" w:ascii="宋体" w:cs="宋体"/>
          <w:color w:val="auto"/>
          <w:kern w:val="24"/>
          <w:sz w:val="24"/>
          <w:highlight w:val="none"/>
          <w:u w:val="single"/>
        </w:rPr>
        <w:t xml:space="preserve">      </w:t>
      </w:r>
      <w:r>
        <w:rPr>
          <w:rFonts w:hint="eastAsia" w:ascii="宋体" w:cs="宋体"/>
          <w:color w:val="auto"/>
          <w:kern w:val="24"/>
          <w:sz w:val="24"/>
          <w:highlight w:val="none"/>
        </w:rPr>
        <w:t>万元，资产总额为</w:t>
      </w:r>
      <w:r>
        <w:rPr>
          <w:rFonts w:hint="eastAsia" w:ascii="宋体" w:cs="宋体"/>
          <w:color w:val="auto"/>
          <w:kern w:val="24"/>
          <w:sz w:val="24"/>
          <w:highlight w:val="none"/>
          <w:u w:val="single"/>
        </w:rPr>
        <w:t xml:space="preserve">      </w:t>
      </w:r>
      <w:r>
        <w:rPr>
          <w:rFonts w:hint="eastAsia" w:ascii="宋体" w:cs="宋体"/>
          <w:color w:val="auto"/>
          <w:kern w:val="24"/>
          <w:sz w:val="24"/>
          <w:highlight w:val="none"/>
        </w:rPr>
        <w:t>万元，属于</w:t>
      </w:r>
      <w:r>
        <w:rPr>
          <w:rFonts w:hint="eastAsia" w:ascii="宋体" w:cs="宋体"/>
          <w:i/>
          <w:iCs/>
          <w:color w:val="auto"/>
          <w:kern w:val="24"/>
          <w:sz w:val="24"/>
          <w:highlight w:val="none"/>
          <w:u w:val="single"/>
        </w:rPr>
        <w:t>（中型企业、小型企业、微型企业）</w:t>
      </w:r>
      <w:r>
        <w:rPr>
          <w:rFonts w:hint="eastAsia" w:ascii="宋体" w:cs="宋体"/>
          <w:color w:val="auto"/>
          <w:kern w:val="24"/>
          <w:sz w:val="24"/>
          <w:highlight w:val="none"/>
        </w:rPr>
        <w:t>；</w:t>
      </w:r>
    </w:p>
    <w:p w14:paraId="2D0BF502">
      <w:pPr>
        <w:tabs>
          <w:tab w:val="left" w:pos="1065"/>
          <w:tab w:val="left" w:pos="6477"/>
        </w:tabs>
        <w:spacing w:line="360" w:lineRule="exact"/>
        <w:ind w:left="-426" w:right="-58" w:firstLine="655"/>
        <w:contextualSpacing/>
        <w:rPr>
          <w:rFonts w:ascii="宋体" w:cs="宋体"/>
          <w:color w:val="auto"/>
          <w:kern w:val="24"/>
          <w:sz w:val="24"/>
          <w:highlight w:val="none"/>
        </w:rPr>
      </w:pPr>
      <w:r>
        <w:rPr>
          <w:rFonts w:hint="eastAsia" w:ascii="宋体" w:cs="宋体"/>
          <w:color w:val="auto"/>
          <w:kern w:val="24"/>
          <w:sz w:val="24"/>
          <w:highlight w:val="none"/>
        </w:rPr>
        <w:t>2.</w:t>
      </w:r>
      <w:r>
        <w:rPr>
          <w:rFonts w:hint="eastAsia" w:ascii="宋体" w:cs="宋体"/>
          <w:i/>
          <w:iCs/>
          <w:color w:val="auto"/>
          <w:kern w:val="24"/>
          <w:sz w:val="24"/>
          <w:highlight w:val="none"/>
          <w:u w:val="single"/>
        </w:rPr>
        <w:t>（标的名称）</w:t>
      </w:r>
      <w:r>
        <w:rPr>
          <w:rFonts w:hint="eastAsia" w:ascii="宋体" w:cs="宋体"/>
          <w:color w:val="auto"/>
          <w:kern w:val="24"/>
          <w:sz w:val="24"/>
          <w:highlight w:val="none"/>
        </w:rPr>
        <w:t>，属于</w:t>
      </w:r>
      <w:r>
        <w:rPr>
          <w:rFonts w:hint="eastAsia" w:ascii="宋体" w:cs="宋体"/>
          <w:i/>
          <w:iCs/>
          <w:color w:val="auto"/>
          <w:kern w:val="24"/>
          <w:sz w:val="24"/>
          <w:highlight w:val="none"/>
          <w:u w:val="single"/>
        </w:rPr>
        <w:t>（采购文件中明确的所属行业）行业</w:t>
      </w:r>
      <w:r>
        <w:rPr>
          <w:rFonts w:hint="eastAsia" w:ascii="宋体" w:cs="宋体"/>
          <w:color w:val="auto"/>
          <w:kern w:val="24"/>
          <w:sz w:val="24"/>
          <w:highlight w:val="none"/>
        </w:rPr>
        <w:t>；制造商为</w:t>
      </w:r>
      <w:r>
        <w:rPr>
          <w:rFonts w:hint="eastAsia" w:ascii="宋体" w:cs="宋体"/>
          <w:i/>
          <w:iCs/>
          <w:color w:val="auto"/>
          <w:kern w:val="24"/>
          <w:sz w:val="24"/>
          <w:highlight w:val="none"/>
          <w:u w:val="single"/>
        </w:rPr>
        <w:t>（企业名称）</w:t>
      </w:r>
      <w:r>
        <w:rPr>
          <w:rFonts w:hint="eastAsia" w:ascii="宋体" w:cs="宋体"/>
          <w:color w:val="auto"/>
          <w:kern w:val="24"/>
          <w:sz w:val="24"/>
          <w:highlight w:val="none"/>
        </w:rPr>
        <w:t>，从业人员</w:t>
      </w:r>
      <w:r>
        <w:rPr>
          <w:rFonts w:hint="eastAsia" w:ascii="宋体" w:cs="宋体"/>
          <w:color w:val="auto"/>
          <w:kern w:val="24"/>
          <w:sz w:val="24"/>
          <w:highlight w:val="none"/>
          <w:u w:val="single"/>
        </w:rPr>
        <w:t xml:space="preserve">      </w:t>
      </w:r>
      <w:r>
        <w:rPr>
          <w:rFonts w:hint="eastAsia" w:ascii="宋体" w:cs="宋体"/>
          <w:color w:val="auto"/>
          <w:kern w:val="24"/>
          <w:sz w:val="24"/>
          <w:highlight w:val="none"/>
        </w:rPr>
        <w:t>人，营业收入为</w:t>
      </w:r>
      <w:r>
        <w:rPr>
          <w:rFonts w:hint="eastAsia" w:ascii="宋体" w:cs="宋体"/>
          <w:color w:val="auto"/>
          <w:kern w:val="24"/>
          <w:sz w:val="24"/>
          <w:highlight w:val="none"/>
          <w:u w:val="single"/>
        </w:rPr>
        <w:t xml:space="preserve">      </w:t>
      </w:r>
      <w:r>
        <w:rPr>
          <w:rFonts w:hint="eastAsia" w:ascii="宋体" w:cs="宋体"/>
          <w:color w:val="auto"/>
          <w:kern w:val="24"/>
          <w:sz w:val="24"/>
          <w:highlight w:val="none"/>
        </w:rPr>
        <w:t>万元，资产总额为</w:t>
      </w:r>
      <w:r>
        <w:rPr>
          <w:rFonts w:hint="eastAsia" w:ascii="宋体" w:cs="宋体"/>
          <w:color w:val="auto"/>
          <w:kern w:val="24"/>
          <w:sz w:val="24"/>
          <w:highlight w:val="none"/>
          <w:u w:val="single"/>
        </w:rPr>
        <w:t xml:space="preserve">      </w:t>
      </w:r>
      <w:r>
        <w:rPr>
          <w:rFonts w:hint="eastAsia" w:ascii="宋体" w:cs="宋体"/>
          <w:color w:val="auto"/>
          <w:kern w:val="24"/>
          <w:sz w:val="24"/>
          <w:highlight w:val="none"/>
        </w:rPr>
        <w:t>万元，属于</w:t>
      </w:r>
      <w:r>
        <w:rPr>
          <w:rFonts w:hint="eastAsia" w:ascii="宋体" w:cs="宋体"/>
          <w:i/>
          <w:iCs/>
          <w:color w:val="auto"/>
          <w:kern w:val="24"/>
          <w:sz w:val="24"/>
          <w:highlight w:val="none"/>
          <w:u w:val="single"/>
        </w:rPr>
        <w:t>（中型企业、小型企业、微型企业）</w:t>
      </w:r>
      <w:r>
        <w:rPr>
          <w:rFonts w:hint="eastAsia" w:ascii="宋体" w:cs="宋体"/>
          <w:color w:val="auto"/>
          <w:kern w:val="24"/>
          <w:sz w:val="24"/>
          <w:highlight w:val="none"/>
        </w:rPr>
        <w:t>；</w:t>
      </w:r>
    </w:p>
    <w:p w14:paraId="4BACFC18">
      <w:pPr>
        <w:pStyle w:val="12"/>
        <w:spacing w:line="360" w:lineRule="exact"/>
        <w:ind w:left="142" w:right="142"/>
        <w:contextualSpacing/>
        <w:rPr>
          <w:rFonts w:ascii="宋体" w:cs="宋体"/>
          <w:color w:val="auto"/>
          <w:kern w:val="24"/>
          <w:highlight w:val="none"/>
        </w:rPr>
      </w:pPr>
      <w:r>
        <w:rPr>
          <w:rFonts w:hint="eastAsia" w:ascii="宋体" w:cs="宋体"/>
          <w:color w:val="auto"/>
          <w:kern w:val="24"/>
          <w:highlight w:val="none"/>
        </w:rPr>
        <w:t xml:space="preserve">…… </w:t>
      </w:r>
    </w:p>
    <w:p w14:paraId="26D5C708">
      <w:pPr>
        <w:pStyle w:val="12"/>
        <w:spacing w:line="360" w:lineRule="exact"/>
        <w:ind w:left="-405" w:leftChars="-193" w:right="142" w:firstLine="453" w:firstLineChars="189"/>
        <w:contextualSpacing/>
        <w:rPr>
          <w:rFonts w:ascii="宋体" w:cs="宋体"/>
          <w:color w:val="auto"/>
          <w:kern w:val="24"/>
          <w:sz w:val="24"/>
          <w:highlight w:val="none"/>
        </w:rPr>
      </w:pPr>
      <w:r>
        <w:rPr>
          <w:rFonts w:hint="eastAsia" w:ascii="宋体" w:cs="宋体"/>
          <w:color w:val="auto"/>
          <w:kern w:val="24"/>
          <w:sz w:val="24"/>
          <w:highlight w:val="none"/>
        </w:rPr>
        <w:t>以上企业，不属于大企业的分支机构，不存在控股股东为大企业的情形，也不存在与大企业的负责人为同一人的情形。</w:t>
      </w:r>
    </w:p>
    <w:p w14:paraId="35F4AA9A">
      <w:pPr>
        <w:pStyle w:val="12"/>
        <w:spacing w:line="360" w:lineRule="exact"/>
        <w:ind w:left="-426" w:right="142" w:firstLine="420"/>
        <w:contextualSpacing/>
        <w:rPr>
          <w:rFonts w:ascii="宋体" w:cs="宋体"/>
          <w:color w:val="auto"/>
          <w:kern w:val="24"/>
          <w:sz w:val="24"/>
          <w:highlight w:val="none"/>
        </w:rPr>
      </w:pPr>
      <w:r>
        <w:rPr>
          <w:rFonts w:hint="eastAsia" w:ascii="宋体" w:cs="宋体"/>
          <w:color w:val="auto"/>
          <w:kern w:val="24"/>
          <w:sz w:val="24"/>
          <w:highlight w:val="none"/>
        </w:rPr>
        <w:t>本企业对上述声明内容的真实性负责。如有虚假，将依法承担相应责任。</w:t>
      </w:r>
    </w:p>
    <w:p w14:paraId="09004A1B">
      <w:pPr>
        <w:pStyle w:val="16"/>
        <w:spacing w:line="360" w:lineRule="auto"/>
        <w:ind w:firstLine="480" w:firstLineChars="200"/>
        <w:rPr>
          <w:rFonts w:cs="宋体"/>
          <w:color w:val="auto"/>
          <w:sz w:val="24"/>
          <w:szCs w:val="24"/>
          <w:highlight w:val="none"/>
        </w:rPr>
      </w:pPr>
    </w:p>
    <w:p w14:paraId="34E2CB7C">
      <w:pPr>
        <w:pStyle w:val="16"/>
        <w:spacing w:line="360" w:lineRule="auto"/>
        <w:ind w:firstLine="480" w:firstLineChars="200"/>
        <w:rPr>
          <w:rFonts w:cs="宋体"/>
          <w:color w:val="auto"/>
          <w:sz w:val="24"/>
          <w:szCs w:val="24"/>
          <w:highlight w:val="none"/>
        </w:rPr>
      </w:pPr>
    </w:p>
    <w:p w14:paraId="2B739B90">
      <w:pPr>
        <w:snapToGrid w:val="0"/>
        <w:spacing w:line="360" w:lineRule="auto"/>
        <w:ind w:firstLine="5040" w:firstLineChars="2100"/>
        <w:rPr>
          <w:rFonts w:ascii="宋体" w:cs="宋体"/>
          <w:color w:val="auto"/>
          <w:kern w:val="0"/>
          <w:sz w:val="24"/>
          <w:highlight w:val="none"/>
        </w:rPr>
      </w:pPr>
      <w:r>
        <w:rPr>
          <w:rFonts w:hint="eastAsia" w:ascii="宋体" w:cs="宋体"/>
          <w:color w:val="auto"/>
          <w:kern w:val="0"/>
          <w:sz w:val="24"/>
          <w:highlight w:val="none"/>
          <w:lang w:val="zh-CN"/>
        </w:rPr>
        <w:t>投标人名称（盖公章）：</w:t>
      </w:r>
    </w:p>
    <w:p w14:paraId="4469746E">
      <w:pPr>
        <w:snapToGrid w:val="0"/>
        <w:spacing w:line="360" w:lineRule="auto"/>
        <w:ind w:firstLine="5160" w:firstLineChars="2150"/>
        <w:rPr>
          <w:rFonts w:ascii="宋体" w:cs="宋体"/>
          <w:color w:val="auto"/>
          <w:kern w:val="0"/>
          <w:sz w:val="24"/>
          <w:highlight w:val="none"/>
          <w:lang w:val="zh-CN"/>
        </w:rPr>
      </w:pPr>
      <w:r>
        <w:rPr>
          <w:rFonts w:hint="eastAsia" w:ascii="宋体" w:cs="宋体"/>
          <w:color w:val="auto"/>
          <w:kern w:val="0"/>
          <w:sz w:val="24"/>
          <w:highlight w:val="none"/>
          <w:lang w:val="zh-CN"/>
        </w:rPr>
        <w:t>日期</w:t>
      </w:r>
      <w:r>
        <w:rPr>
          <w:rFonts w:hint="eastAsia" w:ascii="宋体" w:cs="宋体"/>
          <w:color w:val="auto"/>
          <w:kern w:val="0"/>
          <w:sz w:val="24"/>
          <w:highlight w:val="none"/>
        </w:rPr>
        <w:t xml:space="preserve">：  年  </w:t>
      </w:r>
      <w:r>
        <w:rPr>
          <w:rFonts w:hint="eastAsia" w:ascii="宋体" w:cs="宋体"/>
          <w:color w:val="auto"/>
          <w:kern w:val="0"/>
          <w:sz w:val="24"/>
          <w:highlight w:val="none"/>
          <w:lang w:val="zh-CN"/>
        </w:rPr>
        <w:t>月</w:t>
      </w:r>
      <w:r>
        <w:rPr>
          <w:rFonts w:hint="eastAsia" w:ascii="宋体" w:cs="宋体"/>
          <w:color w:val="auto"/>
          <w:kern w:val="0"/>
          <w:sz w:val="24"/>
          <w:highlight w:val="none"/>
        </w:rPr>
        <w:t xml:space="preserve">   </w:t>
      </w:r>
      <w:r>
        <w:rPr>
          <w:rFonts w:hint="eastAsia" w:ascii="宋体" w:cs="宋体"/>
          <w:color w:val="auto"/>
          <w:kern w:val="0"/>
          <w:sz w:val="24"/>
          <w:highlight w:val="none"/>
          <w:lang w:val="zh-CN"/>
        </w:rPr>
        <w:t>日</w:t>
      </w:r>
    </w:p>
    <w:p w14:paraId="5EDCACD1">
      <w:pPr>
        <w:pStyle w:val="16"/>
        <w:spacing w:line="360" w:lineRule="auto"/>
        <w:ind w:firstLine="420" w:firstLineChars="200"/>
        <w:rPr>
          <w:rFonts w:cs="宋体"/>
          <w:color w:val="auto"/>
          <w:szCs w:val="21"/>
          <w:highlight w:val="none"/>
        </w:rPr>
      </w:pPr>
    </w:p>
    <w:p w14:paraId="2BC58D9C">
      <w:pPr>
        <w:pStyle w:val="13"/>
        <w:spacing w:before="50" w:after="166" w:afterLines="50" w:line="360" w:lineRule="auto"/>
        <w:ind w:firstLine="404" w:firstLineChars="200"/>
        <w:rPr>
          <w:rFonts w:cs="宋体"/>
          <w:color w:val="auto"/>
          <w:sz w:val="21"/>
          <w:szCs w:val="21"/>
          <w:highlight w:val="none"/>
        </w:rPr>
      </w:pPr>
      <w:r>
        <w:rPr>
          <w:rFonts w:hint="eastAsia" w:cs="宋体"/>
          <w:color w:val="auto"/>
          <w:sz w:val="21"/>
          <w:szCs w:val="21"/>
          <w:highlight w:val="none"/>
        </w:rPr>
        <w:t>注：</w:t>
      </w:r>
    </w:p>
    <w:p w14:paraId="38D3575F">
      <w:pPr>
        <w:pStyle w:val="13"/>
        <w:numPr>
          <w:ilvl w:val="0"/>
          <w:numId w:val="5"/>
        </w:numPr>
        <w:spacing w:before="50" w:after="166" w:afterLines="50" w:line="360" w:lineRule="auto"/>
        <w:ind w:left="0" w:firstLine="404" w:firstLineChars="200"/>
        <w:rPr>
          <w:rFonts w:cs="宋体"/>
          <w:color w:val="auto"/>
          <w:sz w:val="21"/>
          <w:szCs w:val="21"/>
          <w:highlight w:val="none"/>
        </w:rPr>
      </w:pPr>
      <w:r>
        <w:rPr>
          <w:rFonts w:hint="eastAsia" w:cs="宋体"/>
          <w:color w:val="auto"/>
          <w:sz w:val="21"/>
          <w:szCs w:val="21"/>
          <w:highlight w:val="none"/>
        </w:rPr>
        <w:t>从业人员、营业收入、资产总额填报上一年度数据，无上一年度数据的新成立企业可不填报。</w:t>
      </w:r>
    </w:p>
    <w:p w14:paraId="760D3393">
      <w:pPr>
        <w:pStyle w:val="13"/>
        <w:numPr>
          <w:ilvl w:val="0"/>
          <w:numId w:val="5"/>
        </w:numPr>
        <w:spacing w:before="50" w:after="166" w:afterLines="50" w:line="360" w:lineRule="auto"/>
        <w:ind w:left="0" w:firstLine="404" w:firstLineChars="200"/>
        <w:rPr>
          <w:rFonts w:cs="宋体"/>
          <w:color w:val="auto"/>
          <w:sz w:val="21"/>
          <w:szCs w:val="21"/>
          <w:highlight w:val="none"/>
        </w:rPr>
      </w:pPr>
      <w:r>
        <w:rPr>
          <w:rFonts w:hint="eastAsia" w:cs="宋体"/>
          <w:color w:val="auto"/>
          <w:sz w:val="21"/>
          <w:szCs w:val="21"/>
          <w:highlight w:val="none"/>
        </w:rPr>
        <w:t>请根据自己的真实情况出具《中小企业声明函》。依法享受中小企业扶持政策的，采购人或者采购代理机构在公告中标结果时，同时公告其《中小企业声明函》，接受社会监督。</w:t>
      </w:r>
    </w:p>
    <w:p w14:paraId="42EF3832">
      <w:pPr>
        <w:pStyle w:val="13"/>
        <w:spacing w:before="50" w:after="166" w:afterLines="50" w:line="360" w:lineRule="auto"/>
        <w:ind w:left="420" w:leftChars="200" w:firstLine="0"/>
        <w:rPr>
          <w:rFonts w:cs="宋体"/>
          <w:b/>
          <w:bCs/>
          <w:color w:val="auto"/>
          <w:sz w:val="21"/>
          <w:szCs w:val="21"/>
          <w:highlight w:val="none"/>
        </w:rPr>
      </w:pPr>
      <w:r>
        <w:rPr>
          <w:rFonts w:hint="eastAsia" w:cs="宋体"/>
          <w:b/>
          <w:bCs/>
          <w:color w:val="auto"/>
          <w:sz w:val="21"/>
          <w:szCs w:val="21"/>
          <w:highlight w:val="none"/>
        </w:rPr>
        <w:t>3、本声明函主要供参加政府采购活动的中小企业填写，非中小企业无需填写。</w:t>
      </w:r>
    </w:p>
    <w:p w14:paraId="29C60295">
      <w:pPr>
        <w:pStyle w:val="13"/>
        <w:spacing w:line="360" w:lineRule="auto"/>
        <w:ind w:firstLine="406" w:firstLineChars="200"/>
        <w:rPr>
          <w:rFonts w:cs="宋体"/>
          <w:b/>
          <w:bCs/>
          <w:color w:val="auto"/>
          <w:sz w:val="21"/>
          <w:szCs w:val="21"/>
          <w:highlight w:val="none"/>
        </w:rPr>
      </w:pPr>
      <w:r>
        <w:rPr>
          <w:rFonts w:hint="eastAsia" w:cs="宋体"/>
          <w:b/>
          <w:bCs/>
          <w:color w:val="auto"/>
          <w:sz w:val="21"/>
          <w:szCs w:val="21"/>
          <w:highlight w:val="none"/>
        </w:rPr>
        <w:t>4、小型、微型企业提供中型企业提供的货物的，视同为中型企业。</w:t>
      </w:r>
    </w:p>
    <w:p w14:paraId="1CFC7995">
      <w:pPr>
        <w:pStyle w:val="13"/>
        <w:spacing w:line="360" w:lineRule="auto"/>
        <w:ind w:firstLine="404" w:firstLineChars="200"/>
        <w:rPr>
          <w:rFonts w:cs="宋体"/>
          <w:color w:val="auto"/>
          <w:sz w:val="21"/>
          <w:szCs w:val="21"/>
          <w:highlight w:val="none"/>
        </w:rPr>
        <w:sectPr>
          <w:pgSz w:w="11906" w:h="16838"/>
          <w:pgMar w:top="1134" w:right="1134" w:bottom="1134" w:left="1134" w:header="720" w:footer="720" w:gutter="0"/>
          <w:cols w:space="720" w:num="1"/>
          <w:docGrid w:type="lines" w:linePitch="331" w:charSpace="0"/>
        </w:sectPr>
      </w:pPr>
    </w:p>
    <w:p w14:paraId="7037B09D">
      <w:pPr>
        <w:pStyle w:val="16"/>
        <w:spacing w:line="360" w:lineRule="auto"/>
        <w:jc w:val="left"/>
        <w:rPr>
          <w:rFonts w:cs="宋体"/>
          <w:b/>
          <w:color w:val="auto"/>
          <w:sz w:val="28"/>
          <w:szCs w:val="28"/>
          <w:highlight w:val="none"/>
        </w:rPr>
      </w:pPr>
      <w:r>
        <w:rPr>
          <w:rFonts w:hint="eastAsia" w:cs="宋体"/>
          <w:b/>
          <w:color w:val="auto"/>
          <w:sz w:val="28"/>
          <w:szCs w:val="28"/>
          <w:highlight w:val="none"/>
        </w:rPr>
        <w:t>2.残疾人福利性单位声明函的格式：</w:t>
      </w:r>
    </w:p>
    <w:p w14:paraId="6CCEE54B">
      <w:pPr>
        <w:pStyle w:val="16"/>
        <w:spacing w:line="360" w:lineRule="auto"/>
        <w:jc w:val="center"/>
        <w:rPr>
          <w:rFonts w:cs="宋体"/>
          <w:b/>
          <w:color w:val="auto"/>
          <w:sz w:val="30"/>
          <w:szCs w:val="30"/>
          <w:highlight w:val="none"/>
        </w:rPr>
      </w:pPr>
    </w:p>
    <w:p w14:paraId="78B0469F">
      <w:pPr>
        <w:pStyle w:val="16"/>
        <w:spacing w:line="360" w:lineRule="auto"/>
        <w:jc w:val="center"/>
        <w:rPr>
          <w:rFonts w:cs="宋体"/>
          <w:b/>
          <w:color w:val="auto"/>
          <w:sz w:val="28"/>
          <w:szCs w:val="28"/>
          <w:highlight w:val="none"/>
        </w:rPr>
      </w:pPr>
      <w:r>
        <w:rPr>
          <w:rFonts w:hint="eastAsia" w:cs="宋体"/>
          <w:b/>
          <w:color w:val="auto"/>
          <w:sz w:val="28"/>
          <w:szCs w:val="28"/>
          <w:highlight w:val="none"/>
        </w:rPr>
        <w:t>残疾人福利性单位声明函</w:t>
      </w:r>
    </w:p>
    <w:p w14:paraId="0C9D56F2">
      <w:pPr>
        <w:pStyle w:val="16"/>
        <w:spacing w:line="360" w:lineRule="auto"/>
        <w:jc w:val="center"/>
        <w:rPr>
          <w:rFonts w:cs="宋体"/>
          <w:b/>
          <w:color w:val="auto"/>
          <w:sz w:val="30"/>
          <w:szCs w:val="30"/>
          <w:highlight w:val="none"/>
        </w:rPr>
      </w:pPr>
    </w:p>
    <w:p w14:paraId="0F4A268F">
      <w:pPr>
        <w:spacing w:line="360" w:lineRule="auto"/>
        <w:ind w:firstLine="480" w:firstLineChars="200"/>
        <w:contextualSpacing/>
        <w:rPr>
          <w:rFonts w:ascii="宋体" w:cs="宋体"/>
          <w:color w:val="auto"/>
          <w:sz w:val="24"/>
          <w:highlight w:val="none"/>
        </w:rPr>
      </w:pPr>
      <w:r>
        <w:rPr>
          <w:rFonts w:hint="eastAsia" w:asci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cs="宋体"/>
          <w:color w:val="auto"/>
          <w:sz w:val="24"/>
          <w:highlight w:val="none"/>
          <w:u w:val="single"/>
        </w:rPr>
        <w:t xml:space="preserve">        </w:t>
      </w:r>
      <w:r>
        <w:rPr>
          <w:rFonts w:hint="eastAsia" w:ascii="宋体" w:cs="宋体"/>
          <w:color w:val="auto"/>
          <w:sz w:val="24"/>
          <w:highlight w:val="none"/>
        </w:rPr>
        <w:t>单位的</w:t>
      </w:r>
      <w:r>
        <w:rPr>
          <w:rFonts w:hint="eastAsia" w:ascii="宋体" w:cs="宋体"/>
          <w:color w:val="auto"/>
          <w:sz w:val="24"/>
          <w:highlight w:val="none"/>
          <w:u w:val="single"/>
        </w:rPr>
        <w:t xml:space="preserve">           </w:t>
      </w:r>
      <w:r>
        <w:rPr>
          <w:rFonts w:hint="eastAsia" w:ascii="宋体" w:cs="宋体"/>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3C5C5332">
      <w:pPr>
        <w:pStyle w:val="16"/>
        <w:spacing w:line="360" w:lineRule="auto"/>
        <w:ind w:firstLine="480" w:firstLineChars="200"/>
        <w:jc w:val="left"/>
        <w:rPr>
          <w:rFonts w:cs="宋体"/>
          <w:color w:val="auto"/>
          <w:sz w:val="30"/>
          <w:szCs w:val="30"/>
          <w:highlight w:val="none"/>
        </w:rPr>
      </w:pPr>
      <w:r>
        <w:rPr>
          <w:rFonts w:hint="eastAsia" w:cs="宋体"/>
          <w:color w:val="auto"/>
          <w:sz w:val="24"/>
          <w:szCs w:val="24"/>
          <w:highlight w:val="none"/>
        </w:rPr>
        <w:t>本单位对上述声明的真实性负责。如有虚假，将依法承担相应责任。</w:t>
      </w:r>
    </w:p>
    <w:p w14:paraId="0F78E906">
      <w:pPr>
        <w:pStyle w:val="16"/>
        <w:spacing w:line="360" w:lineRule="auto"/>
        <w:jc w:val="left"/>
        <w:rPr>
          <w:rFonts w:cs="宋体"/>
          <w:b/>
          <w:color w:val="auto"/>
          <w:szCs w:val="21"/>
          <w:highlight w:val="none"/>
        </w:rPr>
      </w:pPr>
    </w:p>
    <w:p w14:paraId="1A033208">
      <w:pPr>
        <w:pStyle w:val="16"/>
        <w:spacing w:line="360" w:lineRule="auto"/>
        <w:jc w:val="left"/>
        <w:rPr>
          <w:rFonts w:cs="宋体"/>
          <w:b/>
          <w:color w:val="auto"/>
          <w:szCs w:val="21"/>
          <w:highlight w:val="none"/>
        </w:rPr>
      </w:pPr>
    </w:p>
    <w:p w14:paraId="1C4F0D80">
      <w:pPr>
        <w:snapToGrid w:val="0"/>
        <w:spacing w:line="360" w:lineRule="auto"/>
        <w:ind w:left="5137" w:leftChars="1736" w:hanging="1491" w:hangingChars="825"/>
        <w:rPr>
          <w:rFonts w:ascii="宋体" w:cs="宋体"/>
          <w:color w:val="auto"/>
          <w:kern w:val="0"/>
          <w:sz w:val="24"/>
          <w:highlight w:val="none"/>
        </w:rPr>
      </w:pPr>
      <w:r>
        <w:rPr>
          <w:rFonts w:hint="eastAsia" w:ascii="宋体" w:cs="宋体"/>
          <w:b/>
          <w:color w:val="auto"/>
          <w:sz w:val="18"/>
          <w:szCs w:val="18"/>
          <w:highlight w:val="none"/>
        </w:rPr>
        <w:t xml:space="preserve">                                                                    </w:t>
      </w:r>
      <w:r>
        <w:rPr>
          <w:rFonts w:hint="eastAsia" w:ascii="宋体" w:cs="宋体"/>
          <w:color w:val="auto"/>
          <w:kern w:val="0"/>
          <w:sz w:val="24"/>
          <w:highlight w:val="none"/>
          <w:lang w:val="zh-CN"/>
        </w:rPr>
        <w:t>投标人名称（盖公章）：</w:t>
      </w:r>
    </w:p>
    <w:p w14:paraId="23934875">
      <w:pPr>
        <w:snapToGrid w:val="0"/>
        <w:spacing w:line="360" w:lineRule="auto"/>
        <w:ind w:firstLine="5160" w:firstLineChars="2150"/>
        <w:rPr>
          <w:rFonts w:ascii="宋体" w:cs="宋体"/>
          <w:color w:val="auto"/>
          <w:kern w:val="0"/>
          <w:sz w:val="24"/>
          <w:highlight w:val="none"/>
          <w:lang w:val="zh-CN"/>
        </w:rPr>
      </w:pPr>
      <w:r>
        <w:rPr>
          <w:rFonts w:hint="eastAsia" w:ascii="宋体" w:cs="宋体"/>
          <w:color w:val="auto"/>
          <w:kern w:val="0"/>
          <w:sz w:val="24"/>
          <w:highlight w:val="none"/>
          <w:lang w:val="zh-CN"/>
        </w:rPr>
        <w:t>日期</w:t>
      </w:r>
      <w:r>
        <w:rPr>
          <w:rFonts w:hint="eastAsia" w:ascii="宋体" w:cs="宋体"/>
          <w:color w:val="auto"/>
          <w:kern w:val="0"/>
          <w:sz w:val="24"/>
          <w:highlight w:val="none"/>
        </w:rPr>
        <w:t xml:space="preserve">：  年  </w:t>
      </w:r>
      <w:r>
        <w:rPr>
          <w:rFonts w:hint="eastAsia" w:ascii="宋体" w:cs="宋体"/>
          <w:color w:val="auto"/>
          <w:kern w:val="0"/>
          <w:sz w:val="24"/>
          <w:highlight w:val="none"/>
          <w:lang w:val="zh-CN"/>
        </w:rPr>
        <w:t>月</w:t>
      </w:r>
      <w:r>
        <w:rPr>
          <w:rFonts w:hint="eastAsia" w:ascii="宋体" w:cs="宋体"/>
          <w:color w:val="auto"/>
          <w:kern w:val="0"/>
          <w:sz w:val="24"/>
          <w:highlight w:val="none"/>
        </w:rPr>
        <w:t xml:space="preserve">   </w:t>
      </w:r>
      <w:r>
        <w:rPr>
          <w:rFonts w:hint="eastAsia" w:ascii="宋体" w:cs="宋体"/>
          <w:color w:val="auto"/>
          <w:kern w:val="0"/>
          <w:sz w:val="24"/>
          <w:highlight w:val="none"/>
          <w:lang w:val="zh-CN"/>
        </w:rPr>
        <w:t>日</w:t>
      </w:r>
    </w:p>
    <w:p w14:paraId="6D129580">
      <w:pPr>
        <w:pStyle w:val="16"/>
        <w:spacing w:line="360" w:lineRule="auto"/>
        <w:ind w:left="5132" w:leftChars="1979" w:hanging="976" w:hangingChars="488"/>
        <w:rPr>
          <w:rFonts w:cs="宋体"/>
          <w:color w:val="auto"/>
          <w:sz w:val="20"/>
          <w:highlight w:val="none"/>
        </w:rPr>
      </w:pPr>
    </w:p>
    <w:p w14:paraId="2B4CB0D9">
      <w:pPr>
        <w:spacing w:line="360" w:lineRule="auto"/>
        <w:ind w:right="420" w:firstLine="420" w:firstLineChars="200"/>
        <w:rPr>
          <w:rFonts w:ascii="宋体" w:cs="宋体"/>
          <w:color w:val="auto"/>
          <w:szCs w:val="21"/>
          <w:highlight w:val="none"/>
        </w:rPr>
      </w:pPr>
      <w:r>
        <w:rPr>
          <w:rFonts w:hint="eastAsia" w:ascii="宋体" w:cs="宋体"/>
          <w:color w:val="auto"/>
          <w:szCs w:val="21"/>
          <w:highlight w:val="none"/>
        </w:rPr>
        <w:t>注：请根据自己的真实情况出具《残疾人福利性单位声明函》。依法享受中小企业扶持政策的，采购人或者采购代理机构在公告中标结果时，同时公告其《残疾人福利性单位声明函》，接受社会监督；根据《关于政府采购支持监狱企业发展有关问题的通知》（财库</w:t>
      </w:r>
      <w:r>
        <w:rPr>
          <w:rFonts w:hint="eastAsia" w:ascii="宋体" w:cs="宋体"/>
          <w:color w:val="auto"/>
          <w:szCs w:val="21"/>
          <w:highlight w:val="none"/>
          <w:lang w:eastAsia="zh-CN"/>
        </w:rPr>
        <w:t>〔2014〕68号</w:t>
      </w:r>
      <w:r>
        <w:rPr>
          <w:rFonts w:hint="eastAsia" w:ascii="宋体" w:cs="宋体"/>
          <w:color w:val="auto"/>
          <w:szCs w:val="21"/>
          <w:highlight w:val="none"/>
        </w:rPr>
        <w:t>）的规定，投标人提供由省级以上监狱管理局、戒毒管理局（含新疆生产建设兵团）出具的属于监狱企业证明文件的，视同为小型和微型企业。</w:t>
      </w:r>
    </w:p>
    <w:p w14:paraId="69356DB4">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left"/>
        <w:rPr>
          <w:rFonts w:hint="eastAsia" w:ascii="宋体" w:hAnsi="宋体" w:eastAsia="宋体" w:cs="宋体"/>
          <w:b/>
          <w:i w:val="0"/>
          <w:iCs w:val="0"/>
          <w:caps w:val="0"/>
          <w:smallCaps w:val="0"/>
          <w:color w:val="auto"/>
          <w:spacing w:val="0"/>
          <w:kern w:val="2"/>
          <w:sz w:val="28"/>
          <w:szCs w:val="28"/>
          <w:highlight w:val="none"/>
          <w:shd w:val="clear" w:color="auto" w:fill="auto"/>
        </w:rPr>
      </w:pPr>
      <w:r>
        <w:rPr>
          <w:rFonts w:hint="eastAsia" w:ascii="宋体" w:cs="宋体"/>
          <w:color w:val="auto"/>
          <w:szCs w:val="21"/>
          <w:highlight w:val="none"/>
        </w:rPr>
        <w:br w:type="page"/>
      </w:r>
      <w:r>
        <w:rPr>
          <w:rFonts w:hint="eastAsia" w:ascii="宋体" w:hAnsi="宋体" w:eastAsia="宋体" w:cs="宋体"/>
          <w:b/>
          <w:color w:val="auto"/>
          <w:sz w:val="28"/>
          <w:szCs w:val="28"/>
          <w:highlight w:val="none"/>
          <w:lang w:val="en-US" w:eastAsia="zh-CN"/>
        </w:rPr>
        <w:t>3.</w:t>
      </w:r>
      <w:r>
        <w:rPr>
          <w:rFonts w:hint="eastAsia" w:ascii="宋体" w:hAnsi="宋体" w:eastAsia="宋体" w:cs="宋体"/>
          <w:b/>
          <w:i w:val="0"/>
          <w:iCs w:val="0"/>
          <w:caps w:val="0"/>
          <w:smallCaps w:val="0"/>
          <w:color w:val="auto"/>
          <w:spacing w:val="0"/>
          <w:kern w:val="0"/>
          <w:sz w:val="28"/>
          <w:szCs w:val="28"/>
          <w:highlight w:val="none"/>
          <w:shd w:val="clear" w:color="auto" w:fill="auto"/>
        </w:rPr>
        <w:t>关于符合本国产品标准的声明函</w:t>
      </w:r>
      <w:r>
        <w:rPr>
          <w:rFonts w:hint="eastAsia" w:ascii="宋体" w:hAnsi="宋体" w:eastAsia="宋体" w:cs="宋体"/>
          <w:b/>
          <w:color w:val="auto"/>
          <w:sz w:val="28"/>
          <w:szCs w:val="28"/>
          <w:highlight w:val="none"/>
          <w:lang w:val="en-US" w:eastAsia="zh-CN"/>
        </w:rPr>
        <w:t>的格式：</w:t>
      </w:r>
    </w:p>
    <w:p w14:paraId="29727701">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rPr>
          <w:rFonts w:hint="eastAsia" w:ascii="宋体" w:hAnsi="宋体" w:eastAsia="宋体" w:cs="宋体"/>
          <w:b/>
          <w:i w:val="0"/>
          <w:iCs w:val="0"/>
          <w:caps w:val="0"/>
          <w:smallCaps w:val="0"/>
          <w:color w:val="auto"/>
          <w:spacing w:val="0"/>
          <w:kern w:val="2"/>
          <w:sz w:val="30"/>
          <w:szCs w:val="30"/>
          <w:highlight w:val="none"/>
          <w:shd w:val="clear" w:color="auto" w:fill="auto"/>
        </w:rPr>
      </w:pPr>
    </w:p>
    <w:p w14:paraId="43287CC0">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rPr>
          <w:rFonts w:hint="eastAsia" w:ascii="宋体" w:hAnsi="宋体" w:eastAsia="宋体" w:cs="宋体"/>
          <w:i w:val="0"/>
          <w:iCs w:val="0"/>
          <w:caps w:val="0"/>
          <w:smallCaps w:val="0"/>
          <w:color w:val="auto"/>
          <w:spacing w:val="0"/>
          <w:kern w:val="2"/>
          <w:sz w:val="28"/>
          <w:szCs w:val="28"/>
          <w:highlight w:val="none"/>
        </w:rPr>
      </w:pPr>
      <w:r>
        <w:rPr>
          <w:rFonts w:hint="eastAsia" w:ascii="宋体" w:hAnsi="宋体" w:eastAsia="宋体" w:cs="宋体"/>
          <w:b/>
          <w:i w:val="0"/>
          <w:iCs w:val="0"/>
          <w:caps w:val="0"/>
          <w:smallCaps w:val="0"/>
          <w:color w:val="auto"/>
          <w:spacing w:val="0"/>
          <w:kern w:val="2"/>
          <w:sz w:val="28"/>
          <w:szCs w:val="28"/>
          <w:highlight w:val="none"/>
          <w:shd w:val="clear" w:color="auto" w:fill="auto"/>
        </w:rPr>
        <w:t>关于符合本国产品标准的声明函</w:t>
      </w:r>
    </w:p>
    <w:p w14:paraId="5C92ABE6">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宋体" w:hAnsi="宋体" w:eastAsia="宋体" w:cs="宋体"/>
          <w:i w:val="0"/>
          <w:iCs w:val="0"/>
          <w:caps w:val="0"/>
          <w:smallCaps w:val="0"/>
          <w:color w:val="auto"/>
          <w:spacing w:val="0"/>
          <w:kern w:val="2"/>
          <w:sz w:val="24"/>
          <w:szCs w:val="24"/>
          <w:highlight w:val="none"/>
        </w:rPr>
      </w:pPr>
    </w:p>
    <w:p w14:paraId="304060CA">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smallCaps w:val="0"/>
          <w:color w:val="auto"/>
          <w:spacing w:val="0"/>
          <w:kern w:val="2"/>
          <w:sz w:val="24"/>
          <w:szCs w:val="24"/>
          <w:highlight w:val="none"/>
        </w:rPr>
      </w:pPr>
      <w:r>
        <w:rPr>
          <w:rFonts w:hint="eastAsia" w:ascii="宋体" w:hAnsi="宋体" w:eastAsia="宋体" w:cs="宋体"/>
          <w:i w:val="0"/>
          <w:iCs w:val="0"/>
          <w:caps w:val="0"/>
          <w:smallCaps w:val="0"/>
          <w:color w:val="auto"/>
          <w:spacing w:val="0"/>
          <w:kern w:val="2"/>
          <w:sz w:val="24"/>
          <w:szCs w:val="24"/>
          <w:highlight w:val="none"/>
          <w:shd w:val="clear" w:color="auto" w:fill="auto"/>
        </w:rPr>
        <w:t>本公司（单位）郑重声明，根据《国务院办公厅关于在政府采购中实施本国产品标准及相关政策的通知》（国办发〔2025〕34号）的规定，本公司（单位）提供的以下产品属于本国产品。具体情况如下：</w:t>
      </w:r>
    </w:p>
    <w:p w14:paraId="5BC55C31">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smallCaps w:val="0"/>
          <w:color w:val="auto"/>
          <w:spacing w:val="0"/>
          <w:kern w:val="2"/>
          <w:sz w:val="24"/>
          <w:szCs w:val="24"/>
          <w:highlight w:val="none"/>
        </w:rPr>
      </w:pPr>
      <w:r>
        <w:rPr>
          <w:rFonts w:hint="eastAsia" w:ascii="宋体" w:hAnsi="宋体" w:eastAsia="宋体" w:cs="宋体"/>
          <w:i w:val="0"/>
          <w:iCs w:val="0"/>
          <w:caps w:val="0"/>
          <w:smallCaps w:val="0"/>
          <w:color w:val="auto"/>
          <w:spacing w:val="0"/>
          <w:kern w:val="2"/>
          <w:sz w:val="24"/>
          <w:szCs w:val="24"/>
          <w:highlight w:val="none"/>
          <w:shd w:val="clear" w:color="auto" w:fill="auto"/>
        </w:rPr>
        <w:t>1.</w:t>
      </w:r>
      <w:r>
        <w:rPr>
          <w:rFonts w:hint="eastAsia" w:ascii="宋体" w:hAnsi="宋体" w:eastAsia="宋体" w:cs="宋体"/>
          <w:i w:val="0"/>
          <w:iCs w:val="0"/>
          <w:caps w:val="0"/>
          <w:smallCaps w:val="0"/>
          <w:color w:val="auto"/>
          <w:spacing w:val="0"/>
          <w:kern w:val="2"/>
          <w:sz w:val="24"/>
          <w:szCs w:val="24"/>
          <w:highlight w:val="none"/>
          <w:u w:val="none"/>
          <w:shd w:val="clear" w:color="auto" w:fill="auto"/>
        </w:rPr>
        <w:t>（产品名称1）</w:t>
      </w:r>
      <w:r>
        <w:rPr>
          <w:rFonts w:hint="eastAsia" w:ascii="宋体" w:hAnsi="宋体" w:eastAsia="宋体" w:cs="宋体"/>
          <w:i w:val="0"/>
          <w:iCs w:val="0"/>
          <w:caps w:val="0"/>
          <w:smallCaps w:val="0"/>
          <w:color w:val="auto"/>
          <w:spacing w:val="0"/>
          <w:kern w:val="2"/>
          <w:sz w:val="24"/>
          <w:szCs w:val="24"/>
          <w:highlight w:val="none"/>
          <w:u w:val="none"/>
          <w:shd w:val="clear" w:color="auto" w:fill="auto"/>
          <w:vertAlign w:val="baseline"/>
        </w:rPr>
        <w:t>1</w:t>
      </w:r>
      <w:r>
        <w:rPr>
          <w:rFonts w:hint="eastAsia" w:ascii="宋体" w:hAnsi="宋体" w:eastAsia="宋体" w:cs="宋体"/>
          <w:i w:val="0"/>
          <w:iCs w:val="0"/>
          <w:caps w:val="0"/>
          <w:smallCaps w:val="0"/>
          <w:color w:val="auto"/>
          <w:spacing w:val="0"/>
          <w:kern w:val="2"/>
          <w:sz w:val="24"/>
          <w:szCs w:val="24"/>
          <w:highlight w:val="none"/>
          <w:shd w:val="clear" w:color="auto" w:fill="auto"/>
        </w:rPr>
        <w:t>，生产厂为</w:t>
      </w:r>
      <w:r>
        <w:rPr>
          <w:rFonts w:hint="eastAsia" w:ascii="宋体" w:hAnsi="宋体" w:eastAsia="宋体" w:cs="宋体"/>
          <w:i w:val="0"/>
          <w:iCs w:val="0"/>
          <w:caps w:val="0"/>
          <w:smallCaps w:val="0"/>
          <w:color w:val="auto"/>
          <w:spacing w:val="0"/>
          <w:kern w:val="2"/>
          <w:sz w:val="24"/>
          <w:szCs w:val="24"/>
          <w:highlight w:val="none"/>
          <w:u w:val="none"/>
          <w:shd w:val="clear" w:color="auto" w:fill="auto"/>
        </w:rPr>
        <w:t>（厂名）</w:t>
      </w:r>
      <w:r>
        <w:rPr>
          <w:rFonts w:hint="eastAsia" w:ascii="宋体" w:hAnsi="宋体" w:eastAsia="宋体" w:cs="宋体"/>
          <w:i w:val="0"/>
          <w:iCs w:val="0"/>
          <w:caps w:val="0"/>
          <w:smallCaps w:val="0"/>
          <w:color w:val="auto"/>
          <w:spacing w:val="0"/>
          <w:kern w:val="2"/>
          <w:sz w:val="24"/>
          <w:szCs w:val="24"/>
          <w:highlight w:val="none"/>
          <w:u w:val="none"/>
          <w:shd w:val="clear" w:color="auto" w:fill="auto"/>
          <w:vertAlign w:val="baseline"/>
        </w:rPr>
        <w:t>2</w:t>
      </w:r>
      <w:r>
        <w:rPr>
          <w:rFonts w:hint="eastAsia" w:ascii="宋体" w:hAnsi="宋体" w:eastAsia="宋体" w:cs="宋体"/>
          <w:i w:val="0"/>
          <w:iCs w:val="0"/>
          <w:caps w:val="0"/>
          <w:smallCaps w:val="0"/>
          <w:color w:val="auto"/>
          <w:spacing w:val="0"/>
          <w:kern w:val="2"/>
          <w:sz w:val="24"/>
          <w:szCs w:val="24"/>
          <w:highlight w:val="none"/>
          <w:shd w:val="clear" w:color="auto" w:fill="auto"/>
        </w:rPr>
        <w:t>，厂址为</w:t>
      </w:r>
      <w:r>
        <w:rPr>
          <w:rFonts w:hint="eastAsia" w:ascii="宋体" w:hAnsi="宋体" w:eastAsia="宋体" w:cs="宋体"/>
          <w:i w:val="0"/>
          <w:iCs w:val="0"/>
          <w:caps w:val="0"/>
          <w:smallCaps w:val="0"/>
          <w:color w:val="auto"/>
          <w:spacing w:val="0"/>
          <w:kern w:val="2"/>
          <w:sz w:val="24"/>
          <w:szCs w:val="24"/>
          <w:highlight w:val="none"/>
          <w:u w:val="none"/>
          <w:shd w:val="clear" w:color="auto" w:fill="auto"/>
        </w:rPr>
        <w:t>（生产厂址）</w:t>
      </w:r>
      <w:r>
        <w:rPr>
          <w:rFonts w:hint="eastAsia" w:ascii="宋体" w:hAnsi="宋体" w:eastAsia="宋体" w:cs="宋体"/>
          <w:i w:val="0"/>
          <w:iCs w:val="0"/>
          <w:caps w:val="0"/>
          <w:smallCaps w:val="0"/>
          <w:color w:val="auto"/>
          <w:spacing w:val="0"/>
          <w:kern w:val="2"/>
          <w:sz w:val="24"/>
          <w:szCs w:val="24"/>
          <w:highlight w:val="none"/>
          <w:shd w:val="clear" w:color="auto" w:fill="auto"/>
        </w:rPr>
        <w:t>。</w:t>
      </w:r>
      <w:r>
        <w:rPr>
          <w:rFonts w:hint="eastAsia" w:ascii="宋体" w:hAnsi="宋体" w:eastAsia="宋体" w:cs="宋体"/>
          <w:i w:val="0"/>
          <w:iCs w:val="0"/>
          <w:caps w:val="0"/>
          <w:smallCaps w:val="0"/>
          <w:color w:val="auto"/>
          <w:spacing w:val="0"/>
          <w:kern w:val="2"/>
          <w:sz w:val="24"/>
          <w:szCs w:val="24"/>
          <w:highlight w:val="none"/>
          <w:u w:val="none"/>
          <w:shd w:val="clear" w:color="auto" w:fill="auto"/>
        </w:rPr>
        <w:t>（产品名称1）</w:t>
      </w:r>
      <w:r>
        <w:rPr>
          <w:rFonts w:hint="eastAsia" w:ascii="宋体" w:hAnsi="宋体" w:eastAsia="宋体" w:cs="宋体"/>
          <w:i w:val="0"/>
          <w:iCs w:val="0"/>
          <w:caps w:val="0"/>
          <w:smallCaps w:val="0"/>
          <w:color w:val="auto"/>
          <w:spacing w:val="0"/>
          <w:kern w:val="2"/>
          <w:sz w:val="24"/>
          <w:szCs w:val="24"/>
          <w:highlight w:val="none"/>
          <w:shd w:val="clear" w:color="auto" w:fill="auto"/>
        </w:rPr>
        <w:t>的中国境内生产的组件成本占比≥</w:t>
      </w:r>
      <w:r>
        <w:rPr>
          <w:rFonts w:hint="eastAsia" w:ascii="宋体" w:hAnsi="宋体" w:eastAsia="宋体" w:cs="宋体"/>
          <w:i w:val="0"/>
          <w:iCs w:val="0"/>
          <w:caps w:val="0"/>
          <w:smallCaps w:val="0"/>
          <w:color w:val="auto"/>
          <w:spacing w:val="0"/>
          <w:kern w:val="2"/>
          <w:sz w:val="24"/>
          <w:szCs w:val="24"/>
          <w:highlight w:val="none"/>
          <w:u w:val="none"/>
          <w:shd w:val="clear" w:color="auto" w:fill="auto"/>
        </w:rPr>
        <w:t>（规定比例）</w:t>
      </w:r>
      <w:r>
        <w:rPr>
          <w:rFonts w:hint="eastAsia" w:ascii="宋体" w:hAnsi="宋体" w:eastAsia="宋体" w:cs="宋体"/>
          <w:i w:val="0"/>
          <w:iCs w:val="0"/>
          <w:caps w:val="0"/>
          <w:smallCaps w:val="0"/>
          <w:color w:val="auto"/>
          <w:spacing w:val="0"/>
          <w:kern w:val="2"/>
          <w:sz w:val="24"/>
          <w:szCs w:val="24"/>
          <w:highlight w:val="none"/>
          <w:u w:val="none"/>
          <w:shd w:val="clear" w:color="auto" w:fill="auto"/>
          <w:vertAlign w:val="baseline"/>
        </w:rPr>
        <w:t>3</w:t>
      </w:r>
      <w:r>
        <w:rPr>
          <w:rFonts w:hint="eastAsia" w:ascii="宋体" w:hAnsi="宋体" w:eastAsia="宋体" w:cs="宋体"/>
          <w:i w:val="0"/>
          <w:iCs w:val="0"/>
          <w:caps w:val="0"/>
          <w:smallCaps w:val="0"/>
          <w:color w:val="auto"/>
          <w:spacing w:val="0"/>
          <w:kern w:val="2"/>
          <w:sz w:val="24"/>
          <w:szCs w:val="24"/>
          <w:highlight w:val="none"/>
          <w:shd w:val="clear" w:color="auto" w:fill="auto"/>
        </w:rPr>
        <w:t>。</w:t>
      </w:r>
      <w:r>
        <w:rPr>
          <w:rFonts w:hint="eastAsia" w:ascii="宋体" w:hAnsi="宋体" w:eastAsia="宋体" w:cs="宋体"/>
          <w:i w:val="0"/>
          <w:iCs w:val="0"/>
          <w:caps w:val="0"/>
          <w:smallCaps w:val="0"/>
          <w:color w:val="auto"/>
          <w:spacing w:val="0"/>
          <w:kern w:val="2"/>
          <w:sz w:val="24"/>
          <w:szCs w:val="24"/>
          <w:highlight w:val="none"/>
          <w:u w:val="none"/>
          <w:shd w:val="clear" w:color="auto" w:fill="auto"/>
        </w:rPr>
        <w:t>（产品名称1）</w:t>
      </w:r>
      <w:r>
        <w:rPr>
          <w:rFonts w:hint="eastAsia" w:ascii="宋体" w:hAnsi="宋体" w:eastAsia="宋体" w:cs="宋体"/>
          <w:i w:val="0"/>
          <w:iCs w:val="0"/>
          <w:caps w:val="0"/>
          <w:smallCaps w:val="0"/>
          <w:color w:val="auto"/>
          <w:spacing w:val="0"/>
          <w:kern w:val="2"/>
          <w:sz w:val="24"/>
          <w:szCs w:val="24"/>
          <w:highlight w:val="none"/>
          <w:shd w:val="clear" w:color="auto" w:fill="auto"/>
        </w:rPr>
        <w:t>的</w:t>
      </w:r>
      <w:r>
        <w:rPr>
          <w:rFonts w:hint="eastAsia" w:ascii="宋体" w:hAnsi="宋体" w:eastAsia="宋体" w:cs="宋体"/>
          <w:i w:val="0"/>
          <w:iCs w:val="0"/>
          <w:caps w:val="0"/>
          <w:smallCaps w:val="0"/>
          <w:color w:val="auto"/>
          <w:spacing w:val="0"/>
          <w:kern w:val="2"/>
          <w:sz w:val="24"/>
          <w:szCs w:val="24"/>
          <w:highlight w:val="none"/>
          <w:u w:val="none"/>
          <w:shd w:val="clear" w:color="auto" w:fill="auto"/>
        </w:rPr>
        <w:t>（关键组件）</w:t>
      </w:r>
      <w:r>
        <w:rPr>
          <w:rFonts w:hint="eastAsia" w:ascii="宋体" w:hAnsi="宋体" w:eastAsia="宋体" w:cs="宋体"/>
          <w:i w:val="0"/>
          <w:iCs w:val="0"/>
          <w:caps w:val="0"/>
          <w:smallCaps w:val="0"/>
          <w:color w:val="auto"/>
          <w:spacing w:val="0"/>
          <w:kern w:val="2"/>
          <w:sz w:val="24"/>
          <w:szCs w:val="24"/>
          <w:highlight w:val="none"/>
          <w:u w:val="none"/>
          <w:shd w:val="clear" w:color="auto" w:fill="auto"/>
          <w:vertAlign w:val="baseline"/>
        </w:rPr>
        <w:t>4</w:t>
      </w:r>
      <w:r>
        <w:rPr>
          <w:rFonts w:hint="eastAsia" w:ascii="宋体" w:hAnsi="宋体" w:eastAsia="宋体" w:cs="宋体"/>
          <w:i w:val="0"/>
          <w:iCs w:val="0"/>
          <w:caps w:val="0"/>
          <w:smallCaps w:val="0"/>
          <w:color w:val="auto"/>
          <w:spacing w:val="0"/>
          <w:kern w:val="2"/>
          <w:sz w:val="24"/>
          <w:szCs w:val="24"/>
          <w:highlight w:val="none"/>
          <w:shd w:val="clear" w:color="auto" w:fill="auto"/>
        </w:rPr>
        <w:t>在中国境内生产。</w:t>
      </w:r>
      <w:r>
        <w:rPr>
          <w:rFonts w:hint="eastAsia" w:ascii="宋体" w:hAnsi="宋体" w:eastAsia="宋体" w:cs="宋体"/>
          <w:i w:val="0"/>
          <w:iCs w:val="0"/>
          <w:caps w:val="0"/>
          <w:smallCaps w:val="0"/>
          <w:color w:val="auto"/>
          <w:spacing w:val="0"/>
          <w:kern w:val="2"/>
          <w:sz w:val="24"/>
          <w:szCs w:val="24"/>
          <w:highlight w:val="none"/>
          <w:u w:val="none"/>
          <w:shd w:val="clear" w:color="auto" w:fill="auto"/>
        </w:rPr>
        <w:t>（产品名称1）</w:t>
      </w:r>
      <w:r>
        <w:rPr>
          <w:rFonts w:hint="eastAsia" w:ascii="宋体" w:hAnsi="宋体" w:eastAsia="宋体" w:cs="宋体"/>
          <w:i w:val="0"/>
          <w:iCs w:val="0"/>
          <w:caps w:val="0"/>
          <w:smallCaps w:val="0"/>
          <w:color w:val="auto"/>
          <w:spacing w:val="0"/>
          <w:kern w:val="2"/>
          <w:sz w:val="24"/>
          <w:szCs w:val="24"/>
          <w:highlight w:val="none"/>
          <w:shd w:val="clear" w:color="auto" w:fill="auto"/>
        </w:rPr>
        <w:t>的</w:t>
      </w:r>
      <w:r>
        <w:rPr>
          <w:rFonts w:hint="eastAsia" w:ascii="宋体" w:hAnsi="宋体" w:eastAsia="宋体" w:cs="宋体"/>
          <w:i w:val="0"/>
          <w:iCs w:val="0"/>
          <w:caps w:val="0"/>
          <w:smallCaps w:val="0"/>
          <w:color w:val="auto"/>
          <w:spacing w:val="0"/>
          <w:kern w:val="2"/>
          <w:sz w:val="24"/>
          <w:szCs w:val="24"/>
          <w:highlight w:val="none"/>
          <w:u w:val="none"/>
          <w:shd w:val="clear" w:color="auto" w:fill="auto"/>
        </w:rPr>
        <w:t>（关键工序）</w:t>
      </w:r>
      <w:r>
        <w:rPr>
          <w:rFonts w:hint="eastAsia" w:ascii="宋体" w:hAnsi="宋体" w:eastAsia="宋体" w:cs="宋体"/>
          <w:i w:val="0"/>
          <w:iCs w:val="0"/>
          <w:caps w:val="0"/>
          <w:smallCaps w:val="0"/>
          <w:color w:val="auto"/>
          <w:spacing w:val="0"/>
          <w:kern w:val="2"/>
          <w:sz w:val="24"/>
          <w:szCs w:val="24"/>
          <w:highlight w:val="none"/>
          <w:u w:val="none"/>
          <w:shd w:val="clear" w:color="auto" w:fill="auto"/>
          <w:vertAlign w:val="baseline"/>
        </w:rPr>
        <w:t>5</w:t>
      </w:r>
      <w:r>
        <w:rPr>
          <w:rFonts w:hint="eastAsia" w:ascii="宋体" w:hAnsi="宋体" w:eastAsia="宋体" w:cs="宋体"/>
          <w:i w:val="0"/>
          <w:iCs w:val="0"/>
          <w:caps w:val="0"/>
          <w:smallCaps w:val="0"/>
          <w:color w:val="auto"/>
          <w:spacing w:val="0"/>
          <w:kern w:val="2"/>
          <w:sz w:val="24"/>
          <w:szCs w:val="24"/>
          <w:highlight w:val="none"/>
          <w:shd w:val="clear" w:color="auto" w:fill="auto"/>
        </w:rPr>
        <w:t>在中国境内完成。</w:t>
      </w:r>
    </w:p>
    <w:p w14:paraId="029AE7C9">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smallCaps w:val="0"/>
          <w:color w:val="auto"/>
          <w:spacing w:val="0"/>
          <w:kern w:val="2"/>
          <w:sz w:val="24"/>
          <w:szCs w:val="24"/>
          <w:highlight w:val="none"/>
        </w:rPr>
      </w:pPr>
      <w:r>
        <w:rPr>
          <w:rFonts w:hint="eastAsia" w:ascii="宋体" w:hAnsi="宋体" w:eastAsia="宋体" w:cs="宋体"/>
          <w:i w:val="0"/>
          <w:iCs w:val="0"/>
          <w:caps w:val="0"/>
          <w:smallCaps w:val="0"/>
          <w:color w:val="auto"/>
          <w:spacing w:val="0"/>
          <w:kern w:val="2"/>
          <w:sz w:val="24"/>
          <w:szCs w:val="24"/>
          <w:highlight w:val="none"/>
          <w:shd w:val="clear" w:color="auto" w:fill="auto"/>
        </w:rPr>
        <w:t>2.</w:t>
      </w:r>
      <w:r>
        <w:rPr>
          <w:rFonts w:hint="eastAsia" w:ascii="宋体" w:hAnsi="宋体" w:eastAsia="宋体" w:cs="宋体"/>
          <w:i w:val="0"/>
          <w:iCs w:val="0"/>
          <w:caps w:val="0"/>
          <w:smallCaps w:val="0"/>
          <w:color w:val="auto"/>
          <w:spacing w:val="0"/>
          <w:kern w:val="2"/>
          <w:sz w:val="24"/>
          <w:szCs w:val="24"/>
          <w:highlight w:val="none"/>
          <w:u w:val="none"/>
          <w:shd w:val="clear" w:color="auto" w:fill="auto"/>
        </w:rPr>
        <w:t>（产品名称2）</w:t>
      </w:r>
      <w:r>
        <w:rPr>
          <w:rFonts w:hint="eastAsia" w:ascii="宋体" w:hAnsi="宋体" w:eastAsia="宋体" w:cs="宋体"/>
          <w:i w:val="0"/>
          <w:iCs w:val="0"/>
          <w:caps w:val="0"/>
          <w:smallCaps w:val="0"/>
          <w:color w:val="auto"/>
          <w:spacing w:val="0"/>
          <w:kern w:val="2"/>
          <w:sz w:val="24"/>
          <w:szCs w:val="24"/>
          <w:highlight w:val="none"/>
          <w:shd w:val="clear" w:color="auto" w:fill="auto"/>
        </w:rPr>
        <w:t>，生产厂为</w:t>
      </w:r>
      <w:r>
        <w:rPr>
          <w:rFonts w:hint="eastAsia" w:ascii="宋体" w:hAnsi="宋体" w:eastAsia="宋体" w:cs="宋体"/>
          <w:i w:val="0"/>
          <w:iCs w:val="0"/>
          <w:caps w:val="0"/>
          <w:smallCaps w:val="0"/>
          <w:color w:val="auto"/>
          <w:spacing w:val="0"/>
          <w:kern w:val="2"/>
          <w:sz w:val="24"/>
          <w:szCs w:val="24"/>
          <w:highlight w:val="none"/>
          <w:u w:val="none"/>
          <w:shd w:val="clear" w:color="auto" w:fill="auto"/>
        </w:rPr>
        <w:t>（厂名）</w:t>
      </w:r>
      <w:r>
        <w:rPr>
          <w:rFonts w:hint="eastAsia" w:ascii="宋体" w:hAnsi="宋体" w:eastAsia="宋体" w:cs="宋体"/>
          <w:i w:val="0"/>
          <w:iCs w:val="0"/>
          <w:caps w:val="0"/>
          <w:smallCaps w:val="0"/>
          <w:color w:val="auto"/>
          <w:spacing w:val="0"/>
          <w:kern w:val="2"/>
          <w:sz w:val="24"/>
          <w:szCs w:val="24"/>
          <w:highlight w:val="none"/>
          <w:shd w:val="clear" w:color="auto" w:fill="auto"/>
        </w:rPr>
        <w:t>，厂址为</w:t>
      </w:r>
      <w:r>
        <w:rPr>
          <w:rFonts w:hint="eastAsia" w:ascii="宋体" w:hAnsi="宋体" w:eastAsia="宋体" w:cs="宋体"/>
          <w:i w:val="0"/>
          <w:iCs w:val="0"/>
          <w:caps w:val="0"/>
          <w:smallCaps w:val="0"/>
          <w:color w:val="auto"/>
          <w:spacing w:val="0"/>
          <w:kern w:val="2"/>
          <w:sz w:val="24"/>
          <w:szCs w:val="24"/>
          <w:highlight w:val="none"/>
          <w:u w:val="none"/>
          <w:shd w:val="clear" w:color="auto" w:fill="auto"/>
        </w:rPr>
        <w:t>（生产厂址）</w:t>
      </w:r>
      <w:r>
        <w:rPr>
          <w:rFonts w:hint="eastAsia" w:ascii="宋体" w:hAnsi="宋体" w:eastAsia="宋体" w:cs="宋体"/>
          <w:i w:val="0"/>
          <w:iCs w:val="0"/>
          <w:caps w:val="0"/>
          <w:smallCaps w:val="0"/>
          <w:color w:val="auto"/>
          <w:spacing w:val="0"/>
          <w:kern w:val="2"/>
          <w:sz w:val="24"/>
          <w:szCs w:val="24"/>
          <w:highlight w:val="none"/>
          <w:shd w:val="clear" w:color="auto" w:fill="auto"/>
        </w:rPr>
        <w:t>。</w:t>
      </w:r>
      <w:r>
        <w:rPr>
          <w:rFonts w:hint="eastAsia" w:ascii="宋体" w:hAnsi="宋体" w:eastAsia="宋体" w:cs="宋体"/>
          <w:i w:val="0"/>
          <w:iCs w:val="0"/>
          <w:caps w:val="0"/>
          <w:smallCaps w:val="0"/>
          <w:color w:val="auto"/>
          <w:spacing w:val="0"/>
          <w:kern w:val="2"/>
          <w:sz w:val="24"/>
          <w:szCs w:val="24"/>
          <w:highlight w:val="none"/>
          <w:u w:val="none"/>
          <w:shd w:val="clear" w:color="auto" w:fill="auto"/>
        </w:rPr>
        <w:t>（产品名称2）</w:t>
      </w:r>
      <w:r>
        <w:rPr>
          <w:rFonts w:hint="eastAsia" w:ascii="宋体" w:hAnsi="宋体" w:eastAsia="宋体" w:cs="宋体"/>
          <w:i w:val="0"/>
          <w:iCs w:val="0"/>
          <w:caps w:val="0"/>
          <w:smallCaps w:val="0"/>
          <w:color w:val="auto"/>
          <w:spacing w:val="0"/>
          <w:kern w:val="2"/>
          <w:sz w:val="24"/>
          <w:szCs w:val="24"/>
          <w:highlight w:val="none"/>
          <w:shd w:val="clear" w:color="auto" w:fill="auto"/>
        </w:rPr>
        <w:t>的中国境内生产的组件成本占比≥</w:t>
      </w:r>
      <w:r>
        <w:rPr>
          <w:rFonts w:hint="eastAsia" w:ascii="宋体" w:hAnsi="宋体" w:eastAsia="宋体" w:cs="宋体"/>
          <w:i w:val="0"/>
          <w:iCs w:val="0"/>
          <w:caps w:val="0"/>
          <w:smallCaps w:val="0"/>
          <w:color w:val="auto"/>
          <w:spacing w:val="0"/>
          <w:kern w:val="2"/>
          <w:sz w:val="24"/>
          <w:szCs w:val="24"/>
          <w:highlight w:val="none"/>
          <w:u w:val="none"/>
          <w:shd w:val="clear" w:color="auto" w:fill="auto"/>
        </w:rPr>
        <w:t>（规定比例）</w:t>
      </w:r>
      <w:r>
        <w:rPr>
          <w:rFonts w:hint="eastAsia" w:ascii="宋体" w:hAnsi="宋体" w:eastAsia="宋体" w:cs="宋体"/>
          <w:i w:val="0"/>
          <w:iCs w:val="0"/>
          <w:caps w:val="0"/>
          <w:smallCaps w:val="0"/>
          <w:color w:val="auto"/>
          <w:spacing w:val="0"/>
          <w:kern w:val="2"/>
          <w:sz w:val="24"/>
          <w:szCs w:val="24"/>
          <w:highlight w:val="none"/>
          <w:shd w:val="clear" w:color="auto" w:fill="auto"/>
        </w:rPr>
        <w:t>。</w:t>
      </w:r>
      <w:r>
        <w:rPr>
          <w:rFonts w:hint="eastAsia" w:ascii="宋体" w:hAnsi="宋体" w:eastAsia="宋体" w:cs="宋体"/>
          <w:i w:val="0"/>
          <w:iCs w:val="0"/>
          <w:caps w:val="0"/>
          <w:smallCaps w:val="0"/>
          <w:color w:val="auto"/>
          <w:spacing w:val="0"/>
          <w:kern w:val="2"/>
          <w:sz w:val="24"/>
          <w:szCs w:val="24"/>
          <w:highlight w:val="none"/>
          <w:u w:val="none"/>
          <w:shd w:val="clear" w:color="auto" w:fill="auto"/>
        </w:rPr>
        <w:t>（产品名称2）</w:t>
      </w:r>
      <w:r>
        <w:rPr>
          <w:rFonts w:hint="eastAsia" w:ascii="宋体" w:hAnsi="宋体" w:eastAsia="宋体" w:cs="宋体"/>
          <w:i w:val="0"/>
          <w:iCs w:val="0"/>
          <w:caps w:val="0"/>
          <w:smallCaps w:val="0"/>
          <w:color w:val="auto"/>
          <w:spacing w:val="0"/>
          <w:kern w:val="2"/>
          <w:sz w:val="24"/>
          <w:szCs w:val="24"/>
          <w:highlight w:val="none"/>
          <w:shd w:val="clear" w:color="auto" w:fill="auto"/>
        </w:rPr>
        <w:t>的</w:t>
      </w:r>
      <w:r>
        <w:rPr>
          <w:rFonts w:hint="eastAsia" w:ascii="宋体" w:hAnsi="宋体" w:eastAsia="宋体" w:cs="宋体"/>
          <w:i w:val="0"/>
          <w:iCs w:val="0"/>
          <w:caps w:val="0"/>
          <w:smallCaps w:val="0"/>
          <w:color w:val="auto"/>
          <w:spacing w:val="0"/>
          <w:kern w:val="2"/>
          <w:sz w:val="24"/>
          <w:szCs w:val="24"/>
          <w:highlight w:val="none"/>
          <w:u w:val="none"/>
          <w:shd w:val="clear" w:color="auto" w:fill="auto"/>
        </w:rPr>
        <w:t>（关键组件）</w:t>
      </w:r>
      <w:r>
        <w:rPr>
          <w:rFonts w:hint="eastAsia" w:ascii="宋体" w:hAnsi="宋体" w:eastAsia="宋体" w:cs="宋体"/>
          <w:i w:val="0"/>
          <w:iCs w:val="0"/>
          <w:caps w:val="0"/>
          <w:smallCaps w:val="0"/>
          <w:color w:val="auto"/>
          <w:spacing w:val="0"/>
          <w:kern w:val="2"/>
          <w:sz w:val="24"/>
          <w:szCs w:val="24"/>
          <w:highlight w:val="none"/>
          <w:shd w:val="clear" w:color="auto" w:fill="auto"/>
        </w:rPr>
        <w:t>在中国境内生产。</w:t>
      </w:r>
      <w:r>
        <w:rPr>
          <w:rFonts w:hint="eastAsia" w:ascii="宋体" w:hAnsi="宋体" w:eastAsia="宋体" w:cs="宋体"/>
          <w:i w:val="0"/>
          <w:iCs w:val="0"/>
          <w:caps w:val="0"/>
          <w:smallCaps w:val="0"/>
          <w:color w:val="auto"/>
          <w:spacing w:val="0"/>
          <w:kern w:val="2"/>
          <w:sz w:val="24"/>
          <w:szCs w:val="24"/>
          <w:highlight w:val="none"/>
          <w:u w:val="none"/>
          <w:shd w:val="clear" w:color="auto" w:fill="auto"/>
        </w:rPr>
        <w:t>（产品名称2）</w:t>
      </w:r>
      <w:r>
        <w:rPr>
          <w:rFonts w:hint="eastAsia" w:ascii="宋体" w:hAnsi="宋体" w:eastAsia="宋体" w:cs="宋体"/>
          <w:i w:val="0"/>
          <w:iCs w:val="0"/>
          <w:caps w:val="0"/>
          <w:smallCaps w:val="0"/>
          <w:color w:val="auto"/>
          <w:spacing w:val="0"/>
          <w:kern w:val="2"/>
          <w:sz w:val="24"/>
          <w:szCs w:val="24"/>
          <w:highlight w:val="none"/>
          <w:shd w:val="clear" w:color="auto" w:fill="auto"/>
        </w:rPr>
        <w:t>的</w:t>
      </w:r>
      <w:r>
        <w:rPr>
          <w:rFonts w:hint="eastAsia" w:ascii="宋体" w:hAnsi="宋体" w:eastAsia="宋体" w:cs="宋体"/>
          <w:i w:val="0"/>
          <w:iCs w:val="0"/>
          <w:caps w:val="0"/>
          <w:smallCaps w:val="0"/>
          <w:color w:val="auto"/>
          <w:spacing w:val="0"/>
          <w:kern w:val="2"/>
          <w:sz w:val="24"/>
          <w:szCs w:val="24"/>
          <w:highlight w:val="none"/>
          <w:u w:val="none"/>
          <w:shd w:val="clear" w:color="auto" w:fill="auto"/>
        </w:rPr>
        <w:t>（关键工序）</w:t>
      </w:r>
      <w:r>
        <w:rPr>
          <w:rFonts w:hint="eastAsia" w:ascii="宋体" w:hAnsi="宋体" w:eastAsia="宋体" w:cs="宋体"/>
          <w:i w:val="0"/>
          <w:iCs w:val="0"/>
          <w:caps w:val="0"/>
          <w:smallCaps w:val="0"/>
          <w:color w:val="auto"/>
          <w:spacing w:val="0"/>
          <w:kern w:val="2"/>
          <w:sz w:val="24"/>
          <w:szCs w:val="24"/>
          <w:highlight w:val="none"/>
          <w:shd w:val="clear" w:color="auto" w:fill="auto"/>
        </w:rPr>
        <w:t>在中国境内完成。</w:t>
      </w:r>
    </w:p>
    <w:p w14:paraId="5759A673">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smallCaps w:val="0"/>
          <w:color w:val="auto"/>
          <w:spacing w:val="0"/>
          <w:kern w:val="2"/>
          <w:sz w:val="24"/>
          <w:szCs w:val="24"/>
          <w:highlight w:val="none"/>
        </w:rPr>
      </w:pPr>
      <w:r>
        <w:rPr>
          <w:rFonts w:hint="eastAsia" w:ascii="宋体" w:hAnsi="宋体" w:eastAsia="宋体" w:cs="宋体"/>
          <w:i w:val="0"/>
          <w:iCs w:val="0"/>
          <w:caps w:val="0"/>
          <w:smallCaps w:val="0"/>
          <w:color w:val="auto"/>
          <w:spacing w:val="0"/>
          <w:kern w:val="2"/>
          <w:sz w:val="24"/>
          <w:szCs w:val="24"/>
          <w:highlight w:val="none"/>
          <w:shd w:val="clear" w:color="auto" w:fill="auto"/>
        </w:rPr>
        <w:t>……</w:t>
      </w:r>
    </w:p>
    <w:p w14:paraId="72E75D7F">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smallCaps w:val="0"/>
          <w:color w:val="auto"/>
          <w:spacing w:val="0"/>
          <w:kern w:val="2"/>
          <w:sz w:val="24"/>
          <w:szCs w:val="24"/>
          <w:highlight w:val="none"/>
        </w:rPr>
      </w:pPr>
      <w:r>
        <w:rPr>
          <w:rFonts w:hint="eastAsia" w:ascii="宋体" w:hAnsi="宋体" w:eastAsia="宋体" w:cs="宋体"/>
          <w:i w:val="0"/>
          <w:iCs w:val="0"/>
          <w:caps w:val="0"/>
          <w:smallCaps w:val="0"/>
          <w:color w:val="auto"/>
          <w:spacing w:val="0"/>
          <w:kern w:val="2"/>
          <w:sz w:val="24"/>
          <w:szCs w:val="24"/>
          <w:highlight w:val="none"/>
          <w:shd w:val="clear" w:color="auto" w:fill="auto"/>
        </w:rPr>
        <w:t>本公司（单位）对上述声明内容的真实性负责。如有虚假，愿承担相应法律责任。</w:t>
      </w:r>
    </w:p>
    <w:p w14:paraId="698088F9">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0"/>
        <w:rPr>
          <w:rFonts w:hint="eastAsia" w:ascii="宋体" w:hAnsi="宋体" w:eastAsia="宋体" w:cs="宋体"/>
          <w:i w:val="0"/>
          <w:iCs w:val="0"/>
          <w:caps w:val="0"/>
          <w:smallCaps w:val="0"/>
          <w:color w:val="auto"/>
          <w:spacing w:val="0"/>
          <w:kern w:val="2"/>
          <w:sz w:val="24"/>
          <w:szCs w:val="24"/>
          <w:highlight w:val="none"/>
        </w:rPr>
      </w:pPr>
    </w:p>
    <w:p w14:paraId="0729A1BB">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0"/>
        <w:jc w:val="right"/>
        <w:rPr>
          <w:rFonts w:hint="eastAsia" w:ascii="宋体" w:hAnsi="宋体" w:eastAsia="宋体" w:cs="宋体"/>
          <w:i w:val="0"/>
          <w:iCs w:val="0"/>
          <w:caps w:val="0"/>
          <w:smallCaps w:val="0"/>
          <w:color w:val="auto"/>
          <w:spacing w:val="0"/>
          <w:kern w:val="2"/>
          <w:sz w:val="24"/>
          <w:szCs w:val="24"/>
          <w:highlight w:val="none"/>
        </w:rPr>
      </w:pPr>
      <w:r>
        <w:rPr>
          <w:rFonts w:hint="eastAsia" w:ascii="宋体" w:hAnsi="宋体" w:eastAsia="宋体" w:cs="宋体"/>
          <w:i w:val="0"/>
          <w:iCs w:val="0"/>
          <w:caps w:val="0"/>
          <w:smallCaps w:val="0"/>
          <w:color w:val="auto"/>
          <w:spacing w:val="0"/>
          <w:kern w:val="2"/>
          <w:sz w:val="24"/>
          <w:szCs w:val="24"/>
          <w:highlight w:val="none"/>
          <w:shd w:val="clear" w:color="auto" w:fill="auto"/>
        </w:rPr>
        <w:t>公司（单位）名称（盖章）：　        </w:t>
      </w:r>
    </w:p>
    <w:p w14:paraId="1F1448DE">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0"/>
        <w:jc w:val="right"/>
        <w:rPr>
          <w:rFonts w:hint="eastAsia" w:ascii="宋体" w:hAnsi="宋体" w:eastAsia="宋体" w:cs="宋体"/>
          <w:i w:val="0"/>
          <w:iCs w:val="0"/>
          <w:caps w:val="0"/>
          <w:smallCaps w:val="0"/>
          <w:color w:val="auto"/>
          <w:spacing w:val="0"/>
          <w:kern w:val="2"/>
          <w:sz w:val="24"/>
          <w:szCs w:val="24"/>
          <w:highlight w:val="none"/>
        </w:rPr>
      </w:pPr>
      <w:r>
        <w:rPr>
          <w:rFonts w:hint="eastAsia" w:ascii="宋体" w:hAnsi="宋体" w:eastAsia="宋体" w:cs="宋体"/>
          <w:i w:val="0"/>
          <w:iCs w:val="0"/>
          <w:caps w:val="0"/>
          <w:smallCaps w:val="0"/>
          <w:color w:val="auto"/>
          <w:spacing w:val="0"/>
          <w:kern w:val="2"/>
          <w:sz w:val="24"/>
          <w:szCs w:val="24"/>
          <w:highlight w:val="none"/>
          <w:shd w:val="clear" w:color="auto" w:fill="auto"/>
        </w:rPr>
        <w:t>日期：　     年　  月　  日         </w:t>
      </w:r>
    </w:p>
    <w:p w14:paraId="07A1AAE3">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0"/>
        <w:jc w:val="left"/>
        <w:rPr>
          <w:rFonts w:hint="eastAsia" w:ascii="宋体" w:hAnsi="宋体" w:eastAsia="宋体" w:cs="宋体"/>
          <w:i w:val="0"/>
          <w:iCs w:val="0"/>
          <w:caps w:val="0"/>
          <w:smallCaps w:val="0"/>
          <w:color w:val="auto"/>
          <w:spacing w:val="0"/>
          <w:kern w:val="2"/>
          <w:sz w:val="24"/>
          <w:szCs w:val="24"/>
          <w:highlight w:val="none"/>
        </w:rPr>
      </w:pPr>
      <w:r>
        <w:rPr>
          <w:rFonts w:hint="eastAsia" w:ascii="宋体" w:hAnsi="宋体" w:eastAsia="宋体" w:cs="宋体"/>
          <w:i w:val="0"/>
          <w:iCs w:val="0"/>
          <w:caps w:val="0"/>
          <w:smallCaps w:val="0"/>
          <w:color w:val="auto"/>
          <w:spacing w:val="0"/>
          <w:kern w:val="2"/>
          <w:sz w:val="24"/>
          <w:szCs w:val="24"/>
          <w:highlight w:val="none"/>
          <w:shd w:val="clear" w:color="auto" w:fill="auto"/>
        </w:rPr>
        <w:t>__________________</w:t>
      </w:r>
    </w:p>
    <w:p w14:paraId="71D1965B">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smallCaps w:val="0"/>
          <w:color w:val="auto"/>
          <w:spacing w:val="0"/>
          <w:kern w:val="2"/>
          <w:sz w:val="21"/>
          <w:szCs w:val="21"/>
          <w:highlight w:val="none"/>
        </w:rPr>
      </w:pPr>
      <w:r>
        <w:rPr>
          <w:rFonts w:hint="eastAsia" w:ascii="宋体" w:hAnsi="宋体" w:eastAsia="宋体" w:cs="宋体"/>
          <w:i w:val="0"/>
          <w:iCs w:val="0"/>
          <w:caps w:val="0"/>
          <w:smallCaps w:val="0"/>
          <w:color w:val="auto"/>
          <w:spacing w:val="0"/>
          <w:kern w:val="2"/>
          <w:sz w:val="21"/>
          <w:szCs w:val="21"/>
          <w:highlight w:val="none"/>
          <w:shd w:val="clear" w:color="auto" w:fill="auto"/>
        </w:rPr>
        <w:t>1.产品如有型号，请在“产品名称”栏一并填写。</w:t>
      </w:r>
    </w:p>
    <w:p w14:paraId="16B2630F">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smallCaps w:val="0"/>
          <w:color w:val="auto"/>
          <w:spacing w:val="0"/>
          <w:kern w:val="2"/>
          <w:sz w:val="21"/>
          <w:szCs w:val="21"/>
          <w:highlight w:val="none"/>
        </w:rPr>
      </w:pPr>
      <w:r>
        <w:rPr>
          <w:rFonts w:hint="eastAsia" w:ascii="宋体" w:hAnsi="宋体" w:eastAsia="宋体" w:cs="宋体"/>
          <w:i w:val="0"/>
          <w:iCs w:val="0"/>
          <w:caps w:val="0"/>
          <w:smallCaps w:val="0"/>
          <w:color w:val="auto"/>
          <w:spacing w:val="0"/>
          <w:kern w:val="2"/>
          <w:sz w:val="21"/>
          <w:szCs w:val="21"/>
          <w:highlight w:val="none"/>
          <w:shd w:val="clear" w:color="auto" w:fill="auto"/>
        </w:rPr>
        <w:t>2.生产厂名与厂址应与生产厂营业执照载明的相关信息保持一致。</w:t>
      </w:r>
    </w:p>
    <w:p w14:paraId="2A8EB899">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smallCaps w:val="0"/>
          <w:color w:val="auto"/>
          <w:spacing w:val="0"/>
          <w:kern w:val="2"/>
          <w:sz w:val="21"/>
          <w:szCs w:val="21"/>
          <w:highlight w:val="none"/>
        </w:rPr>
      </w:pPr>
      <w:r>
        <w:rPr>
          <w:rFonts w:hint="eastAsia" w:ascii="宋体" w:hAnsi="宋体" w:eastAsia="宋体" w:cs="宋体"/>
          <w:i w:val="0"/>
          <w:iCs w:val="0"/>
          <w:caps w:val="0"/>
          <w:smallCaps w:val="0"/>
          <w:color w:val="auto"/>
          <w:spacing w:val="0"/>
          <w:kern w:val="2"/>
          <w:sz w:val="21"/>
          <w:szCs w:val="21"/>
          <w:highlight w:val="none"/>
          <w:shd w:val="clear" w:color="auto" w:fill="auto"/>
        </w:rPr>
        <w:t>3.该产品的中国境内生产的组件成本占比相关要求实施前，“规定比例”栏可不填，下同。</w:t>
      </w:r>
    </w:p>
    <w:p w14:paraId="12215CB1">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smallCaps w:val="0"/>
          <w:color w:val="auto"/>
          <w:spacing w:val="0"/>
          <w:kern w:val="2"/>
          <w:sz w:val="21"/>
          <w:szCs w:val="21"/>
          <w:highlight w:val="none"/>
        </w:rPr>
      </w:pPr>
      <w:r>
        <w:rPr>
          <w:rFonts w:hint="eastAsia" w:ascii="宋体" w:hAnsi="宋体" w:eastAsia="宋体" w:cs="宋体"/>
          <w:i w:val="0"/>
          <w:iCs w:val="0"/>
          <w:caps w:val="0"/>
          <w:smallCaps w:val="0"/>
          <w:color w:val="auto"/>
          <w:spacing w:val="0"/>
          <w:kern w:val="2"/>
          <w:sz w:val="21"/>
          <w:szCs w:val="21"/>
          <w:highlight w:val="none"/>
          <w:shd w:val="clear" w:color="auto" w:fill="auto"/>
        </w:rPr>
        <w:t>4.该产品的关键组件要求实施前，“关键组件”栏可不填，下同。</w:t>
      </w:r>
    </w:p>
    <w:p w14:paraId="2E071E75">
      <w:pPr>
        <w:spacing w:line="360" w:lineRule="auto"/>
        <w:ind w:right="420" w:firstLine="420" w:firstLineChars="200"/>
        <w:rPr>
          <w:rFonts w:hint="eastAsia" w:ascii="宋体" w:hAnsi="宋体" w:eastAsia="宋体" w:cs="宋体"/>
          <w:color w:val="auto"/>
          <w:sz w:val="21"/>
          <w:szCs w:val="21"/>
          <w:highlight w:val="none"/>
        </w:rPr>
      </w:pPr>
      <w:r>
        <w:rPr>
          <w:rFonts w:hint="eastAsia" w:ascii="宋体" w:hAnsi="宋体" w:eastAsia="宋体" w:cs="宋体"/>
          <w:i w:val="0"/>
          <w:iCs w:val="0"/>
          <w:caps w:val="0"/>
          <w:smallCaps w:val="0"/>
          <w:color w:val="auto"/>
          <w:spacing w:val="0"/>
          <w:sz w:val="21"/>
          <w:szCs w:val="21"/>
          <w:highlight w:val="none"/>
          <w:shd w:val="clear" w:color="auto" w:fill="auto"/>
        </w:rPr>
        <w:t>5.该产品的关键工序要求实施前，“关键工序”栏可不填，下同。</w:t>
      </w:r>
    </w:p>
    <w:p w14:paraId="528C1E0E">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rPr>
          <w:rFonts w:hint="eastAsia" w:ascii="宋体" w:hAnsi="宋体" w:eastAsia="宋体" w:cs="宋体"/>
          <w:i w:val="0"/>
          <w:iCs w:val="0"/>
          <w:caps w:val="0"/>
          <w:smallCaps w:val="0"/>
          <w:color w:val="auto"/>
          <w:spacing w:val="0"/>
          <w:sz w:val="24"/>
          <w:szCs w:val="24"/>
          <w:highlight w:val="none"/>
          <w:shd w:val="clear" w:color="auto" w:fill="FFFFFF"/>
          <w:lang w:val="en-US" w:eastAsia="zh-CN"/>
        </w:rPr>
      </w:pPr>
    </w:p>
    <w:p w14:paraId="244F80D8">
      <w:pPr>
        <w:rPr>
          <w:rFonts w:hint="eastAsia" w:ascii="宋体" w:cs="宋体"/>
          <w:color w:val="auto"/>
          <w:szCs w:val="21"/>
          <w:highlight w:val="none"/>
        </w:rPr>
      </w:pPr>
      <w:r>
        <w:rPr>
          <w:rFonts w:hint="eastAsia" w:ascii="宋体" w:hAnsi="宋体" w:eastAsia="宋体" w:cs="宋体"/>
          <w:i w:val="0"/>
          <w:iCs w:val="0"/>
          <w:caps w:val="0"/>
          <w:smallCaps w:val="0"/>
          <w:color w:val="auto"/>
          <w:spacing w:val="0"/>
          <w:sz w:val="24"/>
          <w:szCs w:val="24"/>
          <w:highlight w:val="none"/>
          <w:shd w:val="clear" w:color="auto" w:fill="FFFFFF"/>
          <w:lang w:val="en-US" w:eastAsia="zh-CN"/>
        </w:rPr>
        <w:t>注：</w:t>
      </w:r>
      <w:r>
        <w:rPr>
          <w:rFonts w:hint="eastAsia" w:ascii="宋体" w:hAnsi="宋体" w:eastAsia="宋体" w:cs="宋体"/>
          <w:i w:val="0"/>
          <w:iCs w:val="0"/>
          <w:caps w:val="0"/>
          <w:smallCaps w:val="0"/>
          <w:color w:val="auto"/>
          <w:spacing w:val="0"/>
          <w:sz w:val="24"/>
          <w:szCs w:val="24"/>
          <w:highlight w:val="none"/>
          <w:shd w:val="clear" w:color="auto" w:fill="FFFFFF"/>
        </w:rPr>
        <w:t>中标供应商提供的《声明函》或有关证明文件随中标结果同时公告。</w:t>
      </w:r>
      <w:r>
        <w:rPr>
          <w:rFonts w:hint="eastAsia" w:ascii="宋体" w:cs="宋体"/>
          <w:color w:val="auto"/>
          <w:szCs w:val="21"/>
          <w:highlight w:val="none"/>
        </w:rPr>
        <w:br w:type="page"/>
      </w:r>
    </w:p>
    <w:p w14:paraId="22EEBCE3">
      <w:pPr>
        <w:shd w:val="clear" w:color="auto" w:fill="FFFFFF"/>
        <w:spacing w:line="480" w:lineRule="atLeast"/>
        <w:jc w:val="left"/>
        <w:rPr>
          <w:color w:val="auto"/>
          <w:highlight w:val="none"/>
        </w:rPr>
      </w:pPr>
      <w:r>
        <w:rPr>
          <w:rFonts w:hint="eastAsia" w:ascii="宋体" w:cs="宋体"/>
          <w:color w:val="auto"/>
          <w:sz w:val="28"/>
          <w:szCs w:val="28"/>
          <w:highlight w:val="none"/>
          <w:lang w:val="en-US" w:eastAsia="zh-CN"/>
        </w:rPr>
        <w:t>4</w:t>
      </w:r>
      <w:r>
        <w:rPr>
          <w:rFonts w:hint="eastAsia" w:ascii="宋体" w:cs="宋体"/>
          <w:color w:val="auto"/>
          <w:sz w:val="28"/>
          <w:szCs w:val="28"/>
          <w:highlight w:val="none"/>
        </w:rPr>
        <w:t>.</w:t>
      </w:r>
      <w:r>
        <w:rPr>
          <w:rFonts w:hint="eastAsia" w:ascii="宋体" w:cs="宋体"/>
          <w:color w:val="auto"/>
          <w:kern w:val="0"/>
          <w:sz w:val="28"/>
          <w:szCs w:val="28"/>
          <w:highlight w:val="none"/>
        </w:rPr>
        <w:t>广西壮族自治区政府采购项目合同验收书的格式：</w:t>
      </w:r>
    </w:p>
    <w:p w14:paraId="30773004">
      <w:pPr>
        <w:shd w:val="clear" w:color="auto" w:fill="FFFFFF"/>
        <w:spacing w:line="480" w:lineRule="atLeast"/>
        <w:jc w:val="center"/>
        <w:rPr>
          <w:rFonts w:ascii="宋体" w:cs="宋体"/>
          <w:color w:val="auto"/>
          <w:kern w:val="0"/>
          <w:sz w:val="32"/>
          <w:szCs w:val="32"/>
          <w:highlight w:val="none"/>
        </w:rPr>
      </w:pPr>
    </w:p>
    <w:p w14:paraId="2D4BC5C5">
      <w:pPr>
        <w:shd w:val="clear" w:color="auto" w:fill="FFFFFF"/>
        <w:spacing w:line="480" w:lineRule="atLeast"/>
        <w:jc w:val="center"/>
        <w:rPr>
          <w:rFonts w:ascii="宋体" w:cs="宋体"/>
          <w:color w:val="auto"/>
          <w:kern w:val="0"/>
          <w:sz w:val="32"/>
          <w:szCs w:val="32"/>
          <w:highlight w:val="none"/>
        </w:rPr>
      </w:pPr>
      <w:r>
        <w:rPr>
          <w:rFonts w:hint="eastAsia" w:ascii="宋体" w:cs="宋体"/>
          <w:color w:val="auto"/>
          <w:kern w:val="0"/>
          <w:sz w:val="32"/>
          <w:szCs w:val="32"/>
          <w:highlight w:val="none"/>
        </w:rPr>
        <w:t>广西壮族自治区政府采购项目合同验收书</w:t>
      </w:r>
    </w:p>
    <w:p w14:paraId="78F1DDEB">
      <w:pPr>
        <w:shd w:val="clear" w:color="auto" w:fill="FFFFFF"/>
        <w:spacing w:line="480" w:lineRule="atLeast"/>
        <w:jc w:val="center"/>
        <w:rPr>
          <w:rFonts w:ascii="宋体" w:cs="宋体"/>
          <w:color w:val="auto"/>
          <w:kern w:val="0"/>
          <w:sz w:val="32"/>
          <w:szCs w:val="32"/>
          <w:highlight w:val="none"/>
        </w:rPr>
      </w:pPr>
    </w:p>
    <w:p w14:paraId="4BB038EB">
      <w:pPr>
        <w:shd w:val="clear" w:color="auto" w:fill="FFFFFF"/>
        <w:snapToGrid w:val="0"/>
        <w:spacing w:line="320" w:lineRule="atLeast"/>
        <w:ind w:firstLine="480"/>
        <w:jc w:val="left"/>
        <w:rPr>
          <w:rFonts w:ascii="宋体" w:cs="宋体"/>
          <w:color w:val="auto"/>
          <w:kern w:val="0"/>
          <w:szCs w:val="21"/>
          <w:highlight w:val="none"/>
        </w:rPr>
      </w:pPr>
      <w:r>
        <w:rPr>
          <w:rFonts w:hint="eastAsia" w:ascii="宋体" w:cs="宋体"/>
          <w:color w:val="auto"/>
          <w:kern w:val="0"/>
          <w:szCs w:val="21"/>
          <w:highlight w:val="none"/>
        </w:rPr>
        <w:t>根据政府采购项目（</w:t>
      </w:r>
      <w:r>
        <w:rPr>
          <w:rFonts w:hint="eastAsia" w:ascii="宋体" w:cs="宋体"/>
          <w:color w:val="auto"/>
          <w:kern w:val="0"/>
          <w:szCs w:val="21"/>
          <w:highlight w:val="none"/>
          <w:u w:val="single"/>
        </w:rPr>
        <w:t>采购合同编号：</w:t>
      </w:r>
      <w:r>
        <w:rPr>
          <w:rFonts w:hint="eastAsia" w:ascii="宋体" w:cs="宋体"/>
          <w:color w:val="auto"/>
          <w:kern w:val="0"/>
          <w:szCs w:val="21"/>
          <w:highlight w:val="none"/>
          <w:u w:val="single"/>
        </w:rPr>
        <w:softHyphen/>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）的约定，我单位对（</w:t>
      </w:r>
      <w:r>
        <w:rPr>
          <w:rFonts w:hint="eastAsia" w:ascii="宋体" w:cs="宋体"/>
          <w:color w:val="auto"/>
          <w:kern w:val="0"/>
          <w:szCs w:val="21"/>
          <w:highlight w:val="none"/>
          <w:u w:val="single"/>
        </w:rPr>
        <w:t xml:space="preserve"> 项目名称 </w:t>
      </w:r>
      <w:r>
        <w:rPr>
          <w:rFonts w:hint="eastAsia" w:ascii="宋体" w:cs="宋体"/>
          <w:color w:val="auto"/>
          <w:kern w:val="0"/>
          <w:szCs w:val="21"/>
          <w:highlight w:val="none"/>
        </w:rPr>
        <w:t>） 政府采购项目中标（或者成交）投标人（</w:t>
      </w:r>
      <w:r>
        <w:rPr>
          <w:rFonts w:hint="eastAsia" w:ascii="宋体" w:cs="宋体"/>
          <w:color w:val="auto"/>
          <w:kern w:val="0"/>
          <w:szCs w:val="21"/>
          <w:highlight w:val="none"/>
          <w:u w:val="single"/>
        </w:rPr>
        <w:t xml:space="preserve"> 公司名称 </w:t>
      </w:r>
      <w:r>
        <w:rPr>
          <w:rFonts w:hint="eastAsia" w:ascii="宋体" w:cs="宋体"/>
          <w:color w:val="auto"/>
          <w:kern w:val="0"/>
          <w:szCs w:val="21"/>
          <w:highlight w:val="none"/>
        </w:rPr>
        <w:t>） 提供的货物（或者工程、服务）进行了验收，验收情况如下：</w:t>
      </w:r>
    </w:p>
    <w:tbl>
      <w:tblPr>
        <w:tblStyle w:val="29"/>
        <w:tblW w:w="93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31"/>
        <w:gridCol w:w="1921"/>
        <w:gridCol w:w="798"/>
        <w:gridCol w:w="102"/>
        <w:gridCol w:w="2002"/>
        <w:gridCol w:w="178"/>
        <w:gridCol w:w="685"/>
        <w:gridCol w:w="2354"/>
      </w:tblGrid>
      <w:tr w14:paraId="61941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7" w:hRule="atLeast"/>
          <w:jc w:val="center"/>
        </w:trPr>
        <w:tc>
          <w:tcPr>
            <w:tcW w:w="3252" w:type="dxa"/>
            <w:gridSpan w:val="2"/>
            <w:tcBorders>
              <w:top w:val="single" w:color="auto" w:sz="8" w:space="0"/>
              <w:left w:val="single" w:color="auto" w:sz="8" w:space="0"/>
              <w:bottom w:val="single" w:color="auto" w:sz="8" w:space="0"/>
              <w:right w:val="single" w:color="auto" w:sz="8" w:space="0"/>
            </w:tcBorders>
            <w:vAlign w:val="center"/>
          </w:tcPr>
          <w:p w14:paraId="51274BC0">
            <w:pPr>
              <w:snapToGrid w:val="0"/>
              <w:spacing w:before="100" w:beforeAutospacing="1" w:after="100" w:afterAutospacing="1" w:line="320" w:lineRule="atLeast"/>
              <w:ind w:firstLine="5"/>
              <w:jc w:val="center"/>
              <w:rPr>
                <w:rFonts w:ascii="宋体" w:cs="宋体"/>
                <w:color w:val="auto"/>
                <w:kern w:val="0"/>
                <w:szCs w:val="21"/>
                <w:highlight w:val="none"/>
              </w:rPr>
            </w:pPr>
            <w:r>
              <w:rPr>
                <w:rFonts w:hint="eastAsia" w:ascii="宋体" w:cs="宋体"/>
                <w:color w:val="auto"/>
                <w:kern w:val="0"/>
                <w:szCs w:val="21"/>
                <w:highlight w:val="none"/>
              </w:rPr>
              <w:t>验收方式：</w:t>
            </w:r>
          </w:p>
        </w:tc>
        <w:tc>
          <w:tcPr>
            <w:tcW w:w="6119" w:type="dxa"/>
            <w:gridSpan w:val="6"/>
            <w:tcBorders>
              <w:top w:val="single" w:color="auto" w:sz="8" w:space="0"/>
              <w:left w:val="nil"/>
              <w:bottom w:val="single" w:color="auto" w:sz="8" w:space="0"/>
              <w:right w:val="single" w:color="auto" w:sz="8" w:space="0"/>
            </w:tcBorders>
            <w:vAlign w:val="center"/>
          </w:tcPr>
          <w:p w14:paraId="109732EF">
            <w:pPr>
              <w:snapToGrid w:val="0"/>
              <w:spacing w:before="100" w:beforeAutospacing="1" w:after="100" w:afterAutospacing="1" w:line="320" w:lineRule="atLeast"/>
              <w:ind w:firstLine="480"/>
              <w:jc w:val="center"/>
              <w:rPr>
                <w:rFonts w:ascii="宋体" w:cs="宋体"/>
                <w:color w:val="auto"/>
                <w:kern w:val="0"/>
                <w:szCs w:val="21"/>
                <w:highlight w:val="none"/>
              </w:rPr>
            </w:pPr>
            <w:r>
              <w:rPr>
                <w:rFonts w:hint="eastAsia" w:ascii="宋体" w:cs="宋体"/>
                <w:color w:val="auto"/>
                <w:kern w:val="0"/>
                <w:szCs w:val="21"/>
                <w:highlight w:val="none"/>
              </w:rPr>
              <w:t>□自行验收 □委托验收</w:t>
            </w:r>
          </w:p>
        </w:tc>
      </w:tr>
      <w:tr w14:paraId="25372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2" w:hRule="atLeast"/>
          <w:jc w:val="center"/>
        </w:trPr>
        <w:tc>
          <w:tcPr>
            <w:tcW w:w="1331" w:type="dxa"/>
            <w:tcBorders>
              <w:top w:val="nil"/>
              <w:left w:val="single" w:color="auto" w:sz="8" w:space="0"/>
              <w:bottom w:val="single" w:color="auto" w:sz="8" w:space="0"/>
              <w:right w:val="single" w:color="auto" w:sz="8" w:space="0"/>
            </w:tcBorders>
            <w:vAlign w:val="center"/>
          </w:tcPr>
          <w:p w14:paraId="56B4AD5B">
            <w:pPr>
              <w:snapToGrid w:val="0"/>
              <w:spacing w:before="100" w:beforeAutospacing="1" w:after="100" w:afterAutospacing="1" w:line="320" w:lineRule="atLeast"/>
              <w:ind w:firstLine="2"/>
              <w:jc w:val="center"/>
              <w:rPr>
                <w:rFonts w:ascii="宋体" w:cs="宋体"/>
                <w:color w:val="auto"/>
                <w:kern w:val="0"/>
                <w:szCs w:val="21"/>
                <w:highlight w:val="none"/>
              </w:rPr>
            </w:pPr>
            <w:r>
              <w:rPr>
                <w:rFonts w:hint="eastAsia" w:ascii="宋体" w:cs="宋体"/>
                <w:color w:val="auto"/>
                <w:kern w:val="0"/>
                <w:szCs w:val="21"/>
                <w:highlight w:val="none"/>
              </w:rPr>
              <w:t>序号</w:t>
            </w:r>
          </w:p>
        </w:tc>
        <w:tc>
          <w:tcPr>
            <w:tcW w:w="1921" w:type="dxa"/>
            <w:tcBorders>
              <w:top w:val="nil"/>
              <w:left w:val="nil"/>
              <w:bottom w:val="single" w:color="auto" w:sz="8" w:space="0"/>
              <w:right w:val="single" w:color="auto" w:sz="8" w:space="0"/>
            </w:tcBorders>
            <w:vAlign w:val="center"/>
          </w:tcPr>
          <w:p w14:paraId="510DCBDA">
            <w:pPr>
              <w:snapToGrid w:val="0"/>
              <w:spacing w:before="100" w:beforeAutospacing="1" w:after="100" w:afterAutospacing="1" w:line="320" w:lineRule="atLeast"/>
              <w:ind w:firstLine="2"/>
              <w:jc w:val="center"/>
              <w:rPr>
                <w:rFonts w:ascii="宋体" w:cs="宋体"/>
                <w:color w:val="auto"/>
                <w:kern w:val="0"/>
                <w:szCs w:val="21"/>
                <w:highlight w:val="none"/>
              </w:rPr>
            </w:pPr>
            <w:r>
              <w:rPr>
                <w:rFonts w:hint="eastAsia" w:ascii="宋体" w:cs="宋体"/>
                <w:color w:val="auto"/>
                <w:kern w:val="0"/>
                <w:szCs w:val="21"/>
                <w:highlight w:val="none"/>
              </w:rPr>
              <w:t>名 称</w:t>
            </w:r>
          </w:p>
        </w:tc>
        <w:tc>
          <w:tcPr>
            <w:tcW w:w="2902" w:type="dxa"/>
            <w:gridSpan w:val="3"/>
            <w:tcBorders>
              <w:top w:val="nil"/>
              <w:left w:val="nil"/>
              <w:bottom w:val="single" w:color="auto" w:sz="8" w:space="0"/>
              <w:right w:val="single" w:color="auto" w:sz="8" w:space="0"/>
            </w:tcBorders>
            <w:vAlign w:val="center"/>
          </w:tcPr>
          <w:p w14:paraId="38445E6A">
            <w:pPr>
              <w:snapToGrid w:val="0"/>
              <w:spacing w:before="100" w:beforeAutospacing="1" w:after="100" w:afterAutospacing="1" w:line="320" w:lineRule="atLeast"/>
              <w:ind w:firstLine="2"/>
              <w:jc w:val="center"/>
              <w:rPr>
                <w:rFonts w:ascii="宋体" w:cs="宋体"/>
                <w:color w:val="auto"/>
                <w:kern w:val="0"/>
                <w:szCs w:val="21"/>
                <w:highlight w:val="none"/>
              </w:rPr>
            </w:pPr>
            <w:r>
              <w:rPr>
                <w:rFonts w:hint="eastAsia" w:ascii="宋体" w:cs="宋体"/>
                <w:color w:val="auto"/>
                <w:kern w:val="0"/>
                <w:szCs w:val="21"/>
                <w:highlight w:val="none"/>
              </w:rPr>
              <w:t>货物型号规格、标准及配置等（或者服务内容、标准）</w:t>
            </w:r>
          </w:p>
        </w:tc>
        <w:tc>
          <w:tcPr>
            <w:tcW w:w="863" w:type="dxa"/>
            <w:gridSpan w:val="2"/>
            <w:tcBorders>
              <w:top w:val="nil"/>
              <w:left w:val="nil"/>
              <w:bottom w:val="single" w:color="auto" w:sz="8" w:space="0"/>
              <w:right w:val="single" w:color="auto" w:sz="8" w:space="0"/>
            </w:tcBorders>
            <w:vAlign w:val="center"/>
          </w:tcPr>
          <w:p w14:paraId="2184114F">
            <w:pPr>
              <w:snapToGrid w:val="0"/>
              <w:spacing w:before="100" w:beforeAutospacing="1" w:after="100" w:afterAutospacing="1" w:line="320" w:lineRule="atLeast"/>
              <w:jc w:val="center"/>
              <w:rPr>
                <w:rFonts w:ascii="宋体" w:cs="宋体"/>
                <w:color w:val="auto"/>
                <w:kern w:val="0"/>
                <w:szCs w:val="21"/>
                <w:highlight w:val="none"/>
              </w:rPr>
            </w:pPr>
            <w:r>
              <w:rPr>
                <w:rFonts w:hint="eastAsia" w:ascii="宋体" w:cs="宋体"/>
                <w:color w:val="auto"/>
                <w:kern w:val="0"/>
                <w:szCs w:val="21"/>
                <w:highlight w:val="none"/>
              </w:rPr>
              <w:t>数量</w:t>
            </w:r>
          </w:p>
        </w:tc>
        <w:tc>
          <w:tcPr>
            <w:tcW w:w="2354" w:type="dxa"/>
            <w:tcBorders>
              <w:top w:val="nil"/>
              <w:left w:val="nil"/>
              <w:bottom w:val="single" w:color="auto" w:sz="8" w:space="0"/>
              <w:right w:val="single" w:color="auto" w:sz="8" w:space="0"/>
            </w:tcBorders>
            <w:vAlign w:val="center"/>
          </w:tcPr>
          <w:p w14:paraId="534EFA85">
            <w:pPr>
              <w:snapToGrid w:val="0"/>
              <w:spacing w:before="100" w:beforeAutospacing="1" w:after="100" w:afterAutospacing="1" w:line="320" w:lineRule="atLeast"/>
              <w:ind w:firstLine="2"/>
              <w:jc w:val="center"/>
              <w:rPr>
                <w:rFonts w:ascii="宋体" w:cs="宋体"/>
                <w:color w:val="auto"/>
                <w:kern w:val="0"/>
                <w:szCs w:val="21"/>
                <w:highlight w:val="none"/>
              </w:rPr>
            </w:pPr>
            <w:r>
              <w:rPr>
                <w:rFonts w:hint="eastAsia" w:ascii="宋体" w:cs="宋体"/>
                <w:color w:val="auto"/>
                <w:kern w:val="0"/>
                <w:szCs w:val="21"/>
                <w:highlight w:val="none"/>
              </w:rPr>
              <w:t>金 额</w:t>
            </w:r>
          </w:p>
        </w:tc>
      </w:tr>
      <w:tr w14:paraId="250EE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3D614279">
            <w:pPr>
              <w:spacing w:before="100" w:beforeAutospacing="1" w:after="100" w:afterAutospacing="1" w:line="240" w:lineRule="atLeast"/>
              <w:jc w:val="center"/>
              <w:rPr>
                <w:rFonts w:ascii="宋体" w:cs="宋体"/>
                <w:color w:val="auto"/>
                <w:kern w:val="0"/>
                <w:szCs w:val="21"/>
                <w:highlight w:val="none"/>
              </w:rPr>
            </w:pPr>
          </w:p>
        </w:tc>
        <w:tc>
          <w:tcPr>
            <w:tcW w:w="1921" w:type="dxa"/>
            <w:tcBorders>
              <w:top w:val="nil"/>
              <w:left w:val="nil"/>
              <w:bottom w:val="single" w:color="auto" w:sz="8" w:space="0"/>
              <w:right w:val="single" w:color="auto" w:sz="8" w:space="0"/>
            </w:tcBorders>
            <w:vAlign w:val="center"/>
          </w:tcPr>
          <w:p w14:paraId="20869E10">
            <w:pPr>
              <w:spacing w:before="100" w:beforeAutospacing="1" w:after="100" w:afterAutospacing="1" w:line="240" w:lineRule="atLeast"/>
              <w:jc w:val="center"/>
              <w:rPr>
                <w:rFonts w:ascii="宋体"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3FC0201A">
            <w:pPr>
              <w:spacing w:before="100" w:beforeAutospacing="1" w:after="100" w:afterAutospacing="1" w:line="240" w:lineRule="atLeast"/>
              <w:jc w:val="center"/>
              <w:rPr>
                <w:rFonts w:ascii="宋体"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2DBD1505">
            <w:pPr>
              <w:spacing w:before="100" w:beforeAutospacing="1" w:after="100" w:afterAutospacing="1" w:line="240" w:lineRule="atLeast"/>
              <w:jc w:val="center"/>
              <w:rPr>
                <w:rFonts w:ascii="宋体"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005A4ED7">
            <w:pPr>
              <w:spacing w:before="100" w:beforeAutospacing="1" w:after="100" w:afterAutospacing="1" w:line="240" w:lineRule="atLeast"/>
              <w:jc w:val="center"/>
              <w:rPr>
                <w:rFonts w:ascii="宋体" w:cs="宋体"/>
                <w:color w:val="auto"/>
                <w:kern w:val="0"/>
                <w:szCs w:val="21"/>
                <w:highlight w:val="none"/>
              </w:rPr>
            </w:pPr>
          </w:p>
        </w:tc>
      </w:tr>
      <w:tr w14:paraId="7F563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5FC8B132">
            <w:pPr>
              <w:spacing w:before="100" w:beforeAutospacing="1" w:after="100" w:afterAutospacing="1" w:line="240" w:lineRule="atLeast"/>
              <w:jc w:val="center"/>
              <w:rPr>
                <w:rFonts w:ascii="宋体" w:cs="宋体"/>
                <w:color w:val="auto"/>
                <w:kern w:val="0"/>
                <w:szCs w:val="21"/>
                <w:highlight w:val="none"/>
              </w:rPr>
            </w:pPr>
          </w:p>
        </w:tc>
        <w:tc>
          <w:tcPr>
            <w:tcW w:w="1921" w:type="dxa"/>
            <w:tcBorders>
              <w:top w:val="nil"/>
              <w:left w:val="nil"/>
              <w:bottom w:val="single" w:color="auto" w:sz="8" w:space="0"/>
              <w:right w:val="single" w:color="auto" w:sz="8" w:space="0"/>
            </w:tcBorders>
            <w:vAlign w:val="center"/>
          </w:tcPr>
          <w:p w14:paraId="022F3C44">
            <w:pPr>
              <w:spacing w:before="100" w:beforeAutospacing="1" w:after="100" w:afterAutospacing="1" w:line="240" w:lineRule="atLeast"/>
              <w:jc w:val="center"/>
              <w:rPr>
                <w:rFonts w:ascii="宋体"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416EDA27">
            <w:pPr>
              <w:spacing w:before="100" w:beforeAutospacing="1" w:after="100" w:afterAutospacing="1" w:line="240" w:lineRule="atLeast"/>
              <w:jc w:val="center"/>
              <w:rPr>
                <w:rFonts w:ascii="宋体"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4C0B8D8A">
            <w:pPr>
              <w:spacing w:before="100" w:beforeAutospacing="1" w:after="100" w:afterAutospacing="1" w:line="240" w:lineRule="atLeast"/>
              <w:jc w:val="center"/>
              <w:rPr>
                <w:rFonts w:ascii="宋体"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24D60131">
            <w:pPr>
              <w:spacing w:before="100" w:beforeAutospacing="1" w:after="100" w:afterAutospacing="1" w:line="240" w:lineRule="atLeast"/>
              <w:jc w:val="center"/>
              <w:rPr>
                <w:rFonts w:ascii="宋体" w:cs="宋体"/>
                <w:color w:val="auto"/>
                <w:kern w:val="0"/>
                <w:szCs w:val="21"/>
                <w:highlight w:val="none"/>
              </w:rPr>
            </w:pPr>
          </w:p>
        </w:tc>
      </w:tr>
      <w:tr w14:paraId="0847A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150DEA08">
            <w:pPr>
              <w:spacing w:before="100" w:beforeAutospacing="1" w:after="100" w:afterAutospacing="1" w:line="240" w:lineRule="atLeast"/>
              <w:jc w:val="center"/>
              <w:rPr>
                <w:rFonts w:ascii="宋体" w:cs="宋体"/>
                <w:color w:val="auto"/>
                <w:kern w:val="0"/>
                <w:szCs w:val="21"/>
                <w:highlight w:val="none"/>
              </w:rPr>
            </w:pPr>
          </w:p>
        </w:tc>
        <w:tc>
          <w:tcPr>
            <w:tcW w:w="1921" w:type="dxa"/>
            <w:tcBorders>
              <w:top w:val="nil"/>
              <w:left w:val="nil"/>
              <w:bottom w:val="single" w:color="auto" w:sz="8" w:space="0"/>
              <w:right w:val="single" w:color="auto" w:sz="8" w:space="0"/>
            </w:tcBorders>
            <w:vAlign w:val="center"/>
          </w:tcPr>
          <w:p w14:paraId="0A8D7077">
            <w:pPr>
              <w:spacing w:before="100" w:beforeAutospacing="1" w:after="100" w:afterAutospacing="1" w:line="240" w:lineRule="atLeast"/>
              <w:jc w:val="center"/>
              <w:rPr>
                <w:rFonts w:ascii="宋体"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082E912A">
            <w:pPr>
              <w:spacing w:before="100" w:beforeAutospacing="1" w:after="100" w:afterAutospacing="1" w:line="240" w:lineRule="atLeast"/>
              <w:jc w:val="center"/>
              <w:rPr>
                <w:rFonts w:ascii="宋体"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009B5101">
            <w:pPr>
              <w:spacing w:before="100" w:beforeAutospacing="1" w:after="100" w:afterAutospacing="1" w:line="240" w:lineRule="atLeast"/>
              <w:jc w:val="center"/>
              <w:rPr>
                <w:rFonts w:ascii="宋体"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5736144D">
            <w:pPr>
              <w:spacing w:before="100" w:beforeAutospacing="1" w:after="100" w:afterAutospacing="1" w:line="240" w:lineRule="atLeast"/>
              <w:jc w:val="center"/>
              <w:rPr>
                <w:rFonts w:ascii="宋体" w:cs="宋体"/>
                <w:color w:val="auto"/>
                <w:kern w:val="0"/>
                <w:szCs w:val="21"/>
                <w:highlight w:val="none"/>
              </w:rPr>
            </w:pPr>
          </w:p>
        </w:tc>
      </w:tr>
      <w:tr w14:paraId="586F3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7" w:hRule="atLeast"/>
          <w:jc w:val="center"/>
        </w:trPr>
        <w:tc>
          <w:tcPr>
            <w:tcW w:w="6154" w:type="dxa"/>
            <w:gridSpan w:val="5"/>
            <w:tcBorders>
              <w:top w:val="nil"/>
              <w:left w:val="single" w:color="auto" w:sz="8" w:space="0"/>
              <w:bottom w:val="single" w:color="auto" w:sz="8" w:space="0"/>
              <w:right w:val="single" w:color="auto" w:sz="8" w:space="0"/>
            </w:tcBorders>
            <w:vAlign w:val="center"/>
          </w:tcPr>
          <w:p w14:paraId="7409B296">
            <w:pPr>
              <w:snapToGrid w:val="0"/>
              <w:spacing w:before="100" w:beforeAutospacing="1" w:after="100" w:afterAutospacing="1" w:line="320" w:lineRule="atLeast"/>
              <w:ind w:firstLine="5"/>
              <w:jc w:val="center"/>
              <w:rPr>
                <w:rFonts w:ascii="宋体" w:cs="宋体"/>
                <w:color w:val="auto"/>
                <w:kern w:val="0"/>
                <w:szCs w:val="21"/>
                <w:highlight w:val="none"/>
              </w:rPr>
            </w:pPr>
            <w:r>
              <w:rPr>
                <w:rFonts w:hint="eastAsia" w:ascii="宋体" w:cs="宋体"/>
                <w:color w:val="auto"/>
                <w:kern w:val="0"/>
                <w:szCs w:val="21"/>
                <w:highlight w:val="none"/>
              </w:rPr>
              <w:t>合 计</w:t>
            </w:r>
          </w:p>
        </w:tc>
        <w:tc>
          <w:tcPr>
            <w:tcW w:w="863" w:type="dxa"/>
            <w:gridSpan w:val="2"/>
            <w:tcBorders>
              <w:top w:val="nil"/>
              <w:left w:val="nil"/>
              <w:bottom w:val="single" w:color="auto" w:sz="8" w:space="0"/>
              <w:right w:val="single" w:color="auto" w:sz="8" w:space="0"/>
            </w:tcBorders>
            <w:vAlign w:val="center"/>
          </w:tcPr>
          <w:p w14:paraId="1E2D5381">
            <w:pPr>
              <w:spacing w:before="100" w:beforeAutospacing="1" w:after="100" w:afterAutospacing="1" w:line="240" w:lineRule="atLeast"/>
              <w:jc w:val="center"/>
              <w:rPr>
                <w:rFonts w:ascii="宋体"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12A715F9">
            <w:pPr>
              <w:spacing w:before="100" w:beforeAutospacing="1" w:after="100" w:afterAutospacing="1" w:line="240" w:lineRule="atLeast"/>
              <w:jc w:val="center"/>
              <w:rPr>
                <w:rFonts w:ascii="宋体" w:cs="宋体"/>
                <w:color w:val="auto"/>
                <w:kern w:val="0"/>
                <w:szCs w:val="21"/>
                <w:highlight w:val="none"/>
              </w:rPr>
            </w:pPr>
          </w:p>
        </w:tc>
      </w:tr>
      <w:tr w14:paraId="586EE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1" w:hRule="atLeast"/>
          <w:jc w:val="center"/>
        </w:trPr>
        <w:tc>
          <w:tcPr>
            <w:tcW w:w="9371" w:type="dxa"/>
            <w:gridSpan w:val="8"/>
            <w:tcBorders>
              <w:top w:val="nil"/>
              <w:left w:val="single" w:color="auto" w:sz="8" w:space="0"/>
              <w:bottom w:val="single" w:color="auto" w:sz="8" w:space="0"/>
              <w:right w:val="single" w:color="auto" w:sz="8" w:space="0"/>
            </w:tcBorders>
            <w:vAlign w:val="center"/>
          </w:tcPr>
          <w:p w14:paraId="66AE77A6">
            <w:pPr>
              <w:snapToGrid w:val="0"/>
              <w:spacing w:before="100" w:beforeAutospacing="1" w:after="100" w:afterAutospacing="1" w:line="320" w:lineRule="atLeast"/>
              <w:ind w:firstLine="2"/>
              <w:jc w:val="left"/>
              <w:rPr>
                <w:rFonts w:ascii="宋体" w:cs="宋体"/>
                <w:color w:val="auto"/>
                <w:kern w:val="0"/>
                <w:szCs w:val="21"/>
                <w:highlight w:val="none"/>
              </w:rPr>
            </w:pPr>
            <w:r>
              <w:rPr>
                <w:rFonts w:hint="eastAsia" w:ascii="宋体" w:cs="宋体"/>
                <w:color w:val="auto"/>
                <w:kern w:val="0"/>
                <w:szCs w:val="21"/>
                <w:highlight w:val="none"/>
              </w:rPr>
              <w:t>合计大写金额： 亿 仟 佰 拾 万 仟 佰 拾 元</w:t>
            </w:r>
          </w:p>
        </w:tc>
      </w:tr>
      <w:tr w14:paraId="1F704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1" w:hRule="atLeast"/>
          <w:jc w:val="center"/>
        </w:trPr>
        <w:tc>
          <w:tcPr>
            <w:tcW w:w="1331" w:type="dxa"/>
            <w:tcBorders>
              <w:top w:val="nil"/>
              <w:left w:val="single" w:color="auto" w:sz="8" w:space="0"/>
              <w:bottom w:val="single" w:color="auto" w:sz="8" w:space="0"/>
              <w:right w:val="single" w:color="auto" w:sz="8" w:space="0"/>
            </w:tcBorders>
            <w:vAlign w:val="center"/>
          </w:tcPr>
          <w:p w14:paraId="3DBCB2F2">
            <w:pPr>
              <w:snapToGrid w:val="0"/>
              <w:spacing w:before="100" w:beforeAutospacing="1" w:after="100" w:afterAutospacing="1" w:line="320" w:lineRule="atLeast"/>
              <w:ind w:firstLine="2"/>
              <w:jc w:val="center"/>
              <w:rPr>
                <w:rFonts w:ascii="宋体" w:cs="宋体"/>
                <w:color w:val="auto"/>
                <w:kern w:val="0"/>
                <w:szCs w:val="21"/>
                <w:highlight w:val="none"/>
              </w:rPr>
            </w:pPr>
            <w:r>
              <w:rPr>
                <w:rFonts w:hint="eastAsia" w:ascii="宋体" w:cs="宋体"/>
                <w:color w:val="auto"/>
                <w:kern w:val="0"/>
                <w:szCs w:val="21"/>
                <w:highlight w:val="none"/>
              </w:rPr>
              <w:t>实际供货日期</w:t>
            </w:r>
          </w:p>
        </w:tc>
        <w:tc>
          <w:tcPr>
            <w:tcW w:w="2719" w:type="dxa"/>
            <w:gridSpan w:val="2"/>
            <w:tcBorders>
              <w:top w:val="nil"/>
              <w:left w:val="nil"/>
              <w:bottom w:val="single" w:color="auto" w:sz="8" w:space="0"/>
              <w:right w:val="single" w:color="auto" w:sz="8" w:space="0"/>
            </w:tcBorders>
            <w:vAlign w:val="center"/>
          </w:tcPr>
          <w:p w14:paraId="403B2572">
            <w:pPr>
              <w:spacing w:before="100" w:beforeAutospacing="1" w:after="100" w:afterAutospacing="1" w:line="240" w:lineRule="atLeast"/>
              <w:jc w:val="center"/>
              <w:rPr>
                <w:rFonts w:ascii="宋体" w:cs="宋体"/>
                <w:color w:val="auto"/>
                <w:kern w:val="0"/>
                <w:szCs w:val="21"/>
                <w:highlight w:val="none"/>
              </w:rPr>
            </w:pPr>
          </w:p>
        </w:tc>
        <w:tc>
          <w:tcPr>
            <w:tcW w:w="2282" w:type="dxa"/>
            <w:gridSpan w:val="3"/>
            <w:tcBorders>
              <w:top w:val="nil"/>
              <w:left w:val="nil"/>
              <w:bottom w:val="single" w:color="auto" w:sz="8" w:space="0"/>
              <w:right w:val="single" w:color="auto" w:sz="8" w:space="0"/>
            </w:tcBorders>
            <w:vAlign w:val="center"/>
          </w:tcPr>
          <w:p w14:paraId="5F5179DB">
            <w:pPr>
              <w:snapToGrid w:val="0"/>
              <w:spacing w:before="100" w:beforeAutospacing="1" w:after="100" w:afterAutospacing="1" w:line="320" w:lineRule="atLeast"/>
              <w:ind w:firstLine="46"/>
              <w:jc w:val="center"/>
              <w:rPr>
                <w:rFonts w:ascii="宋体" w:cs="宋体"/>
                <w:color w:val="auto"/>
                <w:kern w:val="0"/>
                <w:szCs w:val="21"/>
                <w:highlight w:val="none"/>
              </w:rPr>
            </w:pPr>
            <w:r>
              <w:rPr>
                <w:rFonts w:hint="eastAsia" w:ascii="宋体" w:cs="宋体"/>
                <w:color w:val="auto"/>
                <w:kern w:val="0"/>
                <w:szCs w:val="21"/>
                <w:highlight w:val="none"/>
              </w:rPr>
              <w:t>合同交货验收日期</w:t>
            </w:r>
          </w:p>
        </w:tc>
        <w:tc>
          <w:tcPr>
            <w:tcW w:w="3039" w:type="dxa"/>
            <w:gridSpan w:val="2"/>
            <w:tcBorders>
              <w:top w:val="nil"/>
              <w:left w:val="nil"/>
              <w:bottom w:val="single" w:color="auto" w:sz="8" w:space="0"/>
              <w:right w:val="single" w:color="auto" w:sz="8" w:space="0"/>
            </w:tcBorders>
            <w:vAlign w:val="center"/>
          </w:tcPr>
          <w:p w14:paraId="06B167D8">
            <w:pPr>
              <w:spacing w:before="100" w:beforeAutospacing="1" w:after="100" w:afterAutospacing="1" w:line="240" w:lineRule="atLeast"/>
              <w:jc w:val="center"/>
              <w:rPr>
                <w:rFonts w:ascii="宋体" w:cs="宋体"/>
                <w:color w:val="auto"/>
                <w:kern w:val="0"/>
                <w:szCs w:val="21"/>
                <w:highlight w:val="none"/>
              </w:rPr>
            </w:pPr>
          </w:p>
        </w:tc>
      </w:tr>
      <w:tr w14:paraId="58252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4" w:hRule="atLeast"/>
          <w:jc w:val="center"/>
        </w:trPr>
        <w:tc>
          <w:tcPr>
            <w:tcW w:w="1331" w:type="dxa"/>
            <w:tcBorders>
              <w:top w:val="nil"/>
              <w:left w:val="single" w:color="auto" w:sz="8" w:space="0"/>
              <w:bottom w:val="single" w:color="auto" w:sz="8" w:space="0"/>
              <w:right w:val="single" w:color="auto" w:sz="8" w:space="0"/>
            </w:tcBorders>
            <w:vAlign w:val="center"/>
          </w:tcPr>
          <w:p w14:paraId="49E0115D">
            <w:pPr>
              <w:spacing w:before="100" w:beforeAutospacing="1" w:after="100" w:afterAutospacing="1" w:line="240" w:lineRule="atLeast"/>
              <w:jc w:val="center"/>
              <w:rPr>
                <w:rFonts w:ascii="宋体" w:cs="宋体"/>
                <w:color w:val="auto"/>
                <w:kern w:val="0"/>
                <w:szCs w:val="21"/>
                <w:highlight w:val="none"/>
              </w:rPr>
            </w:pPr>
          </w:p>
        </w:tc>
        <w:tc>
          <w:tcPr>
            <w:tcW w:w="2719" w:type="dxa"/>
            <w:gridSpan w:val="2"/>
            <w:tcBorders>
              <w:top w:val="nil"/>
              <w:left w:val="nil"/>
              <w:bottom w:val="single" w:color="auto" w:sz="8" w:space="0"/>
              <w:right w:val="single" w:color="auto" w:sz="8" w:space="0"/>
            </w:tcBorders>
            <w:vAlign w:val="center"/>
          </w:tcPr>
          <w:p w14:paraId="791C4805">
            <w:pPr>
              <w:spacing w:before="100" w:beforeAutospacing="1" w:after="100" w:afterAutospacing="1" w:line="240" w:lineRule="atLeast"/>
              <w:jc w:val="center"/>
              <w:rPr>
                <w:rFonts w:ascii="宋体" w:cs="宋体"/>
                <w:color w:val="auto"/>
                <w:kern w:val="0"/>
                <w:szCs w:val="21"/>
                <w:highlight w:val="none"/>
              </w:rPr>
            </w:pPr>
          </w:p>
        </w:tc>
        <w:tc>
          <w:tcPr>
            <w:tcW w:w="2282" w:type="dxa"/>
            <w:gridSpan w:val="3"/>
            <w:tcBorders>
              <w:top w:val="nil"/>
              <w:left w:val="nil"/>
              <w:bottom w:val="single" w:color="auto" w:sz="8" w:space="0"/>
              <w:right w:val="single" w:color="auto" w:sz="8" w:space="0"/>
            </w:tcBorders>
            <w:vAlign w:val="center"/>
          </w:tcPr>
          <w:p w14:paraId="1D61EF0C">
            <w:pPr>
              <w:spacing w:before="100" w:beforeAutospacing="1" w:after="100" w:afterAutospacing="1" w:line="240" w:lineRule="atLeast"/>
              <w:jc w:val="center"/>
              <w:rPr>
                <w:rFonts w:ascii="宋体" w:cs="宋体"/>
                <w:color w:val="auto"/>
                <w:kern w:val="0"/>
                <w:szCs w:val="21"/>
                <w:highlight w:val="none"/>
              </w:rPr>
            </w:pPr>
          </w:p>
        </w:tc>
        <w:tc>
          <w:tcPr>
            <w:tcW w:w="3039" w:type="dxa"/>
            <w:gridSpan w:val="2"/>
            <w:tcBorders>
              <w:top w:val="nil"/>
              <w:left w:val="nil"/>
              <w:bottom w:val="single" w:color="auto" w:sz="8" w:space="0"/>
              <w:right w:val="single" w:color="auto" w:sz="8" w:space="0"/>
            </w:tcBorders>
            <w:vAlign w:val="center"/>
          </w:tcPr>
          <w:p w14:paraId="3EF2905D">
            <w:pPr>
              <w:spacing w:before="100" w:beforeAutospacing="1" w:after="100" w:afterAutospacing="1" w:line="240" w:lineRule="atLeast"/>
              <w:jc w:val="center"/>
              <w:rPr>
                <w:rFonts w:ascii="宋体" w:cs="宋体"/>
                <w:color w:val="auto"/>
                <w:kern w:val="0"/>
                <w:szCs w:val="21"/>
                <w:highlight w:val="none"/>
              </w:rPr>
            </w:pPr>
          </w:p>
        </w:tc>
      </w:tr>
      <w:tr w14:paraId="3F685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3" w:hRule="atLeast"/>
          <w:jc w:val="center"/>
        </w:trPr>
        <w:tc>
          <w:tcPr>
            <w:tcW w:w="1331" w:type="dxa"/>
            <w:tcBorders>
              <w:top w:val="nil"/>
              <w:left w:val="single" w:color="auto" w:sz="8" w:space="0"/>
              <w:bottom w:val="single" w:color="auto" w:sz="8" w:space="0"/>
              <w:right w:val="single" w:color="auto" w:sz="8" w:space="0"/>
            </w:tcBorders>
            <w:tcMar>
              <w:left w:w="108" w:type="dxa"/>
              <w:right w:w="108" w:type="dxa"/>
            </w:tcMar>
            <w:vAlign w:val="center"/>
          </w:tcPr>
          <w:p w14:paraId="21BB0763">
            <w:pPr>
              <w:snapToGrid w:val="0"/>
              <w:spacing w:before="100" w:beforeAutospacing="1" w:after="100" w:afterAutospacing="1" w:line="320" w:lineRule="atLeast"/>
              <w:jc w:val="left"/>
              <w:rPr>
                <w:rFonts w:ascii="宋体" w:cs="宋体"/>
                <w:color w:val="auto"/>
                <w:kern w:val="0"/>
                <w:szCs w:val="21"/>
                <w:highlight w:val="none"/>
              </w:rPr>
            </w:pPr>
            <w:r>
              <w:rPr>
                <w:rFonts w:hint="eastAsia" w:ascii="宋体" w:cs="宋体"/>
                <w:color w:val="auto"/>
                <w:kern w:val="0"/>
                <w:szCs w:val="21"/>
                <w:highlight w:val="none"/>
              </w:rPr>
              <w:t>验收具体内容</w:t>
            </w:r>
          </w:p>
        </w:tc>
        <w:tc>
          <w:tcPr>
            <w:tcW w:w="8040" w:type="dxa"/>
            <w:gridSpan w:val="7"/>
            <w:tcBorders>
              <w:top w:val="nil"/>
              <w:left w:val="nil"/>
              <w:bottom w:val="single" w:color="auto" w:sz="8" w:space="0"/>
              <w:right w:val="single" w:color="auto" w:sz="8" w:space="0"/>
            </w:tcBorders>
            <w:tcMar>
              <w:left w:w="108" w:type="dxa"/>
              <w:right w:w="108" w:type="dxa"/>
            </w:tcMar>
            <w:vAlign w:val="center"/>
          </w:tcPr>
          <w:p w14:paraId="75A0416F">
            <w:pPr>
              <w:snapToGrid w:val="0"/>
              <w:spacing w:before="100" w:beforeAutospacing="1" w:after="100" w:afterAutospacing="1" w:line="320" w:lineRule="atLeast"/>
              <w:jc w:val="left"/>
              <w:rPr>
                <w:rFonts w:ascii="宋体" w:cs="宋体"/>
                <w:color w:val="auto"/>
                <w:kern w:val="0"/>
                <w:szCs w:val="21"/>
                <w:highlight w:val="none"/>
              </w:rPr>
            </w:pPr>
            <w:r>
              <w:rPr>
                <w:rFonts w:hint="eastAsia" w:ascii="宋体" w:cs="宋体"/>
                <w:color w:val="auto"/>
                <w:kern w:val="0"/>
                <w:szCs w:val="21"/>
                <w:highlight w:val="none"/>
              </w:rPr>
              <w:t>（应按采购合同、采购文件、投标文件及验收方案等进行验收；并核对中标或者成交投标人在安装调试等方面是否违反合同约定或者服务规范要求、提供的质量保证证明材料是否齐全、应有的配件及附件是否达到合同约定等。</w:t>
            </w:r>
            <w:r>
              <w:rPr>
                <w:rFonts w:hint="eastAsia" w:ascii="宋体" w:cs="宋体"/>
                <w:color w:val="auto"/>
                <w:kern w:val="0"/>
                <w:szCs w:val="21"/>
                <w:highlight w:val="none"/>
                <w:lang w:val="en-US" w:eastAsia="zh-CN"/>
              </w:rPr>
              <w:t>见</w:t>
            </w:r>
            <w:r>
              <w:rPr>
                <w:rFonts w:hint="eastAsia" w:ascii="宋体" w:cs="宋体"/>
                <w:color w:val="auto"/>
                <w:kern w:val="0"/>
                <w:szCs w:val="21"/>
                <w:highlight w:val="none"/>
              </w:rPr>
              <w:t>附件)</w:t>
            </w:r>
          </w:p>
        </w:tc>
      </w:tr>
      <w:tr w14:paraId="1BA60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81" w:hRule="atLeast"/>
          <w:jc w:val="center"/>
        </w:trPr>
        <w:tc>
          <w:tcPr>
            <w:tcW w:w="1331" w:type="dxa"/>
            <w:vMerge w:val="restart"/>
            <w:tcBorders>
              <w:top w:val="nil"/>
              <w:left w:val="single" w:color="auto" w:sz="8" w:space="0"/>
              <w:bottom w:val="single" w:color="auto" w:sz="8" w:space="0"/>
              <w:right w:val="single" w:color="auto" w:sz="8" w:space="0"/>
            </w:tcBorders>
            <w:tcMar>
              <w:left w:w="108" w:type="dxa"/>
              <w:right w:w="108" w:type="dxa"/>
            </w:tcMar>
            <w:vAlign w:val="center"/>
          </w:tcPr>
          <w:p w14:paraId="1D8FB3FB">
            <w:pPr>
              <w:spacing w:before="100" w:beforeAutospacing="1" w:after="100" w:afterAutospacing="1" w:line="320" w:lineRule="atLeast"/>
              <w:jc w:val="left"/>
              <w:rPr>
                <w:rFonts w:ascii="宋体" w:cs="宋体"/>
                <w:color w:val="auto"/>
                <w:kern w:val="0"/>
                <w:szCs w:val="21"/>
                <w:highlight w:val="none"/>
              </w:rPr>
            </w:pPr>
            <w:r>
              <w:rPr>
                <w:rFonts w:hint="eastAsia" w:ascii="宋体" w:cs="宋体"/>
                <w:color w:val="auto"/>
                <w:kern w:val="0"/>
                <w:szCs w:val="21"/>
                <w:highlight w:val="none"/>
              </w:rPr>
              <w:t>验收小组意见</w:t>
            </w:r>
          </w:p>
        </w:tc>
        <w:tc>
          <w:tcPr>
            <w:tcW w:w="8040" w:type="dxa"/>
            <w:gridSpan w:val="7"/>
            <w:tcBorders>
              <w:top w:val="nil"/>
              <w:left w:val="nil"/>
              <w:bottom w:val="single" w:color="auto" w:sz="8" w:space="0"/>
              <w:right w:val="single" w:color="auto" w:sz="8" w:space="0"/>
            </w:tcBorders>
            <w:vAlign w:val="center"/>
          </w:tcPr>
          <w:p w14:paraId="230C5C33">
            <w:pPr>
              <w:spacing w:before="100" w:beforeAutospacing="1" w:after="100" w:afterAutospacing="1" w:line="320" w:lineRule="atLeast"/>
              <w:jc w:val="left"/>
              <w:rPr>
                <w:rFonts w:ascii="宋体" w:cs="宋体"/>
                <w:color w:val="auto"/>
                <w:kern w:val="0"/>
                <w:szCs w:val="21"/>
                <w:highlight w:val="none"/>
              </w:rPr>
            </w:pPr>
            <w:r>
              <w:rPr>
                <w:rFonts w:hint="eastAsia" w:ascii="宋体" w:cs="宋体"/>
                <w:color w:val="auto"/>
                <w:kern w:val="0"/>
                <w:szCs w:val="21"/>
                <w:highlight w:val="none"/>
              </w:rPr>
              <w:t>验收结论性意见：</w:t>
            </w:r>
          </w:p>
        </w:tc>
      </w:tr>
      <w:tr w14:paraId="3B093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7" w:hRule="atLeast"/>
          <w:jc w:val="center"/>
        </w:trPr>
        <w:tc>
          <w:tcPr>
            <w:tcW w:w="1331" w:type="dxa"/>
            <w:vMerge w:val="continue"/>
            <w:tcBorders>
              <w:top w:val="nil"/>
              <w:left w:val="single" w:color="auto" w:sz="8" w:space="0"/>
              <w:bottom w:val="single" w:color="auto" w:sz="8" w:space="0"/>
              <w:right w:val="single" w:color="auto" w:sz="8" w:space="0"/>
            </w:tcBorders>
            <w:vAlign w:val="center"/>
          </w:tcPr>
          <w:p w14:paraId="7332C4DD"/>
        </w:tc>
        <w:tc>
          <w:tcPr>
            <w:tcW w:w="8040" w:type="dxa"/>
            <w:gridSpan w:val="7"/>
            <w:tcBorders>
              <w:top w:val="nil"/>
              <w:left w:val="nil"/>
              <w:bottom w:val="single" w:color="auto" w:sz="8" w:space="0"/>
              <w:right w:val="single" w:color="auto" w:sz="8" w:space="0"/>
            </w:tcBorders>
            <w:vAlign w:val="center"/>
          </w:tcPr>
          <w:p w14:paraId="25E33766">
            <w:pPr>
              <w:spacing w:before="100" w:beforeAutospacing="1" w:after="100" w:afterAutospacing="1" w:line="320" w:lineRule="atLeast"/>
              <w:ind w:firstLine="96"/>
              <w:jc w:val="left"/>
              <w:rPr>
                <w:rFonts w:ascii="宋体" w:cs="宋体"/>
                <w:color w:val="auto"/>
                <w:kern w:val="0"/>
                <w:szCs w:val="21"/>
                <w:highlight w:val="none"/>
              </w:rPr>
            </w:pPr>
            <w:r>
              <w:rPr>
                <w:rFonts w:hint="eastAsia" w:ascii="宋体" w:cs="宋体"/>
                <w:color w:val="auto"/>
                <w:kern w:val="0"/>
                <w:szCs w:val="21"/>
                <w:highlight w:val="none"/>
              </w:rPr>
              <w:t>有异议的意见和说明理由：</w:t>
            </w:r>
          </w:p>
          <w:p w14:paraId="6FE37FF0">
            <w:pPr>
              <w:spacing w:before="100" w:beforeAutospacing="1" w:after="100" w:afterAutospacing="1" w:line="320" w:lineRule="atLeast"/>
              <w:jc w:val="left"/>
              <w:rPr>
                <w:rFonts w:ascii="宋体" w:cs="宋体"/>
                <w:color w:val="auto"/>
                <w:kern w:val="0"/>
                <w:szCs w:val="21"/>
                <w:highlight w:val="none"/>
              </w:rPr>
            </w:pPr>
            <w:r>
              <w:rPr>
                <w:rFonts w:hint="eastAsia" w:ascii="宋体" w:cs="宋体"/>
                <w:color w:val="auto"/>
                <w:kern w:val="0"/>
                <w:szCs w:val="21"/>
                <w:highlight w:val="none"/>
              </w:rPr>
              <w:t>签字：</w:t>
            </w:r>
          </w:p>
        </w:tc>
      </w:tr>
      <w:tr w14:paraId="75A91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7" w:hRule="atLeast"/>
          <w:jc w:val="center"/>
        </w:trPr>
        <w:tc>
          <w:tcPr>
            <w:tcW w:w="9371" w:type="dxa"/>
            <w:gridSpan w:val="8"/>
            <w:tcBorders>
              <w:top w:val="nil"/>
              <w:left w:val="single" w:color="auto" w:sz="8" w:space="0"/>
              <w:bottom w:val="single" w:color="auto" w:sz="8" w:space="0"/>
              <w:right w:val="single" w:color="auto" w:sz="8" w:space="0"/>
            </w:tcBorders>
            <w:tcMar>
              <w:left w:w="108" w:type="dxa"/>
              <w:right w:w="108" w:type="dxa"/>
            </w:tcMar>
            <w:vAlign w:val="center"/>
          </w:tcPr>
          <w:p w14:paraId="04DC6B1C">
            <w:pPr>
              <w:spacing w:before="100" w:beforeAutospacing="1" w:after="100" w:afterAutospacing="1" w:line="320" w:lineRule="atLeast"/>
              <w:jc w:val="left"/>
              <w:rPr>
                <w:rFonts w:ascii="宋体" w:cs="宋体"/>
                <w:color w:val="auto"/>
                <w:kern w:val="0"/>
                <w:szCs w:val="21"/>
                <w:highlight w:val="none"/>
              </w:rPr>
            </w:pPr>
            <w:r>
              <w:rPr>
                <w:rFonts w:hint="eastAsia" w:ascii="宋体" w:cs="宋体"/>
                <w:color w:val="auto"/>
                <w:kern w:val="0"/>
                <w:szCs w:val="21"/>
                <w:highlight w:val="none"/>
              </w:rPr>
              <w:t>验收小组成员签字：</w:t>
            </w:r>
          </w:p>
        </w:tc>
      </w:tr>
      <w:tr w14:paraId="4ED24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6" w:hRule="atLeast"/>
          <w:jc w:val="center"/>
        </w:trPr>
        <w:tc>
          <w:tcPr>
            <w:tcW w:w="9371" w:type="dxa"/>
            <w:gridSpan w:val="8"/>
            <w:tcBorders>
              <w:top w:val="nil"/>
              <w:left w:val="single" w:color="auto" w:sz="8" w:space="0"/>
              <w:bottom w:val="single" w:color="auto" w:sz="8" w:space="0"/>
              <w:right w:val="single" w:color="auto" w:sz="8" w:space="0"/>
            </w:tcBorders>
            <w:tcMar>
              <w:left w:w="108" w:type="dxa"/>
              <w:right w:w="108" w:type="dxa"/>
            </w:tcMar>
            <w:vAlign w:val="center"/>
          </w:tcPr>
          <w:p w14:paraId="49B18029">
            <w:pPr>
              <w:spacing w:before="100" w:beforeAutospacing="1" w:after="100" w:afterAutospacing="1" w:line="320" w:lineRule="atLeast"/>
              <w:jc w:val="left"/>
              <w:rPr>
                <w:rFonts w:ascii="宋体" w:cs="宋体"/>
                <w:color w:val="auto"/>
                <w:kern w:val="0"/>
                <w:szCs w:val="21"/>
                <w:highlight w:val="none"/>
              </w:rPr>
            </w:pPr>
            <w:r>
              <w:rPr>
                <w:rFonts w:hint="eastAsia" w:ascii="宋体" w:cs="宋体"/>
                <w:color w:val="auto"/>
                <w:kern w:val="0"/>
                <w:szCs w:val="21"/>
                <w:highlight w:val="none"/>
              </w:rPr>
              <w:t>监督人员或者其他相关人员签字：</w:t>
            </w:r>
          </w:p>
          <w:p w14:paraId="5BBF40A9">
            <w:pPr>
              <w:spacing w:before="100" w:beforeAutospacing="1" w:after="100" w:afterAutospacing="1" w:line="320" w:lineRule="atLeast"/>
              <w:ind w:firstLine="74"/>
              <w:jc w:val="left"/>
              <w:rPr>
                <w:rFonts w:ascii="宋体" w:cs="宋体"/>
                <w:color w:val="auto"/>
                <w:kern w:val="0"/>
                <w:szCs w:val="21"/>
                <w:highlight w:val="none"/>
              </w:rPr>
            </w:pPr>
            <w:r>
              <w:rPr>
                <w:rFonts w:hint="eastAsia" w:ascii="宋体" w:cs="宋体"/>
                <w:color w:val="auto"/>
                <w:kern w:val="0"/>
                <w:szCs w:val="21"/>
                <w:highlight w:val="none"/>
              </w:rPr>
              <w:t>或者受邀机构的意见（盖章）：</w:t>
            </w:r>
          </w:p>
        </w:tc>
      </w:tr>
      <w:tr w14:paraId="58A83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8" w:hRule="atLeast"/>
          <w:jc w:val="center"/>
        </w:trPr>
        <w:tc>
          <w:tcPr>
            <w:tcW w:w="4152" w:type="dxa"/>
            <w:gridSpan w:val="4"/>
            <w:tcBorders>
              <w:top w:val="nil"/>
              <w:left w:val="single" w:color="auto" w:sz="8" w:space="0"/>
              <w:bottom w:val="single" w:color="auto" w:sz="8" w:space="0"/>
              <w:right w:val="single" w:color="auto" w:sz="4" w:space="0"/>
            </w:tcBorders>
            <w:tcMar>
              <w:left w:w="108" w:type="dxa"/>
              <w:right w:w="108" w:type="dxa"/>
            </w:tcMar>
            <w:vAlign w:val="center"/>
          </w:tcPr>
          <w:p w14:paraId="1181FD21">
            <w:pPr>
              <w:spacing w:before="100" w:beforeAutospacing="1" w:after="100" w:afterAutospacing="1" w:line="320" w:lineRule="atLeast"/>
              <w:ind w:firstLine="74"/>
              <w:jc w:val="left"/>
              <w:rPr>
                <w:rFonts w:ascii="宋体" w:cs="宋体"/>
                <w:color w:val="auto"/>
                <w:kern w:val="0"/>
                <w:szCs w:val="21"/>
                <w:highlight w:val="none"/>
              </w:rPr>
            </w:pPr>
            <w:r>
              <w:rPr>
                <w:rFonts w:hint="eastAsia" w:ascii="宋体" w:cs="宋体"/>
                <w:color w:val="auto"/>
                <w:kern w:val="0"/>
                <w:szCs w:val="21"/>
                <w:highlight w:val="none"/>
              </w:rPr>
              <w:t>中标或者成交人负责人签字或者盖章：</w:t>
            </w:r>
          </w:p>
          <w:p w14:paraId="044E74CA">
            <w:pPr>
              <w:spacing w:before="100" w:beforeAutospacing="1" w:after="100" w:afterAutospacing="1" w:line="320" w:lineRule="atLeast"/>
              <w:jc w:val="left"/>
              <w:rPr>
                <w:rFonts w:ascii="宋体" w:cs="宋体"/>
                <w:color w:val="auto"/>
                <w:kern w:val="0"/>
                <w:szCs w:val="21"/>
                <w:highlight w:val="none"/>
              </w:rPr>
            </w:pPr>
            <w:r>
              <w:rPr>
                <w:rFonts w:hint="eastAsia" w:ascii="宋体" w:cs="宋体"/>
                <w:color w:val="auto"/>
                <w:kern w:val="0"/>
                <w:szCs w:val="21"/>
                <w:highlight w:val="none"/>
              </w:rPr>
              <w:t xml:space="preserve">联系电话： </w:t>
            </w:r>
          </w:p>
          <w:p w14:paraId="289EBA9A">
            <w:pPr>
              <w:spacing w:before="100" w:beforeAutospacing="1" w:after="100" w:afterAutospacing="1" w:line="320" w:lineRule="atLeast"/>
              <w:ind w:firstLine="2940" w:firstLineChars="1400"/>
              <w:jc w:val="left"/>
              <w:rPr>
                <w:rFonts w:ascii="宋体" w:cs="宋体"/>
                <w:color w:val="auto"/>
                <w:kern w:val="0"/>
                <w:szCs w:val="21"/>
                <w:highlight w:val="none"/>
              </w:rPr>
            </w:pPr>
            <w:r>
              <w:rPr>
                <w:rFonts w:hint="eastAsia" w:ascii="宋体" w:cs="宋体"/>
                <w:color w:val="auto"/>
                <w:kern w:val="0"/>
                <w:szCs w:val="21"/>
                <w:highlight w:val="none"/>
              </w:rPr>
              <w:t>年 月 日</w:t>
            </w:r>
          </w:p>
        </w:tc>
        <w:tc>
          <w:tcPr>
            <w:tcW w:w="5219" w:type="dxa"/>
            <w:gridSpan w:val="4"/>
            <w:tcBorders>
              <w:top w:val="nil"/>
              <w:left w:val="single" w:color="auto" w:sz="4" w:space="0"/>
              <w:bottom w:val="single" w:color="auto" w:sz="8" w:space="0"/>
              <w:right w:val="single" w:color="auto" w:sz="8" w:space="0"/>
            </w:tcBorders>
            <w:vAlign w:val="center"/>
          </w:tcPr>
          <w:p w14:paraId="6B914C78">
            <w:pPr>
              <w:spacing w:before="100" w:beforeAutospacing="1" w:after="100" w:afterAutospacing="1" w:line="320" w:lineRule="atLeast"/>
              <w:jc w:val="left"/>
              <w:rPr>
                <w:rFonts w:ascii="宋体" w:cs="宋体"/>
                <w:color w:val="auto"/>
                <w:kern w:val="0"/>
                <w:szCs w:val="21"/>
                <w:highlight w:val="none"/>
              </w:rPr>
            </w:pPr>
            <w:r>
              <w:rPr>
                <w:rFonts w:hint="eastAsia" w:ascii="宋体" w:cs="宋体"/>
                <w:color w:val="auto"/>
                <w:kern w:val="0"/>
                <w:szCs w:val="21"/>
                <w:highlight w:val="none"/>
              </w:rPr>
              <w:t>采购人或者受托机构的意见（盖章）：</w:t>
            </w:r>
          </w:p>
          <w:p w14:paraId="14144D2F">
            <w:pPr>
              <w:spacing w:before="100" w:beforeAutospacing="1" w:after="100" w:afterAutospacing="1" w:line="320" w:lineRule="atLeast"/>
              <w:jc w:val="left"/>
              <w:rPr>
                <w:rFonts w:ascii="宋体" w:cs="宋体"/>
                <w:color w:val="auto"/>
                <w:kern w:val="0"/>
                <w:szCs w:val="21"/>
                <w:highlight w:val="none"/>
              </w:rPr>
            </w:pPr>
            <w:r>
              <w:rPr>
                <w:rFonts w:hint="eastAsia" w:ascii="宋体" w:cs="宋体"/>
                <w:color w:val="auto"/>
                <w:kern w:val="0"/>
                <w:szCs w:val="21"/>
                <w:highlight w:val="none"/>
              </w:rPr>
              <w:t xml:space="preserve">联系电话： </w:t>
            </w:r>
          </w:p>
          <w:p w14:paraId="2FB5D711">
            <w:pPr>
              <w:spacing w:before="100" w:beforeAutospacing="1" w:after="100" w:afterAutospacing="1" w:line="320" w:lineRule="atLeast"/>
              <w:ind w:firstLine="3780" w:firstLineChars="1800"/>
              <w:jc w:val="left"/>
              <w:rPr>
                <w:rFonts w:ascii="宋体" w:cs="宋体"/>
                <w:color w:val="auto"/>
                <w:kern w:val="0"/>
                <w:szCs w:val="21"/>
                <w:highlight w:val="none"/>
              </w:rPr>
            </w:pPr>
            <w:r>
              <w:rPr>
                <w:rFonts w:hint="eastAsia" w:ascii="宋体" w:cs="宋体"/>
                <w:color w:val="auto"/>
                <w:kern w:val="0"/>
                <w:szCs w:val="21"/>
                <w:highlight w:val="none"/>
              </w:rPr>
              <w:t>年 月 日</w:t>
            </w:r>
          </w:p>
        </w:tc>
      </w:tr>
    </w:tbl>
    <w:p w14:paraId="77B6C3EF">
      <w:pPr>
        <w:jc w:val="left"/>
        <w:rPr>
          <w:rFonts w:ascii="宋体" w:cs="宋体"/>
          <w:color w:val="auto"/>
          <w:highlight w:val="none"/>
        </w:rPr>
      </w:pPr>
      <w:r>
        <w:rPr>
          <w:rFonts w:hint="eastAsia" w:ascii="宋体" w:cs="宋体"/>
          <w:color w:val="auto"/>
          <w:highlight w:val="none"/>
        </w:rPr>
        <w:br w:type="page"/>
      </w:r>
      <w:r>
        <w:rPr>
          <w:rFonts w:hint="eastAsia" w:ascii="宋体" w:cs="宋体"/>
          <w:color w:val="auto"/>
          <w:sz w:val="28"/>
          <w:szCs w:val="28"/>
          <w:highlight w:val="none"/>
          <w:lang w:val="en-US" w:eastAsia="zh-CN"/>
        </w:rPr>
        <w:t>5</w:t>
      </w:r>
      <w:r>
        <w:rPr>
          <w:rFonts w:hint="eastAsia" w:ascii="宋体" w:cs="宋体"/>
          <w:color w:val="auto"/>
          <w:sz w:val="28"/>
          <w:szCs w:val="28"/>
          <w:highlight w:val="none"/>
        </w:rPr>
        <w:t>.政府采购项目履约保证金退付意见书的格式：</w:t>
      </w:r>
    </w:p>
    <w:p w14:paraId="1946B7B9">
      <w:pPr>
        <w:jc w:val="center"/>
        <w:rPr>
          <w:rFonts w:ascii="宋体" w:cs="宋体"/>
          <w:color w:val="auto"/>
          <w:sz w:val="32"/>
          <w:szCs w:val="32"/>
          <w:highlight w:val="none"/>
        </w:rPr>
      </w:pPr>
    </w:p>
    <w:p w14:paraId="259C9270">
      <w:pPr>
        <w:jc w:val="center"/>
        <w:rPr>
          <w:rFonts w:ascii="宋体" w:cs="宋体"/>
          <w:color w:val="auto"/>
          <w:sz w:val="32"/>
          <w:szCs w:val="32"/>
          <w:highlight w:val="none"/>
        </w:rPr>
      </w:pPr>
      <w:r>
        <w:rPr>
          <w:rFonts w:hint="eastAsia" w:ascii="宋体" w:cs="宋体"/>
          <w:color w:val="auto"/>
          <w:sz w:val="32"/>
          <w:szCs w:val="32"/>
          <w:highlight w:val="none"/>
        </w:rPr>
        <w:t>政府采购项目履约保证金退付意见书（参考）</w:t>
      </w:r>
    </w:p>
    <w:p w14:paraId="48DA636C">
      <w:pPr>
        <w:jc w:val="center"/>
        <w:rPr>
          <w:rFonts w:ascii="宋体" w:cs="宋体"/>
          <w:color w:val="auto"/>
          <w:sz w:val="36"/>
          <w:szCs w:val="36"/>
          <w:highlight w:val="none"/>
        </w:rPr>
      </w:pPr>
    </w:p>
    <w:tbl>
      <w:tblPr>
        <w:tblStyle w:val="29"/>
        <w:tblW w:w="94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456"/>
      </w:tblGrid>
      <w:tr w14:paraId="65D5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vAlign w:val="center"/>
          </w:tcPr>
          <w:p w14:paraId="0553DB32">
            <w:pPr>
              <w:jc w:val="center"/>
              <w:rPr>
                <w:rFonts w:ascii="宋体" w:cs="宋体"/>
                <w:color w:val="auto"/>
                <w:sz w:val="24"/>
                <w:highlight w:val="none"/>
              </w:rPr>
            </w:pPr>
            <w:r>
              <w:rPr>
                <w:rFonts w:hint="eastAsia" w:ascii="宋体" w:cs="宋体"/>
                <w:color w:val="auto"/>
                <w:sz w:val="24"/>
                <w:highlight w:val="none"/>
              </w:rPr>
              <w:t>供</w:t>
            </w:r>
          </w:p>
          <w:p w14:paraId="5774D60D">
            <w:pPr>
              <w:jc w:val="center"/>
              <w:rPr>
                <w:rFonts w:ascii="宋体" w:cs="宋体"/>
                <w:color w:val="auto"/>
                <w:sz w:val="24"/>
                <w:highlight w:val="none"/>
              </w:rPr>
            </w:pPr>
            <w:r>
              <w:rPr>
                <w:rFonts w:hint="eastAsia" w:ascii="宋体" w:cs="宋体"/>
                <w:color w:val="auto"/>
                <w:sz w:val="24"/>
                <w:highlight w:val="none"/>
              </w:rPr>
              <w:t>应</w:t>
            </w:r>
          </w:p>
          <w:p w14:paraId="3F938944">
            <w:pPr>
              <w:jc w:val="center"/>
              <w:rPr>
                <w:rFonts w:ascii="宋体" w:cs="宋体"/>
                <w:color w:val="auto"/>
                <w:sz w:val="24"/>
                <w:highlight w:val="none"/>
              </w:rPr>
            </w:pPr>
            <w:r>
              <w:rPr>
                <w:rFonts w:hint="eastAsia" w:ascii="宋体" w:cs="宋体"/>
                <w:color w:val="auto"/>
                <w:sz w:val="24"/>
                <w:highlight w:val="none"/>
              </w:rPr>
              <w:t>商</w:t>
            </w:r>
          </w:p>
          <w:p w14:paraId="3AB37A92">
            <w:pPr>
              <w:jc w:val="center"/>
              <w:rPr>
                <w:rFonts w:ascii="宋体" w:cs="宋体"/>
                <w:color w:val="auto"/>
                <w:sz w:val="24"/>
                <w:highlight w:val="none"/>
              </w:rPr>
            </w:pPr>
            <w:r>
              <w:rPr>
                <w:rFonts w:hint="eastAsia" w:ascii="宋体" w:cs="宋体"/>
                <w:color w:val="auto"/>
                <w:sz w:val="24"/>
                <w:highlight w:val="none"/>
              </w:rPr>
              <w:t>申</w:t>
            </w:r>
          </w:p>
          <w:p w14:paraId="4BE16535">
            <w:pPr>
              <w:jc w:val="center"/>
              <w:rPr>
                <w:rFonts w:ascii="宋体" w:cs="宋体"/>
                <w:color w:val="auto"/>
                <w:sz w:val="24"/>
                <w:highlight w:val="none"/>
              </w:rPr>
            </w:pPr>
            <w:r>
              <w:rPr>
                <w:rFonts w:hint="eastAsia" w:ascii="宋体" w:cs="宋体"/>
                <w:color w:val="auto"/>
                <w:sz w:val="24"/>
                <w:highlight w:val="none"/>
              </w:rPr>
              <w:t>请</w:t>
            </w:r>
          </w:p>
        </w:tc>
        <w:tc>
          <w:tcPr>
            <w:tcW w:w="8456" w:type="dxa"/>
            <w:vAlign w:val="center"/>
          </w:tcPr>
          <w:p w14:paraId="273ED09D">
            <w:pPr>
              <w:rPr>
                <w:rFonts w:ascii="宋体" w:cs="宋体"/>
                <w:color w:val="auto"/>
                <w:sz w:val="24"/>
                <w:highlight w:val="none"/>
              </w:rPr>
            </w:pPr>
            <w:r>
              <w:rPr>
                <w:rFonts w:hint="eastAsia" w:ascii="宋体" w:cs="宋体"/>
                <w:color w:val="auto"/>
                <w:sz w:val="24"/>
                <w:highlight w:val="none"/>
              </w:rPr>
              <w:t>项目编号：</w:t>
            </w:r>
          </w:p>
        </w:tc>
      </w:tr>
      <w:tr w14:paraId="5DBD1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vAlign w:val="center"/>
          </w:tcPr>
          <w:p w14:paraId="33EA22CF"/>
        </w:tc>
        <w:tc>
          <w:tcPr>
            <w:tcW w:w="8456" w:type="dxa"/>
            <w:vAlign w:val="center"/>
          </w:tcPr>
          <w:p w14:paraId="455182C6">
            <w:pPr>
              <w:rPr>
                <w:rFonts w:ascii="宋体" w:cs="宋体"/>
                <w:color w:val="auto"/>
                <w:sz w:val="24"/>
                <w:highlight w:val="none"/>
              </w:rPr>
            </w:pPr>
            <w:r>
              <w:rPr>
                <w:rFonts w:hint="eastAsia" w:ascii="宋体" w:cs="宋体"/>
                <w:color w:val="auto"/>
                <w:sz w:val="24"/>
                <w:highlight w:val="none"/>
              </w:rPr>
              <w:t>项目名称：</w:t>
            </w:r>
          </w:p>
        </w:tc>
      </w:tr>
      <w:tr w14:paraId="17AA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tcPr>
          <w:p w14:paraId="78C3B16F"/>
        </w:tc>
        <w:tc>
          <w:tcPr>
            <w:tcW w:w="8456" w:type="dxa"/>
          </w:tcPr>
          <w:p w14:paraId="515E72CB">
            <w:pPr>
              <w:rPr>
                <w:rFonts w:ascii="宋体" w:cs="宋体"/>
                <w:color w:val="auto"/>
                <w:sz w:val="24"/>
                <w:highlight w:val="none"/>
              </w:rPr>
            </w:pPr>
            <w:r>
              <w:rPr>
                <w:rFonts w:hint="eastAsia" w:ascii="宋体" w:cs="宋体"/>
                <w:color w:val="auto"/>
                <w:sz w:val="24"/>
                <w:highlight w:val="none"/>
              </w:rPr>
              <w:t xml:space="preserve">  </w:t>
            </w:r>
          </w:p>
          <w:p w14:paraId="6C4CC908">
            <w:pPr>
              <w:spacing w:line="400" w:lineRule="exact"/>
              <w:ind w:firstLine="480" w:firstLineChars="200"/>
              <w:rPr>
                <w:rFonts w:ascii="宋体" w:cs="宋体"/>
                <w:color w:val="auto"/>
                <w:sz w:val="24"/>
                <w:highlight w:val="none"/>
              </w:rPr>
            </w:pPr>
            <w:r>
              <w:rPr>
                <w:rFonts w:hint="eastAsia" w:ascii="宋体" w:cs="宋体"/>
                <w:color w:val="auto"/>
                <w:sz w:val="24"/>
                <w:highlight w:val="none"/>
              </w:rPr>
              <w:t>该项目已于</w:t>
            </w:r>
            <w:r>
              <w:rPr>
                <w:rFonts w:hint="eastAsia" w:ascii="宋体" w:cs="宋体"/>
                <w:color w:val="auto"/>
                <w:sz w:val="24"/>
                <w:highlight w:val="none"/>
                <w:u w:val="single"/>
              </w:rPr>
              <w:t xml:space="preserve">       </w:t>
            </w:r>
            <w:r>
              <w:rPr>
                <w:rFonts w:hint="eastAsia" w:ascii="宋体" w:cs="宋体"/>
                <w:color w:val="auto"/>
                <w:sz w:val="24"/>
                <w:highlight w:val="none"/>
              </w:rPr>
              <w:t>年</w:t>
            </w:r>
            <w:r>
              <w:rPr>
                <w:rFonts w:hint="eastAsia" w:ascii="宋体" w:cs="宋体"/>
                <w:color w:val="auto"/>
                <w:sz w:val="24"/>
                <w:highlight w:val="none"/>
                <w:u w:val="single"/>
              </w:rPr>
              <w:t xml:space="preserve">     </w:t>
            </w:r>
            <w:r>
              <w:rPr>
                <w:rFonts w:hint="eastAsia" w:ascii="宋体" w:cs="宋体"/>
                <w:color w:val="auto"/>
                <w:sz w:val="24"/>
                <w:highlight w:val="none"/>
              </w:rPr>
              <w:t>月</w:t>
            </w:r>
            <w:r>
              <w:rPr>
                <w:rFonts w:hint="eastAsia" w:ascii="宋体" w:cs="宋体"/>
                <w:color w:val="auto"/>
                <w:sz w:val="24"/>
                <w:highlight w:val="none"/>
                <w:u w:val="single"/>
              </w:rPr>
              <w:t xml:space="preserve">     </w:t>
            </w:r>
            <w:r>
              <w:rPr>
                <w:rFonts w:hint="eastAsia" w:ascii="宋体" w:cs="宋体"/>
                <w:color w:val="auto"/>
                <w:sz w:val="24"/>
                <w:highlight w:val="none"/>
              </w:rPr>
              <w:t>日验收并交付使用。根据合同规定，该项目的履约保证金期限于</w:t>
            </w:r>
            <w:r>
              <w:rPr>
                <w:rFonts w:hint="eastAsia" w:ascii="宋体" w:cs="宋体"/>
                <w:color w:val="auto"/>
                <w:sz w:val="24"/>
                <w:highlight w:val="none"/>
                <w:u w:val="single"/>
              </w:rPr>
              <w:t xml:space="preserve">         </w:t>
            </w:r>
            <w:r>
              <w:rPr>
                <w:rFonts w:hint="eastAsia" w:ascii="宋体" w:cs="宋体"/>
                <w:color w:val="auto"/>
                <w:sz w:val="24"/>
                <w:highlight w:val="none"/>
              </w:rPr>
              <w:t>年</w:t>
            </w:r>
            <w:r>
              <w:rPr>
                <w:rFonts w:hint="eastAsia" w:ascii="宋体" w:cs="宋体"/>
                <w:color w:val="auto"/>
                <w:sz w:val="24"/>
                <w:highlight w:val="none"/>
                <w:u w:val="single"/>
              </w:rPr>
              <w:t xml:space="preserve">      </w:t>
            </w:r>
            <w:r>
              <w:rPr>
                <w:rFonts w:hint="eastAsia" w:ascii="宋体" w:cs="宋体"/>
                <w:color w:val="auto"/>
                <w:sz w:val="24"/>
                <w:highlight w:val="none"/>
              </w:rPr>
              <w:t>月</w:t>
            </w:r>
            <w:r>
              <w:rPr>
                <w:rFonts w:hint="eastAsia" w:ascii="宋体" w:cs="宋体"/>
                <w:color w:val="auto"/>
                <w:sz w:val="24"/>
                <w:highlight w:val="none"/>
                <w:u w:val="single"/>
              </w:rPr>
              <w:t xml:space="preserve">       </w:t>
            </w:r>
            <w:r>
              <w:rPr>
                <w:rFonts w:hint="eastAsia" w:ascii="宋体" w:cs="宋体"/>
                <w:color w:val="auto"/>
                <w:sz w:val="24"/>
                <w:highlight w:val="none"/>
              </w:rPr>
              <w:t>日已满，请将履约保证金（大写）人民币                              （小写）¥</w:t>
            </w:r>
            <w:r>
              <w:rPr>
                <w:rFonts w:hint="eastAsia" w:ascii="宋体" w:cs="宋体"/>
                <w:color w:val="auto"/>
                <w:sz w:val="24"/>
                <w:highlight w:val="none"/>
                <w:u w:val="single"/>
              </w:rPr>
              <w:t xml:space="preserve">           </w:t>
            </w:r>
            <w:r>
              <w:rPr>
                <w:rFonts w:hint="eastAsia" w:ascii="宋体" w:cs="宋体"/>
                <w:color w:val="auto"/>
                <w:sz w:val="24"/>
                <w:highlight w:val="none"/>
              </w:rPr>
              <w:t>退付到以下账户。</w:t>
            </w:r>
          </w:p>
          <w:p w14:paraId="21DB084D">
            <w:pPr>
              <w:spacing w:line="400" w:lineRule="exact"/>
              <w:rPr>
                <w:rFonts w:ascii="宋体" w:cs="宋体"/>
                <w:color w:val="auto"/>
                <w:sz w:val="24"/>
                <w:highlight w:val="none"/>
              </w:rPr>
            </w:pPr>
          </w:p>
          <w:p w14:paraId="6F08A19C">
            <w:pPr>
              <w:spacing w:line="400" w:lineRule="exact"/>
              <w:ind w:firstLine="480" w:firstLineChars="200"/>
              <w:rPr>
                <w:rFonts w:ascii="宋体" w:cs="宋体"/>
                <w:color w:val="auto"/>
                <w:sz w:val="24"/>
                <w:highlight w:val="none"/>
              </w:rPr>
            </w:pPr>
            <w:r>
              <w:rPr>
                <w:rFonts w:hint="eastAsia" w:ascii="宋体" w:cs="宋体"/>
                <w:color w:val="auto"/>
                <w:sz w:val="24"/>
                <w:highlight w:val="none"/>
              </w:rPr>
              <w:t>单位名称：</w:t>
            </w:r>
          </w:p>
          <w:p w14:paraId="07C8D535">
            <w:pPr>
              <w:spacing w:line="400" w:lineRule="exact"/>
              <w:ind w:firstLine="480" w:firstLineChars="200"/>
              <w:rPr>
                <w:rFonts w:ascii="宋体" w:cs="宋体"/>
                <w:color w:val="auto"/>
                <w:sz w:val="24"/>
                <w:highlight w:val="none"/>
              </w:rPr>
            </w:pPr>
            <w:r>
              <w:rPr>
                <w:rFonts w:hint="eastAsia" w:ascii="宋体" w:cs="宋体"/>
                <w:color w:val="auto"/>
                <w:sz w:val="24"/>
                <w:highlight w:val="none"/>
              </w:rPr>
              <w:t>开户银行：</w:t>
            </w:r>
          </w:p>
          <w:p w14:paraId="145F205F">
            <w:pPr>
              <w:spacing w:line="400" w:lineRule="exact"/>
              <w:ind w:firstLine="480" w:firstLineChars="200"/>
              <w:rPr>
                <w:rFonts w:ascii="宋体" w:cs="宋体"/>
                <w:color w:val="auto"/>
                <w:sz w:val="24"/>
                <w:highlight w:val="none"/>
              </w:rPr>
            </w:pPr>
            <w:r>
              <w:rPr>
                <w:rFonts w:hint="eastAsia" w:ascii="宋体" w:cs="宋体"/>
                <w:color w:val="auto"/>
                <w:sz w:val="24"/>
                <w:highlight w:val="none"/>
              </w:rPr>
              <w:t>账   号：</w:t>
            </w:r>
          </w:p>
          <w:p w14:paraId="059A697B">
            <w:pPr>
              <w:spacing w:line="400" w:lineRule="exact"/>
              <w:ind w:firstLine="480" w:firstLineChars="200"/>
              <w:rPr>
                <w:rFonts w:ascii="宋体" w:cs="宋体"/>
                <w:color w:val="auto"/>
                <w:sz w:val="24"/>
                <w:highlight w:val="none"/>
              </w:rPr>
            </w:pPr>
            <w:r>
              <w:rPr>
                <w:rFonts w:hint="eastAsia" w:ascii="宋体" w:cs="宋体"/>
                <w:color w:val="auto"/>
                <w:sz w:val="24"/>
                <w:highlight w:val="none"/>
              </w:rPr>
              <w:t>联系人及电话：</w:t>
            </w:r>
          </w:p>
          <w:p w14:paraId="78EF5857">
            <w:pPr>
              <w:spacing w:line="400" w:lineRule="exact"/>
              <w:rPr>
                <w:rFonts w:ascii="宋体" w:cs="宋体"/>
                <w:color w:val="auto"/>
                <w:sz w:val="24"/>
                <w:highlight w:val="none"/>
              </w:rPr>
            </w:pPr>
          </w:p>
          <w:p w14:paraId="40D5BBBA">
            <w:pPr>
              <w:spacing w:line="520" w:lineRule="exact"/>
              <w:jc w:val="center"/>
              <w:rPr>
                <w:rFonts w:ascii="宋体" w:cs="宋体"/>
                <w:color w:val="auto"/>
                <w:sz w:val="24"/>
                <w:highlight w:val="none"/>
              </w:rPr>
            </w:pPr>
            <w:r>
              <w:rPr>
                <w:rFonts w:hint="eastAsia" w:ascii="宋体" w:cs="宋体"/>
                <w:color w:val="auto"/>
                <w:sz w:val="24"/>
                <w:highlight w:val="none"/>
              </w:rPr>
              <w:t xml:space="preserve">         投标人签章：</w:t>
            </w:r>
          </w:p>
          <w:p w14:paraId="6FE049CB">
            <w:pPr>
              <w:spacing w:line="520" w:lineRule="exact"/>
              <w:jc w:val="center"/>
              <w:rPr>
                <w:rFonts w:ascii="宋体" w:cs="宋体"/>
                <w:color w:val="auto"/>
                <w:sz w:val="24"/>
                <w:highlight w:val="none"/>
              </w:rPr>
            </w:pPr>
            <w:r>
              <w:rPr>
                <w:rFonts w:hint="eastAsia" w:ascii="宋体" w:cs="宋体"/>
                <w:color w:val="auto"/>
                <w:sz w:val="24"/>
                <w:highlight w:val="none"/>
              </w:rPr>
              <w:t xml:space="preserve">                           年    月     日</w:t>
            </w:r>
          </w:p>
        </w:tc>
      </w:tr>
      <w:tr w14:paraId="39D4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6" w:hRule="atLeast"/>
        </w:trPr>
        <w:tc>
          <w:tcPr>
            <w:tcW w:w="1008" w:type="dxa"/>
            <w:vAlign w:val="center"/>
          </w:tcPr>
          <w:p w14:paraId="77415E94">
            <w:pPr>
              <w:jc w:val="center"/>
              <w:rPr>
                <w:rFonts w:ascii="宋体" w:cs="宋体"/>
                <w:color w:val="auto"/>
                <w:sz w:val="24"/>
                <w:highlight w:val="none"/>
              </w:rPr>
            </w:pPr>
            <w:r>
              <w:rPr>
                <w:rFonts w:hint="eastAsia" w:ascii="宋体" w:cs="宋体"/>
                <w:color w:val="auto"/>
                <w:sz w:val="24"/>
                <w:highlight w:val="none"/>
              </w:rPr>
              <w:t>采</w:t>
            </w:r>
          </w:p>
          <w:p w14:paraId="535D0B0E">
            <w:pPr>
              <w:jc w:val="center"/>
              <w:rPr>
                <w:rFonts w:ascii="宋体" w:cs="宋体"/>
                <w:color w:val="auto"/>
                <w:sz w:val="24"/>
                <w:highlight w:val="none"/>
              </w:rPr>
            </w:pPr>
            <w:r>
              <w:rPr>
                <w:rFonts w:hint="eastAsia" w:ascii="宋体" w:cs="宋体"/>
                <w:color w:val="auto"/>
                <w:sz w:val="24"/>
                <w:highlight w:val="none"/>
              </w:rPr>
              <w:t>购</w:t>
            </w:r>
          </w:p>
          <w:p w14:paraId="11AB31FB">
            <w:pPr>
              <w:jc w:val="center"/>
              <w:rPr>
                <w:rFonts w:ascii="宋体" w:cs="宋体"/>
                <w:color w:val="auto"/>
                <w:sz w:val="24"/>
                <w:highlight w:val="none"/>
              </w:rPr>
            </w:pPr>
            <w:r>
              <w:rPr>
                <w:rFonts w:hint="eastAsia" w:ascii="宋体" w:cs="宋体"/>
                <w:color w:val="auto"/>
                <w:sz w:val="24"/>
                <w:highlight w:val="none"/>
              </w:rPr>
              <w:t>人</w:t>
            </w:r>
          </w:p>
          <w:p w14:paraId="4AC104F1">
            <w:pPr>
              <w:jc w:val="center"/>
              <w:rPr>
                <w:rFonts w:ascii="宋体" w:cs="宋体"/>
                <w:color w:val="auto"/>
                <w:sz w:val="24"/>
                <w:highlight w:val="none"/>
              </w:rPr>
            </w:pPr>
            <w:r>
              <w:rPr>
                <w:rFonts w:hint="eastAsia" w:ascii="宋体" w:cs="宋体"/>
                <w:color w:val="auto"/>
                <w:sz w:val="24"/>
                <w:highlight w:val="none"/>
              </w:rPr>
              <w:t>意</w:t>
            </w:r>
          </w:p>
          <w:p w14:paraId="3D0C1328">
            <w:pPr>
              <w:jc w:val="center"/>
              <w:rPr>
                <w:rFonts w:ascii="宋体" w:cs="宋体"/>
                <w:color w:val="auto"/>
                <w:sz w:val="24"/>
                <w:highlight w:val="none"/>
              </w:rPr>
            </w:pPr>
            <w:r>
              <w:rPr>
                <w:rFonts w:hint="eastAsia" w:ascii="宋体" w:cs="宋体"/>
                <w:color w:val="auto"/>
                <w:sz w:val="24"/>
                <w:highlight w:val="none"/>
              </w:rPr>
              <w:t>见</w:t>
            </w:r>
          </w:p>
        </w:tc>
        <w:tc>
          <w:tcPr>
            <w:tcW w:w="8456" w:type="dxa"/>
          </w:tcPr>
          <w:p w14:paraId="66DC516A">
            <w:pPr>
              <w:rPr>
                <w:rFonts w:ascii="宋体" w:cs="宋体"/>
                <w:color w:val="auto"/>
                <w:sz w:val="24"/>
                <w:highlight w:val="none"/>
              </w:rPr>
            </w:pPr>
          </w:p>
          <w:p w14:paraId="60E6A45C">
            <w:pPr>
              <w:rPr>
                <w:rFonts w:ascii="宋体" w:cs="宋体"/>
                <w:color w:val="auto"/>
                <w:sz w:val="24"/>
                <w:highlight w:val="none"/>
              </w:rPr>
            </w:pPr>
            <w:r>
              <w:rPr>
                <w:rFonts w:hint="eastAsia" w:ascii="宋体" w:cs="宋体"/>
                <w:color w:val="auto"/>
                <w:sz w:val="24"/>
                <w:highlight w:val="none"/>
              </w:rPr>
              <w:t>退付意见：（是否同意退付履约保证金及退付金额）</w:t>
            </w:r>
          </w:p>
          <w:p w14:paraId="1D3384F9">
            <w:pPr>
              <w:rPr>
                <w:rFonts w:ascii="宋体" w:cs="宋体"/>
                <w:color w:val="auto"/>
                <w:sz w:val="24"/>
                <w:highlight w:val="none"/>
              </w:rPr>
            </w:pPr>
          </w:p>
          <w:p w14:paraId="18525F28">
            <w:pPr>
              <w:rPr>
                <w:rFonts w:ascii="宋体" w:cs="宋体"/>
                <w:color w:val="auto"/>
                <w:sz w:val="24"/>
                <w:highlight w:val="none"/>
              </w:rPr>
            </w:pPr>
          </w:p>
          <w:p w14:paraId="65094C1B">
            <w:pPr>
              <w:rPr>
                <w:rFonts w:ascii="宋体" w:cs="宋体"/>
                <w:color w:val="auto"/>
                <w:sz w:val="24"/>
                <w:highlight w:val="none"/>
              </w:rPr>
            </w:pPr>
          </w:p>
          <w:p w14:paraId="7EE40460">
            <w:pPr>
              <w:rPr>
                <w:rFonts w:ascii="宋体" w:cs="宋体"/>
                <w:color w:val="auto"/>
                <w:sz w:val="24"/>
                <w:highlight w:val="none"/>
              </w:rPr>
            </w:pPr>
          </w:p>
          <w:p w14:paraId="117640FD">
            <w:pPr>
              <w:spacing w:line="520" w:lineRule="exact"/>
              <w:rPr>
                <w:rFonts w:ascii="宋体" w:cs="宋体"/>
                <w:color w:val="auto"/>
                <w:sz w:val="24"/>
                <w:highlight w:val="none"/>
              </w:rPr>
            </w:pPr>
            <w:r>
              <w:rPr>
                <w:rFonts w:hint="eastAsia" w:ascii="宋体" w:cs="宋体"/>
                <w:color w:val="auto"/>
                <w:sz w:val="24"/>
                <w:highlight w:val="none"/>
              </w:rPr>
              <w:t>联系人及电话：                         采购人签章</w:t>
            </w:r>
          </w:p>
          <w:p w14:paraId="5BF721D3">
            <w:pPr>
              <w:spacing w:line="520" w:lineRule="exact"/>
              <w:jc w:val="center"/>
              <w:rPr>
                <w:rFonts w:ascii="宋体" w:cs="宋体"/>
                <w:color w:val="auto"/>
                <w:sz w:val="24"/>
                <w:highlight w:val="none"/>
              </w:rPr>
            </w:pPr>
            <w:r>
              <w:rPr>
                <w:rFonts w:hint="eastAsia" w:ascii="宋体" w:cs="宋体"/>
                <w:color w:val="auto"/>
                <w:sz w:val="24"/>
                <w:highlight w:val="none"/>
              </w:rPr>
              <w:t xml:space="preserve">                                        年    月     日</w:t>
            </w:r>
          </w:p>
        </w:tc>
      </w:tr>
      <w:tr w14:paraId="2D21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008" w:type="dxa"/>
            <w:vAlign w:val="center"/>
          </w:tcPr>
          <w:p w14:paraId="43374F94">
            <w:pPr>
              <w:jc w:val="center"/>
              <w:rPr>
                <w:rFonts w:ascii="宋体" w:cs="宋体"/>
                <w:color w:val="auto"/>
                <w:sz w:val="24"/>
                <w:highlight w:val="none"/>
              </w:rPr>
            </w:pPr>
            <w:r>
              <w:rPr>
                <w:rFonts w:hint="eastAsia" w:ascii="宋体" w:cs="宋体"/>
                <w:color w:val="auto"/>
                <w:sz w:val="24"/>
                <w:highlight w:val="none"/>
              </w:rPr>
              <w:t>备注</w:t>
            </w:r>
          </w:p>
        </w:tc>
        <w:tc>
          <w:tcPr>
            <w:tcW w:w="8456" w:type="dxa"/>
          </w:tcPr>
          <w:p w14:paraId="1E011F00">
            <w:pPr>
              <w:rPr>
                <w:rFonts w:ascii="宋体" w:cs="宋体"/>
                <w:color w:val="auto"/>
                <w:sz w:val="24"/>
                <w:highlight w:val="none"/>
              </w:rPr>
            </w:pPr>
          </w:p>
        </w:tc>
      </w:tr>
    </w:tbl>
    <w:p w14:paraId="00D60703">
      <w:pPr>
        <w:pStyle w:val="12"/>
        <w:ind w:left="420" w:leftChars="114" w:hanging="181" w:hangingChars="100"/>
        <w:rPr>
          <w:rFonts w:ascii="宋体" w:cs="宋体"/>
          <w:b/>
          <w:bCs/>
          <w:color w:val="auto"/>
          <w:sz w:val="18"/>
          <w:highlight w:val="none"/>
        </w:rPr>
      </w:pPr>
      <w:r>
        <w:rPr>
          <w:rFonts w:hint="eastAsia" w:ascii="宋体" w:cs="宋体"/>
          <w:b/>
          <w:bCs/>
          <w:color w:val="auto"/>
          <w:sz w:val="18"/>
          <w:highlight w:val="none"/>
        </w:rPr>
        <w:t>注：投标人凭经采购人审批的退付意见书到履约保证金收取单位办理履约保证金退付事宜。</w:t>
      </w:r>
    </w:p>
    <w:p w14:paraId="1A421092">
      <w:pPr>
        <w:widowControl/>
        <w:spacing w:line="360" w:lineRule="auto"/>
        <w:jc w:val="left"/>
        <w:rPr>
          <w:rFonts w:ascii="宋体" w:cs="宋体"/>
          <w:color w:val="auto"/>
          <w:szCs w:val="21"/>
          <w:highlight w:val="none"/>
        </w:rPr>
        <w:sectPr>
          <w:pgSz w:w="11906" w:h="16838"/>
          <w:pgMar w:top="1134" w:right="1134" w:bottom="1134" w:left="1134" w:header="720" w:footer="720" w:gutter="0"/>
          <w:cols w:space="720" w:num="1"/>
          <w:docGrid w:type="lines" w:linePitch="331" w:charSpace="0"/>
        </w:sectPr>
      </w:pPr>
    </w:p>
    <w:p w14:paraId="0C833246">
      <w:pPr>
        <w:snapToGrid w:val="0"/>
        <w:spacing w:before="50" w:after="166" w:afterLines="50" w:line="360" w:lineRule="auto"/>
        <w:jc w:val="left"/>
        <w:rPr>
          <w:rFonts w:ascii="宋体" w:cs="宋体"/>
          <w:color w:val="auto"/>
          <w:sz w:val="20"/>
          <w:highlight w:val="none"/>
        </w:rPr>
      </w:pPr>
    </w:p>
    <w:p w14:paraId="4B0AB851">
      <w:pPr>
        <w:pStyle w:val="16"/>
        <w:tabs>
          <w:tab w:val="left" w:pos="2472"/>
        </w:tabs>
        <w:spacing w:line="460" w:lineRule="exact"/>
        <w:jc w:val="center"/>
        <w:rPr>
          <w:rFonts w:cs="宋体"/>
          <w:b/>
          <w:color w:val="auto"/>
          <w:sz w:val="36"/>
          <w:highlight w:val="none"/>
        </w:rPr>
      </w:pPr>
    </w:p>
    <w:p w14:paraId="7E2C1313">
      <w:pPr>
        <w:pStyle w:val="16"/>
        <w:tabs>
          <w:tab w:val="left" w:pos="2472"/>
        </w:tabs>
        <w:spacing w:line="460" w:lineRule="exact"/>
        <w:jc w:val="center"/>
        <w:rPr>
          <w:rFonts w:cs="宋体"/>
          <w:b/>
          <w:color w:val="auto"/>
          <w:sz w:val="36"/>
          <w:highlight w:val="none"/>
        </w:rPr>
      </w:pPr>
    </w:p>
    <w:p w14:paraId="54303BC6">
      <w:pPr>
        <w:pStyle w:val="16"/>
        <w:tabs>
          <w:tab w:val="left" w:pos="2472"/>
        </w:tabs>
        <w:spacing w:line="460" w:lineRule="exact"/>
        <w:jc w:val="center"/>
        <w:rPr>
          <w:rFonts w:cs="宋体"/>
          <w:b/>
          <w:color w:val="auto"/>
          <w:sz w:val="36"/>
          <w:highlight w:val="none"/>
        </w:rPr>
      </w:pPr>
    </w:p>
    <w:p w14:paraId="6F1F0D5B">
      <w:pPr>
        <w:pStyle w:val="16"/>
        <w:tabs>
          <w:tab w:val="left" w:pos="2472"/>
        </w:tabs>
        <w:spacing w:line="460" w:lineRule="exact"/>
        <w:jc w:val="center"/>
        <w:rPr>
          <w:rFonts w:cs="宋体"/>
          <w:b/>
          <w:color w:val="auto"/>
          <w:sz w:val="36"/>
          <w:highlight w:val="none"/>
        </w:rPr>
      </w:pPr>
    </w:p>
    <w:p w14:paraId="1F7DAB46">
      <w:pPr>
        <w:pStyle w:val="16"/>
        <w:tabs>
          <w:tab w:val="left" w:pos="2472"/>
        </w:tabs>
        <w:spacing w:line="460" w:lineRule="exact"/>
        <w:jc w:val="center"/>
        <w:rPr>
          <w:rFonts w:cs="宋体"/>
          <w:b/>
          <w:color w:val="auto"/>
          <w:sz w:val="36"/>
          <w:highlight w:val="none"/>
        </w:rPr>
      </w:pPr>
    </w:p>
    <w:p w14:paraId="065212FC">
      <w:pPr>
        <w:pStyle w:val="16"/>
        <w:tabs>
          <w:tab w:val="left" w:pos="2472"/>
        </w:tabs>
        <w:spacing w:line="460" w:lineRule="exact"/>
        <w:jc w:val="center"/>
        <w:rPr>
          <w:rFonts w:cs="宋体"/>
          <w:b/>
          <w:color w:val="auto"/>
          <w:sz w:val="36"/>
          <w:highlight w:val="none"/>
        </w:rPr>
      </w:pPr>
    </w:p>
    <w:p w14:paraId="0F4C3FA9">
      <w:pPr>
        <w:pStyle w:val="16"/>
        <w:tabs>
          <w:tab w:val="left" w:pos="2472"/>
        </w:tabs>
        <w:spacing w:line="460" w:lineRule="exact"/>
        <w:jc w:val="center"/>
        <w:rPr>
          <w:rFonts w:cs="宋体"/>
          <w:b/>
          <w:color w:val="auto"/>
          <w:sz w:val="36"/>
          <w:highlight w:val="none"/>
        </w:rPr>
      </w:pPr>
    </w:p>
    <w:p w14:paraId="1630FC6C">
      <w:pPr>
        <w:pStyle w:val="16"/>
        <w:tabs>
          <w:tab w:val="left" w:pos="2472"/>
        </w:tabs>
        <w:spacing w:line="460" w:lineRule="exact"/>
        <w:jc w:val="center"/>
        <w:rPr>
          <w:rFonts w:cs="宋体"/>
          <w:b/>
          <w:color w:val="auto"/>
          <w:sz w:val="36"/>
          <w:highlight w:val="none"/>
        </w:rPr>
      </w:pPr>
    </w:p>
    <w:p w14:paraId="0D212DE4">
      <w:pPr>
        <w:pStyle w:val="16"/>
        <w:tabs>
          <w:tab w:val="left" w:pos="2472"/>
        </w:tabs>
        <w:spacing w:line="460" w:lineRule="exact"/>
        <w:jc w:val="center"/>
        <w:rPr>
          <w:rFonts w:cs="宋体"/>
          <w:b/>
          <w:color w:val="auto"/>
          <w:sz w:val="36"/>
          <w:highlight w:val="none"/>
        </w:rPr>
      </w:pPr>
    </w:p>
    <w:p w14:paraId="60021A36">
      <w:pPr>
        <w:pStyle w:val="16"/>
        <w:tabs>
          <w:tab w:val="left" w:pos="2472"/>
        </w:tabs>
        <w:spacing w:line="460" w:lineRule="exact"/>
        <w:jc w:val="center"/>
        <w:rPr>
          <w:rFonts w:cs="宋体"/>
          <w:b/>
          <w:color w:val="auto"/>
          <w:sz w:val="36"/>
          <w:highlight w:val="none"/>
        </w:rPr>
      </w:pPr>
    </w:p>
    <w:p w14:paraId="2EA88409">
      <w:pPr>
        <w:pStyle w:val="16"/>
        <w:tabs>
          <w:tab w:val="left" w:pos="2472"/>
        </w:tabs>
        <w:spacing w:line="460" w:lineRule="exact"/>
        <w:jc w:val="center"/>
        <w:rPr>
          <w:rFonts w:cs="宋体"/>
          <w:b/>
          <w:color w:val="auto"/>
          <w:sz w:val="36"/>
          <w:highlight w:val="none"/>
        </w:rPr>
      </w:pPr>
    </w:p>
    <w:p w14:paraId="3687E0B8">
      <w:pPr>
        <w:pStyle w:val="16"/>
        <w:tabs>
          <w:tab w:val="left" w:pos="2472"/>
        </w:tabs>
        <w:spacing w:line="460" w:lineRule="exact"/>
        <w:jc w:val="center"/>
        <w:outlineLvl w:val="0"/>
        <w:rPr>
          <w:rFonts w:cs="宋体"/>
          <w:color w:val="auto"/>
          <w:sz w:val="20"/>
          <w:highlight w:val="none"/>
        </w:rPr>
        <w:sectPr>
          <w:pgSz w:w="11906" w:h="16838"/>
          <w:pgMar w:top="1134" w:right="1134" w:bottom="1134" w:left="1134" w:header="720" w:footer="720" w:gutter="0"/>
          <w:cols w:space="720" w:num="1"/>
          <w:docGrid w:type="lines" w:linePitch="331" w:charSpace="0"/>
        </w:sectPr>
      </w:pPr>
      <w:bookmarkStart w:id="294" w:name="_Toc30176"/>
      <w:bookmarkStart w:id="295" w:name="_Toc8663"/>
      <w:bookmarkStart w:id="296" w:name="_Toc19823"/>
      <w:bookmarkStart w:id="297" w:name="_Toc26838"/>
      <w:bookmarkStart w:id="298" w:name="_Toc18201"/>
      <w:bookmarkStart w:id="299" w:name="_Toc1424"/>
      <w:bookmarkStart w:id="300" w:name="_Toc10282"/>
      <w:bookmarkStart w:id="301" w:name="_Toc8319"/>
      <w:bookmarkStart w:id="302" w:name="_Toc29827"/>
      <w:bookmarkStart w:id="303" w:name="_Toc15281"/>
      <w:bookmarkStart w:id="304" w:name="_Toc4526"/>
      <w:r>
        <w:rPr>
          <w:rFonts w:hint="eastAsia" w:cs="宋体"/>
          <w:b/>
          <w:color w:val="auto"/>
          <w:sz w:val="36"/>
          <w:highlight w:val="none"/>
        </w:rPr>
        <w:t>第七章 质疑、投诉材料格</w:t>
      </w:r>
      <w:bookmarkEnd w:id="294"/>
      <w:bookmarkEnd w:id="295"/>
      <w:bookmarkEnd w:id="296"/>
      <w:r>
        <w:rPr>
          <w:rFonts w:hint="eastAsia" w:cs="宋体"/>
          <w:b/>
          <w:color w:val="auto"/>
          <w:sz w:val="36"/>
          <w:highlight w:val="none"/>
        </w:rPr>
        <w:t>式</w:t>
      </w:r>
      <w:bookmarkEnd w:id="297"/>
      <w:bookmarkEnd w:id="298"/>
      <w:bookmarkEnd w:id="299"/>
      <w:bookmarkEnd w:id="300"/>
      <w:bookmarkEnd w:id="301"/>
      <w:bookmarkEnd w:id="302"/>
      <w:bookmarkEnd w:id="303"/>
      <w:bookmarkEnd w:id="304"/>
    </w:p>
    <w:p w14:paraId="025E7CF2">
      <w:pPr>
        <w:pStyle w:val="3"/>
        <w:jc w:val="center"/>
        <w:rPr>
          <w:rFonts w:ascii="宋体" w:eastAsia="宋体" w:cs="宋体"/>
          <w:b w:val="0"/>
          <w:bCs w:val="0"/>
          <w:color w:val="auto"/>
          <w:highlight w:val="none"/>
        </w:rPr>
      </w:pPr>
      <w:bookmarkStart w:id="305" w:name="_Toc12534"/>
      <w:bookmarkStart w:id="306" w:name="_Toc18910"/>
      <w:bookmarkStart w:id="307" w:name="_Toc25079"/>
      <w:bookmarkStart w:id="308" w:name="_Toc5790"/>
      <w:bookmarkStart w:id="309" w:name="_Toc19413"/>
      <w:r>
        <w:rPr>
          <w:rFonts w:hint="eastAsia" w:ascii="宋体" w:eastAsia="宋体" w:cs="宋体"/>
          <w:b w:val="0"/>
          <w:bCs w:val="0"/>
          <w:color w:val="auto"/>
          <w:highlight w:val="none"/>
        </w:rPr>
        <w:t>第一节 质疑函（格式，投标时不需提供）</w:t>
      </w:r>
      <w:bookmarkEnd w:id="305"/>
      <w:bookmarkEnd w:id="306"/>
      <w:bookmarkEnd w:id="307"/>
      <w:bookmarkEnd w:id="308"/>
      <w:bookmarkEnd w:id="309"/>
    </w:p>
    <w:p w14:paraId="051906A2">
      <w:pPr>
        <w:jc w:val="center"/>
        <w:rPr>
          <w:rFonts w:ascii="宋体" w:cs="宋体"/>
          <w:b/>
          <w:bCs/>
          <w:color w:val="auto"/>
          <w:sz w:val="44"/>
          <w:szCs w:val="44"/>
          <w:highlight w:val="none"/>
        </w:rPr>
      </w:pPr>
      <w:r>
        <w:rPr>
          <w:rFonts w:hint="eastAsia" w:ascii="宋体" w:cs="宋体"/>
          <w:b/>
          <w:bCs/>
          <w:color w:val="auto"/>
          <w:sz w:val="30"/>
          <w:szCs w:val="30"/>
          <w:highlight w:val="none"/>
        </w:rPr>
        <w:t>质疑函</w:t>
      </w:r>
    </w:p>
    <w:p w14:paraId="0070DBCD">
      <w:pPr>
        <w:adjustRightInd w:val="0"/>
        <w:snapToGrid w:val="0"/>
        <w:spacing w:before="331" w:beforeLines="100" w:line="360" w:lineRule="auto"/>
        <w:rPr>
          <w:rFonts w:ascii="宋体" w:cs="宋体"/>
          <w:bCs/>
          <w:color w:val="auto"/>
          <w:sz w:val="24"/>
          <w:highlight w:val="none"/>
        </w:rPr>
      </w:pPr>
      <w:r>
        <w:rPr>
          <w:rFonts w:hint="eastAsia" w:ascii="宋体" w:cs="宋体"/>
          <w:bCs/>
          <w:color w:val="auto"/>
          <w:sz w:val="24"/>
          <w:highlight w:val="none"/>
        </w:rPr>
        <w:t>一、质疑供应商基本信息</w:t>
      </w:r>
    </w:p>
    <w:p w14:paraId="7ACC415F">
      <w:pPr>
        <w:adjustRightInd w:val="0"/>
        <w:snapToGrid w:val="0"/>
        <w:spacing w:line="360" w:lineRule="auto"/>
        <w:rPr>
          <w:rFonts w:ascii="宋体" w:cs="宋体"/>
          <w:color w:val="auto"/>
          <w:sz w:val="24"/>
          <w:highlight w:val="none"/>
          <w:u w:val="dotted"/>
        </w:rPr>
      </w:pPr>
      <w:r>
        <w:rPr>
          <w:rFonts w:hint="eastAsia" w:ascii="宋体" w:cs="宋体"/>
          <w:color w:val="auto"/>
          <w:sz w:val="24"/>
          <w:highlight w:val="none"/>
        </w:rPr>
        <w:t>质疑供应商：</w:t>
      </w:r>
      <w:r>
        <w:rPr>
          <w:rFonts w:hint="eastAsia" w:ascii="宋体" w:cs="宋体"/>
          <w:color w:val="auto"/>
          <w:sz w:val="24"/>
          <w:highlight w:val="none"/>
          <w:u w:val="dotted"/>
        </w:rPr>
        <w:t xml:space="preserve">                                        </w:t>
      </w:r>
    </w:p>
    <w:p w14:paraId="436E1020">
      <w:pPr>
        <w:adjustRightInd w:val="0"/>
        <w:snapToGrid w:val="0"/>
        <w:spacing w:line="360" w:lineRule="auto"/>
        <w:rPr>
          <w:rFonts w:ascii="宋体" w:cs="宋体"/>
          <w:color w:val="auto"/>
          <w:sz w:val="24"/>
          <w:highlight w:val="none"/>
        </w:rPr>
      </w:pPr>
      <w:r>
        <w:rPr>
          <w:rFonts w:hint="eastAsia" w:ascii="宋体" w:cs="宋体"/>
          <w:color w:val="auto"/>
          <w:sz w:val="24"/>
          <w:highlight w:val="none"/>
        </w:rPr>
        <w:t>地址：</w:t>
      </w:r>
      <w:r>
        <w:rPr>
          <w:rFonts w:hint="eastAsia" w:ascii="宋体" w:cs="宋体"/>
          <w:color w:val="auto"/>
          <w:sz w:val="24"/>
          <w:highlight w:val="none"/>
          <w:u w:val="dotted"/>
        </w:rPr>
        <w:t xml:space="preserve">                          </w:t>
      </w:r>
      <w:r>
        <w:rPr>
          <w:rFonts w:hint="eastAsia" w:ascii="宋体" w:cs="宋体"/>
          <w:color w:val="auto"/>
          <w:sz w:val="24"/>
          <w:highlight w:val="none"/>
        </w:rPr>
        <w:t>邮编：</w:t>
      </w:r>
      <w:r>
        <w:rPr>
          <w:rFonts w:hint="eastAsia" w:ascii="宋体" w:cs="宋体"/>
          <w:color w:val="auto"/>
          <w:sz w:val="24"/>
          <w:highlight w:val="none"/>
          <w:u w:val="dotted"/>
        </w:rPr>
        <w:t xml:space="preserve">                                                   </w:t>
      </w:r>
    </w:p>
    <w:p w14:paraId="4554015E">
      <w:pPr>
        <w:adjustRightInd w:val="0"/>
        <w:snapToGrid w:val="0"/>
        <w:spacing w:line="360" w:lineRule="auto"/>
        <w:rPr>
          <w:rFonts w:ascii="宋体" w:cs="宋体"/>
          <w:color w:val="auto"/>
          <w:sz w:val="24"/>
          <w:highlight w:val="none"/>
        </w:rPr>
      </w:pPr>
      <w:r>
        <w:rPr>
          <w:rFonts w:hint="eastAsia" w:ascii="宋体" w:cs="宋体"/>
          <w:color w:val="auto"/>
          <w:sz w:val="24"/>
          <w:highlight w:val="none"/>
        </w:rPr>
        <w:t>联系人：</w:t>
      </w:r>
      <w:r>
        <w:rPr>
          <w:rFonts w:hint="eastAsia" w:ascii="宋体" w:cs="宋体"/>
          <w:color w:val="auto"/>
          <w:sz w:val="24"/>
          <w:highlight w:val="none"/>
          <w:u w:val="dotted"/>
        </w:rPr>
        <w:t xml:space="preserve">                      </w:t>
      </w:r>
      <w:r>
        <w:rPr>
          <w:rFonts w:hint="eastAsia" w:ascii="宋体" w:cs="宋体"/>
          <w:color w:val="auto"/>
          <w:sz w:val="24"/>
          <w:highlight w:val="none"/>
        </w:rPr>
        <w:t>联系电话：</w:t>
      </w:r>
      <w:r>
        <w:rPr>
          <w:rFonts w:hint="eastAsia" w:ascii="宋体" w:cs="宋体"/>
          <w:color w:val="auto"/>
          <w:sz w:val="24"/>
          <w:highlight w:val="none"/>
          <w:u w:val="dotted"/>
        </w:rPr>
        <w:t xml:space="preserve">                              </w:t>
      </w:r>
    </w:p>
    <w:p w14:paraId="7294D596">
      <w:pPr>
        <w:adjustRightInd w:val="0"/>
        <w:snapToGrid w:val="0"/>
        <w:spacing w:line="360" w:lineRule="auto"/>
        <w:rPr>
          <w:rFonts w:ascii="宋体" w:cs="宋体"/>
          <w:color w:val="auto"/>
          <w:sz w:val="24"/>
          <w:highlight w:val="none"/>
          <w:u w:val="dotted"/>
        </w:rPr>
      </w:pPr>
      <w:r>
        <w:rPr>
          <w:rFonts w:hint="eastAsia" w:ascii="宋体" w:cs="宋体"/>
          <w:color w:val="auto"/>
          <w:sz w:val="24"/>
          <w:highlight w:val="none"/>
        </w:rPr>
        <w:t>授权代表：</w:t>
      </w:r>
      <w:r>
        <w:rPr>
          <w:rFonts w:hint="eastAsia" w:ascii="宋体" w:cs="宋体"/>
          <w:color w:val="auto"/>
          <w:sz w:val="24"/>
          <w:highlight w:val="none"/>
          <w:u w:val="dotted"/>
        </w:rPr>
        <w:t xml:space="preserve">                                          </w:t>
      </w:r>
    </w:p>
    <w:p w14:paraId="5F2A481B">
      <w:pPr>
        <w:adjustRightInd w:val="0"/>
        <w:snapToGrid w:val="0"/>
        <w:spacing w:line="360" w:lineRule="auto"/>
        <w:rPr>
          <w:rFonts w:ascii="宋体" w:cs="宋体"/>
          <w:color w:val="auto"/>
          <w:sz w:val="24"/>
          <w:highlight w:val="none"/>
        </w:rPr>
      </w:pPr>
      <w:r>
        <w:rPr>
          <w:rFonts w:hint="eastAsia" w:ascii="宋体" w:cs="宋体"/>
          <w:color w:val="auto"/>
          <w:sz w:val="24"/>
          <w:highlight w:val="none"/>
        </w:rPr>
        <w:t>联系电话：</w:t>
      </w:r>
      <w:r>
        <w:rPr>
          <w:rFonts w:hint="eastAsia" w:ascii="宋体" w:cs="宋体"/>
          <w:color w:val="auto"/>
          <w:sz w:val="24"/>
          <w:highlight w:val="none"/>
          <w:u w:val="dotted"/>
        </w:rPr>
        <w:t xml:space="preserve">                                           </w:t>
      </w:r>
      <w:r>
        <w:rPr>
          <w:rFonts w:hint="eastAsia" w:ascii="宋体" w:cs="宋体"/>
          <w:color w:val="auto"/>
          <w:sz w:val="24"/>
          <w:highlight w:val="none"/>
        </w:rPr>
        <w:t xml:space="preserve"> </w:t>
      </w:r>
    </w:p>
    <w:p w14:paraId="26945380">
      <w:pPr>
        <w:adjustRightInd w:val="0"/>
        <w:snapToGrid w:val="0"/>
        <w:spacing w:line="360" w:lineRule="auto"/>
        <w:rPr>
          <w:rFonts w:ascii="宋体" w:cs="宋体"/>
          <w:color w:val="auto"/>
          <w:sz w:val="24"/>
          <w:highlight w:val="none"/>
        </w:rPr>
      </w:pPr>
      <w:r>
        <w:rPr>
          <w:rFonts w:hint="eastAsia" w:ascii="宋体" w:cs="宋体"/>
          <w:color w:val="auto"/>
          <w:sz w:val="24"/>
          <w:highlight w:val="none"/>
        </w:rPr>
        <w:t xml:space="preserve">地址： </w:t>
      </w:r>
      <w:r>
        <w:rPr>
          <w:rFonts w:hint="eastAsia" w:ascii="宋体" w:cs="宋体"/>
          <w:color w:val="auto"/>
          <w:sz w:val="24"/>
          <w:highlight w:val="none"/>
          <w:u w:val="dotted"/>
        </w:rPr>
        <w:t xml:space="preserve">                        </w:t>
      </w:r>
      <w:r>
        <w:rPr>
          <w:rFonts w:hint="eastAsia" w:ascii="宋体" w:cs="宋体"/>
          <w:color w:val="auto"/>
          <w:sz w:val="24"/>
          <w:highlight w:val="none"/>
        </w:rPr>
        <w:t>邮编：</w:t>
      </w:r>
      <w:r>
        <w:rPr>
          <w:rFonts w:hint="eastAsia" w:ascii="宋体" w:cs="宋体"/>
          <w:color w:val="auto"/>
          <w:sz w:val="24"/>
          <w:highlight w:val="none"/>
          <w:u w:val="dotted"/>
        </w:rPr>
        <w:t xml:space="preserve">                                                </w:t>
      </w:r>
    </w:p>
    <w:p w14:paraId="7A4A10D5">
      <w:pPr>
        <w:adjustRightInd w:val="0"/>
        <w:snapToGrid w:val="0"/>
        <w:spacing w:line="360" w:lineRule="auto"/>
        <w:rPr>
          <w:rFonts w:ascii="宋体" w:cs="宋体"/>
          <w:bCs/>
          <w:color w:val="auto"/>
          <w:sz w:val="24"/>
          <w:highlight w:val="none"/>
        </w:rPr>
      </w:pPr>
      <w:r>
        <w:rPr>
          <w:rFonts w:hint="eastAsia" w:ascii="宋体" w:cs="宋体"/>
          <w:bCs/>
          <w:color w:val="auto"/>
          <w:sz w:val="24"/>
          <w:highlight w:val="none"/>
        </w:rPr>
        <w:t>二、质疑项目基本情况</w:t>
      </w:r>
    </w:p>
    <w:p w14:paraId="3D3FA587">
      <w:pPr>
        <w:adjustRightInd w:val="0"/>
        <w:snapToGrid w:val="0"/>
        <w:spacing w:line="360" w:lineRule="auto"/>
        <w:rPr>
          <w:rFonts w:ascii="宋体" w:cs="宋体"/>
          <w:color w:val="auto"/>
          <w:sz w:val="24"/>
          <w:highlight w:val="none"/>
        </w:rPr>
      </w:pPr>
      <w:r>
        <w:rPr>
          <w:rFonts w:hint="eastAsia" w:ascii="宋体" w:cs="宋体"/>
          <w:color w:val="auto"/>
          <w:sz w:val="24"/>
          <w:highlight w:val="none"/>
        </w:rPr>
        <w:t>质疑项目的名称：</w:t>
      </w:r>
      <w:r>
        <w:rPr>
          <w:rFonts w:hint="eastAsia" w:ascii="宋体" w:cs="宋体"/>
          <w:color w:val="auto"/>
          <w:sz w:val="24"/>
          <w:highlight w:val="none"/>
          <w:u w:val="dotted"/>
        </w:rPr>
        <w:t xml:space="preserve">                           </w:t>
      </w:r>
    </w:p>
    <w:p w14:paraId="2221B46E">
      <w:pPr>
        <w:adjustRightInd w:val="0"/>
        <w:snapToGrid w:val="0"/>
        <w:spacing w:line="360" w:lineRule="auto"/>
        <w:rPr>
          <w:rFonts w:ascii="宋体" w:cs="宋体"/>
          <w:color w:val="auto"/>
          <w:sz w:val="24"/>
          <w:highlight w:val="none"/>
        </w:rPr>
      </w:pPr>
      <w:r>
        <w:rPr>
          <w:rFonts w:hint="eastAsia" w:ascii="宋体" w:cs="宋体"/>
          <w:color w:val="auto"/>
          <w:sz w:val="24"/>
          <w:highlight w:val="none"/>
        </w:rPr>
        <w:t>质疑项目的编号：</w:t>
      </w:r>
      <w:r>
        <w:rPr>
          <w:rFonts w:hint="eastAsia" w:ascii="宋体" w:cs="宋体"/>
          <w:color w:val="auto"/>
          <w:sz w:val="24"/>
          <w:highlight w:val="none"/>
          <w:u w:val="dotted"/>
        </w:rPr>
        <w:t xml:space="preserve">                          </w:t>
      </w:r>
      <w:r>
        <w:rPr>
          <w:rFonts w:hint="eastAsia" w:ascii="宋体" w:cs="宋体"/>
          <w:color w:val="auto"/>
          <w:sz w:val="24"/>
          <w:highlight w:val="none"/>
        </w:rPr>
        <w:t>包号：</w:t>
      </w:r>
      <w:r>
        <w:rPr>
          <w:rFonts w:hint="eastAsia" w:ascii="宋体" w:cs="宋体"/>
          <w:color w:val="auto"/>
          <w:sz w:val="24"/>
          <w:highlight w:val="none"/>
          <w:u w:val="dotted"/>
        </w:rPr>
        <w:t xml:space="preserve">                 </w:t>
      </w:r>
    </w:p>
    <w:p w14:paraId="691097ED">
      <w:pPr>
        <w:adjustRightInd w:val="0"/>
        <w:snapToGrid w:val="0"/>
        <w:spacing w:line="360" w:lineRule="auto"/>
        <w:rPr>
          <w:rFonts w:ascii="宋体" w:cs="宋体"/>
          <w:color w:val="auto"/>
          <w:sz w:val="24"/>
          <w:highlight w:val="none"/>
          <w:u w:val="dotted"/>
        </w:rPr>
      </w:pPr>
      <w:r>
        <w:rPr>
          <w:rFonts w:hint="eastAsia" w:ascii="宋体" w:cs="宋体"/>
          <w:color w:val="auto"/>
          <w:sz w:val="24"/>
          <w:highlight w:val="none"/>
        </w:rPr>
        <w:t>采购人名称：</w:t>
      </w:r>
      <w:r>
        <w:rPr>
          <w:rFonts w:hint="eastAsia" w:ascii="宋体" w:cs="宋体"/>
          <w:color w:val="auto"/>
          <w:sz w:val="24"/>
          <w:highlight w:val="none"/>
          <w:u w:val="dotted"/>
        </w:rPr>
        <w:t xml:space="preserve">  </w:t>
      </w:r>
      <w:bookmarkStart w:id="310" w:name="PO_3000001867_PM026_5"/>
      <w:r>
        <w:rPr>
          <w:rFonts w:hint="eastAsia" w:ascii="宋体" w:cs="宋体"/>
          <w:color w:val="auto"/>
          <w:sz w:val="24"/>
          <w:highlight w:val="none"/>
          <w:u w:val="dotted"/>
        </w:rPr>
        <w:t xml:space="preserve">                        </w:t>
      </w:r>
      <w:bookmarkEnd w:id="310"/>
      <w:r>
        <w:rPr>
          <w:rFonts w:hint="eastAsia" w:ascii="宋体" w:cs="宋体"/>
          <w:color w:val="auto"/>
          <w:sz w:val="24"/>
          <w:highlight w:val="none"/>
          <w:u w:val="dotted"/>
        </w:rPr>
        <w:t xml:space="preserve">  </w:t>
      </w:r>
    </w:p>
    <w:p w14:paraId="4748FFD6">
      <w:pPr>
        <w:adjustRightInd w:val="0"/>
        <w:snapToGrid w:val="0"/>
        <w:spacing w:line="360" w:lineRule="auto"/>
        <w:rPr>
          <w:rFonts w:ascii="宋体" w:cs="宋体"/>
          <w:color w:val="auto"/>
          <w:sz w:val="24"/>
          <w:highlight w:val="none"/>
          <w:lang w:val="zh-CN"/>
        </w:rPr>
      </w:pPr>
      <w:r>
        <w:rPr>
          <w:rFonts w:hint="eastAsia" w:ascii="宋体" w:cs="宋体"/>
          <w:color w:val="auto"/>
          <w:sz w:val="24"/>
          <w:highlight w:val="none"/>
          <w:lang w:val="zh-CN"/>
        </w:rPr>
        <w:t>质疑事项：</w:t>
      </w:r>
    </w:p>
    <w:p w14:paraId="07C30CCC">
      <w:pPr>
        <w:adjustRightInd w:val="0"/>
        <w:snapToGrid w:val="0"/>
        <w:spacing w:line="360" w:lineRule="auto"/>
        <w:rPr>
          <w:rFonts w:ascii="宋体" w:cs="宋体"/>
          <w:color w:val="auto"/>
          <w:sz w:val="24"/>
          <w:highlight w:val="none"/>
          <w:lang w:val="zh-CN"/>
        </w:rPr>
      </w:pPr>
      <w:r>
        <w:rPr>
          <w:rFonts w:hint="eastAsia" w:ascii="宋体" w:cs="宋体"/>
          <w:color w:val="auto"/>
          <w:sz w:val="24"/>
          <w:highlight w:val="none"/>
          <w:lang w:val="zh-CN"/>
        </w:rPr>
        <w:t>□采购文件   采购文件获取日期：</w:t>
      </w:r>
      <w:r>
        <w:rPr>
          <w:rFonts w:hint="eastAsia" w:ascii="宋体" w:cs="宋体"/>
          <w:color w:val="auto"/>
          <w:sz w:val="24"/>
          <w:highlight w:val="none"/>
          <w:u w:val="dotted"/>
        </w:rPr>
        <w:t xml:space="preserve">                         </w:t>
      </w:r>
      <w:r>
        <w:rPr>
          <w:rFonts w:hint="eastAsia" w:ascii="宋体" w:cs="宋体"/>
          <w:color w:val="auto"/>
          <w:sz w:val="24"/>
          <w:highlight w:val="none"/>
          <w:lang w:val="zh-CN"/>
        </w:rPr>
        <w:t xml:space="preserve">  </w:t>
      </w:r>
    </w:p>
    <w:p w14:paraId="65D71EFF">
      <w:pPr>
        <w:adjustRightInd w:val="0"/>
        <w:snapToGrid w:val="0"/>
        <w:spacing w:line="360" w:lineRule="auto"/>
        <w:rPr>
          <w:rFonts w:ascii="宋体" w:cs="宋体"/>
          <w:color w:val="auto"/>
          <w:sz w:val="24"/>
          <w:highlight w:val="none"/>
          <w:lang w:val="zh-CN"/>
        </w:rPr>
      </w:pPr>
      <w:r>
        <w:rPr>
          <w:rFonts w:hint="eastAsia" w:ascii="宋体" w:cs="宋体"/>
          <w:color w:val="auto"/>
          <w:sz w:val="24"/>
          <w:highlight w:val="none"/>
          <w:lang w:val="zh-CN"/>
        </w:rPr>
        <w:t xml:space="preserve">□采购过程   </w:t>
      </w:r>
    </w:p>
    <w:p w14:paraId="1116967B">
      <w:pPr>
        <w:adjustRightInd w:val="0"/>
        <w:snapToGrid w:val="0"/>
        <w:spacing w:line="360" w:lineRule="auto"/>
        <w:rPr>
          <w:rFonts w:ascii="宋体" w:cs="宋体"/>
          <w:color w:val="auto"/>
          <w:sz w:val="24"/>
          <w:highlight w:val="none"/>
          <w:lang w:val="zh-CN"/>
        </w:rPr>
      </w:pPr>
      <w:r>
        <w:rPr>
          <w:rFonts w:hint="eastAsia" w:ascii="宋体" w:cs="宋体"/>
          <w:color w:val="auto"/>
          <w:sz w:val="24"/>
          <w:highlight w:val="none"/>
          <w:lang w:val="zh-CN"/>
        </w:rPr>
        <w:t xml:space="preserve">□中标结果   </w:t>
      </w:r>
    </w:p>
    <w:p w14:paraId="64E41E58">
      <w:pPr>
        <w:adjustRightInd w:val="0"/>
        <w:snapToGrid w:val="0"/>
        <w:spacing w:line="360" w:lineRule="auto"/>
        <w:rPr>
          <w:rFonts w:ascii="宋体" w:cs="宋体"/>
          <w:bCs/>
          <w:color w:val="auto"/>
          <w:sz w:val="24"/>
          <w:highlight w:val="none"/>
        </w:rPr>
      </w:pPr>
      <w:r>
        <w:rPr>
          <w:rFonts w:hint="eastAsia" w:ascii="宋体" w:cs="宋体"/>
          <w:bCs/>
          <w:color w:val="auto"/>
          <w:sz w:val="24"/>
          <w:highlight w:val="none"/>
        </w:rPr>
        <w:t>三、质疑事项具体内容</w:t>
      </w:r>
    </w:p>
    <w:p w14:paraId="1DF14F82">
      <w:pPr>
        <w:adjustRightInd w:val="0"/>
        <w:snapToGrid w:val="0"/>
        <w:spacing w:line="360" w:lineRule="auto"/>
        <w:rPr>
          <w:rFonts w:ascii="宋体" w:cs="宋体"/>
          <w:color w:val="auto"/>
          <w:sz w:val="24"/>
          <w:highlight w:val="none"/>
          <w:u w:val="dotted"/>
        </w:rPr>
      </w:pPr>
      <w:r>
        <w:rPr>
          <w:rFonts w:hint="eastAsia" w:ascii="宋体" w:cs="宋体"/>
          <w:color w:val="auto"/>
          <w:sz w:val="24"/>
          <w:highlight w:val="none"/>
        </w:rPr>
        <w:t>质疑事项1：</w:t>
      </w:r>
      <w:r>
        <w:rPr>
          <w:rFonts w:hint="eastAsia" w:ascii="宋体" w:cs="宋体"/>
          <w:color w:val="auto"/>
          <w:sz w:val="24"/>
          <w:highlight w:val="none"/>
          <w:u w:val="dotted"/>
        </w:rPr>
        <w:t xml:space="preserve">                                         </w:t>
      </w:r>
    </w:p>
    <w:p w14:paraId="2F632794">
      <w:pPr>
        <w:adjustRightInd w:val="0"/>
        <w:snapToGrid w:val="0"/>
        <w:spacing w:line="360" w:lineRule="auto"/>
        <w:rPr>
          <w:rFonts w:ascii="宋体" w:cs="宋体"/>
          <w:color w:val="auto"/>
          <w:sz w:val="24"/>
          <w:highlight w:val="none"/>
          <w:u w:val="dotted"/>
        </w:rPr>
      </w:pPr>
      <w:r>
        <w:rPr>
          <w:rFonts w:hint="eastAsia" w:ascii="宋体" w:cs="宋体"/>
          <w:color w:val="auto"/>
          <w:sz w:val="24"/>
          <w:highlight w:val="none"/>
        </w:rPr>
        <w:t>事实依据：</w:t>
      </w:r>
      <w:r>
        <w:rPr>
          <w:rFonts w:hint="eastAsia" w:ascii="宋体" w:cs="宋体"/>
          <w:color w:val="auto"/>
          <w:sz w:val="24"/>
          <w:highlight w:val="none"/>
          <w:u w:val="dotted"/>
        </w:rPr>
        <w:t xml:space="preserve">                                          </w:t>
      </w:r>
    </w:p>
    <w:p w14:paraId="06266406">
      <w:pPr>
        <w:adjustRightInd w:val="0"/>
        <w:snapToGrid w:val="0"/>
        <w:spacing w:line="360" w:lineRule="auto"/>
        <w:rPr>
          <w:rFonts w:ascii="宋体" w:cs="宋体"/>
          <w:color w:val="auto"/>
          <w:sz w:val="24"/>
          <w:highlight w:val="none"/>
        </w:rPr>
      </w:pPr>
      <w:r>
        <w:rPr>
          <w:rFonts w:hint="eastAsia" w:ascii="宋体" w:cs="宋体"/>
          <w:color w:val="auto"/>
          <w:sz w:val="24"/>
          <w:highlight w:val="none"/>
          <w:u w:val="dotted"/>
        </w:rPr>
        <w:t xml:space="preserve">                                                       </w:t>
      </w:r>
    </w:p>
    <w:p w14:paraId="5EDF44BA">
      <w:pPr>
        <w:adjustRightInd w:val="0"/>
        <w:snapToGrid w:val="0"/>
        <w:spacing w:line="360" w:lineRule="auto"/>
        <w:rPr>
          <w:rFonts w:ascii="宋体" w:cs="宋体"/>
          <w:color w:val="auto"/>
          <w:sz w:val="24"/>
          <w:highlight w:val="none"/>
          <w:u w:val="dotted"/>
        </w:rPr>
      </w:pPr>
      <w:r>
        <w:rPr>
          <w:rFonts w:hint="eastAsia" w:ascii="宋体" w:cs="宋体"/>
          <w:color w:val="auto"/>
          <w:sz w:val="24"/>
          <w:highlight w:val="none"/>
        </w:rPr>
        <w:t>法律依据：</w:t>
      </w:r>
      <w:r>
        <w:rPr>
          <w:rFonts w:hint="eastAsia" w:ascii="宋体" w:cs="宋体"/>
          <w:color w:val="auto"/>
          <w:sz w:val="24"/>
          <w:highlight w:val="none"/>
          <w:u w:val="dotted"/>
        </w:rPr>
        <w:t xml:space="preserve">                                          </w:t>
      </w:r>
    </w:p>
    <w:p w14:paraId="3E8A0D80">
      <w:pPr>
        <w:adjustRightInd w:val="0"/>
        <w:snapToGrid w:val="0"/>
        <w:spacing w:line="360" w:lineRule="auto"/>
        <w:rPr>
          <w:rFonts w:ascii="宋体" w:cs="宋体"/>
          <w:color w:val="auto"/>
          <w:sz w:val="24"/>
          <w:highlight w:val="none"/>
          <w:u w:val="dotted"/>
        </w:rPr>
      </w:pPr>
      <w:r>
        <w:rPr>
          <w:rFonts w:hint="eastAsia" w:ascii="宋体" w:cs="宋体"/>
          <w:color w:val="auto"/>
          <w:sz w:val="24"/>
          <w:highlight w:val="none"/>
          <w:u w:val="dotted"/>
        </w:rPr>
        <w:t xml:space="preserve">                                                     </w:t>
      </w:r>
    </w:p>
    <w:p w14:paraId="4EB20FC4">
      <w:pPr>
        <w:adjustRightInd w:val="0"/>
        <w:snapToGrid w:val="0"/>
        <w:spacing w:line="360" w:lineRule="auto"/>
        <w:rPr>
          <w:rFonts w:ascii="宋体" w:cs="宋体"/>
          <w:color w:val="auto"/>
          <w:sz w:val="24"/>
          <w:highlight w:val="none"/>
          <w:u w:val="dotted"/>
        </w:rPr>
      </w:pPr>
      <w:r>
        <w:rPr>
          <w:rFonts w:hint="eastAsia" w:ascii="宋体" w:cs="宋体"/>
          <w:color w:val="auto"/>
          <w:sz w:val="24"/>
          <w:highlight w:val="none"/>
        </w:rPr>
        <w:t>质疑事项2</w:t>
      </w:r>
    </w:p>
    <w:p w14:paraId="02608BB3">
      <w:pPr>
        <w:adjustRightInd w:val="0"/>
        <w:snapToGrid w:val="0"/>
        <w:spacing w:line="360" w:lineRule="auto"/>
        <w:rPr>
          <w:rFonts w:ascii="宋体" w:cs="宋体"/>
          <w:color w:val="auto"/>
          <w:sz w:val="24"/>
          <w:highlight w:val="none"/>
        </w:rPr>
      </w:pPr>
      <w:r>
        <w:rPr>
          <w:rFonts w:hint="eastAsia" w:ascii="宋体" w:cs="宋体"/>
          <w:color w:val="auto"/>
          <w:sz w:val="24"/>
          <w:highlight w:val="none"/>
        </w:rPr>
        <w:t>……</w:t>
      </w:r>
    </w:p>
    <w:p w14:paraId="4B55BAAB">
      <w:pPr>
        <w:adjustRightInd w:val="0"/>
        <w:snapToGrid w:val="0"/>
        <w:spacing w:line="360" w:lineRule="auto"/>
        <w:rPr>
          <w:rFonts w:ascii="宋体" w:cs="宋体"/>
          <w:bCs/>
          <w:color w:val="auto"/>
          <w:sz w:val="24"/>
          <w:highlight w:val="none"/>
        </w:rPr>
      </w:pPr>
      <w:r>
        <w:rPr>
          <w:rFonts w:hint="eastAsia" w:ascii="宋体" w:cs="宋体"/>
          <w:bCs/>
          <w:color w:val="auto"/>
          <w:sz w:val="24"/>
          <w:highlight w:val="none"/>
        </w:rPr>
        <w:t>四、与质疑事项相关的质疑请求</w:t>
      </w:r>
    </w:p>
    <w:p w14:paraId="59B4A949">
      <w:pPr>
        <w:adjustRightInd w:val="0"/>
        <w:snapToGrid w:val="0"/>
        <w:spacing w:line="360" w:lineRule="auto"/>
        <w:rPr>
          <w:rFonts w:ascii="宋体" w:cs="宋体"/>
          <w:color w:val="auto"/>
          <w:sz w:val="24"/>
          <w:highlight w:val="none"/>
          <w:u w:val="dotted"/>
        </w:rPr>
      </w:pPr>
      <w:r>
        <w:rPr>
          <w:rFonts w:hint="eastAsia" w:ascii="宋体" w:cs="宋体"/>
          <w:color w:val="auto"/>
          <w:sz w:val="24"/>
          <w:highlight w:val="none"/>
        </w:rPr>
        <w:t>请求：</w:t>
      </w:r>
      <w:r>
        <w:rPr>
          <w:rFonts w:hint="eastAsia" w:ascii="宋体" w:cs="宋体"/>
          <w:color w:val="auto"/>
          <w:sz w:val="24"/>
          <w:highlight w:val="none"/>
          <w:u w:val="dotted"/>
        </w:rPr>
        <w:t xml:space="preserve">                                               </w:t>
      </w:r>
    </w:p>
    <w:p w14:paraId="34A6AE89">
      <w:pPr>
        <w:rPr>
          <w:rFonts w:ascii="宋体" w:cs="宋体"/>
          <w:color w:val="auto"/>
          <w:sz w:val="24"/>
          <w:highlight w:val="none"/>
        </w:rPr>
      </w:pPr>
      <w:r>
        <w:rPr>
          <w:rFonts w:hint="eastAsia" w:ascii="宋体" w:cs="宋体"/>
          <w:color w:val="auto"/>
          <w:sz w:val="24"/>
          <w:highlight w:val="none"/>
        </w:rPr>
        <w:t xml:space="preserve">签字(签章)：                   公章：                      </w:t>
      </w:r>
    </w:p>
    <w:p w14:paraId="265AEA5C">
      <w:pPr>
        <w:ind w:firstLine="6240" w:firstLineChars="2600"/>
        <w:rPr>
          <w:rFonts w:ascii="宋体" w:cs="宋体"/>
          <w:color w:val="auto"/>
          <w:sz w:val="24"/>
          <w:highlight w:val="none"/>
        </w:rPr>
      </w:pPr>
      <w:r>
        <w:rPr>
          <w:rFonts w:hint="eastAsia" w:ascii="宋体" w:cs="宋体"/>
          <w:color w:val="auto"/>
          <w:sz w:val="24"/>
          <w:highlight w:val="none"/>
        </w:rPr>
        <w:t xml:space="preserve">日期：    </w:t>
      </w:r>
    </w:p>
    <w:p w14:paraId="30260E1F">
      <w:pPr>
        <w:rPr>
          <w:rFonts w:ascii="宋体" w:cs="宋体"/>
          <w:b/>
          <w:color w:val="auto"/>
          <w:sz w:val="24"/>
          <w:highlight w:val="none"/>
        </w:rPr>
      </w:pPr>
    </w:p>
    <w:p w14:paraId="4083E251">
      <w:pPr>
        <w:spacing w:line="360" w:lineRule="auto"/>
        <w:rPr>
          <w:rFonts w:ascii="宋体" w:cs="宋体"/>
          <w:b/>
          <w:color w:val="auto"/>
          <w:sz w:val="24"/>
          <w:highlight w:val="none"/>
        </w:rPr>
      </w:pPr>
      <w:r>
        <w:rPr>
          <w:rFonts w:hint="eastAsia" w:ascii="宋体" w:cs="宋体"/>
          <w:b/>
          <w:color w:val="auto"/>
          <w:sz w:val="24"/>
          <w:highlight w:val="none"/>
        </w:rPr>
        <w:t>质疑函制作说明：</w:t>
      </w:r>
    </w:p>
    <w:p w14:paraId="727B1BD8">
      <w:pPr>
        <w:widowControl/>
        <w:spacing w:line="360" w:lineRule="auto"/>
        <w:ind w:firstLine="420" w:firstLineChars="200"/>
        <w:jc w:val="left"/>
        <w:rPr>
          <w:rFonts w:ascii="宋体" w:cs="宋体"/>
          <w:color w:val="auto"/>
          <w:szCs w:val="21"/>
          <w:highlight w:val="none"/>
        </w:rPr>
      </w:pPr>
      <w:r>
        <w:rPr>
          <w:rFonts w:hint="eastAsia" w:ascii="宋体" w:cs="宋体"/>
          <w:color w:val="auto"/>
          <w:szCs w:val="21"/>
          <w:highlight w:val="none"/>
        </w:rPr>
        <w:t>1.供应商提出质疑时，应提交质疑函和必要的证明材料。</w:t>
      </w:r>
    </w:p>
    <w:p w14:paraId="394E0836">
      <w:pPr>
        <w:widowControl/>
        <w:spacing w:line="360" w:lineRule="auto"/>
        <w:ind w:firstLine="420" w:firstLineChars="200"/>
        <w:jc w:val="left"/>
        <w:rPr>
          <w:rFonts w:ascii="宋体" w:cs="宋体"/>
          <w:color w:val="auto"/>
          <w:szCs w:val="21"/>
          <w:highlight w:val="none"/>
        </w:rPr>
      </w:pPr>
      <w:r>
        <w:rPr>
          <w:rFonts w:hint="eastAsia" w:ascii="宋体" w:cs="宋体"/>
          <w:color w:val="auto"/>
          <w:szCs w:val="21"/>
          <w:highlight w:val="none"/>
        </w:rPr>
        <w:t>2.质疑供应商若委托代理人进行质疑的，质疑函应按要求列明“授权代表”的有关内容，并在附件中提交由质疑</w:t>
      </w:r>
      <w:r>
        <w:rPr>
          <w:rFonts w:hint="eastAsia" w:ascii="宋体" w:cs="宋体"/>
          <w:color w:val="auto"/>
          <w:kern w:val="0"/>
          <w:szCs w:val="21"/>
          <w:highlight w:val="none"/>
        </w:rPr>
        <w:t>供应商签署的授权委托书。授权委托书应载明代理人的姓名或者名称、代理事项、具体权限、期限和相关事项。</w:t>
      </w:r>
    </w:p>
    <w:p w14:paraId="4A554F72">
      <w:pPr>
        <w:widowControl/>
        <w:spacing w:line="360" w:lineRule="auto"/>
        <w:ind w:firstLine="420" w:firstLineChars="200"/>
        <w:jc w:val="left"/>
        <w:rPr>
          <w:rFonts w:ascii="宋体" w:cs="宋体"/>
          <w:color w:val="auto"/>
          <w:szCs w:val="21"/>
          <w:highlight w:val="none"/>
        </w:rPr>
      </w:pPr>
      <w:r>
        <w:rPr>
          <w:rFonts w:hint="eastAsia" w:ascii="宋体" w:cs="宋体"/>
          <w:color w:val="auto"/>
          <w:szCs w:val="21"/>
          <w:highlight w:val="none"/>
        </w:rPr>
        <w:t>3.质疑供应商若对项目的某一分包进行质疑，质疑函中应列明具体分包号。</w:t>
      </w:r>
    </w:p>
    <w:p w14:paraId="4AD784BE">
      <w:pPr>
        <w:widowControl/>
        <w:spacing w:line="360" w:lineRule="auto"/>
        <w:ind w:firstLine="420" w:firstLineChars="200"/>
        <w:jc w:val="left"/>
        <w:rPr>
          <w:rFonts w:ascii="宋体" w:cs="宋体"/>
          <w:color w:val="auto"/>
          <w:szCs w:val="21"/>
          <w:highlight w:val="none"/>
        </w:rPr>
      </w:pPr>
      <w:r>
        <w:rPr>
          <w:rFonts w:hint="eastAsia" w:ascii="宋体" w:cs="宋体"/>
          <w:color w:val="auto"/>
          <w:szCs w:val="21"/>
          <w:highlight w:val="none"/>
        </w:rPr>
        <w:t>4.质疑函的质疑事项应具体、明确，并有必要的事实依据和法律依据。</w:t>
      </w:r>
    </w:p>
    <w:p w14:paraId="594AE0C5">
      <w:pPr>
        <w:widowControl/>
        <w:spacing w:line="360" w:lineRule="auto"/>
        <w:ind w:firstLine="420" w:firstLineChars="200"/>
        <w:jc w:val="left"/>
        <w:rPr>
          <w:rFonts w:ascii="宋体" w:cs="宋体"/>
          <w:color w:val="auto"/>
          <w:szCs w:val="21"/>
          <w:highlight w:val="none"/>
        </w:rPr>
      </w:pPr>
      <w:r>
        <w:rPr>
          <w:rFonts w:hint="eastAsia" w:ascii="宋体" w:cs="宋体"/>
          <w:color w:val="auto"/>
          <w:szCs w:val="21"/>
          <w:highlight w:val="none"/>
        </w:rPr>
        <w:t>5.质疑函的质疑请求应与质疑事项相关。</w:t>
      </w:r>
    </w:p>
    <w:p w14:paraId="3C2077C6">
      <w:pPr>
        <w:widowControl/>
        <w:spacing w:line="360" w:lineRule="auto"/>
        <w:ind w:firstLine="420" w:firstLineChars="200"/>
        <w:jc w:val="left"/>
        <w:rPr>
          <w:rFonts w:ascii="宋体" w:cs="宋体"/>
          <w:color w:val="auto"/>
          <w:sz w:val="28"/>
          <w:szCs w:val="28"/>
          <w:highlight w:val="none"/>
        </w:rPr>
      </w:pPr>
      <w:r>
        <w:rPr>
          <w:rFonts w:hint="eastAsia" w:ascii="宋体" w:cs="宋体"/>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0AA9E50F">
      <w:pPr>
        <w:jc w:val="center"/>
        <w:outlineLvl w:val="9"/>
        <w:rPr>
          <w:rFonts w:ascii="宋体" w:eastAsia="宋体" w:cs="宋体"/>
          <w:b w:val="0"/>
          <w:bCs w:val="0"/>
          <w:color w:val="auto"/>
          <w:highlight w:val="none"/>
        </w:rPr>
      </w:pPr>
      <w:bookmarkStart w:id="311" w:name="_Toc31115"/>
      <w:bookmarkStart w:id="312" w:name="_Toc11085"/>
    </w:p>
    <w:p w14:paraId="7565FA7E">
      <w:pPr>
        <w:jc w:val="center"/>
        <w:outlineLvl w:val="9"/>
        <w:rPr>
          <w:rFonts w:ascii="宋体" w:eastAsia="宋体" w:cs="宋体"/>
          <w:b w:val="0"/>
          <w:bCs w:val="0"/>
          <w:color w:val="auto"/>
          <w:highlight w:val="none"/>
        </w:rPr>
      </w:pPr>
    </w:p>
    <w:p w14:paraId="0DEF833A">
      <w:pPr>
        <w:jc w:val="center"/>
        <w:outlineLvl w:val="9"/>
        <w:rPr>
          <w:rFonts w:ascii="宋体" w:eastAsia="宋体" w:cs="宋体"/>
          <w:b w:val="0"/>
          <w:bCs w:val="0"/>
          <w:color w:val="auto"/>
          <w:highlight w:val="none"/>
        </w:rPr>
      </w:pPr>
    </w:p>
    <w:p w14:paraId="71429B39">
      <w:pPr>
        <w:jc w:val="center"/>
        <w:outlineLvl w:val="9"/>
        <w:rPr>
          <w:rFonts w:ascii="宋体" w:eastAsia="宋体" w:cs="宋体"/>
          <w:b w:val="0"/>
          <w:bCs w:val="0"/>
          <w:color w:val="auto"/>
          <w:highlight w:val="none"/>
        </w:rPr>
      </w:pPr>
    </w:p>
    <w:p w14:paraId="0B9E740F">
      <w:pPr>
        <w:rPr>
          <w:rFonts w:ascii="宋体" w:cs="宋体"/>
          <w:color w:val="auto"/>
          <w:highlight w:val="none"/>
        </w:rPr>
      </w:pPr>
    </w:p>
    <w:p w14:paraId="0243EDBB">
      <w:pPr>
        <w:pStyle w:val="20"/>
        <w:rPr>
          <w:rFonts w:ascii="宋体" w:cs="宋体"/>
          <w:color w:val="auto"/>
          <w:highlight w:val="none"/>
        </w:rPr>
      </w:pPr>
    </w:p>
    <w:p w14:paraId="5966020E">
      <w:pPr>
        <w:pStyle w:val="20"/>
        <w:rPr>
          <w:rFonts w:ascii="宋体" w:cs="宋体"/>
          <w:color w:val="auto"/>
          <w:highlight w:val="none"/>
        </w:rPr>
      </w:pPr>
    </w:p>
    <w:p w14:paraId="1485B95F">
      <w:pPr>
        <w:pStyle w:val="20"/>
        <w:rPr>
          <w:rFonts w:ascii="宋体" w:cs="宋体"/>
          <w:color w:val="auto"/>
          <w:highlight w:val="none"/>
        </w:rPr>
      </w:pPr>
    </w:p>
    <w:p w14:paraId="0FAA6090">
      <w:pPr>
        <w:pStyle w:val="20"/>
        <w:rPr>
          <w:rFonts w:ascii="宋体" w:cs="宋体"/>
          <w:color w:val="auto"/>
          <w:highlight w:val="none"/>
        </w:rPr>
      </w:pPr>
    </w:p>
    <w:p w14:paraId="3A8EBBFD">
      <w:pPr>
        <w:pStyle w:val="20"/>
        <w:rPr>
          <w:rFonts w:ascii="宋体" w:cs="宋体"/>
          <w:color w:val="auto"/>
          <w:highlight w:val="none"/>
        </w:rPr>
      </w:pPr>
    </w:p>
    <w:p w14:paraId="6CE26E6F">
      <w:pPr>
        <w:pStyle w:val="20"/>
        <w:rPr>
          <w:rFonts w:ascii="宋体" w:cs="宋体"/>
          <w:color w:val="auto"/>
          <w:highlight w:val="none"/>
        </w:rPr>
      </w:pPr>
    </w:p>
    <w:p w14:paraId="092B703E">
      <w:pPr>
        <w:pStyle w:val="20"/>
        <w:rPr>
          <w:rFonts w:ascii="宋体" w:cs="宋体"/>
          <w:color w:val="auto"/>
          <w:highlight w:val="none"/>
        </w:rPr>
      </w:pPr>
    </w:p>
    <w:p w14:paraId="4066820E">
      <w:pPr>
        <w:pStyle w:val="20"/>
        <w:rPr>
          <w:rFonts w:ascii="宋体" w:cs="宋体"/>
          <w:color w:val="auto"/>
          <w:highlight w:val="none"/>
        </w:rPr>
      </w:pPr>
    </w:p>
    <w:p w14:paraId="5F4F548C">
      <w:pPr>
        <w:pStyle w:val="20"/>
        <w:rPr>
          <w:rFonts w:ascii="宋体" w:cs="宋体"/>
          <w:color w:val="auto"/>
          <w:highlight w:val="none"/>
        </w:rPr>
      </w:pPr>
    </w:p>
    <w:p w14:paraId="6F5A883E">
      <w:pPr>
        <w:pStyle w:val="20"/>
        <w:rPr>
          <w:rFonts w:ascii="宋体" w:cs="宋体"/>
          <w:color w:val="auto"/>
          <w:highlight w:val="none"/>
        </w:rPr>
      </w:pPr>
    </w:p>
    <w:p w14:paraId="239C6C69">
      <w:pPr>
        <w:pStyle w:val="20"/>
        <w:rPr>
          <w:rFonts w:ascii="宋体" w:cs="宋体"/>
          <w:color w:val="auto"/>
          <w:highlight w:val="none"/>
        </w:rPr>
      </w:pPr>
    </w:p>
    <w:p w14:paraId="1F3196CA">
      <w:pPr>
        <w:pStyle w:val="20"/>
        <w:rPr>
          <w:rFonts w:ascii="宋体" w:cs="宋体"/>
          <w:color w:val="auto"/>
          <w:highlight w:val="none"/>
        </w:rPr>
      </w:pPr>
    </w:p>
    <w:p w14:paraId="004E13C7">
      <w:pPr>
        <w:pStyle w:val="20"/>
        <w:rPr>
          <w:rFonts w:ascii="宋体" w:cs="宋体"/>
          <w:color w:val="auto"/>
          <w:highlight w:val="none"/>
        </w:rPr>
        <w:sectPr>
          <w:footerReference r:id="rId8" w:type="first"/>
          <w:headerReference r:id="rId5" w:type="default"/>
          <w:footerReference r:id="rId6" w:type="default"/>
          <w:footerReference r:id="rId7" w:type="even"/>
          <w:pgSz w:w="11906" w:h="16838"/>
          <w:pgMar w:top="1134" w:right="1134" w:bottom="1134" w:left="1134" w:header="720" w:footer="720" w:gutter="0"/>
          <w:cols w:space="720" w:num="1"/>
          <w:docGrid w:type="lines" w:linePitch="331" w:charSpace="0"/>
        </w:sectPr>
      </w:pPr>
    </w:p>
    <w:p w14:paraId="0BD58AB0">
      <w:pPr>
        <w:pStyle w:val="3"/>
        <w:jc w:val="center"/>
        <w:rPr>
          <w:rFonts w:ascii="宋体" w:eastAsia="宋体" w:cs="宋体"/>
          <w:b w:val="0"/>
          <w:bCs w:val="0"/>
          <w:color w:val="auto"/>
          <w:highlight w:val="none"/>
        </w:rPr>
      </w:pPr>
      <w:bookmarkStart w:id="313" w:name="_Toc22163"/>
      <w:bookmarkStart w:id="314" w:name="_Toc11120"/>
      <w:bookmarkStart w:id="315" w:name="_Toc6950"/>
      <w:r>
        <w:rPr>
          <w:rFonts w:hint="eastAsia" w:ascii="宋体" w:eastAsia="宋体" w:cs="宋体"/>
          <w:b w:val="0"/>
          <w:bCs w:val="0"/>
          <w:color w:val="auto"/>
          <w:highlight w:val="none"/>
        </w:rPr>
        <w:t>第二节 投诉书（格式，投标时不需提供）</w:t>
      </w:r>
      <w:bookmarkEnd w:id="311"/>
      <w:bookmarkEnd w:id="312"/>
      <w:bookmarkEnd w:id="313"/>
      <w:bookmarkEnd w:id="314"/>
      <w:bookmarkEnd w:id="315"/>
    </w:p>
    <w:p w14:paraId="10B60F4C">
      <w:pPr>
        <w:jc w:val="center"/>
        <w:rPr>
          <w:rFonts w:ascii="宋体" w:cs="宋体"/>
          <w:b/>
          <w:color w:val="auto"/>
          <w:sz w:val="44"/>
          <w:szCs w:val="44"/>
          <w:highlight w:val="none"/>
        </w:rPr>
      </w:pPr>
      <w:r>
        <w:rPr>
          <w:rFonts w:hint="eastAsia" w:ascii="宋体" w:cs="宋体"/>
          <w:b/>
          <w:color w:val="auto"/>
          <w:sz w:val="30"/>
          <w:szCs w:val="30"/>
          <w:highlight w:val="none"/>
        </w:rPr>
        <w:t>投诉书</w:t>
      </w:r>
    </w:p>
    <w:p w14:paraId="1EE06DA6">
      <w:pPr>
        <w:spacing w:line="360" w:lineRule="auto"/>
        <w:rPr>
          <w:rFonts w:ascii="宋体" w:cs="宋体"/>
          <w:color w:val="auto"/>
          <w:sz w:val="24"/>
          <w:highlight w:val="none"/>
        </w:rPr>
      </w:pPr>
      <w:r>
        <w:rPr>
          <w:rFonts w:hint="eastAsia" w:ascii="宋体" w:cs="宋体"/>
          <w:color w:val="auto"/>
          <w:sz w:val="24"/>
          <w:highlight w:val="none"/>
        </w:rPr>
        <w:t>一、投诉相关主体基本情况</w:t>
      </w:r>
    </w:p>
    <w:p w14:paraId="46F90A4B">
      <w:pPr>
        <w:spacing w:line="360" w:lineRule="auto"/>
        <w:rPr>
          <w:rFonts w:ascii="宋体" w:cs="宋体"/>
          <w:color w:val="auto"/>
          <w:sz w:val="24"/>
          <w:highlight w:val="none"/>
          <w:u w:val="dotted"/>
        </w:rPr>
      </w:pPr>
      <w:r>
        <w:rPr>
          <w:rFonts w:hint="eastAsia" w:ascii="宋体" w:cs="宋体"/>
          <w:color w:val="auto"/>
          <w:sz w:val="24"/>
          <w:highlight w:val="none"/>
        </w:rPr>
        <w:t>投诉人：</w:t>
      </w:r>
      <w:r>
        <w:rPr>
          <w:rFonts w:hint="eastAsia" w:ascii="宋体" w:cs="宋体"/>
          <w:color w:val="auto"/>
          <w:sz w:val="24"/>
          <w:highlight w:val="none"/>
          <w:u w:val="dotted"/>
        </w:rPr>
        <w:t xml:space="preserve">                                               </w:t>
      </w:r>
    </w:p>
    <w:p w14:paraId="7F9C5A15">
      <w:pPr>
        <w:spacing w:line="360" w:lineRule="auto"/>
        <w:rPr>
          <w:rFonts w:ascii="宋体" w:cs="宋体"/>
          <w:color w:val="auto"/>
          <w:sz w:val="24"/>
          <w:highlight w:val="none"/>
          <w:u w:val="single"/>
        </w:rPr>
      </w:pPr>
      <w:r>
        <w:rPr>
          <w:rFonts w:hint="eastAsia" w:ascii="宋体" w:cs="宋体"/>
          <w:color w:val="auto"/>
          <w:sz w:val="24"/>
          <w:highlight w:val="none"/>
        </w:rPr>
        <w:t>地     址：</w:t>
      </w:r>
      <w:r>
        <w:rPr>
          <w:rFonts w:hint="eastAsia" w:ascii="宋体" w:cs="宋体"/>
          <w:color w:val="auto"/>
          <w:sz w:val="24"/>
          <w:highlight w:val="none"/>
          <w:u w:val="dotted"/>
        </w:rPr>
        <w:t xml:space="preserve">                             </w:t>
      </w:r>
      <w:r>
        <w:rPr>
          <w:rFonts w:hint="eastAsia" w:ascii="宋体" w:cs="宋体"/>
          <w:color w:val="auto"/>
          <w:sz w:val="24"/>
          <w:highlight w:val="none"/>
        </w:rPr>
        <w:t>邮编：</w:t>
      </w:r>
      <w:r>
        <w:rPr>
          <w:rFonts w:hint="eastAsia" w:ascii="宋体" w:cs="宋体"/>
          <w:color w:val="auto"/>
          <w:sz w:val="24"/>
          <w:highlight w:val="none"/>
          <w:u w:val="dotted"/>
        </w:rPr>
        <w:t xml:space="preserve">         </w:t>
      </w:r>
    </w:p>
    <w:p w14:paraId="72E55051">
      <w:pPr>
        <w:tabs>
          <w:tab w:val="left" w:pos="6510"/>
        </w:tabs>
        <w:spacing w:line="360" w:lineRule="auto"/>
        <w:jc w:val="left"/>
        <w:rPr>
          <w:rFonts w:ascii="宋体" w:cs="宋体"/>
          <w:color w:val="auto"/>
          <w:sz w:val="24"/>
          <w:highlight w:val="none"/>
        </w:rPr>
      </w:pPr>
      <w:r>
        <w:rPr>
          <w:rFonts w:hint="eastAsia" w:ascii="宋体" w:cs="宋体"/>
          <w:color w:val="auto"/>
          <w:sz w:val="24"/>
          <w:highlight w:val="none"/>
        </w:rPr>
        <w:t>法定代表人/主要负责人：</w:t>
      </w:r>
      <w:r>
        <w:rPr>
          <w:rFonts w:hint="eastAsia" w:ascii="宋体" w:cs="宋体"/>
          <w:color w:val="auto"/>
          <w:sz w:val="24"/>
          <w:highlight w:val="none"/>
          <w:u w:val="dotted"/>
        </w:rPr>
        <w:t xml:space="preserve">                                   </w:t>
      </w:r>
      <w:r>
        <w:rPr>
          <w:rFonts w:hint="eastAsia" w:ascii="宋体" w:cs="宋体"/>
          <w:color w:val="auto"/>
          <w:sz w:val="24"/>
          <w:highlight w:val="none"/>
        </w:rPr>
        <w:t xml:space="preserve">  </w:t>
      </w:r>
    </w:p>
    <w:p w14:paraId="26BDD1FE">
      <w:pPr>
        <w:tabs>
          <w:tab w:val="left" w:pos="6510"/>
        </w:tabs>
        <w:spacing w:line="360" w:lineRule="auto"/>
        <w:rPr>
          <w:rFonts w:ascii="宋体" w:cs="宋体"/>
          <w:color w:val="auto"/>
          <w:sz w:val="24"/>
          <w:highlight w:val="none"/>
          <w:u w:val="dotted"/>
        </w:rPr>
      </w:pPr>
      <w:r>
        <w:rPr>
          <w:rFonts w:hint="eastAsia" w:ascii="宋体" w:cs="宋体"/>
          <w:color w:val="auto"/>
          <w:sz w:val="24"/>
          <w:highlight w:val="none"/>
        </w:rPr>
        <w:t>联系电话：</w:t>
      </w:r>
      <w:r>
        <w:rPr>
          <w:rFonts w:hint="eastAsia" w:ascii="宋体" w:cs="宋体"/>
          <w:color w:val="auto"/>
          <w:sz w:val="24"/>
          <w:highlight w:val="none"/>
          <w:u w:val="dotted"/>
        </w:rPr>
        <w:t xml:space="preserve">                                             </w:t>
      </w:r>
    </w:p>
    <w:p w14:paraId="15739120">
      <w:pPr>
        <w:spacing w:line="360" w:lineRule="auto"/>
        <w:rPr>
          <w:rFonts w:ascii="宋体" w:cs="宋体"/>
          <w:color w:val="auto"/>
          <w:sz w:val="24"/>
          <w:highlight w:val="none"/>
          <w:u w:val="dotted"/>
        </w:rPr>
      </w:pPr>
      <w:r>
        <w:rPr>
          <w:rFonts w:hint="eastAsia" w:ascii="宋体" w:cs="宋体"/>
          <w:color w:val="auto"/>
          <w:sz w:val="24"/>
          <w:highlight w:val="none"/>
        </w:rPr>
        <w:t>授权代表：</w:t>
      </w:r>
      <w:r>
        <w:rPr>
          <w:rFonts w:hint="eastAsia" w:ascii="宋体" w:cs="宋体"/>
          <w:color w:val="auto"/>
          <w:sz w:val="24"/>
          <w:highlight w:val="none"/>
          <w:u w:val="dotted"/>
        </w:rPr>
        <w:t xml:space="preserve">             </w:t>
      </w:r>
      <w:r>
        <w:rPr>
          <w:rFonts w:hint="eastAsia" w:ascii="宋体" w:cs="宋体"/>
          <w:color w:val="auto"/>
          <w:sz w:val="24"/>
          <w:highlight w:val="none"/>
        </w:rPr>
        <w:t>联系电话</w:t>
      </w:r>
      <w:r>
        <w:rPr>
          <w:rFonts w:hint="eastAsia" w:ascii="宋体" w:cs="宋体"/>
          <w:color w:val="auto"/>
          <w:sz w:val="24"/>
          <w:highlight w:val="none"/>
          <w:u w:val="dotted"/>
        </w:rPr>
        <w:t xml:space="preserve">：                  </w:t>
      </w:r>
    </w:p>
    <w:p w14:paraId="134E3151">
      <w:pPr>
        <w:spacing w:line="360" w:lineRule="auto"/>
        <w:rPr>
          <w:rFonts w:ascii="宋体" w:cs="宋体"/>
          <w:color w:val="auto"/>
          <w:sz w:val="24"/>
          <w:highlight w:val="none"/>
          <w:u w:val="dotted"/>
        </w:rPr>
      </w:pPr>
      <w:r>
        <w:rPr>
          <w:rFonts w:hint="eastAsia" w:ascii="宋体" w:cs="宋体"/>
          <w:color w:val="auto"/>
          <w:sz w:val="24"/>
          <w:highlight w:val="none"/>
        </w:rPr>
        <w:t>地     址：</w:t>
      </w:r>
      <w:r>
        <w:rPr>
          <w:rFonts w:hint="eastAsia" w:ascii="宋体" w:cs="宋体"/>
          <w:color w:val="auto"/>
          <w:sz w:val="24"/>
          <w:highlight w:val="none"/>
          <w:u w:val="dotted"/>
        </w:rPr>
        <w:t xml:space="preserve">                             </w:t>
      </w:r>
      <w:r>
        <w:rPr>
          <w:rFonts w:hint="eastAsia" w:ascii="宋体" w:cs="宋体"/>
          <w:color w:val="auto"/>
          <w:sz w:val="24"/>
          <w:highlight w:val="none"/>
        </w:rPr>
        <w:t>邮编：</w:t>
      </w:r>
      <w:r>
        <w:rPr>
          <w:rFonts w:hint="eastAsia" w:ascii="宋体" w:cs="宋体"/>
          <w:color w:val="auto"/>
          <w:sz w:val="24"/>
          <w:highlight w:val="none"/>
          <w:u w:val="dotted"/>
        </w:rPr>
        <w:t xml:space="preserve">             </w:t>
      </w:r>
    </w:p>
    <w:p w14:paraId="41DA4DEE">
      <w:pPr>
        <w:spacing w:line="360" w:lineRule="auto"/>
        <w:rPr>
          <w:rFonts w:ascii="宋体" w:cs="宋体"/>
          <w:color w:val="auto"/>
          <w:sz w:val="24"/>
          <w:highlight w:val="none"/>
          <w:u w:val="single"/>
        </w:rPr>
      </w:pPr>
      <w:r>
        <w:rPr>
          <w:rFonts w:hint="eastAsia" w:ascii="宋体" w:cs="宋体"/>
          <w:color w:val="auto"/>
          <w:sz w:val="24"/>
          <w:highlight w:val="none"/>
        </w:rPr>
        <w:t>被投诉人1：</w:t>
      </w:r>
      <w:r>
        <w:rPr>
          <w:rFonts w:hint="eastAsia" w:ascii="宋体" w:cs="宋体"/>
          <w:color w:val="auto"/>
          <w:sz w:val="24"/>
          <w:highlight w:val="none"/>
          <w:u w:val="dotted"/>
        </w:rPr>
        <w:t xml:space="preserve">                                                </w:t>
      </w:r>
    </w:p>
    <w:p w14:paraId="44B16978">
      <w:pPr>
        <w:spacing w:line="360" w:lineRule="auto"/>
        <w:rPr>
          <w:rFonts w:ascii="宋体" w:cs="宋体"/>
          <w:color w:val="auto"/>
          <w:sz w:val="24"/>
          <w:highlight w:val="none"/>
          <w:u w:val="single"/>
        </w:rPr>
      </w:pPr>
      <w:r>
        <w:rPr>
          <w:rFonts w:hint="eastAsia" w:ascii="宋体" w:cs="宋体"/>
          <w:color w:val="auto"/>
          <w:sz w:val="24"/>
          <w:highlight w:val="none"/>
        </w:rPr>
        <w:t>地     址：</w:t>
      </w:r>
      <w:r>
        <w:rPr>
          <w:rFonts w:hint="eastAsia" w:ascii="宋体" w:cs="宋体"/>
          <w:color w:val="auto"/>
          <w:sz w:val="24"/>
          <w:highlight w:val="none"/>
          <w:u w:val="dotted"/>
        </w:rPr>
        <w:t xml:space="preserve">                             </w:t>
      </w:r>
      <w:r>
        <w:rPr>
          <w:rFonts w:hint="eastAsia" w:ascii="宋体" w:cs="宋体"/>
          <w:color w:val="auto"/>
          <w:sz w:val="24"/>
          <w:highlight w:val="none"/>
        </w:rPr>
        <w:t>邮编：</w:t>
      </w:r>
      <w:r>
        <w:rPr>
          <w:rFonts w:hint="eastAsia" w:ascii="宋体" w:cs="宋体"/>
          <w:color w:val="auto"/>
          <w:sz w:val="24"/>
          <w:highlight w:val="none"/>
          <w:u w:val="dotted"/>
        </w:rPr>
        <w:t xml:space="preserve">             </w:t>
      </w:r>
    </w:p>
    <w:p w14:paraId="42F38760">
      <w:pPr>
        <w:spacing w:line="360" w:lineRule="auto"/>
        <w:rPr>
          <w:rFonts w:ascii="宋体" w:cs="宋体"/>
          <w:color w:val="auto"/>
          <w:sz w:val="24"/>
          <w:highlight w:val="none"/>
          <w:u w:val="single"/>
        </w:rPr>
      </w:pPr>
      <w:r>
        <w:rPr>
          <w:rFonts w:hint="eastAsia" w:ascii="宋体" w:cs="宋体"/>
          <w:color w:val="auto"/>
          <w:sz w:val="24"/>
          <w:highlight w:val="none"/>
        </w:rPr>
        <w:t>联系人：</w:t>
      </w:r>
      <w:r>
        <w:rPr>
          <w:rFonts w:hint="eastAsia" w:ascii="宋体" w:cs="宋体"/>
          <w:color w:val="auto"/>
          <w:sz w:val="24"/>
          <w:highlight w:val="none"/>
          <w:u w:val="dotted"/>
        </w:rPr>
        <w:t xml:space="preserve">               </w:t>
      </w:r>
      <w:r>
        <w:rPr>
          <w:rFonts w:hint="eastAsia" w:ascii="宋体" w:cs="宋体"/>
          <w:color w:val="auto"/>
          <w:sz w:val="24"/>
          <w:highlight w:val="none"/>
        </w:rPr>
        <w:t>联系电话：</w:t>
      </w:r>
      <w:r>
        <w:rPr>
          <w:rFonts w:hint="eastAsia" w:ascii="宋体" w:cs="宋体"/>
          <w:color w:val="auto"/>
          <w:sz w:val="24"/>
          <w:highlight w:val="none"/>
          <w:u w:val="dotted"/>
        </w:rPr>
        <w:t xml:space="preserve">                           </w:t>
      </w:r>
    </w:p>
    <w:p w14:paraId="7CC3EF4C">
      <w:pPr>
        <w:spacing w:line="360" w:lineRule="auto"/>
        <w:rPr>
          <w:rFonts w:ascii="宋体" w:cs="宋体"/>
          <w:color w:val="auto"/>
          <w:sz w:val="24"/>
          <w:highlight w:val="none"/>
        </w:rPr>
      </w:pPr>
      <w:r>
        <w:rPr>
          <w:rFonts w:hint="eastAsia" w:ascii="宋体" w:cs="宋体"/>
          <w:color w:val="auto"/>
          <w:sz w:val="24"/>
          <w:highlight w:val="none"/>
        </w:rPr>
        <w:t>被投诉人2</w:t>
      </w:r>
    </w:p>
    <w:p w14:paraId="0730D5E8">
      <w:pPr>
        <w:spacing w:line="360" w:lineRule="auto"/>
        <w:rPr>
          <w:rFonts w:ascii="宋体" w:cs="宋体"/>
          <w:color w:val="auto"/>
          <w:sz w:val="24"/>
          <w:highlight w:val="none"/>
          <w:u w:val="dotted"/>
        </w:rPr>
      </w:pPr>
      <w:r>
        <w:rPr>
          <w:rFonts w:hint="eastAsia" w:ascii="宋体" w:cs="宋体"/>
          <w:color w:val="auto"/>
          <w:sz w:val="24"/>
          <w:highlight w:val="none"/>
        </w:rPr>
        <w:t>……</w:t>
      </w:r>
    </w:p>
    <w:p w14:paraId="6BC1CD8A">
      <w:pPr>
        <w:spacing w:line="360" w:lineRule="auto"/>
        <w:rPr>
          <w:rFonts w:ascii="宋体" w:cs="宋体"/>
          <w:color w:val="auto"/>
          <w:sz w:val="24"/>
          <w:highlight w:val="none"/>
          <w:u w:val="single"/>
        </w:rPr>
      </w:pPr>
      <w:r>
        <w:rPr>
          <w:rFonts w:hint="eastAsia" w:ascii="宋体" w:cs="宋体"/>
          <w:color w:val="auto"/>
          <w:sz w:val="24"/>
          <w:highlight w:val="none"/>
        </w:rPr>
        <w:t>相关供应商：</w:t>
      </w:r>
      <w:r>
        <w:rPr>
          <w:rFonts w:hint="eastAsia" w:ascii="宋体" w:cs="宋体"/>
          <w:color w:val="auto"/>
          <w:sz w:val="24"/>
          <w:highlight w:val="none"/>
          <w:u w:val="dotted"/>
        </w:rPr>
        <w:t xml:space="preserve">                                              </w:t>
      </w:r>
    </w:p>
    <w:p w14:paraId="30EBB20B">
      <w:pPr>
        <w:spacing w:line="360" w:lineRule="auto"/>
        <w:rPr>
          <w:rFonts w:ascii="宋体" w:cs="宋体"/>
          <w:color w:val="auto"/>
          <w:sz w:val="24"/>
          <w:highlight w:val="none"/>
          <w:u w:val="single"/>
        </w:rPr>
      </w:pPr>
      <w:r>
        <w:rPr>
          <w:rFonts w:hint="eastAsia" w:ascii="宋体" w:cs="宋体"/>
          <w:color w:val="auto"/>
          <w:sz w:val="24"/>
          <w:highlight w:val="none"/>
        </w:rPr>
        <w:t>地     址：</w:t>
      </w:r>
      <w:r>
        <w:rPr>
          <w:rFonts w:hint="eastAsia" w:ascii="宋体" w:cs="宋体"/>
          <w:color w:val="auto"/>
          <w:sz w:val="24"/>
          <w:highlight w:val="none"/>
          <w:u w:val="dotted"/>
        </w:rPr>
        <w:t xml:space="preserve">                             </w:t>
      </w:r>
      <w:r>
        <w:rPr>
          <w:rFonts w:hint="eastAsia" w:ascii="宋体" w:cs="宋体"/>
          <w:color w:val="auto"/>
          <w:sz w:val="24"/>
          <w:highlight w:val="none"/>
        </w:rPr>
        <w:t>邮编：</w:t>
      </w:r>
      <w:r>
        <w:rPr>
          <w:rFonts w:hint="eastAsia" w:ascii="宋体" w:cs="宋体"/>
          <w:color w:val="auto"/>
          <w:sz w:val="24"/>
          <w:highlight w:val="none"/>
          <w:u w:val="dotted"/>
        </w:rPr>
        <w:t xml:space="preserve">             </w:t>
      </w:r>
    </w:p>
    <w:p w14:paraId="07CFFC78">
      <w:pPr>
        <w:spacing w:line="360" w:lineRule="auto"/>
        <w:rPr>
          <w:rFonts w:ascii="宋体" w:cs="宋体"/>
          <w:color w:val="auto"/>
          <w:sz w:val="24"/>
          <w:highlight w:val="none"/>
        </w:rPr>
      </w:pPr>
      <w:r>
        <w:rPr>
          <w:rFonts w:hint="eastAsia" w:ascii="宋体" w:cs="宋体"/>
          <w:color w:val="auto"/>
          <w:sz w:val="24"/>
          <w:highlight w:val="none"/>
        </w:rPr>
        <w:t>联系人：</w:t>
      </w:r>
      <w:r>
        <w:rPr>
          <w:rFonts w:hint="eastAsia" w:ascii="宋体" w:cs="宋体"/>
          <w:color w:val="auto"/>
          <w:sz w:val="24"/>
          <w:highlight w:val="none"/>
          <w:u w:val="dotted"/>
        </w:rPr>
        <w:t xml:space="preserve">               </w:t>
      </w:r>
      <w:r>
        <w:rPr>
          <w:rFonts w:hint="eastAsia" w:ascii="宋体" w:cs="宋体"/>
          <w:color w:val="auto"/>
          <w:sz w:val="24"/>
          <w:highlight w:val="none"/>
        </w:rPr>
        <w:t>联系电话：</w:t>
      </w:r>
      <w:r>
        <w:rPr>
          <w:rFonts w:hint="eastAsia" w:ascii="宋体" w:cs="宋体"/>
          <w:color w:val="auto"/>
          <w:sz w:val="24"/>
          <w:highlight w:val="none"/>
          <w:u w:val="dotted"/>
        </w:rPr>
        <w:t xml:space="preserve">                         </w:t>
      </w:r>
    </w:p>
    <w:p w14:paraId="734722ED">
      <w:pPr>
        <w:spacing w:line="360" w:lineRule="auto"/>
        <w:rPr>
          <w:rFonts w:ascii="宋体" w:cs="宋体"/>
          <w:color w:val="auto"/>
          <w:sz w:val="24"/>
          <w:highlight w:val="none"/>
        </w:rPr>
      </w:pPr>
      <w:r>
        <w:rPr>
          <w:rFonts w:hint="eastAsia" w:ascii="宋体" w:cs="宋体"/>
          <w:color w:val="auto"/>
          <w:sz w:val="24"/>
          <w:highlight w:val="none"/>
        </w:rPr>
        <w:t>二、投诉项目基本情况</w:t>
      </w:r>
    </w:p>
    <w:p w14:paraId="558388C8">
      <w:pPr>
        <w:spacing w:line="360" w:lineRule="auto"/>
        <w:rPr>
          <w:rFonts w:ascii="宋体" w:cs="宋体"/>
          <w:color w:val="auto"/>
          <w:sz w:val="24"/>
          <w:highlight w:val="none"/>
          <w:u w:val="dotted"/>
        </w:rPr>
      </w:pPr>
      <w:r>
        <w:rPr>
          <w:rFonts w:hint="eastAsia" w:ascii="宋体" w:cs="宋体"/>
          <w:color w:val="auto"/>
          <w:sz w:val="24"/>
          <w:highlight w:val="none"/>
        </w:rPr>
        <w:t>采购项目名称：</w:t>
      </w:r>
      <w:r>
        <w:rPr>
          <w:rFonts w:hint="eastAsia" w:ascii="宋体" w:cs="宋体"/>
          <w:color w:val="auto"/>
          <w:sz w:val="24"/>
          <w:highlight w:val="none"/>
          <w:u w:val="dotted"/>
        </w:rPr>
        <w:t xml:space="preserve">  </w:t>
      </w:r>
      <w:bookmarkStart w:id="316" w:name="PO_3000001867_PM002_12"/>
      <w:r>
        <w:rPr>
          <w:rFonts w:hint="eastAsia" w:ascii="宋体" w:cs="宋体"/>
          <w:color w:val="auto"/>
          <w:sz w:val="24"/>
          <w:highlight w:val="none"/>
          <w:u w:val="dotted"/>
        </w:rPr>
        <w:t xml:space="preserve">                    </w:t>
      </w:r>
      <w:bookmarkEnd w:id="316"/>
      <w:r>
        <w:rPr>
          <w:rFonts w:hint="eastAsia" w:ascii="宋体" w:cs="宋体"/>
          <w:color w:val="auto"/>
          <w:sz w:val="24"/>
          <w:highlight w:val="none"/>
          <w:u w:val="dotted"/>
        </w:rPr>
        <w:t xml:space="preserve">  </w:t>
      </w:r>
    </w:p>
    <w:p w14:paraId="67CE1904">
      <w:pPr>
        <w:spacing w:line="360" w:lineRule="auto"/>
        <w:rPr>
          <w:rFonts w:ascii="宋体" w:cs="宋体"/>
          <w:color w:val="auto"/>
          <w:sz w:val="24"/>
          <w:highlight w:val="none"/>
          <w:u w:val="single"/>
        </w:rPr>
      </w:pPr>
      <w:r>
        <w:rPr>
          <w:rFonts w:hint="eastAsia" w:ascii="宋体" w:cs="宋体"/>
          <w:color w:val="auto"/>
          <w:sz w:val="24"/>
          <w:highlight w:val="none"/>
        </w:rPr>
        <w:t>采购项目编号：</w:t>
      </w:r>
      <w:r>
        <w:rPr>
          <w:rFonts w:hint="eastAsia" w:ascii="宋体" w:cs="宋体"/>
          <w:color w:val="auto"/>
          <w:sz w:val="24"/>
          <w:highlight w:val="none"/>
          <w:u w:val="dotted"/>
        </w:rPr>
        <w:t xml:space="preserve">  </w:t>
      </w:r>
      <w:bookmarkStart w:id="317" w:name="PO_3000001867_PM001_9"/>
      <w:r>
        <w:rPr>
          <w:rFonts w:hint="eastAsia" w:ascii="宋体" w:cs="宋体"/>
          <w:color w:val="auto"/>
          <w:sz w:val="24"/>
          <w:highlight w:val="none"/>
          <w:u w:val="dotted"/>
        </w:rPr>
        <w:t xml:space="preserve">                    </w:t>
      </w:r>
      <w:bookmarkEnd w:id="317"/>
      <w:r>
        <w:rPr>
          <w:rFonts w:hint="eastAsia" w:ascii="宋体" w:cs="宋体"/>
          <w:color w:val="auto"/>
          <w:sz w:val="24"/>
          <w:highlight w:val="none"/>
          <w:u w:val="dotted"/>
        </w:rPr>
        <w:t xml:space="preserve"> </w:t>
      </w:r>
      <w:r>
        <w:rPr>
          <w:rFonts w:hint="eastAsia" w:ascii="宋体" w:cs="宋体"/>
          <w:color w:val="auto"/>
          <w:sz w:val="24"/>
          <w:highlight w:val="none"/>
        </w:rPr>
        <w:t>包号：</w:t>
      </w:r>
      <w:r>
        <w:rPr>
          <w:rFonts w:hint="eastAsia" w:ascii="宋体" w:cs="宋体"/>
          <w:color w:val="auto"/>
          <w:sz w:val="24"/>
          <w:highlight w:val="none"/>
          <w:u w:val="dotted"/>
        </w:rPr>
        <w:t xml:space="preserve">              </w:t>
      </w:r>
    </w:p>
    <w:p w14:paraId="18770400">
      <w:pPr>
        <w:spacing w:line="360" w:lineRule="auto"/>
        <w:rPr>
          <w:rFonts w:ascii="宋体" w:cs="宋体"/>
          <w:color w:val="auto"/>
          <w:sz w:val="24"/>
          <w:highlight w:val="none"/>
        </w:rPr>
      </w:pPr>
      <w:r>
        <w:rPr>
          <w:rFonts w:hint="eastAsia" w:ascii="宋体" w:cs="宋体"/>
          <w:color w:val="auto"/>
          <w:sz w:val="24"/>
          <w:highlight w:val="none"/>
        </w:rPr>
        <w:t>采购人名称：</w:t>
      </w:r>
      <w:r>
        <w:rPr>
          <w:rFonts w:hint="eastAsia" w:ascii="宋体" w:cs="宋体"/>
          <w:color w:val="auto"/>
          <w:sz w:val="24"/>
          <w:highlight w:val="none"/>
          <w:u w:val="dotted"/>
        </w:rPr>
        <w:t xml:space="preserve">  </w:t>
      </w:r>
      <w:bookmarkStart w:id="318" w:name="PO_3000001867_PM026_6"/>
      <w:r>
        <w:rPr>
          <w:rFonts w:hint="eastAsia" w:ascii="宋体" w:cs="宋体"/>
          <w:color w:val="auto"/>
          <w:sz w:val="24"/>
          <w:highlight w:val="none"/>
          <w:u w:val="dotted"/>
        </w:rPr>
        <w:t xml:space="preserve">                    </w:t>
      </w:r>
      <w:bookmarkEnd w:id="318"/>
      <w:r>
        <w:rPr>
          <w:rFonts w:hint="eastAsia" w:ascii="宋体" w:cs="宋体"/>
          <w:color w:val="auto"/>
          <w:sz w:val="24"/>
          <w:highlight w:val="none"/>
          <w:u w:val="dotted"/>
        </w:rPr>
        <w:t xml:space="preserve">  </w:t>
      </w:r>
    </w:p>
    <w:p w14:paraId="3E10CF66">
      <w:pPr>
        <w:spacing w:line="360" w:lineRule="auto"/>
        <w:rPr>
          <w:rFonts w:ascii="宋体" w:cs="宋体"/>
          <w:color w:val="auto"/>
          <w:sz w:val="24"/>
          <w:highlight w:val="none"/>
          <w:u w:val="single"/>
        </w:rPr>
      </w:pPr>
      <w:r>
        <w:rPr>
          <w:rFonts w:hint="eastAsia" w:ascii="宋体" w:cs="宋体"/>
          <w:color w:val="auto"/>
          <w:sz w:val="24"/>
          <w:highlight w:val="none"/>
        </w:rPr>
        <w:t>代理机构名称：</w:t>
      </w:r>
      <w:r>
        <w:rPr>
          <w:rFonts w:hint="eastAsia" w:ascii="宋体" w:cs="宋体"/>
          <w:color w:val="auto"/>
          <w:sz w:val="24"/>
          <w:highlight w:val="none"/>
          <w:u w:val="dotted"/>
        </w:rPr>
        <w:t xml:space="preserve">                                         </w:t>
      </w:r>
    </w:p>
    <w:p w14:paraId="6FEB2F3C">
      <w:pPr>
        <w:spacing w:line="360" w:lineRule="auto"/>
        <w:rPr>
          <w:rFonts w:ascii="宋体" w:cs="宋体"/>
          <w:color w:val="auto"/>
          <w:sz w:val="24"/>
          <w:highlight w:val="none"/>
          <w:u w:val="dotted"/>
        </w:rPr>
      </w:pPr>
      <w:r>
        <w:rPr>
          <w:rFonts w:hint="eastAsia" w:ascii="宋体" w:cs="宋体"/>
          <w:color w:val="auto"/>
          <w:sz w:val="24"/>
          <w:highlight w:val="none"/>
        </w:rPr>
        <w:t>采购文件公告：</w:t>
      </w:r>
      <w:r>
        <w:rPr>
          <w:rFonts w:hint="eastAsia" w:ascii="宋体" w:cs="宋体"/>
          <w:color w:val="auto"/>
          <w:sz w:val="24"/>
          <w:highlight w:val="none"/>
          <w:u w:val="dotted"/>
        </w:rPr>
        <w:t xml:space="preserve">是/否 </w:t>
      </w:r>
      <w:r>
        <w:rPr>
          <w:rFonts w:hint="eastAsia" w:ascii="宋体" w:cs="宋体"/>
          <w:color w:val="auto"/>
          <w:sz w:val="24"/>
          <w:highlight w:val="none"/>
        </w:rPr>
        <w:t>公告期限：</w:t>
      </w:r>
      <w:r>
        <w:rPr>
          <w:rFonts w:hint="eastAsia" w:ascii="宋体" w:cs="宋体"/>
          <w:color w:val="auto"/>
          <w:sz w:val="24"/>
          <w:highlight w:val="none"/>
          <w:u w:val="dotted"/>
        </w:rPr>
        <w:t xml:space="preserve">                                 </w:t>
      </w:r>
    </w:p>
    <w:p w14:paraId="0B40D7AB">
      <w:pPr>
        <w:spacing w:line="360" w:lineRule="auto"/>
        <w:rPr>
          <w:rFonts w:ascii="宋体" w:cs="宋体"/>
          <w:color w:val="auto"/>
          <w:sz w:val="24"/>
          <w:highlight w:val="none"/>
          <w:u w:val="single"/>
        </w:rPr>
      </w:pPr>
      <w:r>
        <w:rPr>
          <w:rFonts w:hint="eastAsia" w:ascii="宋体" w:cs="宋体"/>
          <w:color w:val="auto"/>
          <w:sz w:val="24"/>
          <w:highlight w:val="none"/>
        </w:rPr>
        <w:t>采购结果公告：</w:t>
      </w:r>
      <w:r>
        <w:rPr>
          <w:rFonts w:hint="eastAsia" w:ascii="宋体" w:cs="宋体"/>
          <w:color w:val="auto"/>
          <w:sz w:val="24"/>
          <w:highlight w:val="none"/>
          <w:u w:val="dotted"/>
        </w:rPr>
        <w:t xml:space="preserve">是/否 </w:t>
      </w:r>
      <w:r>
        <w:rPr>
          <w:rFonts w:hint="eastAsia" w:ascii="宋体" w:cs="宋体"/>
          <w:color w:val="auto"/>
          <w:sz w:val="24"/>
          <w:highlight w:val="none"/>
        </w:rPr>
        <w:t>公告期限：</w:t>
      </w:r>
      <w:r>
        <w:rPr>
          <w:rFonts w:hint="eastAsia" w:ascii="宋体" w:cs="宋体"/>
          <w:color w:val="auto"/>
          <w:sz w:val="24"/>
          <w:highlight w:val="none"/>
          <w:u w:val="dotted"/>
        </w:rPr>
        <w:t xml:space="preserve">                        </w:t>
      </w:r>
    </w:p>
    <w:p w14:paraId="7F500B8B">
      <w:pPr>
        <w:spacing w:line="360" w:lineRule="auto"/>
        <w:rPr>
          <w:rFonts w:ascii="宋体" w:cs="宋体"/>
          <w:color w:val="auto"/>
          <w:sz w:val="24"/>
          <w:highlight w:val="none"/>
        </w:rPr>
      </w:pPr>
      <w:r>
        <w:rPr>
          <w:rFonts w:hint="eastAsia" w:ascii="宋体" w:cs="宋体"/>
          <w:color w:val="auto"/>
          <w:sz w:val="24"/>
          <w:highlight w:val="none"/>
        </w:rPr>
        <w:t>三、质疑基本情况</w:t>
      </w:r>
    </w:p>
    <w:p w14:paraId="295F6556">
      <w:pPr>
        <w:spacing w:line="360" w:lineRule="auto"/>
        <w:ind w:firstLine="480" w:firstLineChars="200"/>
        <w:rPr>
          <w:rFonts w:ascii="宋体" w:cs="宋体"/>
          <w:color w:val="auto"/>
          <w:sz w:val="24"/>
          <w:highlight w:val="none"/>
          <w:u w:val="dotted"/>
        </w:rPr>
      </w:pPr>
      <w:r>
        <w:rPr>
          <w:rFonts w:hint="eastAsia" w:ascii="宋体" w:cs="宋体"/>
          <w:color w:val="auto"/>
          <w:sz w:val="24"/>
          <w:highlight w:val="none"/>
        </w:rPr>
        <w:t>投诉人于</w:t>
      </w:r>
      <w:r>
        <w:rPr>
          <w:rFonts w:hint="eastAsia" w:ascii="宋体" w:cs="宋体"/>
          <w:color w:val="auto"/>
          <w:sz w:val="24"/>
          <w:highlight w:val="none"/>
          <w:u w:val="dotted"/>
        </w:rPr>
        <w:t xml:space="preserve">   </w:t>
      </w:r>
      <w:r>
        <w:rPr>
          <w:rFonts w:hint="eastAsia" w:ascii="宋体" w:cs="宋体"/>
          <w:color w:val="auto"/>
          <w:sz w:val="24"/>
          <w:highlight w:val="none"/>
        </w:rPr>
        <w:t>年</w:t>
      </w:r>
      <w:r>
        <w:rPr>
          <w:rFonts w:hint="eastAsia" w:ascii="宋体" w:cs="宋体"/>
          <w:color w:val="auto"/>
          <w:sz w:val="24"/>
          <w:highlight w:val="none"/>
          <w:u w:val="dotted"/>
        </w:rPr>
        <w:t xml:space="preserve">   </w:t>
      </w:r>
      <w:r>
        <w:rPr>
          <w:rFonts w:hint="eastAsia" w:ascii="宋体" w:cs="宋体"/>
          <w:color w:val="auto"/>
          <w:sz w:val="24"/>
          <w:highlight w:val="none"/>
        </w:rPr>
        <w:t>月</w:t>
      </w:r>
      <w:r>
        <w:rPr>
          <w:rFonts w:hint="eastAsia" w:ascii="宋体" w:cs="宋体"/>
          <w:color w:val="auto"/>
          <w:sz w:val="24"/>
          <w:highlight w:val="none"/>
          <w:u w:val="dotted"/>
        </w:rPr>
        <w:t xml:space="preserve">  </w:t>
      </w:r>
      <w:r>
        <w:rPr>
          <w:rFonts w:hint="eastAsia" w:ascii="宋体" w:cs="宋体"/>
          <w:color w:val="auto"/>
          <w:sz w:val="24"/>
          <w:highlight w:val="none"/>
        </w:rPr>
        <w:t>日,向</w:t>
      </w:r>
      <w:r>
        <w:rPr>
          <w:rFonts w:hint="eastAsia" w:ascii="宋体" w:cs="宋体"/>
          <w:color w:val="auto"/>
          <w:sz w:val="24"/>
          <w:highlight w:val="none"/>
          <w:u w:val="dotted"/>
        </w:rPr>
        <w:t xml:space="preserve">                   </w:t>
      </w:r>
      <w:r>
        <w:rPr>
          <w:rFonts w:hint="eastAsia" w:ascii="宋体" w:cs="宋体"/>
          <w:color w:val="auto"/>
          <w:sz w:val="24"/>
          <w:highlight w:val="none"/>
        </w:rPr>
        <w:t>提出质疑，质疑事项为：</w:t>
      </w:r>
      <w:r>
        <w:rPr>
          <w:rFonts w:hint="eastAsia" w:ascii="宋体" w:cs="宋体"/>
          <w:color w:val="auto"/>
          <w:sz w:val="24"/>
          <w:highlight w:val="none"/>
          <w:u w:val="dotted"/>
        </w:rPr>
        <w:t xml:space="preserve">                                </w:t>
      </w:r>
    </w:p>
    <w:p w14:paraId="010DBD87">
      <w:pPr>
        <w:spacing w:line="360" w:lineRule="auto"/>
        <w:rPr>
          <w:rFonts w:ascii="宋体" w:cs="宋体"/>
          <w:color w:val="auto"/>
          <w:sz w:val="24"/>
          <w:highlight w:val="none"/>
          <w:u w:val="dotted"/>
        </w:rPr>
      </w:pPr>
      <w:r>
        <w:rPr>
          <w:rFonts w:hint="eastAsia" w:ascii="宋体" w:cs="宋体"/>
          <w:color w:val="auto"/>
          <w:sz w:val="24"/>
          <w:highlight w:val="none"/>
          <w:u w:val="dotted"/>
        </w:rPr>
        <w:t xml:space="preserve">                                                     </w:t>
      </w:r>
      <w:r>
        <w:rPr>
          <w:rFonts w:hint="eastAsia" w:ascii="宋体" w:cs="宋体"/>
          <w:color w:val="auto"/>
          <w:sz w:val="24"/>
          <w:highlight w:val="none"/>
        </w:rPr>
        <w:t xml:space="preserve">  </w:t>
      </w:r>
    </w:p>
    <w:p w14:paraId="75524CD8">
      <w:pPr>
        <w:spacing w:line="360" w:lineRule="auto"/>
        <w:ind w:firstLine="360" w:firstLineChars="150"/>
        <w:rPr>
          <w:rFonts w:ascii="宋体" w:cs="宋体"/>
          <w:color w:val="auto"/>
          <w:sz w:val="24"/>
          <w:highlight w:val="none"/>
        </w:rPr>
      </w:pPr>
      <w:r>
        <w:rPr>
          <w:rFonts w:hint="eastAsia" w:ascii="宋体" w:cs="宋体"/>
          <w:color w:val="auto"/>
          <w:sz w:val="24"/>
          <w:highlight w:val="none"/>
          <w:u w:val="dotted"/>
        </w:rPr>
        <w:t>采购人/采购代理机构</w:t>
      </w:r>
      <w:r>
        <w:rPr>
          <w:rFonts w:hint="eastAsia" w:ascii="宋体" w:cs="宋体"/>
          <w:color w:val="auto"/>
          <w:sz w:val="24"/>
          <w:highlight w:val="none"/>
        </w:rPr>
        <w:t>于</w:t>
      </w:r>
      <w:r>
        <w:rPr>
          <w:rFonts w:hint="eastAsia" w:ascii="宋体" w:cs="宋体"/>
          <w:color w:val="auto"/>
          <w:sz w:val="24"/>
          <w:highlight w:val="none"/>
          <w:u w:val="dotted"/>
        </w:rPr>
        <w:t xml:space="preserve">   </w:t>
      </w:r>
      <w:r>
        <w:rPr>
          <w:rFonts w:hint="eastAsia" w:ascii="宋体" w:cs="宋体"/>
          <w:color w:val="auto"/>
          <w:sz w:val="24"/>
          <w:highlight w:val="none"/>
        </w:rPr>
        <w:t>年</w:t>
      </w:r>
      <w:r>
        <w:rPr>
          <w:rFonts w:hint="eastAsia" w:ascii="宋体" w:cs="宋体"/>
          <w:color w:val="auto"/>
          <w:sz w:val="24"/>
          <w:highlight w:val="none"/>
          <w:u w:val="dotted"/>
        </w:rPr>
        <w:t xml:space="preserve">   </w:t>
      </w:r>
      <w:r>
        <w:rPr>
          <w:rFonts w:hint="eastAsia" w:ascii="宋体" w:cs="宋体"/>
          <w:color w:val="auto"/>
          <w:sz w:val="24"/>
          <w:highlight w:val="none"/>
        </w:rPr>
        <w:t>月</w:t>
      </w:r>
      <w:r>
        <w:rPr>
          <w:rFonts w:hint="eastAsia" w:ascii="宋体" w:cs="宋体"/>
          <w:color w:val="auto"/>
          <w:sz w:val="24"/>
          <w:highlight w:val="none"/>
          <w:u w:val="dotted"/>
        </w:rPr>
        <w:t xml:space="preserve">   </w:t>
      </w:r>
      <w:r>
        <w:rPr>
          <w:rFonts w:hint="eastAsia" w:ascii="宋体" w:cs="宋体"/>
          <w:color w:val="auto"/>
          <w:sz w:val="24"/>
          <w:highlight w:val="none"/>
        </w:rPr>
        <w:t>日,就质疑事项作出了答复/没有在法定期限内作出答复。</w:t>
      </w:r>
    </w:p>
    <w:p w14:paraId="65C07A21">
      <w:pPr>
        <w:spacing w:line="360" w:lineRule="auto"/>
        <w:rPr>
          <w:rFonts w:ascii="宋体" w:cs="宋体"/>
          <w:color w:val="auto"/>
          <w:sz w:val="24"/>
          <w:highlight w:val="none"/>
        </w:rPr>
      </w:pPr>
      <w:r>
        <w:rPr>
          <w:rFonts w:hint="eastAsia" w:ascii="宋体" w:cs="宋体"/>
          <w:color w:val="auto"/>
          <w:sz w:val="24"/>
          <w:highlight w:val="none"/>
        </w:rPr>
        <w:t>四、投诉事项具体内容</w:t>
      </w:r>
    </w:p>
    <w:p w14:paraId="41E3061A">
      <w:pPr>
        <w:spacing w:line="360" w:lineRule="auto"/>
        <w:rPr>
          <w:rFonts w:ascii="宋体" w:cs="宋体"/>
          <w:color w:val="auto"/>
          <w:sz w:val="24"/>
          <w:highlight w:val="none"/>
          <w:u w:val="single"/>
        </w:rPr>
      </w:pPr>
      <w:r>
        <w:rPr>
          <w:rFonts w:hint="eastAsia" w:ascii="宋体" w:cs="宋体"/>
          <w:color w:val="auto"/>
          <w:sz w:val="24"/>
          <w:highlight w:val="none"/>
        </w:rPr>
        <w:t>投诉事项 1：</w:t>
      </w:r>
      <w:r>
        <w:rPr>
          <w:rFonts w:hint="eastAsia" w:ascii="宋体" w:cs="宋体"/>
          <w:color w:val="auto"/>
          <w:sz w:val="24"/>
          <w:highlight w:val="none"/>
          <w:u w:val="dotted"/>
        </w:rPr>
        <w:t xml:space="preserve">                                       </w:t>
      </w:r>
    </w:p>
    <w:p w14:paraId="1DEDCE0F">
      <w:pPr>
        <w:spacing w:line="360" w:lineRule="auto"/>
        <w:rPr>
          <w:rFonts w:ascii="宋体" w:cs="宋体"/>
          <w:color w:val="auto"/>
          <w:sz w:val="24"/>
          <w:highlight w:val="none"/>
        </w:rPr>
      </w:pPr>
      <w:r>
        <w:rPr>
          <w:rFonts w:hint="eastAsia" w:ascii="宋体" w:cs="宋体"/>
          <w:color w:val="auto"/>
          <w:sz w:val="24"/>
          <w:highlight w:val="none"/>
        </w:rPr>
        <w:t>事实依据：</w:t>
      </w:r>
      <w:r>
        <w:rPr>
          <w:rFonts w:hint="eastAsia" w:ascii="宋体" w:cs="宋体"/>
          <w:color w:val="auto"/>
          <w:sz w:val="24"/>
          <w:highlight w:val="none"/>
          <w:u w:val="dotted"/>
        </w:rPr>
        <w:t xml:space="preserve">                                         </w:t>
      </w:r>
    </w:p>
    <w:p w14:paraId="6827122F">
      <w:pPr>
        <w:spacing w:line="360" w:lineRule="auto"/>
        <w:rPr>
          <w:rFonts w:ascii="宋体" w:cs="宋体"/>
          <w:color w:val="auto"/>
          <w:sz w:val="24"/>
          <w:highlight w:val="none"/>
          <w:u w:val="dotted"/>
        </w:rPr>
      </w:pPr>
      <w:r>
        <w:rPr>
          <w:rFonts w:hint="eastAsia" w:ascii="宋体" w:cs="宋体"/>
          <w:color w:val="auto"/>
          <w:sz w:val="24"/>
          <w:highlight w:val="none"/>
          <w:u w:val="dotted"/>
        </w:rPr>
        <w:t xml:space="preserve">                                                      </w:t>
      </w:r>
    </w:p>
    <w:p w14:paraId="7A365FFA">
      <w:pPr>
        <w:spacing w:line="360" w:lineRule="auto"/>
        <w:rPr>
          <w:rFonts w:ascii="宋体" w:cs="宋体"/>
          <w:color w:val="auto"/>
          <w:sz w:val="24"/>
          <w:highlight w:val="none"/>
          <w:u w:val="single"/>
        </w:rPr>
      </w:pPr>
      <w:r>
        <w:rPr>
          <w:rFonts w:hint="eastAsia" w:ascii="宋体" w:cs="宋体"/>
          <w:color w:val="auto"/>
          <w:sz w:val="24"/>
          <w:highlight w:val="none"/>
        </w:rPr>
        <w:t>法律依据：</w:t>
      </w:r>
      <w:r>
        <w:rPr>
          <w:rFonts w:hint="eastAsia" w:ascii="宋体" w:cs="宋体"/>
          <w:color w:val="auto"/>
          <w:sz w:val="24"/>
          <w:highlight w:val="none"/>
          <w:u w:val="dotted"/>
        </w:rPr>
        <w:t xml:space="preserve">                                          </w:t>
      </w:r>
    </w:p>
    <w:p w14:paraId="0D2B6D2D">
      <w:pPr>
        <w:spacing w:line="360" w:lineRule="auto"/>
        <w:rPr>
          <w:rFonts w:ascii="宋体" w:cs="宋体"/>
          <w:color w:val="auto"/>
          <w:sz w:val="24"/>
          <w:highlight w:val="none"/>
          <w:u w:val="dotted"/>
        </w:rPr>
      </w:pPr>
      <w:r>
        <w:rPr>
          <w:rFonts w:hint="eastAsia" w:ascii="宋体" w:cs="宋体"/>
          <w:color w:val="auto"/>
          <w:sz w:val="24"/>
          <w:highlight w:val="none"/>
          <w:u w:val="dotted"/>
        </w:rPr>
        <w:t xml:space="preserve">                                                      </w:t>
      </w:r>
    </w:p>
    <w:p w14:paraId="2E1C0F70">
      <w:pPr>
        <w:spacing w:line="360" w:lineRule="auto"/>
        <w:rPr>
          <w:rFonts w:ascii="宋体" w:cs="宋体"/>
          <w:color w:val="auto"/>
          <w:sz w:val="24"/>
          <w:highlight w:val="none"/>
        </w:rPr>
      </w:pPr>
      <w:r>
        <w:rPr>
          <w:rFonts w:hint="eastAsia" w:ascii="宋体" w:cs="宋体"/>
          <w:color w:val="auto"/>
          <w:sz w:val="24"/>
          <w:highlight w:val="none"/>
        </w:rPr>
        <w:t>投诉事项2</w:t>
      </w:r>
    </w:p>
    <w:p w14:paraId="1E128B08">
      <w:pPr>
        <w:spacing w:line="360" w:lineRule="auto"/>
        <w:rPr>
          <w:rFonts w:ascii="宋体" w:cs="宋体"/>
          <w:color w:val="auto"/>
          <w:sz w:val="24"/>
          <w:highlight w:val="none"/>
          <w:u w:val="dotted"/>
        </w:rPr>
      </w:pPr>
      <w:r>
        <w:rPr>
          <w:rFonts w:hint="eastAsia" w:ascii="宋体" w:cs="宋体"/>
          <w:color w:val="auto"/>
          <w:sz w:val="24"/>
          <w:highlight w:val="none"/>
        </w:rPr>
        <w:t>……</w:t>
      </w:r>
    </w:p>
    <w:p w14:paraId="29AE5DCF">
      <w:pPr>
        <w:spacing w:line="360" w:lineRule="auto"/>
        <w:rPr>
          <w:rFonts w:ascii="宋体" w:cs="宋体"/>
          <w:color w:val="auto"/>
          <w:sz w:val="24"/>
          <w:highlight w:val="none"/>
        </w:rPr>
      </w:pPr>
      <w:r>
        <w:rPr>
          <w:rFonts w:hint="eastAsia" w:ascii="宋体" w:cs="宋体"/>
          <w:color w:val="auto"/>
          <w:sz w:val="24"/>
          <w:highlight w:val="none"/>
        </w:rPr>
        <w:t>五、与投诉事项相关的投诉请求</w:t>
      </w:r>
    </w:p>
    <w:p w14:paraId="4399305D">
      <w:pPr>
        <w:spacing w:line="360" w:lineRule="auto"/>
        <w:rPr>
          <w:rFonts w:ascii="宋体" w:cs="宋体"/>
          <w:color w:val="auto"/>
          <w:sz w:val="24"/>
          <w:highlight w:val="none"/>
        </w:rPr>
      </w:pPr>
      <w:r>
        <w:rPr>
          <w:rFonts w:hint="eastAsia" w:ascii="宋体" w:cs="宋体"/>
          <w:color w:val="auto"/>
          <w:sz w:val="24"/>
          <w:highlight w:val="none"/>
        </w:rPr>
        <w:t>请求：</w:t>
      </w:r>
      <w:r>
        <w:rPr>
          <w:rFonts w:hint="eastAsia" w:ascii="宋体" w:cs="宋体"/>
          <w:color w:val="auto"/>
          <w:sz w:val="24"/>
          <w:highlight w:val="none"/>
          <w:u w:val="dotted"/>
        </w:rPr>
        <w:t xml:space="preserve">                                              </w:t>
      </w:r>
      <w:r>
        <w:rPr>
          <w:rFonts w:hint="eastAsia" w:ascii="宋体" w:cs="宋体"/>
          <w:color w:val="auto"/>
          <w:sz w:val="24"/>
          <w:highlight w:val="none"/>
        </w:rPr>
        <w:t xml:space="preserve"> </w:t>
      </w:r>
    </w:p>
    <w:p w14:paraId="72EF6212">
      <w:pPr>
        <w:spacing w:line="360" w:lineRule="auto"/>
        <w:rPr>
          <w:rFonts w:ascii="宋体" w:cs="宋体"/>
          <w:color w:val="auto"/>
          <w:sz w:val="24"/>
          <w:highlight w:val="none"/>
          <w:u w:val="single"/>
        </w:rPr>
      </w:pPr>
      <w:r>
        <w:rPr>
          <w:rFonts w:hint="eastAsia" w:ascii="宋体" w:cs="宋体"/>
          <w:color w:val="auto"/>
          <w:sz w:val="24"/>
          <w:highlight w:val="none"/>
        </w:rPr>
        <w:t xml:space="preserve">                                                                                                    </w:t>
      </w:r>
    </w:p>
    <w:p w14:paraId="4C61C0ED">
      <w:pPr>
        <w:spacing w:line="360" w:lineRule="auto"/>
        <w:rPr>
          <w:rFonts w:ascii="宋体" w:cs="宋体"/>
          <w:color w:val="auto"/>
          <w:sz w:val="24"/>
          <w:highlight w:val="none"/>
        </w:rPr>
      </w:pPr>
      <w:r>
        <w:rPr>
          <w:rFonts w:hint="eastAsia" w:ascii="宋体" w:cs="宋体"/>
          <w:color w:val="auto"/>
          <w:sz w:val="24"/>
          <w:highlight w:val="none"/>
        </w:rPr>
        <w:t xml:space="preserve">签字(签章)：                   公章：                      </w:t>
      </w:r>
    </w:p>
    <w:p w14:paraId="479C9159">
      <w:pPr>
        <w:spacing w:line="360" w:lineRule="auto"/>
        <w:ind w:firstLine="6960" w:firstLineChars="2900"/>
        <w:rPr>
          <w:rFonts w:ascii="宋体" w:cs="宋体"/>
          <w:color w:val="auto"/>
          <w:sz w:val="24"/>
          <w:highlight w:val="none"/>
        </w:rPr>
      </w:pPr>
      <w:r>
        <w:rPr>
          <w:rFonts w:hint="eastAsia" w:ascii="宋体" w:cs="宋体"/>
          <w:color w:val="auto"/>
          <w:sz w:val="24"/>
          <w:highlight w:val="none"/>
        </w:rPr>
        <w:t xml:space="preserve">日期：    </w:t>
      </w:r>
    </w:p>
    <w:p w14:paraId="23392D68">
      <w:pPr>
        <w:spacing w:line="360" w:lineRule="auto"/>
        <w:rPr>
          <w:rFonts w:ascii="宋体" w:cs="宋体"/>
          <w:b/>
          <w:color w:val="auto"/>
          <w:sz w:val="24"/>
          <w:highlight w:val="none"/>
        </w:rPr>
      </w:pPr>
    </w:p>
    <w:p w14:paraId="19A78E4F">
      <w:pPr>
        <w:spacing w:line="360" w:lineRule="auto"/>
        <w:rPr>
          <w:rFonts w:ascii="宋体" w:cs="宋体"/>
          <w:b/>
          <w:color w:val="auto"/>
          <w:sz w:val="24"/>
          <w:highlight w:val="none"/>
        </w:rPr>
      </w:pPr>
      <w:r>
        <w:rPr>
          <w:rFonts w:hint="eastAsia" w:ascii="宋体" w:cs="宋体"/>
          <w:b/>
          <w:color w:val="auto"/>
          <w:sz w:val="24"/>
          <w:highlight w:val="none"/>
        </w:rPr>
        <w:t>投诉书制作说明：</w:t>
      </w:r>
    </w:p>
    <w:p w14:paraId="4BD58EEB">
      <w:pPr>
        <w:widowControl/>
        <w:spacing w:line="360" w:lineRule="auto"/>
        <w:ind w:firstLine="420" w:firstLineChars="200"/>
        <w:rPr>
          <w:rFonts w:ascii="宋体" w:cs="宋体"/>
          <w:color w:val="auto"/>
          <w:kern w:val="0"/>
          <w:szCs w:val="21"/>
          <w:highlight w:val="none"/>
        </w:rPr>
      </w:pPr>
      <w:r>
        <w:rPr>
          <w:rFonts w:hint="eastAsia" w:ascii="宋体" w:cs="宋体"/>
          <w:color w:val="auto"/>
          <w:szCs w:val="21"/>
          <w:highlight w:val="none"/>
        </w:rPr>
        <w:t>1.投诉人提起投诉时，应当提交投诉书和必要的证明材料，并按照被投诉人和与投诉事项有关的供应商数量提供投诉书副本。</w:t>
      </w:r>
    </w:p>
    <w:p w14:paraId="5C6228CC">
      <w:pPr>
        <w:widowControl/>
        <w:spacing w:line="360" w:lineRule="auto"/>
        <w:ind w:firstLine="420" w:firstLineChars="200"/>
        <w:jc w:val="left"/>
        <w:rPr>
          <w:rFonts w:ascii="宋体" w:cs="宋体"/>
          <w:color w:val="auto"/>
          <w:kern w:val="0"/>
          <w:szCs w:val="21"/>
          <w:highlight w:val="none"/>
        </w:rPr>
      </w:pPr>
      <w:r>
        <w:rPr>
          <w:rFonts w:hint="eastAsia" w:ascii="宋体" w:cs="宋体"/>
          <w:color w:val="auto"/>
          <w:szCs w:val="21"/>
          <w:highlight w:val="none"/>
        </w:rPr>
        <w:t>2.投诉人若委托代理人进行投诉的，投诉书应按照要求列明“授权代表”的有关内容，并在附件中提交由</w:t>
      </w:r>
      <w:r>
        <w:rPr>
          <w:rFonts w:hint="eastAsia" w:ascii="宋体" w:cs="宋体"/>
          <w:color w:val="auto"/>
          <w:kern w:val="0"/>
          <w:szCs w:val="21"/>
          <w:highlight w:val="none"/>
        </w:rPr>
        <w:t>投诉人签署的授权委托书。授权委托书应当载明代理人的姓名或者名称、代理事项、具体权限、期限和相关事项。</w:t>
      </w:r>
    </w:p>
    <w:p w14:paraId="656339BD">
      <w:pPr>
        <w:widowControl/>
        <w:spacing w:line="360" w:lineRule="auto"/>
        <w:ind w:firstLine="420" w:firstLineChars="200"/>
        <w:jc w:val="left"/>
        <w:rPr>
          <w:rFonts w:ascii="宋体" w:cs="宋体"/>
          <w:color w:val="auto"/>
          <w:szCs w:val="21"/>
          <w:highlight w:val="none"/>
        </w:rPr>
      </w:pPr>
      <w:r>
        <w:rPr>
          <w:rFonts w:hint="eastAsia" w:ascii="宋体" w:cs="宋体"/>
          <w:color w:val="auto"/>
          <w:szCs w:val="21"/>
          <w:highlight w:val="none"/>
        </w:rPr>
        <w:t>3.投诉人若对项目的某一分包进行投诉，投诉书应列明具体分包号。</w:t>
      </w:r>
    </w:p>
    <w:p w14:paraId="2D9AF21E">
      <w:pPr>
        <w:widowControl/>
        <w:spacing w:line="360" w:lineRule="auto"/>
        <w:ind w:firstLine="420" w:firstLineChars="200"/>
        <w:jc w:val="left"/>
        <w:rPr>
          <w:rFonts w:ascii="宋体" w:cs="宋体"/>
          <w:color w:val="auto"/>
          <w:szCs w:val="21"/>
          <w:highlight w:val="none"/>
        </w:rPr>
      </w:pPr>
      <w:r>
        <w:rPr>
          <w:rFonts w:hint="eastAsia" w:ascii="宋体" w:cs="宋体"/>
          <w:color w:val="auto"/>
          <w:szCs w:val="21"/>
          <w:highlight w:val="none"/>
        </w:rPr>
        <w:t>4.投诉书应简要列明质疑事项，质疑函、质疑答复等作为附件材料提供。</w:t>
      </w:r>
    </w:p>
    <w:p w14:paraId="4BB05642">
      <w:pPr>
        <w:widowControl/>
        <w:spacing w:line="360" w:lineRule="auto"/>
        <w:ind w:firstLine="420" w:firstLineChars="200"/>
        <w:jc w:val="left"/>
        <w:rPr>
          <w:rFonts w:ascii="宋体" w:cs="宋体"/>
          <w:color w:val="auto"/>
          <w:szCs w:val="21"/>
          <w:highlight w:val="none"/>
        </w:rPr>
      </w:pPr>
      <w:r>
        <w:rPr>
          <w:rFonts w:hint="eastAsia" w:ascii="宋体" w:cs="宋体"/>
          <w:color w:val="auto"/>
          <w:szCs w:val="21"/>
          <w:highlight w:val="none"/>
        </w:rPr>
        <w:t>5.投诉书的投诉事项应具体、明确，并有必要的事实依据和法律依据。</w:t>
      </w:r>
    </w:p>
    <w:p w14:paraId="3EEB973C">
      <w:pPr>
        <w:widowControl/>
        <w:spacing w:line="360" w:lineRule="auto"/>
        <w:ind w:firstLine="420" w:firstLineChars="200"/>
        <w:jc w:val="left"/>
        <w:rPr>
          <w:rFonts w:ascii="宋体" w:cs="宋体"/>
          <w:color w:val="auto"/>
          <w:szCs w:val="21"/>
          <w:highlight w:val="none"/>
        </w:rPr>
      </w:pPr>
      <w:r>
        <w:rPr>
          <w:rFonts w:hint="eastAsia" w:ascii="宋体" w:cs="宋体"/>
          <w:color w:val="auto"/>
          <w:szCs w:val="21"/>
          <w:highlight w:val="none"/>
        </w:rPr>
        <w:t>6.投诉书的投诉请求应与投诉事项相关。</w:t>
      </w:r>
    </w:p>
    <w:p w14:paraId="7B44D84E">
      <w:pPr>
        <w:widowControl/>
        <w:spacing w:line="360" w:lineRule="auto"/>
        <w:ind w:firstLine="420" w:firstLineChars="200"/>
        <w:jc w:val="left"/>
        <w:rPr>
          <w:rFonts w:ascii="宋体" w:cs="宋体"/>
          <w:color w:val="auto"/>
          <w:kern w:val="0"/>
          <w:szCs w:val="21"/>
          <w:highlight w:val="none"/>
        </w:rPr>
      </w:pPr>
      <w:r>
        <w:rPr>
          <w:rFonts w:hint="eastAsia" w:ascii="宋体" w:cs="宋体"/>
          <w:color w:val="auto"/>
          <w:szCs w:val="21"/>
          <w:highlight w:val="none"/>
        </w:rPr>
        <w:t>7.投诉人为自然人的，投诉书应当由本人签字；投诉人为法人或者其他组织的，投诉书应当由法定代表人、主要负责人，或者其授权代表签字或者盖章，并加盖公章。</w:t>
      </w:r>
    </w:p>
    <w:p w14:paraId="73A693AD">
      <w:pPr>
        <w:rPr>
          <w:rFonts w:ascii="宋体" w:cs="宋体"/>
          <w:color w:val="auto"/>
          <w:highlight w:val="none"/>
        </w:rPr>
      </w:pPr>
    </w:p>
    <w:sectPr>
      <w:pgSz w:w="11906" w:h="16838"/>
      <w:pgMar w:top="1134" w:right="1134" w:bottom="1134" w:left="1134" w:header="720" w:footer="720" w:gutter="0"/>
      <w:cols w:space="720" w:num="1"/>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FBD265A-7CF6-42A9-B4EF-322B41462DA5}"/>
  </w:font>
  <w:font w:name="黑体">
    <w:panose1 w:val="02010609060101010101"/>
    <w:charset w:val="86"/>
    <w:family w:val="auto"/>
    <w:pitch w:val="default"/>
    <w:sig w:usb0="800002BF" w:usb1="38CF7CFA" w:usb2="00000016" w:usb3="00000000" w:csb0="00040001" w:csb1="00000000"/>
    <w:embedRegular r:id="rId2" w:fontKey="{2AAEF13A-83DD-4DFD-AF44-0C5D2A90F3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0B72CBF-88B7-45E9-8B01-C4702AC37957}"/>
  </w:font>
  <w:font w:name="Lucida Sans">
    <w:panose1 w:val="020B0602040502020204"/>
    <w:charset w:val="00"/>
    <w:family w:val="auto"/>
    <w:pitch w:val="default"/>
    <w:sig w:usb0="8100AAF7" w:usb1="0000807B" w:usb2="00000008" w:usb3="00000000" w:csb0="6000009F" w:csb1="FFFF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embedRegular r:id="rId4" w:fontKey="{2E5F3B5E-CDBF-49B5-BBAA-F228C91220B2}"/>
  </w:font>
  <w:font w:name="monospace">
    <w:altName w:val="Aria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embedRegular r:id="rId5" w:fontKey="{C3B312B8-EE97-478B-86BB-A3AB79AF78BA}"/>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embedRegular r:id="rId6" w:fontKey="{5D3F541B-465F-4BB1-ABE2-55EDF617BCFA}"/>
  </w:font>
  <w:font w:name="方正小标宋_GBK">
    <w:panose1 w:val="02000000000000000000"/>
    <w:charset w:val="86"/>
    <w:family w:val="script"/>
    <w:pitch w:val="default"/>
    <w:sig w:usb0="A00002BF" w:usb1="38CF7CFA" w:usb2="00082016" w:usb3="00000000" w:csb0="00040001" w:csb1="00000000"/>
    <w:embedRegular r:id="rId7" w:fontKey="{42AA2B5C-D386-48B6-A572-0DBF552567A7}"/>
  </w:font>
  <w:font w:name="方正小标宋简体">
    <w:panose1 w:val="02000000000000000000"/>
    <w:charset w:val="86"/>
    <w:family w:val="script"/>
    <w:pitch w:val="default"/>
    <w:sig w:usb0="00000001" w:usb1="08000000" w:usb2="00000000" w:usb3="00000000" w:csb0="00040000" w:csb1="00000000"/>
    <w:embedRegular r:id="rId8" w:fontKey="{5DB9246E-82F2-4F40-B16B-0EA9CD06B29B}"/>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68F50">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15AF6">
    <w:pPr>
      <w:pStyle w:val="20"/>
    </w:pPr>
    <w:r>
      <mc:AlternateContent>
        <mc:Choice Requires="wps">
          <w:drawing>
            <wp:anchor distT="0" distB="0" distL="113030" distR="113030" simplePos="0" relativeHeight="251659264" behindDoc="0" locked="0" layoutInCell="1" allowOverlap="1">
              <wp:simplePos x="0" y="0"/>
              <wp:positionH relativeFrom="margin">
                <wp:align>center</wp:align>
              </wp:positionH>
              <wp:positionV relativeFrom="paragraph">
                <wp:posOffset>0</wp:posOffset>
              </wp:positionV>
              <wp:extent cx="127000" cy="131445"/>
              <wp:effectExtent l="0" t="0" r="0" b="0"/>
              <wp:wrapNone/>
              <wp:docPr id="3" name="文本框 1"/>
              <wp:cNvGraphicFramePr/>
              <a:graphic xmlns:a="http://schemas.openxmlformats.org/drawingml/2006/main">
                <a:graphicData uri="http://schemas.microsoft.com/office/word/2010/wordprocessingShape">
                  <wps:wsp>
                    <wps:cNvSpPr/>
                    <wps:spPr>
                      <a:xfrm>
                        <a:off x="0" y="0"/>
                        <a:ext cx="127136" cy="131433"/>
                      </a:xfrm>
                      <a:prstGeom prst="rect">
                        <a:avLst/>
                      </a:prstGeom>
                      <a:noFill/>
                      <a:ln w="12700" cap="flat" cmpd="sng">
                        <a:noFill/>
                        <a:prstDash val="solid"/>
                        <a:round/>
                      </a:ln>
                      <a:effectLst/>
                    </wps:spPr>
                    <wps:txbx>
                      <w:txbxContent>
                        <w:p w14:paraId="3CD13FCF">
                          <w:pPr>
                            <w:pStyle w:val="20"/>
                          </w:pPr>
                          <w:r>
                            <w:rPr>
                              <w:rFonts w:hint="eastAsia"/>
                            </w:rPr>
                            <w:fldChar w:fldCharType="begin"/>
                          </w:r>
                          <w:r>
                            <w:rPr>
                              <w:rFonts w:hint="eastAsia"/>
                            </w:rPr>
                            <w:instrText xml:space="preserve"> PAGE  \* MERGEFORMAT </w:instrText>
                          </w:r>
                          <w:r>
                            <w:rPr>
                              <w:rFonts w:hint="eastAsia"/>
                            </w:rPr>
                            <w:fldChar w:fldCharType="separate"/>
                          </w:r>
                          <w:r>
                            <w:t>52</w:t>
                          </w:r>
                          <w:r>
                            <w:rPr>
                              <w:rFonts w:hint="eastAsia"/>
                            </w:rPr>
                            <w:fldChar w:fldCharType="end"/>
                          </w:r>
                        </w:p>
                      </w:txbxContent>
                    </wps:txbx>
                    <wps:bodyPr vert="horz" wrap="none" lIns="0" tIns="0" rIns="0" bIns="0" anchor="t" anchorCtr="0" upright="1">
                      <a:spAutoFit/>
                    </wps:bodyPr>
                  </wps:wsp>
                </a:graphicData>
              </a:graphic>
            </wp:anchor>
          </w:drawing>
        </mc:Choice>
        <mc:Fallback>
          <w:pict>
            <v:rect id="文本框 1" o:spid="_x0000_s1026" o:spt="1" style="position:absolute;left:0pt;margin-top:0pt;height:10.35pt;width:10pt;mso-position-horizontal:center;mso-position-horizontal-relative:margin;mso-wrap-style:none;z-index:251659264;mso-width-relative:page;mso-height-relative:page;" filled="f" stroked="f" coordsize="21600,21600" o:gfxdata="UEsDBAoAAAAAAIdO4kAAAAAAAAAAAAAAAAAEAAAAZHJzL1BLAwQUAAAACACHTuJA3JDfCdEAAAAD&#10;AQAADwAAAGRycy9kb3ducmV2LnhtbE2PQU/DMAyF70j8h8hIXBBLxoFBaTpNqyZxZUM7Z43XVDRO&#10;laTd4NfjcWEXW9az3vteuTz7XkwYUxdIw3ymQCA1wXbUavjcbR5fQKRsyJo+EGr4xgTL6vamNIUN&#10;J/rAaZtbwSaUCqPB5TwUUqbGoTdpFgYk1o4hepP5jK200ZzY3PfySaln6U1HnODMgGuHzdd29Bre&#10;x12IUwyr+tWp+qE+7n+m1V7r+7u5egOR8Zz/n+GCz+hQMdMhjGST6DVwkfw3WeMkEIfLXoCsSnnN&#10;Xv0CUEsDBBQAAAAIAIdO4kAWAhZICAIAAAMEAAAOAAAAZHJzL2Uyb0RvYy54bWytU0tu2zAQ3Rfo&#10;HQjua1l2kRaC5SCIkaJA0QZIewCaoiwC/GGGtuQeoL1BV91033P5HBlS/gTpJotupCE5fDPvzePi&#10;erCG7RSg9q7m5WTKmXLSN9ptav7t692b95xhFK4RxjtV871Cfr18/WrRh0rNfOdNo4ARiMOqDzXv&#10;YgxVUaDslBU48UE5Omw9WBFpCZuiAdETujXFbDq9KnoPTQAvFSLtrsZDfkSElwD6ttVSrbzcWuXi&#10;iArKiEiUsNMB+TJ327ZKxi9tiyoyU3NiGvOXilC8Tt9iuRDVBkTotDy2IF7SwjNOVmhHRc9QKxEF&#10;24L+B8pqCR59GyfS22IkkhUhFuX0mTYPnQgqcyGpMZxFx/8HKz/v7oHppuZzzpywNPDDr5+H338P&#10;f36wMsnTB6wo6yHcw3GFFCauQws2/YkFG7Kk+7OkaohM0mY5e1fOrziTdFTOy7fzecIsLpcDYPyg&#10;vGUpqDnQxLKQYvcJ45h6Skm1nL/TxtC+qIxjfS4wpWFKQVZsyQIU2kB00G0yzpMLCWclsGM7QW5A&#10;b3Qzzh/81jVjLeMStMrOOTaQBBgppygO64FSU7j2zZ7Eo7dEjXcevnPWk5Nq7ujhcGY+OhpUMt0p&#10;gFOwPgXCSbpYc2p7DG/jaM5tAL3pCLfMLDDcbCNRz4pcapOSaUHeyJoefZzM93Sdsy5vd/kI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3JDfCdEAAAADAQAADwAAAAAAAAABACAAAAAiAAAAZHJzL2Rv&#10;d25yZXYueG1sUEsBAhQAFAAAAAgAh07iQBYCFkgIAgAAAwQAAA4AAAAAAAAAAQAgAAAAIAEAAGRy&#10;cy9lMm9Eb2MueG1sUEsFBgAAAAAGAAYAWQEAAJoFAAAAAA==&#10;">
              <v:fill on="f" focussize="0,0"/>
              <v:stroke on="f" weight="1pt" joinstyle="round"/>
              <v:imagedata o:title=""/>
              <o:lock v:ext="edit" aspectratio="f"/>
              <v:textbox inset="0mm,0mm,0mm,0mm" style="mso-fit-shape-to-text:t;">
                <w:txbxContent>
                  <w:p w14:paraId="3CD13FCF">
                    <w:pPr>
                      <w:pStyle w:val="20"/>
                    </w:pPr>
                    <w:r>
                      <w:rPr>
                        <w:rFonts w:hint="eastAsia"/>
                      </w:rPr>
                      <w:fldChar w:fldCharType="begin"/>
                    </w:r>
                    <w:r>
                      <w:rPr>
                        <w:rFonts w:hint="eastAsia"/>
                      </w:rPr>
                      <w:instrText xml:space="preserve"> PAGE  \* MERGEFORMAT </w:instrText>
                    </w:r>
                    <w:r>
                      <w:rPr>
                        <w:rFonts w:hint="eastAsia"/>
                      </w:rPr>
                      <w:fldChar w:fldCharType="separate"/>
                    </w:r>
                    <w:r>
                      <w:t>52</w:t>
                    </w:r>
                    <w:r>
                      <w:rPr>
                        <w:rFonts w:hint="eastAsia"/>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A931F">
    <w:pPr>
      <w:pStyle w:val="20"/>
      <w:jc w:val="center"/>
    </w:pPr>
    <w:r>
      <mc:AlternateContent>
        <mc:Choice Requires="wps">
          <w:drawing>
            <wp:anchor distT="0" distB="0" distL="113030" distR="113030" simplePos="0" relativeHeight="251659264" behindDoc="0" locked="0" layoutInCell="1" allowOverlap="1">
              <wp:simplePos x="0" y="0"/>
              <wp:positionH relativeFrom="margin">
                <wp:align>center</wp:align>
              </wp:positionH>
              <wp:positionV relativeFrom="paragraph">
                <wp:posOffset>0</wp:posOffset>
              </wp:positionV>
              <wp:extent cx="190500" cy="131445"/>
              <wp:effectExtent l="0" t="0" r="0" b="0"/>
              <wp:wrapNone/>
              <wp:docPr id="4" name="文本框 4"/>
              <wp:cNvGraphicFramePr/>
              <a:graphic xmlns:a="http://schemas.openxmlformats.org/drawingml/2006/main">
                <a:graphicData uri="http://schemas.microsoft.com/office/word/2010/wordprocessingShape">
                  <wps:wsp>
                    <wps:cNvSpPr/>
                    <wps:spPr>
                      <a:xfrm>
                        <a:off x="0" y="0"/>
                        <a:ext cx="190704" cy="131433"/>
                      </a:xfrm>
                      <a:prstGeom prst="rect">
                        <a:avLst/>
                      </a:prstGeom>
                      <a:noFill/>
                      <a:ln w="12700" cap="flat" cmpd="sng">
                        <a:noFill/>
                        <a:prstDash val="solid"/>
                        <a:round/>
                      </a:ln>
                      <a:effectLst/>
                    </wps:spPr>
                    <wps:txbx>
                      <w:txbxContent>
                        <w:p w14:paraId="6FEE8676">
                          <w:pPr>
                            <w:pStyle w:val="20"/>
                            <w:jc w:val="center"/>
                          </w:pPr>
                          <w:r>
                            <w:fldChar w:fldCharType="begin"/>
                          </w:r>
                          <w:r>
                            <w:instrText xml:space="preserve"> PAGE   \* MERGEFORMAT </w:instrText>
                          </w:r>
                          <w:r>
                            <w:fldChar w:fldCharType="separate"/>
                          </w:r>
                          <w:r>
                            <w:rPr>
                              <w:lang w:val="zh-CN"/>
                            </w:rPr>
                            <w:t>89</w:t>
                          </w:r>
                          <w:r>
                            <w:fldChar w:fldCharType="end"/>
                          </w:r>
                        </w:p>
                      </w:txbxContent>
                    </wps:txbx>
                    <wps:bodyPr vert="horz" wrap="none" lIns="0" tIns="0" rIns="0" bIns="0" anchor="t" anchorCtr="0" upright="1">
                      <a:spAutoFit/>
                    </wps:bodyPr>
                  </wps:wsp>
                </a:graphicData>
              </a:graphic>
            </wp:anchor>
          </w:drawing>
        </mc:Choice>
        <mc:Fallback>
          <w:pict>
            <v:rect id="文本框 4" o:spid="_x0000_s1026" o:spt="1" style="position:absolute;left:0pt;margin-top:0pt;height:10.35pt;width:15pt;mso-position-horizontal:center;mso-position-horizontal-relative:margin;mso-wrap-style:none;z-index:251659264;mso-width-relative:page;mso-height-relative:page;" filled="f" stroked="f" coordsize="21600,21600" o:gfxdata="UEsDBAoAAAAAAIdO4kAAAAAAAAAAAAAAAAAEAAAAZHJzL1BLAwQUAAAACACHTuJA+EnYatIAAAAD&#10;AQAADwAAAGRycy9kb3ducmV2LnhtbE2PQUsDMRCF74L/IYzgRWzSCmq3my3FRfBqKz2nm+lmcTNZ&#10;kuy2+usdvdjLg8cb3vumXJ99LyaMqQukYT5TIJCaYDtqNXzsXu+fQaRsyJo+EGr4wgTr6vqqNIUN&#10;J3rHaZtbwSWUCqPB5TwUUqbGoTdpFgYkzo4hepPZxlbaaE5c7nu5UOpRetMRLzgz4IvD5nM7eg1v&#10;4y7EKYZNvXSqvquP++9ps9f69mauViAynvP/MfziMzpUzHQII9kkeg38SP5Tzh4Uu4OGhXoCWZXy&#10;kr36AVBLAwQUAAAACACHTuJAiPK+NwoCAAADBAAADgAAAGRycy9lMm9Eb2MueG1srVNLbtswEN0X&#10;6B0I7mtJttG0guUgqJGiQNEGSHsAmqIkAvyBQ1tyD9DeoKtuuu+5fI4MKdkO0k0W2UhDcvhm3pvH&#10;1fWgFdkLD9KaihaznBJhuK2laSv6/dvtm3eUQGCmZsoaUdGDAHq9fv1q1btSzG1nVS08QRADZe8q&#10;2oXgyiwD3gnNYGadMHjYWK9ZwKVvs9qzHtG1yuZ5/jbrra+dt1wA4O5mPKQTon8OoG0aycXG8p0W&#10;JoyoXigWkBJ00gFdp26bRvDwtWlABKIqikxD+mIRjLfxm61XrGw9c53kUwvsOS084aSZNFj0DLVh&#10;gZGdl/9Bacm9BduEGbc6G4kkRZBFkT/R5r5jTiQuKDW4s+jwcrD8y/7OE1lXdEmJYRoHfvz96/jn&#10;3/HvT7KM8vQOSsy6d3d+WgGGkevQeB3/yIIMSdLDWVIxBMJxs3ifX+UIzfGoWBTLxSJiZpfLzkP4&#10;KKwmMaiox4klIdn+M4Qx9ZQSaxl7K5XCfVYqQ3oEnV/lOEzO0IoNWgBD7ZAOmDbhPLoQcTYMOrJn&#10;6AawStbj/L3dmXqspUyEFsk5UwNRgJFyjMKwHTA1hltbH1A8fEvYeGf9D0p6dFJFDT4cStQng4OK&#10;pjsF/hRsTwEzHC9WFNseww9hNOfOedl2iFskFuBudgGpJ0UutVHJuEBvJE0nH0fzPV6nrMvbXT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EnYatIAAAADAQAADwAAAAAAAAABACAAAAAiAAAAZHJz&#10;L2Rvd25yZXYueG1sUEsBAhQAFAAAAAgAh07iQIjyvjcKAgAAAwQAAA4AAAAAAAAAAQAgAAAAIQEA&#10;AGRycy9lMm9Eb2MueG1sUEsFBgAAAAAGAAYAWQEAAJ0FAAAAAA==&#10;">
              <v:fill on="f" focussize="0,0"/>
              <v:stroke on="f" weight="1pt" joinstyle="round"/>
              <v:imagedata o:title=""/>
              <o:lock v:ext="edit" aspectratio="f"/>
              <v:textbox inset="0mm,0mm,0mm,0mm" style="mso-fit-shape-to-text:t;">
                <w:txbxContent>
                  <w:p w14:paraId="6FEE8676">
                    <w:pPr>
                      <w:pStyle w:val="20"/>
                      <w:jc w:val="center"/>
                    </w:pPr>
                    <w:r>
                      <w:fldChar w:fldCharType="begin"/>
                    </w:r>
                    <w:r>
                      <w:instrText xml:space="preserve"> PAGE   \* MERGEFORMAT </w:instrText>
                    </w:r>
                    <w:r>
                      <w:fldChar w:fldCharType="separate"/>
                    </w:r>
                    <w:r>
                      <w:rPr>
                        <w:lang w:val="zh-CN"/>
                      </w:rPr>
                      <w:t>89</w:t>
                    </w:r>
                    <w:r>
                      <w:fldChar w:fldCharType="end"/>
                    </w:r>
                  </w:p>
                </w:txbxContent>
              </v:textbox>
            </v:rect>
          </w:pict>
        </mc:Fallback>
      </mc:AlternateContent>
    </w:r>
  </w:p>
  <w:p w14:paraId="5C5D00C3">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F42ED">
    <w:pPr>
      <w:pStyle w:val="20"/>
      <w:framePr w:wrap="around" w:vAnchor="text" w:hAnchor="margin" w:xAlign="center" w:y="1"/>
      <w:rPr>
        <w:rStyle w:val="32"/>
      </w:rPr>
    </w:pPr>
    <w:r>
      <w:rPr>
        <w:rStyle w:val="32"/>
      </w:rPr>
      <w:fldChar w:fldCharType="begin"/>
    </w:r>
    <w:r>
      <w:rPr>
        <w:rStyle w:val="32"/>
      </w:rPr>
      <w:instrText xml:space="preserve">PAGE  </w:instrText>
    </w:r>
    <w:r>
      <w:fldChar w:fldCharType="separate"/>
    </w:r>
    <w:r>
      <w:t xml:space="preserve"> </w:t>
    </w:r>
    <w:r>
      <w:fldChar w:fldCharType="end"/>
    </w:r>
  </w:p>
  <w:p w14:paraId="7E8A7B05">
    <w:pPr>
      <w:pStyle w:val="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DC672">
    <w:pPr>
      <w:pStyle w:val="20"/>
      <w:framePr w:wrap="around" w:vAnchor="text" w:hAnchor="margin" w:xAlign="right" w:y="1"/>
      <w:rPr>
        <w:rStyle w:val="32"/>
      </w:rPr>
    </w:pPr>
    <w:r>
      <w:rPr>
        <w:rStyle w:val="32"/>
      </w:rPr>
      <w:fldChar w:fldCharType="begin"/>
    </w:r>
    <w:r>
      <w:rPr>
        <w:rStyle w:val="32"/>
      </w:rPr>
      <w:instrText xml:space="preserve">PAGE  </w:instrText>
    </w:r>
    <w:r>
      <w:fldChar w:fldCharType="separate"/>
    </w:r>
    <w:r>
      <w:rPr>
        <w:rStyle w:val="32"/>
      </w:rPr>
      <w:t>122</w:t>
    </w:r>
    <w:r>
      <w:fldChar w:fldCharType="end"/>
    </w:r>
  </w:p>
  <w:p w14:paraId="1DA77DD9">
    <w:pPr>
      <w:pStyle w:val="20"/>
      <w:ind w:right="360"/>
      <w:jc w:val="both"/>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8E14D">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A08069"/>
    <w:multiLevelType w:val="singleLevel"/>
    <w:tmpl w:val="ECA08069"/>
    <w:lvl w:ilvl="0" w:tentative="0">
      <w:start w:val="1"/>
      <w:numFmt w:val="decimal"/>
      <w:pStyle w:val="9"/>
      <w:lvlText w:val="%1."/>
      <w:lvlJc w:val="left"/>
      <w:pPr>
        <w:tabs>
          <w:tab w:val="left" w:pos="360"/>
        </w:tabs>
        <w:ind w:left="360" w:hanging="360"/>
      </w:pPr>
    </w:lvl>
  </w:abstractNum>
  <w:abstractNum w:abstractNumId="1">
    <w:nsid w:val="00000001"/>
    <w:multiLevelType w:val="multilevel"/>
    <w:tmpl w:val="00000001"/>
    <w:lvl w:ilvl="0" w:tentative="0">
      <w:start w:val="1"/>
      <w:numFmt w:val="japaneseCounting"/>
      <w:lvlText w:val="（%1）"/>
      <w:lvlJc w:val="left"/>
      <w:pPr>
        <w:tabs>
          <w:tab w:val="left" w:pos="0"/>
        </w:tabs>
        <w:ind w:left="1237" w:hanging="765"/>
      </w:pPr>
      <w:rPr>
        <w:rFonts w:hint="default"/>
      </w:rPr>
    </w:lvl>
    <w:lvl w:ilvl="1" w:tentative="0">
      <w:start w:val="1"/>
      <w:numFmt w:val="lowerLetter"/>
      <w:lvlText w:val="%2)"/>
      <w:lvlJc w:val="left"/>
      <w:pPr>
        <w:tabs>
          <w:tab w:val="left" w:pos="0"/>
        </w:tabs>
        <w:ind w:left="1312" w:hanging="420"/>
      </w:pPr>
    </w:lvl>
    <w:lvl w:ilvl="2" w:tentative="0">
      <w:start w:val="1"/>
      <w:numFmt w:val="lowerRoman"/>
      <w:lvlText w:val="%3."/>
      <w:lvlJc w:val="right"/>
      <w:pPr>
        <w:tabs>
          <w:tab w:val="left" w:pos="0"/>
        </w:tabs>
        <w:ind w:left="1732" w:hanging="420"/>
      </w:pPr>
    </w:lvl>
    <w:lvl w:ilvl="3" w:tentative="0">
      <w:start w:val="1"/>
      <w:numFmt w:val="decimal"/>
      <w:lvlText w:val="%4."/>
      <w:lvlJc w:val="left"/>
      <w:pPr>
        <w:tabs>
          <w:tab w:val="left" w:pos="0"/>
        </w:tabs>
        <w:ind w:left="2152" w:hanging="420"/>
      </w:pPr>
    </w:lvl>
    <w:lvl w:ilvl="4" w:tentative="0">
      <w:start w:val="1"/>
      <w:numFmt w:val="lowerLetter"/>
      <w:lvlText w:val="%5)"/>
      <w:lvlJc w:val="left"/>
      <w:pPr>
        <w:tabs>
          <w:tab w:val="left" w:pos="0"/>
        </w:tabs>
        <w:ind w:left="2572" w:hanging="420"/>
      </w:pPr>
    </w:lvl>
    <w:lvl w:ilvl="5" w:tentative="0">
      <w:start w:val="1"/>
      <w:numFmt w:val="lowerRoman"/>
      <w:lvlText w:val="%6."/>
      <w:lvlJc w:val="right"/>
      <w:pPr>
        <w:tabs>
          <w:tab w:val="left" w:pos="0"/>
        </w:tabs>
        <w:ind w:left="2992" w:hanging="420"/>
      </w:pPr>
    </w:lvl>
    <w:lvl w:ilvl="6" w:tentative="0">
      <w:start w:val="1"/>
      <w:numFmt w:val="decimal"/>
      <w:lvlText w:val="%7."/>
      <w:lvlJc w:val="left"/>
      <w:pPr>
        <w:tabs>
          <w:tab w:val="left" w:pos="0"/>
        </w:tabs>
        <w:ind w:left="3412" w:hanging="420"/>
      </w:pPr>
    </w:lvl>
    <w:lvl w:ilvl="7" w:tentative="0">
      <w:start w:val="1"/>
      <w:numFmt w:val="lowerLetter"/>
      <w:lvlText w:val="%8)"/>
      <w:lvlJc w:val="left"/>
      <w:pPr>
        <w:tabs>
          <w:tab w:val="left" w:pos="0"/>
        </w:tabs>
        <w:ind w:left="3832" w:hanging="420"/>
      </w:pPr>
    </w:lvl>
    <w:lvl w:ilvl="8" w:tentative="0">
      <w:start w:val="1"/>
      <w:numFmt w:val="lowerRoman"/>
      <w:lvlText w:val="%9."/>
      <w:lvlJc w:val="right"/>
      <w:pPr>
        <w:tabs>
          <w:tab w:val="left" w:pos="0"/>
        </w:tabs>
        <w:ind w:left="4252" w:hanging="420"/>
      </w:pPr>
    </w:lvl>
  </w:abstractNum>
  <w:abstractNum w:abstractNumId="2">
    <w:nsid w:val="00000002"/>
    <w:multiLevelType w:val="multilevel"/>
    <w:tmpl w:val="00000002"/>
    <w:lvl w:ilvl="0" w:tentative="0">
      <w:start w:val="1"/>
      <w:numFmt w:val="decimal"/>
      <w:lvlText w:val="（%1）"/>
      <w:lvlJc w:val="left"/>
      <w:pPr>
        <w:tabs>
          <w:tab w:val="left" w:pos="0"/>
        </w:tabs>
        <w:ind w:left="1140" w:hanging="720"/>
      </w:pPr>
      <w:rPr>
        <w:rFonts w:ascii="宋体" w:hAnsi="宋体" w:eastAsia="宋体" w:cs="Times New Roman"/>
      </w:rPr>
    </w:lvl>
    <w:lvl w:ilvl="1" w:tentative="0">
      <w:start w:val="1"/>
      <w:numFmt w:val="lowerLetter"/>
      <w:lvlText w:val="%2)"/>
      <w:lvlJc w:val="left"/>
      <w:pPr>
        <w:tabs>
          <w:tab w:val="left" w:pos="0"/>
        </w:tabs>
        <w:ind w:left="1260" w:hanging="420"/>
      </w:pPr>
    </w:lvl>
    <w:lvl w:ilvl="2" w:tentative="0">
      <w:start w:val="1"/>
      <w:numFmt w:val="lowerRoman"/>
      <w:lvlText w:val="%3."/>
      <w:lvlJc w:val="right"/>
      <w:pPr>
        <w:tabs>
          <w:tab w:val="left" w:pos="0"/>
        </w:tabs>
        <w:ind w:left="1680" w:hanging="420"/>
      </w:pPr>
    </w:lvl>
    <w:lvl w:ilvl="3" w:tentative="0">
      <w:start w:val="1"/>
      <w:numFmt w:val="decimal"/>
      <w:lvlText w:val="%4."/>
      <w:lvlJc w:val="left"/>
      <w:pPr>
        <w:tabs>
          <w:tab w:val="left" w:pos="0"/>
        </w:tabs>
        <w:ind w:left="2100" w:hanging="420"/>
      </w:pPr>
    </w:lvl>
    <w:lvl w:ilvl="4" w:tentative="0">
      <w:start w:val="1"/>
      <w:numFmt w:val="lowerLetter"/>
      <w:lvlText w:val="%5)"/>
      <w:lvlJc w:val="left"/>
      <w:pPr>
        <w:tabs>
          <w:tab w:val="left" w:pos="0"/>
        </w:tabs>
        <w:ind w:left="2520" w:hanging="420"/>
      </w:pPr>
    </w:lvl>
    <w:lvl w:ilvl="5" w:tentative="0">
      <w:start w:val="1"/>
      <w:numFmt w:val="lowerRoman"/>
      <w:lvlText w:val="%6."/>
      <w:lvlJc w:val="right"/>
      <w:pPr>
        <w:tabs>
          <w:tab w:val="left" w:pos="0"/>
        </w:tabs>
        <w:ind w:left="2940" w:hanging="420"/>
      </w:pPr>
    </w:lvl>
    <w:lvl w:ilvl="6" w:tentative="0">
      <w:start w:val="1"/>
      <w:numFmt w:val="decimal"/>
      <w:lvlText w:val="%7."/>
      <w:lvlJc w:val="left"/>
      <w:pPr>
        <w:tabs>
          <w:tab w:val="left" w:pos="0"/>
        </w:tabs>
        <w:ind w:left="3360" w:hanging="420"/>
      </w:pPr>
    </w:lvl>
    <w:lvl w:ilvl="7" w:tentative="0">
      <w:start w:val="1"/>
      <w:numFmt w:val="lowerLetter"/>
      <w:lvlText w:val="%8)"/>
      <w:lvlJc w:val="left"/>
      <w:pPr>
        <w:tabs>
          <w:tab w:val="left" w:pos="0"/>
        </w:tabs>
        <w:ind w:left="3780" w:hanging="420"/>
      </w:pPr>
    </w:lvl>
    <w:lvl w:ilvl="8" w:tentative="0">
      <w:start w:val="1"/>
      <w:numFmt w:val="lowerRoman"/>
      <w:lvlText w:val="%9."/>
      <w:lvlJc w:val="right"/>
      <w:pPr>
        <w:tabs>
          <w:tab w:val="left" w:pos="0"/>
        </w:tabs>
        <w:ind w:left="4200" w:hanging="420"/>
      </w:pPr>
    </w:lvl>
  </w:abstractNum>
  <w:abstractNum w:abstractNumId="3">
    <w:nsid w:val="2FFE01E0"/>
    <w:multiLevelType w:val="singleLevel"/>
    <w:tmpl w:val="2FFE01E0"/>
    <w:lvl w:ilvl="0" w:tentative="0">
      <w:start w:val="1"/>
      <w:numFmt w:val="decimal"/>
      <w:suff w:val="nothing"/>
      <w:lvlText w:val="%1、"/>
      <w:lvlJc w:val="left"/>
      <w:pPr>
        <w:tabs>
          <w:tab w:val="left" w:pos="0"/>
        </w:tabs>
        <w:ind w:left="0" w:firstLine="0"/>
      </w:pPr>
    </w:lvl>
  </w:abstractNum>
  <w:abstractNum w:abstractNumId="4">
    <w:nsid w:val="3EC2A01A"/>
    <w:multiLevelType w:val="singleLevel"/>
    <w:tmpl w:val="3EC2A01A"/>
    <w:lvl w:ilvl="0" w:tentative="0">
      <w:start w:val="1"/>
      <w:numFmt w:val="decimal"/>
      <w:suff w:val="nothing"/>
      <w:lvlText w:val="（%1）"/>
      <w:lvlJc w:val="left"/>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5"/>
  </w:compat>
  <w:docVars>
    <w:docVar w:name="commondata" w:val="eyJoZGlkIjoiNmI5ZGY0NGQ5OGEyODUzY2E3MWM2YjNkMTgwZWQ4MjkifQ=="/>
  </w:docVars>
  <w:rsids>
    <w:rsidRoot w:val="00000000"/>
    <w:rsid w:val="0AA417AC"/>
    <w:rsid w:val="36714388"/>
    <w:rsid w:val="622115DA"/>
    <w:rsid w:val="6BB54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color w:val="000000"/>
      <w:kern w:val="2"/>
      <w:sz w:val="21"/>
      <w:szCs w:val="24"/>
      <w:lang w:val="en-US" w:eastAsia="zh-CN" w:bidi="ar-SA"/>
    </w:rPr>
  </w:style>
  <w:style w:type="paragraph" w:styleId="2">
    <w:name w:val="heading 1"/>
    <w:basedOn w:val="1"/>
    <w:next w:val="1"/>
    <w:link w:val="45"/>
    <w:autoRedefine/>
    <w:qFormat/>
    <w:uiPriority w:val="0"/>
    <w:pPr>
      <w:spacing w:before="100" w:beforeAutospacing="1" w:after="100" w:afterAutospacing="1"/>
      <w:jc w:val="left"/>
      <w:outlineLvl w:val="0"/>
    </w:pPr>
    <w:rPr>
      <w:rFonts w:ascii="宋体"/>
      <w:b/>
      <w:kern w:val="44"/>
      <w:sz w:val="48"/>
      <w:szCs w:val="48"/>
    </w:rPr>
  </w:style>
  <w:style w:type="paragraph" w:styleId="3">
    <w:name w:val="heading 2"/>
    <w:basedOn w:val="1"/>
    <w:next w:val="1"/>
    <w:link w:val="46"/>
    <w:autoRedefine/>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link w:val="47"/>
    <w:autoRedefine/>
    <w:qFormat/>
    <w:uiPriority w:val="0"/>
    <w:pPr>
      <w:spacing w:line="400" w:lineRule="exact"/>
      <w:ind w:firstLine="200" w:firstLineChars="200"/>
      <w:jc w:val="center"/>
      <w:outlineLvl w:val="2"/>
    </w:pPr>
    <w:rPr>
      <w:b/>
      <w:bCs/>
      <w:sz w:val="32"/>
      <w:szCs w:val="32"/>
    </w:rPr>
  </w:style>
  <w:style w:type="paragraph" w:styleId="5">
    <w:name w:val="heading 4"/>
    <w:next w:val="1"/>
    <w:link w:val="48"/>
    <w:qFormat/>
    <w:uiPriority w:val="0"/>
    <w:pPr>
      <w:keepNext/>
      <w:keepLines/>
      <w:widowControl w:val="0"/>
      <w:adjustRightInd w:val="0"/>
      <w:snapToGrid w:val="0"/>
      <w:spacing w:before="120" w:after="120"/>
      <w:jc w:val="both"/>
      <w:outlineLvl w:val="3"/>
    </w:pPr>
    <w:rPr>
      <w:rFonts w:ascii="Arial" w:hAnsi="Arial" w:eastAsia="宋体" w:cs="Times New Roman"/>
      <w:b/>
      <w:bCs/>
      <w:kern w:val="2"/>
      <w:sz w:val="28"/>
      <w:szCs w:val="28"/>
      <w:lang w:val="en-US" w:eastAsia="zh-CN" w:bidi="ar-SA"/>
    </w:rPr>
  </w:style>
  <w:style w:type="paragraph" w:styleId="6">
    <w:name w:val="heading 5"/>
    <w:basedOn w:val="1"/>
    <w:next w:val="7"/>
    <w:link w:val="49"/>
    <w:autoRedefine/>
    <w:qFormat/>
    <w:uiPriority w:val="0"/>
    <w:pPr>
      <w:keepNext/>
      <w:keepLines/>
      <w:spacing w:before="280" w:after="290" w:line="377" w:lineRule="auto"/>
      <w:outlineLvl w:val="4"/>
    </w:pPr>
    <w:rPr>
      <w:b/>
      <w:bCs/>
      <w:sz w:val="28"/>
      <w:szCs w:val="28"/>
    </w:rPr>
  </w:style>
  <w:style w:type="character" w:default="1" w:styleId="30">
    <w:name w:val="Default Paragraph Font"/>
    <w:qFormat/>
    <w:uiPriority w:val="0"/>
  </w:style>
  <w:style w:type="table" w:default="1" w:styleId="29">
    <w:name w:val="Normal Table"/>
    <w:semiHidden/>
    <w:uiPriority w:val="0"/>
    <w:tblPr>
      <w:tblCellMar>
        <w:top w:w="0" w:type="dxa"/>
        <w:left w:w="108" w:type="dxa"/>
        <w:bottom w:w="0" w:type="dxa"/>
        <w:right w:w="108" w:type="dxa"/>
      </w:tblCellMar>
    </w:tblPr>
  </w:style>
  <w:style w:type="paragraph" w:styleId="7">
    <w:name w:val="Normal Indent"/>
    <w:basedOn w:val="1"/>
    <w:autoRedefine/>
    <w:qFormat/>
    <w:uiPriority w:val="0"/>
    <w:pPr>
      <w:ind w:firstLine="420"/>
    </w:pPr>
    <w:rPr>
      <w:szCs w:val="20"/>
    </w:rPr>
  </w:style>
  <w:style w:type="paragraph" w:styleId="8">
    <w:name w:val="index 8"/>
    <w:basedOn w:val="1"/>
    <w:next w:val="1"/>
    <w:autoRedefine/>
    <w:qFormat/>
    <w:uiPriority w:val="0"/>
    <w:pPr>
      <w:ind w:left="2940"/>
    </w:pPr>
  </w:style>
  <w:style w:type="paragraph" w:styleId="9">
    <w:name w:val="List Number"/>
    <w:basedOn w:val="1"/>
    <w:qFormat/>
    <w:uiPriority w:val="0"/>
    <w:pPr>
      <w:numPr>
        <w:ilvl w:val="0"/>
        <w:numId w:val="1"/>
      </w:numPr>
    </w:pPr>
  </w:style>
  <w:style w:type="paragraph" w:styleId="10">
    <w:name w:val="toa heading"/>
    <w:basedOn w:val="1"/>
    <w:next w:val="1"/>
    <w:qFormat/>
    <w:uiPriority w:val="0"/>
    <w:pPr>
      <w:spacing w:before="120" w:line="360" w:lineRule="auto"/>
      <w:ind w:firstLine="200" w:firstLineChars="200"/>
    </w:pPr>
    <w:rPr>
      <w:rFonts w:ascii="Arial" w:hAnsi="Arial" w:eastAsia="宋体" w:cs="Times New Roman"/>
      <w:sz w:val="24"/>
      <w:szCs w:val="24"/>
    </w:rPr>
  </w:style>
  <w:style w:type="paragraph" w:styleId="11">
    <w:name w:val="annotation text"/>
    <w:basedOn w:val="1"/>
    <w:autoRedefine/>
    <w:qFormat/>
    <w:uiPriority w:val="0"/>
    <w:pPr>
      <w:jc w:val="left"/>
    </w:pPr>
  </w:style>
  <w:style w:type="paragraph" w:styleId="12">
    <w:name w:val="Body Text"/>
    <w:basedOn w:val="1"/>
    <w:autoRedefine/>
    <w:qFormat/>
    <w:uiPriority w:val="0"/>
    <w:pPr>
      <w:spacing w:after="120"/>
    </w:pPr>
  </w:style>
  <w:style w:type="paragraph" w:styleId="13">
    <w:name w:val="Body Text Indent"/>
    <w:basedOn w:val="1"/>
    <w:next w:val="14"/>
    <w:autoRedefine/>
    <w:qFormat/>
    <w:uiPriority w:val="0"/>
    <w:pPr>
      <w:spacing w:line="200" w:lineRule="exact"/>
      <w:ind w:firstLine="301"/>
    </w:pPr>
    <w:rPr>
      <w:rFonts w:ascii="宋体"/>
      <w:spacing w:val="-4"/>
      <w:sz w:val="18"/>
      <w:szCs w:val="20"/>
    </w:rPr>
  </w:style>
  <w:style w:type="paragraph" w:styleId="14">
    <w:name w:val="annotation subject"/>
    <w:basedOn w:val="11"/>
    <w:next w:val="1"/>
    <w:autoRedefine/>
    <w:qFormat/>
    <w:uiPriority w:val="0"/>
    <w:rPr>
      <w:b/>
      <w:bCs/>
    </w:rPr>
  </w:style>
  <w:style w:type="paragraph" w:styleId="15">
    <w:name w:val="toc 3"/>
    <w:basedOn w:val="1"/>
    <w:next w:val="1"/>
    <w:autoRedefine/>
    <w:qFormat/>
    <w:uiPriority w:val="0"/>
    <w:pPr>
      <w:jc w:val="left"/>
    </w:pPr>
    <w:rPr>
      <w:rFonts w:ascii="Calibri" w:hAnsi="Calibri"/>
      <w:smallCaps/>
      <w:sz w:val="22"/>
      <w:szCs w:val="22"/>
    </w:rPr>
  </w:style>
  <w:style w:type="paragraph" w:styleId="16">
    <w:name w:val="Plain Text"/>
    <w:basedOn w:val="1"/>
    <w:next w:val="8"/>
    <w:autoRedefine/>
    <w:qFormat/>
    <w:uiPriority w:val="0"/>
    <w:rPr>
      <w:rFonts w:ascii="宋体"/>
      <w:szCs w:val="20"/>
    </w:rPr>
  </w:style>
  <w:style w:type="paragraph" w:styleId="17">
    <w:name w:val="Date"/>
    <w:basedOn w:val="1"/>
    <w:next w:val="1"/>
    <w:autoRedefine/>
    <w:qFormat/>
    <w:uiPriority w:val="0"/>
    <w:pPr>
      <w:ind w:left="2500" w:leftChars="2500"/>
    </w:pPr>
    <w:rPr>
      <w:rFonts w:ascii="宋体"/>
      <w:kern w:val="0"/>
    </w:rPr>
  </w:style>
  <w:style w:type="paragraph" w:styleId="18">
    <w:name w:val="Body Text Indent 2"/>
    <w:basedOn w:val="1"/>
    <w:autoRedefine/>
    <w:qFormat/>
    <w:uiPriority w:val="0"/>
    <w:pPr>
      <w:spacing w:after="120" w:line="480" w:lineRule="auto"/>
      <w:ind w:left="200" w:leftChars="200"/>
    </w:pPr>
    <w:rPr>
      <w:kern w:val="0"/>
      <w:sz w:val="20"/>
    </w:rPr>
  </w:style>
  <w:style w:type="paragraph" w:styleId="19">
    <w:name w:val="Balloon Text"/>
    <w:basedOn w:val="1"/>
    <w:autoRedefine/>
    <w:qFormat/>
    <w:uiPriority w:val="0"/>
    <w:rPr>
      <w:sz w:val="18"/>
      <w:szCs w:val="18"/>
    </w:rPr>
  </w:style>
  <w:style w:type="paragraph" w:styleId="20">
    <w:name w:val="footer"/>
    <w:basedOn w:val="1"/>
    <w:next w:val="1"/>
    <w:autoRedefine/>
    <w:qFormat/>
    <w:uiPriority w:val="0"/>
    <w:pPr>
      <w:tabs>
        <w:tab w:val="center" w:pos="4153"/>
        <w:tab w:val="right" w:pos="8306"/>
      </w:tabs>
      <w:snapToGrid w:val="0"/>
      <w:jc w:val="left"/>
    </w:pPr>
    <w:rPr>
      <w:sz w:val="18"/>
      <w:szCs w:val="18"/>
    </w:rPr>
  </w:style>
  <w:style w:type="paragraph" w:styleId="2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qFormat/>
    <w:uiPriority w:val="0"/>
    <w:pPr>
      <w:spacing w:before="360" w:after="360"/>
      <w:jc w:val="left"/>
    </w:pPr>
    <w:rPr>
      <w:rFonts w:ascii="Calibri" w:hAnsi="Calibri"/>
      <w:b/>
      <w:bCs/>
      <w:caps/>
      <w:sz w:val="22"/>
      <w:szCs w:val="22"/>
      <w:u w:val="single"/>
    </w:rPr>
  </w:style>
  <w:style w:type="paragraph" w:styleId="23">
    <w:name w:val="List"/>
    <w:basedOn w:val="1"/>
    <w:autoRedefine/>
    <w:qFormat/>
    <w:uiPriority w:val="0"/>
    <w:pPr>
      <w:ind w:left="200" w:hanging="200" w:hangingChars="200"/>
    </w:pPr>
    <w:rPr>
      <w:sz w:val="28"/>
    </w:rPr>
  </w:style>
  <w:style w:type="paragraph" w:styleId="24">
    <w:name w:val="toc 2"/>
    <w:basedOn w:val="1"/>
    <w:next w:val="1"/>
    <w:autoRedefine/>
    <w:qFormat/>
    <w:uiPriority w:val="0"/>
    <w:pPr>
      <w:jc w:val="left"/>
    </w:pPr>
    <w:rPr>
      <w:rFonts w:ascii="Calibri" w:hAnsi="Calibri"/>
      <w:b/>
      <w:bCs/>
      <w:smallCaps/>
      <w:sz w:val="22"/>
      <w:szCs w:val="22"/>
    </w:rPr>
  </w:style>
  <w:style w:type="paragraph" w:styleId="25">
    <w:name w:val="Normal (Web)"/>
    <w:basedOn w:val="1"/>
    <w:autoRedefine/>
    <w:qFormat/>
    <w:uiPriority w:val="0"/>
    <w:pPr>
      <w:widowControl/>
      <w:spacing w:before="100" w:beforeAutospacing="1" w:after="100" w:afterAutospacing="1"/>
      <w:jc w:val="left"/>
    </w:pPr>
    <w:rPr>
      <w:rFonts w:ascii="宋体" w:cs="宋体"/>
      <w:kern w:val="0"/>
      <w:sz w:val="24"/>
    </w:rPr>
  </w:style>
  <w:style w:type="paragraph" w:styleId="26">
    <w:name w:val="Title"/>
    <w:basedOn w:val="1"/>
    <w:next w:val="1"/>
    <w:qFormat/>
    <w:uiPriority w:val="0"/>
    <w:pPr>
      <w:spacing w:before="240" w:after="60"/>
      <w:jc w:val="center"/>
      <w:outlineLvl w:val="0"/>
    </w:pPr>
    <w:rPr>
      <w:rFonts w:ascii="Cambria" w:hAnsi="Cambria"/>
      <w:b/>
      <w:bCs/>
      <w:sz w:val="32"/>
      <w:szCs w:val="32"/>
    </w:rPr>
  </w:style>
  <w:style w:type="paragraph" w:styleId="27">
    <w:name w:val="Body Text First Indent"/>
    <w:basedOn w:val="12"/>
    <w:qFormat/>
    <w:uiPriority w:val="0"/>
    <w:pPr>
      <w:spacing w:after="120" w:line="240" w:lineRule="auto"/>
      <w:ind w:firstLine="100" w:firstLineChars="100"/>
    </w:pPr>
    <w:rPr>
      <w:kern w:val="2"/>
      <w:sz w:val="21"/>
    </w:rPr>
  </w:style>
  <w:style w:type="paragraph" w:styleId="28">
    <w:name w:val="Body Text First Indent 2"/>
    <w:basedOn w:val="13"/>
    <w:autoRedefine/>
    <w:qFormat/>
    <w:uiPriority w:val="0"/>
    <w:pPr>
      <w:spacing w:after="120"/>
      <w:ind w:left="200" w:leftChars="200" w:firstLine="200" w:firstLineChars="200"/>
    </w:pPr>
    <w:rPr>
      <w:rFonts w:ascii="Times New Roman" w:hAnsi="Times New Roman"/>
      <w:sz w:val="21"/>
      <w:szCs w:val="24"/>
    </w:rPr>
  </w:style>
  <w:style w:type="character" w:styleId="31">
    <w:name w:val="Strong"/>
    <w:basedOn w:val="30"/>
    <w:autoRedefine/>
    <w:qFormat/>
    <w:uiPriority w:val="0"/>
    <w:rPr>
      <w:b/>
      <w:bCs/>
    </w:rPr>
  </w:style>
  <w:style w:type="character" w:styleId="32">
    <w:name w:val="page number"/>
    <w:autoRedefine/>
    <w:qFormat/>
    <w:uiPriority w:val="0"/>
  </w:style>
  <w:style w:type="character" w:styleId="33">
    <w:name w:val="FollowedHyperlink"/>
    <w:autoRedefine/>
    <w:qFormat/>
    <w:uiPriority w:val="0"/>
    <w:rPr>
      <w:rFonts w:ascii="微软雅黑" w:eastAsia="微软雅黑" w:cs="微软雅黑"/>
      <w:color w:val="02396F"/>
      <w:u w:val="single"/>
    </w:rPr>
  </w:style>
  <w:style w:type="character" w:styleId="34">
    <w:name w:val="Emphasis"/>
    <w:basedOn w:val="30"/>
    <w:qFormat/>
    <w:uiPriority w:val="0"/>
    <w:rPr>
      <w:b/>
      <w:bCs/>
    </w:rPr>
  </w:style>
  <w:style w:type="character" w:styleId="35">
    <w:name w:val="HTML Definition"/>
    <w:basedOn w:val="30"/>
    <w:qFormat/>
    <w:uiPriority w:val="0"/>
  </w:style>
  <w:style w:type="character" w:styleId="36">
    <w:name w:val="HTML Typewriter"/>
    <w:basedOn w:val="30"/>
    <w:qFormat/>
    <w:uiPriority w:val="0"/>
    <w:rPr>
      <w:rFonts w:ascii="monospace" w:hAnsi="monospace" w:eastAsia="monospace" w:cs="monospace"/>
      <w:sz w:val="20"/>
    </w:rPr>
  </w:style>
  <w:style w:type="character" w:styleId="37">
    <w:name w:val="HTML Acronym"/>
    <w:basedOn w:val="30"/>
    <w:qFormat/>
    <w:uiPriority w:val="0"/>
  </w:style>
  <w:style w:type="character" w:styleId="38">
    <w:name w:val="HTML Variable"/>
    <w:basedOn w:val="30"/>
    <w:qFormat/>
    <w:uiPriority w:val="0"/>
  </w:style>
  <w:style w:type="character" w:styleId="39">
    <w:name w:val="Hyperlink"/>
    <w:autoRedefine/>
    <w:qFormat/>
    <w:uiPriority w:val="0"/>
    <w:rPr>
      <w:rFonts w:ascii="微软雅黑" w:eastAsia="微软雅黑" w:cs="微软雅黑"/>
      <w:color w:val="02396F"/>
      <w:u w:val="single"/>
    </w:rPr>
  </w:style>
  <w:style w:type="character" w:styleId="40">
    <w:name w:val="HTML Code"/>
    <w:basedOn w:val="30"/>
    <w:qFormat/>
    <w:uiPriority w:val="0"/>
    <w:rPr>
      <w:rFonts w:ascii="monospace" w:hAnsi="monospace" w:eastAsia="monospace" w:cs="monospace"/>
      <w:sz w:val="20"/>
    </w:rPr>
  </w:style>
  <w:style w:type="character" w:styleId="41">
    <w:name w:val="annotation reference"/>
    <w:autoRedefine/>
    <w:qFormat/>
    <w:uiPriority w:val="0"/>
    <w:rPr>
      <w:sz w:val="21"/>
      <w:szCs w:val="21"/>
    </w:rPr>
  </w:style>
  <w:style w:type="character" w:styleId="42">
    <w:name w:val="HTML Cite"/>
    <w:basedOn w:val="30"/>
    <w:qFormat/>
    <w:uiPriority w:val="0"/>
  </w:style>
  <w:style w:type="character" w:styleId="43">
    <w:name w:val="HTML Keyboard"/>
    <w:basedOn w:val="30"/>
    <w:qFormat/>
    <w:uiPriority w:val="0"/>
    <w:rPr>
      <w:rFonts w:ascii="monospace" w:hAnsi="monospace" w:eastAsia="monospace" w:cs="monospace"/>
      <w:sz w:val="20"/>
    </w:rPr>
  </w:style>
  <w:style w:type="character" w:styleId="44">
    <w:name w:val="HTML Sample"/>
    <w:basedOn w:val="30"/>
    <w:qFormat/>
    <w:uiPriority w:val="0"/>
    <w:rPr>
      <w:rFonts w:ascii="monospace" w:hAnsi="monospace" w:eastAsia="monospace" w:cs="monospace"/>
    </w:rPr>
  </w:style>
  <w:style w:type="character" w:customStyle="1" w:styleId="45">
    <w:name w:val="heading 1 Char"/>
    <w:basedOn w:val="30"/>
    <w:link w:val="2"/>
    <w:autoRedefine/>
    <w:qFormat/>
    <w:uiPriority w:val="0"/>
    <w:rPr>
      <w:rFonts w:ascii="宋体" w:hAnsi="Times New Roman" w:eastAsia="宋体" w:cs="Times New Roman"/>
      <w:b/>
      <w:color w:val="000000"/>
      <w:kern w:val="44"/>
      <w:sz w:val="48"/>
      <w:szCs w:val="48"/>
      <w:lang w:val="en-US" w:eastAsia="zh-CN" w:bidi="ar-SA"/>
    </w:rPr>
  </w:style>
  <w:style w:type="character" w:customStyle="1" w:styleId="46">
    <w:name w:val="heading 2 Char"/>
    <w:basedOn w:val="30"/>
    <w:link w:val="3"/>
    <w:autoRedefine/>
    <w:qFormat/>
    <w:uiPriority w:val="0"/>
    <w:rPr>
      <w:rFonts w:ascii="Arial" w:hAnsi="Arial" w:eastAsia="黑体" w:cs="Times New Roman"/>
      <w:b/>
      <w:bCs/>
      <w:color w:val="000000"/>
      <w:kern w:val="2"/>
      <w:sz w:val="32"/>
      <w:szCs w:val="32"/>
      <w:lang w:val="en-US" w:eastAsia="zh-CN" w:bidi="ar-SA"/>
    </w:rPr>
  </w:style>
  <w:style w:type="character" w:customStyle="1" w:styleId="47">
    <w:name w:val="heading 3 Char"/>
    <w:basedOn w:val="30"/>
    <w:link w:val="4"/>
    <w:autoRedefine/>
    <w:qFormat/>
    <w:uiPriority w:val="0"/>
    <w:rPr>
      <w:rFonts w:ascii="Times New Roman" w:hAnsi="Times New Roman" w:eastAsia="宋体" w:cs="Times New Roman"/>
      <w:b/>
      <w:bCs/>
      <w:color w:val="000000"/>
      <w:kern w:val="2"/>
      <w:sz w:val="32"/>
      <w:szCs w:val="32"/>
      <w:lang w:val="en-US" w:eastAsia="zh-CN" w:bidi="ar-SA"/>
    </w:rPr>
  </w:style>
  <w:style w:type="character" w:customStyle="1" w:styleId="48">
    <w:name w:val="heading 4 Char"/>
    <w:basedOn w:val="30"/>
    <w:link w:val="5"/>
    <w:qFormat/>
    <w:uiPriority w:val="0"/>
    <w:rPr>
      <w:rFonts w:ascii="Arial" w:hAnsi="Arial" w:eastAsia="宋体" w:cs="Times New Roman"/>
      <w:b/>
      <w:bCs/>
      <w:kern w:val="2"/>
      <w:sz w:val="28"/>
      <w:szCs w:val="28"/>
      <w:lang w:val="en-US" w:eastAsia="zh-CN" w:bidi="ar-SA"/>
    </w:rPr>
  </w:style>
  <w:style w:type="character" w:customStyle="1" w:styleId="49">
    <w:name w:val="heading 5 Char"/>
    <w:basedOn w:val="30"/>
    <w:link w:val="6"/>
    <w:autoRedefine/>
    <w:qFormat/>
    <w:uiPriority w:val="0"/>
    <w:rPr>
      <w:rFonts w:ascii="Times New Roman" w:hAnsi="Times New Roman" w:eastAsia="宋体" w:cs="Times New Roman"/>
      <w:b/>
      <w:bCs/>
      <w:color w:val="000000"/>
      <w:kern w:val="2"/>
      <w:sz w:val="28"/>
      <w:szCs w:val="28"/>
      <w:lang w:val="en-US" w:eastAsia="zh-CN" w:bidi="ar-SA"/>
    </w:rPr>
  </w:style>
  <w:style w:type="paragraph" w:customStyle="1" w:styleId="50">
    <w:name w:val="Default"/>
    <w:basedOn w:val="26"/>
    <w:next w:val="1"/>
    <w:autoRedefine/>
    <w:qFormat/>
    <w:uiPriority w:val="0"/>
    <w:pPr>
      <w:autoSpaceDE w:val="0"/>
      <w:autoSpaceDN w:val="0"/>
      <w:adjustRightInd w:val="0"/>
    </w:pPr>
    <w:rPr>
      <w:rFonts w:ascii="宋体" w:hAnsi="Times New Roman" w:cs="宋体"/>
      <w:color w:val="000000"/>
      <w:sz w:val="24"/>
      <w:szCs w:val="24"/>
    </w:rPr>
  </w:style>
  <w:style w:type="paragraph" w:customStyle="1" w:styleId="51">
    <w:name w:val="表格文字"/>
    <w:basedOn w:val="1"/>
    <w:next w:val="12"/>
    <w:autoRedefine/>
    <w:qFormat/>
    <w:uiPriority w:val="0"/>
    <w:pPr>
      <w:adjustRightInd w:val="0"/>
      <w:spacing w:line="420" w:lineRule="atLeast"/>
      <w:jc w:val="left"/>
      <w:textAlignment w:val="baseline"/>
    </w:pPr>
    <w:rPr>
      <w:kern w:val="0"/>
    </w:rPr>
  </w:style>
  <w:style w:type="character" w:customStyle="1" w:styleId="52">
    <w:name w:val="font61"/>
    <w:autoRedefine/>
    <w:qFormat/>
    <w:uiPriority w:val="0"/>
    <w:rPr>
      <w:rFonts w:ascii="宋体" w:eastAsia="宋体" w:cs="宋体"/>
      <w:color w:val="0C0C0C"/>
      <w:sz w:val="18"/>
      <w:szCs w:val="18"/>
      <w:u w:val="none"/>
    </w:rPr>
  </w:style>
  <w:style w:type="character" w:customStyle="1" w:styleId="53">
    <w:name w:val="next"/>
    <w:autoRedefine/>
    <w:qFormat/>
    <w:uiPriority w:val="0"/>
    <w:rPr>
      <w:rFonts w:ascii="微软雅黑" w:eastAsia="微软雅黑" w:cs="微软雅黑"/>
      <w:sz w:val="21"/>
      <w:szCs w:val="21"/>
    </w:rPr>
  </w:style>
  <w:style w:type="character" w:customStyle="1" w:styleId="54">
    <w:name w:val="gjfg"/>
    <w:autoRedefine/>
    <w:qFormat/>
    <w:uiPriority w:val="0"/>
  </w:style>
  <w:style w:type="character" w:customStyle="1" w:styleId="55">
    <w:name w:val="cfdate"/>
    <w:autoRedefine/>
    <w:qFormat/>
    <w:uiPriority w:val="0"/>
    <w:rPr>
      <w:color w:val="333333"/>
      <w:sz w:val="18"/>
      <w:szCs w:val="18"/>
    </w:rPr>
  </w:style>
  <w:style w:type="character" w:customStyle="1" w:styleId="56">
    <w:name w:val="qxdate"/>
    <w:autoRedefine/>
    <w:qFormat/>
    <w:uiPriority w:val="0"/>
    <w:rPr>
      <w:color w:val="333333"/>
      <w:sz w:val="18"/>
      <w:szCs w:val="18"/>
    </w:rPr>
  </w:style>
  <w:style w:type="character" w:customStyle="1" w:styleId="57">
    <w:name w:val="redfilefwwh"/>
    <w:autoRedefine/>
    <w:qFormat/>
    <w:uiPriority w:val="0"/>
    <w:rPr>
      <w:color w:val="BA2636"/>
      <w:sz w:val="18"/>
      <w:szCs w:val="18"/>
    </w:rPr>
  </w:style>
  <w:style w:type="character" w:customStyle="1" w:styleId="58">
    <w:name w:val="prev1"/>
    <w:autoRedefine/>
    <w:qFormat/>
    <w:uiPriority w:val="0"/>
    <w:rPr>
      <w:color w:val="888888"/>
    </w:rPr>
  </w:style>
  <w:style w:type="character" w:customStyle="1" w:styleId="59">
    <w:name w:val="prev"/>
    <w:autoRedefine/>
    <w:qFormat/>
    <w:uiPriority w:val="0"/>
    <w:rPr>
      <w:rFonts w:ascii="微软雅黑" w:eastAsia="微软雅黑" w:cs="微软雅黑"/>
      <w:sz w:val="21"/>
      <w:szCs w:val="21"/>
    </w:rPr>
  </w:style>
  <w:style w:type="character" w:customStyle="1" w:styleId="60">
    <w:name w:val="displayarti"/>
    <w:autoRedefine/>
    <w:qFormat/>
    <w:uiPriority w:val="0"/>
    <w:rPr>
      <w:color w:val="FFFFFF"/>
      <w:shd w:val="clear" w:color="auto" w:fill="A00000"/>
    </w:rPr>
  </w:style>
  <w:style w:type="character" w:customStyle="1" w:styleId="61">
    <w:name w:val="redfilenumber"/>
    <w:autoRedefine/>
    <w:qFormat/>
    <w:uiPriority w:val="0"/>
    <w:rPr>
      <w:color w:val="BA2636"/>
      <w:sz w:val="18"/>
      <w:szCs w:val="18"/>
    </w:rPr>
  </w:style>
  <w:style w:type="character" w:customStyle="1" w:styleId="62">
    <w:name w:val="正文文本 (26) + 间距 0 pt"/>
    <w:autoRedefine/>
    <w:qFormat/>
    <w:uiPriority w:val="0"/>
    <w:rPr>
      <w:rFonts w:ascii="宋体" w:eastAsia="宋体" w:cs="宋体"/>
      <w:color w:val="000000"/>
      <w:spacing w:val="0"/>
      <w:w w:val="100"/>
      <w:position w:val="0"/>
      <w:sz w:val="22"/>
      <w:szCs w:val="22"/>
      <w:u w:val="none"/>
      <w:lang w:val="zh-CN" w:eastAsia="zh-CN" w:bidi="zh-CN"/>
    </w:rPr>
  </w:style>
  <w:style w:type="character" w:customStyle="1" w:styleId="63">
    <w:name w:val="next1"/>
    <w:autoRedefine/>
    <w:qFormat/>
    <w:uiPriority w:val="0"/>
    <w:rPr>
      <w:color w:val="888888"/>
    </w:rPr>
  </w:style>
  <w:style w:type="paragraph" w:customStyle="1" w:styleId="64">
    <w:name w:val="样式 标题 2 + 宋体"/>
    <w:basedOn w:val="3"/>
    <w:autoRedefine/>
    <w:qFormat/>
    <w:uiPriority w:val="0"/>
    <w:rPr>
      <w:rFonts w:ascii="宋体" w:hAnsi="宋体"/>
      <w:sz w:val="30"/>
    </w:rPr>
  </w:style>
  <w:style w:type="paragraph" w:customStyle="1" w:styleId="65">
    <w:name w:val="样式5"/>
    <w:basedOn w:val="1"/>
    <w:autoRedefine/>
    <w:qFormat/>
    <w:uiPriority w:val="0"/>
    <w:pPr>
      <w:adjustRightInd w:val="0"/>
      <w:spacing w:line="440" w:lineRule="exact"/>
      <w:ind w:left="2" w:firstLine="200" w:firstLineChars="200"/>
    </w:pPr>
    <w:rPr>
      <w:rFonts w:ascii="仿宋_GB2312" w:eastAsia="仿宋_GB2312"/>
      <w:sz w:val="24"/>
    </w:rPr>
  </w:style>
  <w:style w:type="paragraph" w:customStyle="1" w:styleId="66">
    <w:name w:val="正文缩进1"/>
    <w:basedOn w:val="1"/>
    <w:next w:val="13"/>
    <w:autoRedefine/>
    <w:qFormat/>
    <w:uiPriority w:val="0"/>
    <w:pPr>
      <w:autoSpaceDE w:val="0"/>
      <w:autoSpaceDN w:val="0"/>
      <w:adjustRightInd w:val="0"/>
      <w:snapToGrid w:val="0"/>
      <w:spacing w:after="120" w:line="360" w:lineRule="auto"/>
      <w:ind w:left="200" w:leftChars="200" w:firstLine="200" w:firstLineChars="200"/>
    </w:pPr>
    <w:rPr>
      <w:sz w:val="24"/>
      <w:szCs w:val="21"/>
    </w:rPr>
  </w:style>
  <w:style w:type="paragraph" w:styleId="67">
    <w:name w:val="Intense Quote"/>
    <w:basedOn w:val="1"/>
    <w:next w:val="1"/>
    <w:autoRedefine/>
    <w:qFormat/>
    <w:uiPriority w:val="0"/>
    <w:pPr>
      <w:wordWrap w:val="0"/>
      <w:spacing w:before="360" w:after="360"/>
      <w:ind w:left="950" w:right="950"/>
      <w:jc w:val="center"/>
    </w:pPr>
    <w:rPr>
      <w:i/>
    </w:rPr>
  </w:style>
  <w:style w:type="paragraph" w:customStyle="1" w:styleId="6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69">
    <w:name w:val="列表段落1"/>
    <w:basedOn w:val="1"/>
    <w:autoRedefine/>
    <w:qFormat/>
    <w:uiPriority w:val="0"/>
    <w:pPr>
      <w:ind w:firstLine="200" w:firstLineChars="200"/>
    </w:pPr>
  </w:style>
  <w:style w:type="paragraph" w:customStyle="1" w:styleId="70">
    <w:name w:val="正文2"/>
    <w:basedOn w:val="1"/>
    <w:autoRedefine/>
    <w:qFormat/>
    <w:uiPriority w:val="0"/>
    <w:pPr>
      <w:adjustRightInd w:val="0"/>
      <w:spacing w:before="156" w:line="360" w:lineRule="auto"/>
      <w:ind w:firstLine="200" w:firstLineChars="200"/>
    </w:pPr>
    <w:rPr>
      <w:sz w:val="24"/>
      <w:szCs w:val="20"/>
    </w:rPr>
  </w:style>
  <w:style w:type="paragraph" w:customStyle="1" w:styleId="71">
    <w:name w:val="彩色列表1"/>
    <w:basedOn w:val="1"/>
    <w:autoRedefine/>
    <w:qFormat/>
    <w:uiPriority w:val="0"/>
    <w:pPr>
      <w:ind w:firstLine="200" w:firstLineChars="200"/>
    </w:pPr>
    <w:rPr>
      <w:szCs w:val="20"/>
    </w:rPr>
  </w:style>
  <w:style w:type="paragraph" w:styleId="72">
    <w:name w:val="List Paragraph"/>
    <w:basedOn w:val="1"/>
    <w:autoRedefine/>
    <w:qFormat/>
    <w:uiPriority w:val="0"/>
    <w:pPr>
      <w:ind w:firstLine="200" w:firstLineChars="200"/>
    </w:pPr>
  </w:style>
  <w:style w:type="paragraph" w:customStyle="1" w:styleId="73">
    <w:name w:val="Table Text"/>
    <w:basedOn w:val="1"/>
    <w:autoRedefine/>
    <w:qFormat/>
    <w:uiPriority w:val="0"/>
    <w:rPr>
      <w:rFonts w:ascii="楷体" w:hAnsi="楷体" w:eastAsia="楷体" w:cs="楷体"/>
      <w:sz w:val="20"/>
      <w:szCs w:val="20"/>
    </w:rPr>
  </w:style>
  <w:style w:type="paragraph" w:customStyle="1" w:styleId="74">
    <w:name w:val="修订2"/>
    <w:autoRedefine/>
    <w:qFormat/>
    <w:uiPriority w:val="0"/>
    <w:rPr>
      <w:rFonts w:ascii="Times New Roman" w:hAnsi="Times New Roman" w:eastAsia="宋体" w:cs="Times New Roman"/>
      <w:kern w:val="2"/>
      <w:sz w:val="21"/>
      <w:szCs w:val="24"/>
      <w:lang w:val="en-US" w:eastAsia="zh-CN" w:bidi="ar-SA"/>
    </w:rPr>
  </w:style>
  <w:style w:type="paragraph" w:customStyle="1" w:styleId="75">
    <w:name w:val="正文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6">
    <w:name w:val="cf01"/>
    <w:basedOn w:val="30"/>
    <w:autoRedefine/>
    <w:qFormat/>
    <w:uiPriority w:val="0"/>
    <w:rPr>
      <w:rFonts w:ascii="Microsoft YaHei UI" w:hAnsi="Microsoft YaHei UI" w:eastAsia="Microsoft YaHei UI"/>
      <w:sz w:val="18"/>
      <w:szCs w:val="18"/>
    </w:rPr>
  </w:style>
  <w:style w:type="paragraph" w:customStyle="1" w:styleId="77">
    <w:name w:val="修订3"/>
    <w:autoRedefine/>
    <w:qFormat/>
    <w:uiPriority w:val="0"/>
    <w:rPr>
      <w:rFonts w:ascii="Times New Roman" w:hAnsi="Times New Roman" w:eastAsia="宋体" w:cs="Times New Roman"/>
      <w:kern w:val="2"/>
      <w:sz w:val="21"/>
      <w:szCs w:val="24"/>
      <w:lang w:val="en-US" w:eastAsia="zh-CN" w:bidi="ar-SA"/>
    </w:rPr>
  </w:style>
  <w:style w:type="paragraph" w:customStyle="1" w:styleId="78">
    <w:name w:val="修订4"/>
    <w:autoRedefine/>
    <w:qFormat/>
    <w:uiPriority w:val="0"/>
    <w:rPr>
      <w:rFonts w:ascii="Times New Roman" w:hAnsi="Times New Roman" w:eastAsia="宋体" w:cs="Times New Roman"/>
      <w:kern w:val="2"/>
      <w:sz w:val="21"/>
      <w:szCs w:val="24"/>
      <w:lang w:val="en-US" w:eastAsia="zh-CN" w:bidi="ar-SA"/>
    </w:rPr>
  </w:style>
  <w:style w:type="character" w:customStyle="1" w:styleId="79">
    <w:name w:val="Unresolved Mention"/>
    <w:basedOn w:val="30"/>
    <w:qFormat/>
    <w:uiPriority w:val="0"/>
    <w:rPr>
      <w:color w:val="605E5C"/>
      <w:shd w:val="clear" w:color="auto" w:fill="E1DFDD"/>
    </w:rPr>
  </w:style>
  <w:style w:type="paragraph" w:customStyle="1" w:styleId="80">
    <w:name w:val="Revision"/>
    <w:autoRedefine/>
    <w:qFormat/>
    <w:uiPriority w:val="0"/>
    <w:rPr>
      <w:rFonts w:ascii="Times New Roman" w:hAnsi="Times New Roman" w:eastAsia="宋体" w:cs="Times New Roman"/>
      <w:kern w:val="2"/>
      <w:sz w:val="21"/>
      <w:szCs w:val="24"/>
      <w:lang w:val="en-US" w:eastAsia="zh-CN" w:bidi="ar-SA"/>
    </w:rPr>
  </w:style>
  <w:style w:type="paragraph" w:customStyle="1" w:styleId="81">
    <w:name w:val="p15"/>
    <w:basedOn w:val="1"/>
    <w:autoRedefine/>
    <w:qFormat/>
    <w:uiPriority w:val="0"/>
    <w:pPr>
      <w:widowControl/>
    </w:pPr>
    <w:rPr>
      <w:rFonts w:ascii="宋体" w:hAnsi="宋体"/>
      <w:kern w:val="0"/>
      <w:szCs w:val="21"/>
    </w:rPr>
  </w:style>
  <w:style w:type="character" w:customStyle="1" w:styleId="82">
    <w:name w:val="hover1"/>
    <w:basedOn w:val="30"/>
    <w:qFormat/>
    <w:uiPriority w:val="0"/>
    <w:rPr>
      <w:color w:val="2590EB"/>
    </w:rPr>
  </w:style>
  <w:style w:type="character" w:customStyle="1" w:styleId="83">
    <w:name w:val="hover2"/>
    <w:basedOn w:val="30"/>
    <w:qFormat/>
    <w:uiPriority w:val="0"/>
    <w:rPr>
      <w:color w:val="2590EB"/>
    </w:rPr>
  </w:style>
  <w:style w:type="character" w:customStyle="1" w:styleId="84">
    <w:name w:val="hover3"/>
    <w:basedOn w:val="30"/>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ustomData xmlns="http://www.yozosoft.com.cn/officeDocument/2016/customData">
  <customProps>
    <docPr revisions="3 0 5 0 0 0 1 0 0 0 26650 1 1 1 1 1"/>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F76B19-5858-4C1B-A4A9-B505A0C96DD2}">
  <ds:schemaRefs/>
</ds:datastoreItem>
</file>

<file path=docProps/app.xml><?xml version="1.0" encoding="utf-8"?>
<Properties xmlns="http://schemas.openxmlformats.org/officeDocument/2006/extended-properties" xmlns:vt="http://schemas.openxmlformats.org/officeDocument/2006/docPropsVTypes">
  <Template>Normal.eit</Template>
  <Pages>156</Pages>
  <Words>15904</Words>
  <Characters>18436</Characters>
  <Lines>0</Lines>
  <Paragraphs>1328</Paragraphs>
  <TotalTime>365</TotalTime>
  <ScaleCrop>false</ScaleCrop>
  <LinksUpToDate>false</LinksUpToDate>
  <CharactersWithSpaces>18537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2025-07-23T10:52:00Z</dcterms:created>
  <dc:creator>txt</dc:creator>
  <cp:lastModifiedBy>欧明聪</cp:lastModifiedBy>
  <cp:lastPrinted>2026-09-24T07:59:00Z</cp:lastPrinted>
  <dcterms:modified xsi:type="dcterms:W3CDTF">2026-09-29T07:37:01Z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6AB9A60BB6BC449F9DB38DEDD21A77B9_13</vt:lpwstr>
  </property>
  <property fmtid="{D5CDD505-2E9C-101B-9397-08002B2CF9AE}" pid="4" name="KSOTemplateDocerSaveRecord">
    <vt:lpwstr>eyJoZGlkIjoiNmFiYWEwZWY0YjhkOTZjNmY1MTY3ZDU2MWZkYzc3NDAiLCJ1c2VySWQiOiIxNTkyNDk1NTU5In0=</vt:lpwstr>
  </property>
</Properties>
</file>