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Cambria" w:hAnsi="Cambria"/>
          <w:bCs w:val="0"/>
          <w:color w:val="auto"/>
          <w:sz w:val="32"/>
          <w:szCs w:val="32"/>
          <w:highlight w:val="none"/>
        </w:rPr>
      </w:pPr>
      <w:r>
        <w:rPr>
          <w:rFonts w:hint="eastAsia" w:ascii="Times New Roman" w:hAnsi="Times New Roman" w:eastAsia="宋体" w:cs="Times New Roman"/>
          <w:b/>
          <w:bCs/>
          <w:color w:val="auto"/>
          <w:kern w:val="44"/>
          <w:sz w:val="44"/>
          <w:szCs w:val="44"/>
          <w:highlight w:val="none"/>
          <w:lang w:val="en-US" w:eastAsia="zh-CN" w:bidi="ar-SA"/>
        </w:rPr>
        <w:t>采购需求</w:t>
      </w:r>
    </w:p>
    <w:p>
      <w:pPr>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pPr>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1.为落实政府采购政策需满足的要求：</w:t>
      </w:r>
    </w:p>
    <w:p>
      <w:pPr>
        <w:pageBreakBefore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本竞争性磋商文件所称中小企业必须符合《政府采购促进中小企业发展管理办法》（财库〔2020〕46号）的规定。</w:t>
      </w:r>
    </w:p>
    <w:p>
      <w:pPr>
        <w:keepNext w:val="0"/>
        <w:keepLines w:val="0"/>
        <w:pageBreakBefore w:val="0"/>
        <w:widowControl w:val="0"/>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lang w:val="en-US" w:eastAsia="zh-CN"/>
        </w:rPr>
      </w:pPr>
      <w:r>
        <w:rPr>
          <w:rFonts w:hint="eastAsia" w:ascii="宋体" w:hAnsi="宋体" w:eastAsia="宋体" w:cs="宋体"/>
          <w:color w:val="auto"/>
          <w:highlight w:val="none"/>
          <w:lang w:val="en-US" w:eastAsia="zh-CN"/>
        </w:rPr>
        <w:t>2.采购标的对应的中小企业划分标准所属行业名称</w:t>
      </w:r>
      <w:r>
        <w:rPr>
          <w:rFonts w:hint="eastAsia" w:ascii="宋体" w:hAnsi="宋体" w:eastAsia="宋体" w:cs="宋体"/>
          <w:color w:val="000000"/>
          <w:highlight w:val="none"/>
          <w:lang w:val="en-US" w:eastAsia="zh-CN"/>
        </w:rPr>
        <w:t>：</w:t>
      </w:r>
      <w:r>
        <w:rPr>
          <w:rFonts w:hint="eastAsia" w:ascii="宋体" w:hAnsi="宋体" w:eastAsia="宋体" w:cs="宋体"/>
          <w:color w:val="000000"/>
          <w:highlight w:val="none"/>
          <w:u w:val="single"/>
          <w:lang w:val="en-US" w:eastAsia="zh-CN"/>
        </w:rPr>
        <w:t xml:space="preserve"> 建筑业 </w:t>
      </w:r>
      <w:r>
        <w:rPr>
          <w:rFonts w:hint="eastAsia" w:ascii="宋体" w:hAnsi="宋体" w:eastAsia="宋体" w:cs="宋体"/>
          <w:color w:val="000000"/>
          <w:highlight w:val="none"/>
          <w:u w:val="none"/>
          <w:lang w:val="en-US" w:eastAsia="zh-CN"/>
        </w:rPr>
        <w:t>。</w:t>
      </w:r>
      <w:r>
        <w:rPr>
          <w:rFonts w:hint="eastAsia" w:ascii="宋体" w:hAnsi="宋体" w:eastAsia="宋体" w:cs="宋体"/>
          <w:i w:val="0"/>
          <w:iCs w:val="0"/>
          <w:color w:val="auto"/>
          <w:highlight w:val="none"/>
          <w:u w:val="none"/>
          <w:lang w:val="en-US" w:eastAsia="zh-CN"/>
        </w:rPr>
        <w:t>（</w:t>
      </w:r>
      <w:r>
        <w:rPr>
          <w:rFonts w:hint="eastAsia" w:ascii="宋体" w:hAnsi="宋体" w:eastAsia="宋体" w:cs="宋体"/>
          <w:color w:val="auto"/>
          <w:highlight w:val="none"/>
          <w:lang w:val="en-US" w:eastAsia="zh-CN"/>
        </w:rPr>
        <w:t>中小企业</w:t>
      </w:r>
      <w:r>
        <w:rPr>
          <w:rFonts w:hint="eastAsia" w:ascii="宋体" w:hAnsi="宋体" w:eastAsia="宋体" w:cs="宋体"/>
          <w:i w:val="0"/>
          <w:iCs w:val="0"/>
          <w:color w:val="auto"/>
          <w:highlight w:val="none"/>
          <w:u w:val="none"/>
          <w:lang w:val="en-US" w:eastAsia="zh-CN"/>
        </w:rPr>
        <w:t>划分标准详见附件2）</w:t>
      </w:r>
    </w:p>
    <w:p>
      <w:pPr>
        <w:pageBreakBefore w:val="0"/>
        <w:tabs>
          <w:tab w:val="left" w:pos="180"/>
          <w:tab w:val="left" w:pos="1620"/>
        </w:tabs>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val="0"/>
          <w:bCs w:val="0"/>
          <w:color w:val="auto"/>
          <w:szCs w:val="21"/>
          <w:highlight w:val="none"/>
        </w:rPr>
        <w:t>▲</w:t>
      </w:r>
      <w:r>
        <w:rPr>
          <w:rFonts w:hint="eastAsia" w:ascii="宋体" w:hAnsi="宋体" w:eastAsia="宋体" w:cs="宋体"/>
          <w:b/>
          <w:bCs/>
          <w:color w:val="auto"/>
          <w:sz w:val="24"/>
          <w:highlight w:val="none"/>
          <w:lang w:val="en-US" w:eastAsia="zh-CN"/>
        </w:rPr>
        <w:t>一、项目要求</w:t>
      </w:r>
    </w:p>
    <w:p>
      <w:pPr>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lang w:val="en-US" w:eastAsia="zh-CN"/>
        </w:rPr>
        <w:t>1.工程概况：</w:t>
      </w:r>
      <w:r>
        <w:rPr>
          <w:rFonts w:hint="eastAsia" w:ascii="宋体" w:hAnsi="宋体" w:eastAsia="宋体" w:cs="宋体"/>
          <w:u w:val="single"/>
          <w:lang w:val="en-US" w:eastAsia="zh-CN"/>
        </w:rPr>
        <w:t>本</w:t>
      </w:r>
      <w:r>
        <w:rPr>
          <w:rFonts w:hint="eastAsia" w:ascii="宋体" w:hAnsi="宋体" w:eastAsia="宋体" w:cs="宋体"/>
          <w:color w:val="auto"/>
          <w:u w:val="single"/>
          <w:lang w:eastAsia="zh-CN"/>
        </w:rPr>
        <w:t>项目</w:t>
      </w:r>
      <w:r>
        <w:rPr>
          <w:rFonts w:hint="eastAsia" w:ascii="宋体" w:hAnsi="宋体" w:eastAsia="宋体" w:cs="宋体"/>
          <w:color w:val="auto"/>
          <w:u w:val="single"/>
          <w:lang w:val="en-US" w:eastAsia="zh-CN"/>
        </w:rPr>
        <w:t>位于南宁市西乡塘区邕隆路471号，2024年5月强降雨后，边坡出现明显变形迹象，坡顶排水边沟开裂、坡面骨架开裂、坡底挡墙轻微外倾。</w:t>
      </w:r>
      <w:r>
        <w:rPr>
          <w:rFonts w:hint="eastAsia" w:ascii="宋体" w:hAnsi="宋体" w:eastAsia="宋体" w:cs="宋体"/>
          <w:color w:val="auto"/>
          <w:u w:val="single"/>
          <w:lang w:eastAsia="zh-CN"/>
        </w:rPr>
        <w:t>2025年治理施工结束后，边坡原有格构梁因施工影响出现大量损毁（主要表现为下半部分格构梁</w:t>
      </w:r>
      <w:r>
        <w:rPr>
          <w:rFonts w:hint="eastAsia" w:ascii="宋体" w:hAnsi="宋体" w:eastAsia="宋体" w:cs="宋体"/>
          <w:color w:val="auto"/>
          <w:u w:val="single"/>
          <w:lang w:val="en-US" w:eastAsia="zh-CN"/>
        </w:rPr>
        <w:t>基本清除</w:t>
      </w:r>
      <w:r>
        <w:rPr>
          <w:rFonts w:hint="eastAsia" w:ascii="宋体" w:hAnsi="宋体" w:eastAsia="宋体" w:cs="宋体"/>
          <w:color w:val="auto"/>
          <w:u w:val="single"/>
          <w:lang w:eastAsia="zh-CN"/>
        </w:rPr>
        <w:t>、上部部分</w:t>
      </w:r>
      <w:r>
        <w:rPr>
          <w:rFonts w:hint="eastAsia" w:ascii="宋体" w:hAnsi="宋体" w:eastAsia="宋体" w:cs="宋体"/>
          <w:color w:val="auto"/>
          <w:u w:val="single"/>
          <w:lang w:val="en-US" w:eastAsia="zh-CN"/>
        </w:rPr>
        <w:t>大量</w:t>
      </w:r>
      <w:r>
        <w:rPr>
          <w:rFonts w:hint="eastAsia" w:ascii="宋体" w:hAnsi="宋体" w:eastAsia="宋体" w:cs="宋体"/>
          <w:color w:val="auto"/>
          <w:u w:val="single"/>
          <w:lang w:eastAsia="zh-CN"/>
        </w:rPr>
        <w:t>断裂），未获修复，坡脚开始出现持续渗水，坡顶排水沟再次出现开裂（缝宽0.1~2cm且有持续发展趋势），</w:t>
      </w:r>
      <w:r>
        <w:rPr>
          <w:rFonts w:hint="eastAsia" w:ascii="宋体" w:hAnsi="宋体" w:eastAsia="宋体" w:cs="宋体"/>
          <w:u w:val="single"/>
          <w:lang w:val="en-US" w:eastAsia="zh-CN"/>
        </w:rPr>
        <w:t>根据现场变形迹象及稳定性分析，存在形成浅层滑坡的风险，故将其定为新增推移式土质潜在滑坡区（不稳定斜坡），威胁坡顶处第一强制隔离戒毒所及坡底厂房仓库的安全</w:t>
      </w:r>
      <w:r>
        <w:rPr>
          <w:rFonts w:hint="eastAsia" w:ascii="宋体" w:hAnsi="宋体" w:eastAsia="宋体" w:cs="宋体"/>
          <w:color w:val="auto"/>
          <w:szCs w:val="21"/>
          <w:highlight w:val="none"/>
          <w:lang w:val="en-US" w:eastAsia="zh-CN"/>
        </w:rPr>
        <w:t>。</w:t>
      </w:r>
    </w:p>
    <w:p>
      <w:pPr>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u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 w:val="21"/>
          <w:szCs w:val="21"/>
          <w:highlight w:val="none"/>
          <w:lang w:eastAsia="zh-CN"/>
        </w:rPr>
        <w:t>项目</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w:t>
      </w:r>
      <w:r>
        <w:rPr>
          <w:rFonts w:hint="eastAsia" w:ascii="宋体" w:hAnsi="宋体" w:eastAsia="宋体" w:cs="宋体"/>
          <w:i w:val="0"/>
          <w:iCs w:val="0"/>
          <w:caps w:val="0"/>
          <w:color w:val="auto"/>
          <w:spacing w:val="0"/>
          <w:sz w:val="21"/>
          <w:szCs w:val="21"/>
          <w:highlight w:val="none"/>
          <w:u w:val="single"/>
          <w:shd w:val="clear" w:color="auto" w:fill="auto"/>
          <w:lang w:val="en-US" w:eastAsia="zh-CN"/>
        </w:rPr>
        <w:t>南宁市公安局邕隆路办公点边坡新增滑坡区修护工程治理工程</w:t>
      </w:r>
      <w:r>
        <w:rPr>
          <w:rFonts w:hint="eastAsia" w:ascii="宋体" w:hAnsi="宋体" w:eastAsia="宋体" w:cs="宋体"/>
          <w:color w:val="auto"/>
          <w:szCs w:val="21"/>
          <w:highlight w:val="none"/>
          <w:u w:val="none"/>
          <w:lang w:eastAsia="zh-CN"/>
        </w:rPr>
        <w:t>。</w:t>
      </w:r>
    </w:p>
    <w:p>
      <w:pPr>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lang w:val="en-US" w:eastAsia="zh-CN"/>
        </w:rPr>
        <w:t>3.</w:t>
      </w:r>
      <w:r>
        <w:rPr>
          <w:rFonts w:hint="eastAsia" w:ascii="宋体" w:hAnsi="宋体" w:eastAsia="宋体" w:cs="宋体"/>
          <w:color w:val="auto"/>
          <w:szCs w:val="21"/>
          <w:highlight w:val="none"/>
          <w:lang w:val="en-US" w:eastAsia="zh-CN"/>
        </w:rPr>
        <w:t>采购范围（工程施工范围）：</w:t>
      </w:r>
      <w:r>
        <w:rPr>
          <w:rFonts w:hint="eastAsia" w:ascii="宋体" w:hAnsi="宋体" w:eastAsia="宋体" w:cs="宋体"/>
          <w:i w:val="0"/>
          <w:iCs w:val="0"/>
          <w:caps w:val="0"/>
          <w:color w:val="auto"/>
          <w:spacing w:val="0"/>
          <w:sz w:val="21"/>
          <w:szCs w:val="21"/>
          <w:highlight w:val="none"/>
          <w:u w:val="single"/>
          <w:shd w:val="clear" w:color="auto" w:fill="auto"/>
        </w:rPr>
        <w:t>对南宁市公安局邕隆路办公点西侧边坡实施地质灾害综合治理工程，施工内容包括素填土加固工程、锚杆+格构梁+挂网喷砼、C20混凝土截排水沟工程、施工临时工程等，消除地质灾害隐患，确保滑坡顶处第一强制隔离戒毒所重要设施及内部道路和滑坡体下方仓库厂房的安全。</w:t>
      </w:r>
      <w:r>
        <w:rPr>
          <w:rFonts w:hint="eastAsia" w:ascii="宋体" w:hAnsi="宋体" w:eastAsia="宋体" w:cs="宋体"/>
          <w:i w:val="0"/>
          <w:iCs w:val="0"/>
          <w:caps w:val="0"/>
          <w:color w:val="auto"/>
          <w:spacing w:val="0"/>
          <w:sz w:val="21"/>
          <w:szCs w:val="21"/>
          <w:highlight w:val="none"/>
          <w:u w:val="single"/>
          <w:shd w:val="clear" w:color="auto" w:fill="auto"/>
          <w:lang w:val="en-US" w:eastAsia="zh-CN"/>
        </w:rPr>
        <w:t xml:space="preserve">（具体详见施工图纸及工作量清单包含的内容） </w:t>
      </w:r>
    </w:p>
    <w:p>
      <w:pPr>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u w:val="none"/>
          <w:lang w:eastAsia="zh-CN"/>
        </w:rPr>
      </w:pPr>
      <w:r>
        <w:rPr>
          <w:rFonts w:hint="eastAsia" w:ascii="宋体" w:hAnsi="宋体" w:eastAsia="宋体" w:cs="宋体"/>
          <w:bCs/>
          <w:color w:val="auto"/>
          <w:szCs w:val="21"/>
          <w:lang w:val="en-US" w:eastAsia="zh-CN"/>
        </w:rPr>
        <w:t>4</w:t>
      </w:r>
      <w:r>
        <w:rPr>
          <w:rFonts w:hint="eastAsia" w:ascii="宋体" w:hAnsi="宋体" w:eastAsia="宋体" w:cs="宋体"/>
          <w:color w:val="auto"/>
          <w:szCs w:val="21"/>
          <w:lang w:val="en-US" w:eastAsia="zh-CN"/>
        </w:rPr>
        <w:t>.建设地点</w:t>
      </w:r>
      <w:r>
        <w:rPr>
          <w:rFonts w:hint="eastAsia" w:ascii="宋体" w:hAnsi="宋体" w:eastAsia="宋体" w:cs="宋体"/>
          <w:color w:val="auto"/>
          <w:szCs w:val="21"/>
        </w:rPr>
        <w:t>：</w:t>
      </w:r>
      <w:r>
        <w:rPr>
          <w:rFonts w:hint="eastAsia" w:ascii="宋体" w:hAnsi="宋体" w:eastAsia="宋体" w:cs="宋体"/>
          <w:color w:val="auto"/>
          <w:szCs w:val="21"/>
          <w:u w:val="single"/>
        </w:rPr>
        <w:t>南宁市西乡塘区邕隆路471号</w:t>
      </w:r>
      <w:r>
        <w:rPr>
          <w:rFonts w:hint="eastAsia" w:ascii="宋体" w:hAnsi="宋体" w:eastAsia="宋体" w:cs="宋体"/>
          <w:color w:val="auto"/>
          <w:szCs w:val="21"/>
          <w:u w:val="none"/>
          <w:lang w:eastAsia="zh-CN"/>
        </w:rPr>
        <w:t>。</w:t>
      </w:r>
    </w:p>
    <w:p>
      <w:pPr>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Cs w:val="21"/>
          <w:u w:val="none"/>
          <w:lang w:eastAsia="zh-CN"/>
        </w:rPr>
      </w:pPr>
      <w:r>
        <w:rPr>
          <w:rFonts w:hint="eastAsia" w:ascii="宋体" w:hAnsi="宋体" w:eastAsia="宋体" w:cs="宋体"/>
          <w:color w:val="auto"/>
          <w:szCs w:val="21"/>
          <w:lang w:val="en-US" w:eastAsia="zh-CN"/>
        </w:rPr>
        <w:t>5.</w:t>
      </w:r>
      <w:r>
        <w:rPr>
          <w:rFonts w:hint="eastAsia" w:ascii="宋体" w:hAnsi="宋体" w:eastAsia="宋体" w:cs="宋体"/>
          <w:color w:val="auto"/>
          <w:szCs w:val="21"/>
          <w:highlight w:val="none"/>
        </w:rPr>
        <w:t>合同履行期限</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工期</w:t>
      </w:r>
      <w:r>
        <w:rPr>
          <w:rFonts w:hint="eastAsia" w:ascii="宋体" w:hAnsi="宋体" w:eastAsia="宋体" w:cs="宋体"/>
          <w:color w:val="auto"/>
          <w:szCs w:val="21"/>
          <w:highlight w:val="none"/>
          <w:lang w:eastAsia="zh-CN"/>
        </w:rPr>
        <w:t>）</w:t>
      </w:r>
      <w:r>
        <w:rPr>
          <w:rFonts w:hint="eastAsia" w:ascii="宋体" w:hAnsi="宋体" w:eastAsia="宋体" w:cs="宋体"/>
          <w:bCs/>
          <w:color w:val="auto"/>
          <w:szCs w:val="21"/>
        </w:rPr>
        <w:t>：</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u w:val="single"/>
          <w:lang w:val="en-US" w:eastAsia="zh-CN"/>
        </w:rPr>
        <w:t>80</w:t>
      </w:r>
      <w:r>
        <w:rPr>
          <w:rFonts w:hint="eastAsia" w:ascii="宋体" w:hAnsi="宋体" w:eastAsia="宋体" w:cs="宋体"/>
          <w:bCs/>
          <w:color w:val="auto"/>
          <w:szCs w:val="21"/>
          <w:u w:val="single"/>
        </w:rPr>
        <w:t xml:space="preserve"> </w:t>
      </w:r>
      <w:r>
        <w:rPr>
          <w:rFonts w:hint="eastAsia" w:ascii="宋体" w:hAnsi="宋体" w:eastAsia="宋体" w:cs="宋体"/>
          <w:bCs/>
          <w:color w:val="auto"/>
          <w:szCs w:val="21"/>
          <w:u w:val="none"/>
          <w:lang w:eastAsia="zh-CN"/>
        </w:rPr>
        <w:t>日历天。</w:t>
      </w:r>
    </w:p>
    <w:p>
      <w:pPr>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FF0000"/>
          <w:szCs w:val="21"/>
          <w:lang w:val="en-US" w:eastAsia="zh-CN"/>
        </w:rPr>
      </w:pPr>
      <w:r>
        <w:rPr>
          <w:rFonts w:hint="eastAsia" w:ascii="宋体" w:hAnsi="宋体" w:eastAsia="宋体" w:cs="宋体"/>
          <w:color w:val="auto"/>
          <w:szCs w:val="21"/>
          <w:lang w:val="en-US" w:eastAsia="zh-CN"/>
        </w:rPr>
        <w:t>6</w:t>
      </w:r>
      <w:r>
        <w:rPr>
          <w:rFonts w:hint="eastAsia" w:ascii="宋体" w:hAnsi="宋体" w:eastAsia="宋体" w:cs="宋体"/>
          <w:bCs/>
          <w:color w:val="auto"/>
          <w:szCs w:val="21"/>
          <w:lang w:val="en-US" w:eastAsia="zh-CN"/>
        </w:rPr>
        <w:t>.工程</w:t>
      </w:r>
      <w:r>
        <w:rPr>
          <w:rFonts w:hint="eastAsia" w:ascii="宋体" w:hAnsi="宋体" w:eastAsia="宋体" w:cs="宋体"/>
          <w:color w:val="auto"/>
          <w:szCs w:val="21"/>
          <w:lang w:val="en-US" w:eastAsia="zh-CN"/>
        </w:rPr>
        <w:t>质量要求</w:t>
      </w:r>
      <w:r>
        <w:rPr>
          <w:rFonts w:hint="eastAsia" w:ascii="宋体" w:hAnsi="宋体" w:eastAsia="宋体" w:cs="宋体"/>
          <w:color w:val="auto"/>
          <w:szCs w:val="21"/>
        </w:rPr>
        <w:t>：</w:t>
      </w:r>
      <w:r>
        <w:rPr>
          <w:rFonts w:hint="eastAsia" w:ascii="宋体" w:hAnsi="宋体" w:eastAsia="宋体" w:cs="宋体"/>
          <w:color w:val="auto"/>
          <w:sz w:val="21"/>
          <w:szCs w:val="21"/>
          <w:highlight w:val="none"/>
          <w:u w:val="single"/>
          <w:lang w:eastAsia="zh-CN"/>
        </w:rPr>
        <w:t>达到地质灾害治理工程施工质量验收规范合格标准，通过竣工验收</w:t>
      </w:r>
      <w:r>
        <w:rPr>
          <w:rFonts w:hint="eastAsia" w:ascii="宋体" w:hAnsi="宋体" w:eastAsia="宋体" w:cs="宋体"/>
          <w:color w:val="auto"/>
          <w:sz w:val="21"/>
          <w:szCs w:val="21"/>
          <w:highlight w:val="none"/>
          <w:lang w:eastAsia="zh-CN"/>
        </w:rPr>
        <w:t>。</w:t>
      </w:r>
    </w:p>
    <w:p>
      <w:pPr>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7.施工及验收规范要求：</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（1）《滑坡防治设计规范》（GB/T38509-2020）；</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（2）《滑坡防治工程设计与施工技术规范》（DZ/T0219-2006）；</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（3）《建筑边坡工程技术规范》（GB50330-2013）；</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（4）《混凝土结构设计规范》（GB50010-2010）；</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（5）《建筑地基基础设计规范》（GB50007-2011）；</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（6）《混凝土结构工程施工质量验收规范》(GB50204-2015)；</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（7）《施工现场临时用电安全技术规范》（JGJ46-2005）；</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（8）《普通混凝土用砂、石质量及检验方法标准》（JGJ52-2006）。</w:t>
      </w:r>
    </w:p>
    <w:p>
      <w:pPr>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u w:val="none"/>
          <w:lang w:val="en-US" w:eastAsia="zh-CN"/>
        </w:rPr>
        <w:t>8</w:t>
      </w:r>
      <w:r>
        <w:rPr>
          <w:rFonts w:hint="eastAsia" w:ascii="宋体" w:hAnsi="宋体" w:eastAsia="宋体" w:cs="宋体"/>
          <w:color w:val="auto"/>
          <w:szCs w:val="21"/>
          <w:lang w:val="en-US" w:eastAsia="zh-CN"/>
        </w:rPr>
        <w:t>.</w:t>
      </w:r>
      <w:r>
        <w:rPr>
          <w:rFonts w:hint="eastAsia" w:ascii="宋体" w:hAnsi="宋体" w:eastAsia="宋体" w:cs="宋体"/>
          <w:color w:val="auto"/>
          <w:sz w:val="21"/>
          <w:szCs w:val="21"/>
          <w:highlight w:val="none"/>
        </w:rPr>
        <w:t>质量保修期</w:t>
      </w:r>
      <w:r>
        <w:rPr>
          <w:rFonts w:hint="eastAsia" w:ascii="宋体" w:hAnsi="宋体" w:eastAsia="宋体" w:cs="宋体"/>
          <w:color w:val="auto"/>
          <w:szCs w:val="21"/>
          <w:lang w:val="en-US" w:eastAsia="zh-CN"/>
        </w:rPr>
        <w:t>及质量缺陷责任期</w:t>
      </w:r>
      <w:r>
        <w:rPr>
          <w:rFonts w:hint="eastAsia" w:ascii="宋体" w:hAnsi="宋体" w:eastAsia="宋体" w:cs="宋体"/>
          <w:color w:val="auto"/>
          <w:szCs w:val="21"/>
        </w:rPr>
        <w:t>：</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8.1质量保修期：具体详见专用合同条款。</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8.2质量缺陷责任期：</w:t>
      </w:r>
      <w:r>
        <w:rPr>
          <w:rFonts w:hint="eastAsia" w:ascii="宋体" w:hAnsi="宋体" w:eastAsia="宋体" w:cs="宋体"/>
          <w:color w:val="auto"/>
          <w:szCs w:val="21"/>
          <w:u w:val="single"/>
          <w:lang w:val="en-US" w:eastAsia="zh-CN"/>
        </w:rPr>
        <w:t xml:space="preserve"> 12 </w:t>
      </w:r>
      <w:r>
        <w:rPr>
          <w:rFonts w:hint="eastAsia" w:ascii="宋体" w:hAnsi="宋体" w:eastAsia="宋体" w:cs="宋体"/>
          <w:color w:val="auto"/>
          <w:szCs w:val="21"/>
          <w:lang w:val="en-US" w:eastAsia="zh-CN"/>
        </w:rPr>
        <w:t>个月，具体详见专用合同条款。</w:t>
      </w:r>
    </w:p>
    <w:p>
      <w:pPr>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lang w:val="en-US" w:eastAsia="zh-CN"/>
        </w:rPr>
        <w:t>9.合同价格形式：</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b/>
          <w:bCs/>
          <w:color w:val="auto"/>
          <w:szCs w:val="21"/>
          <w:highlight w:val="none"/>
          <w:u w:val="single"/>
          <w:lang w:val="en-US" w:eastAsia="zh-CN"/>
        </w:rPr>
        <w:t>固定综合单价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Cs w:val="21"/>
          <w:highlight w:val="none"/>
          <w:u w:val="none"/>
          <w:lang w:val="en-US" w:eastAsia="zh-CN"/>
        </w:rPr>
        <w:t>9.1项目</w:t>
      </w:r>
      <w:r>
        <w:rPr>
          <w:rFonts w:hint="eastAsia" w:ascii="宋体" w:hAnsi="宋体" w:eastAsia="宋体" w:cs="宋体"/>
          <w:color w:val="auto"/>
          <w:sz w:val="21"/>
          <w:szCs w:val="21"/>
          <w:highlight w:val="none"/>
          <w:u w:val="none"/>
          <w:lang w:eastAsia="zh-CN"/>
        </w:rPr>
        <w:t>采用</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b/>
          <w:bCs/>
          <w:color w:val="auto"/>
          <w:sz w:val="21"/>
          <w:szCs w:val="21"/>
          <w:highlight w:val="none"/>
          <w:u w:val="single"/>
          <w:lang w:eastAsia="zh-CN"/>
        </w:rPr>
        <w:t>工程量清单（工作量清单）</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eastAsia="zh-CN"/>
        </w:rPr>
        <w:t>报价包含</w:t>
      </w:r>
      <w:r>
        <w:rPr>
          <w:rFonts w:hint="eastAsia" w:ascii="宋体" w:hAnsi="宋体" w:eastAsia="宋体" w:cs="宋体"/>
          <w:szCs w:val="24"/>
          <w:highlight w:val="none"/>
        </w:rPr>
        <w:t>完成包括《工程量清单</w:t>
      </w:r>
      <w:r>
        <w:rPr>
          <w:rFonts w:hint="eastAsia" w:ascii="宋体" w:hAnsi="宋体" w:eastAsia="宋体" w:cs="宋体"/>
          <w:szCs w:val="24"/>
          <w:highlight w:val="none"/>
          <w:lang w:eastAsia="zh-CN"/>
        </w:rPr>
        <w:t>或工作量清单</w:t>
      </w:r>
      <w:r>
        <w:rPr>
          <w:rFonts w:hint="eastAsia" w:ascii="宋体" w:hAnsi="宋体" w:eastAsia="宋体" w:cs="宋体"/>
          <w:szCs w:val="24"/>
          <w:highlight w:val="none"/>
        </w:rPr>
        <w:t>》中所有施工项目的内容以及实施和完成工程所需的劳务费、服务费、交通、通讯、办公场地、回收物运输费、必要的保险费用和各项税金</w:t>
      </w:r>
      <w:r>
        <w:rPr>
          <w:rFonts w:hint="eastAsia" w:ascii="宋体" w:hAnsi="宋体" w:eastAsia="宋体" w:cs="宋体"/>
          <w:szCs w:val="24"/>
          <w:highlight w:val="none"/>
          <w:lang w:eastAsia="zh-CN"/>
        </w:rPr>
        <w:t>、</w:t>
      </w:r>
      <w:r>
        <w:rPr>
          <w:rFonts w:hint="eastAsia" w:ascii="宋体" w:hAnsi="宋体" w:eastAsia="宋体" w:cs="宋体"/>
          <w:szCs w:val="24"/>
          <w:highlight w:val="none"/>
        </w:rPr>
        <w:t>垃圾清运费等费用和政策性文件规定及合同包含的所有风险、责任等各项应有的费用。对于本文件中未列明，而供应商认为必需的费用也需列入总报价</w:t>
      </w:r>
      <w:r>
        <w:rPr>
          <w:rFonts w:hint="eastAsia" w:ascii="宋体" w:hAnsi="宋体" w:eastAsia="宋体" w:cs="宋体"/>
          <w:color w:val="auto"/>
          <w:sz w:val="21"/>
          <w:szCs w:val="21"/>
          <w:highlight w:val="none"/>
          <w:lang w:eastAsia="zh-CN"/>
        </w:rPr>
        <w:t>。</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9.2承包方式：包工包料。</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9.3</w:t>
      </w:r>
      <w:r>
        <w:rPr>
          <w:rFonts w:hint="eastAsia" w:ascii="宋体" w:hAnsi="宋体" w:eastAsia="宋体" w:cs="宋体"/>
          <w:color w:val="auto"/>
          <w:sz w:val="21"/>
          <w:szCs w:val="21"/>
          <w:highlight w:val="none"/>
        </w:rPr>
        <w:t>竞标人可自行前往工地勘察，充分了解工地位置、情况、道路及其他任何影响竞标报价的情况。</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9.4</w:t>
      </w:r>
      <w:r>
        <w:rPr>
          <w:rFonts w:hint="eastAsia" w:ascii="宋体" w:hAnsi="宋体" w:eastAsia="宋体" w:cs="宋体"/>
          <w:color w:val="auto"/>
          <w:sz w:val="21"/>
          <w:szCs w:val="21"/>
          <w:highlight w:val="none"/>
        </w:rPr>
        <w:t>竞标人应自行考虑主要材料涨跌的风险。</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9.5</w:t>
      </w:r>
      <w:r>
        <w:rPr>
          <w:rFonts w:hint="eastAsia" w:ascii="宋体" w:hAnsi="宋体" w:eastAsia="宋体" w:cs="宋体"/>
          <w:color w:val="auto"/>
          <w:sz w:val="21"/>
          <w:szCs w:val="21"/>
          <w:highlight w:val="none"/>
        </w:rPr>
        <w:t>竞标人不得采用总价优惠、总价百分比优惠以及报价调整函的方式进行竞标报价。</w:t>
      </w:r>
    </w:p>
    <w:p>
      <w:pPr>
        <w:pageBreakBefore w:val="0"/>
        <w:widowControl/>
        <w:shd w:val="clear" w:color="auto" w:fill="FFFFFF"/>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lang w:val="en-US" w:eastAsia="zh-CN"/>
        </w:rPr>
        <w:t>9.6</w:t>
      </w:r>
      <w:r>
        <w:rPr>
          <w:rFonts w:hint="eastAsia" w:ascii="宋体" w:hAnsi="宋体" w:eastAsia="宋体" w:cs="宋体"/>
          <w:highlight w:val="none"/>
        </w:rPr>
        <w:t>结算方式：采取固定综合单价计价方式，按实际完成工程量结算，成交供应商需在完工后提供结算书等资料进行审核和结算。</w:t>
      </w:r>
    </w:p>
    <w:p>
      <w:pPr>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10.</w:t>
      </w:r>
      <w:r>
        <w:rPr>
          <w:rFonts w:hint="eastAsia" w:ascii="宋体" w:hAnsi="宋体" w:eastAsia="宋体" w:cs="宋体"/>
          <w:color w:val="auto"/>
          <w:szCs w:val="21"/>
        </w:rPr>
        <w:t>付款方式：</w:t>
      </w:r>
    </w:p>
    <w:p>
      <w:pPr>
        <w:pageBreakBefore w:val="0"/>
        <w:widowControl/>
        <w:shd w:val="clear" w:color="auto" w:fill="FFFFFF"/>
        <w:kinsoku/>
        <w:wordWrap/>
        <w:overflowPunct/>
        <w:topLinePunct w:val="0"/>
        <w:autoSpaceDE/>
        <w:autoSpaceDN/>
        <w:bidi w:val="0"/>
        <w:adjustRightInd/>
        <w:snapToGrid/>
        <w:spacing w:line="360" w:lineRule="auto"/>
        <w:ind w:left="210" w:leftChars="100" w:firstLine="420" w:firstLineChars="200"/>
        <w:textAlignment w:val="auto"/>
        <w:rPr>
          <w:rFonts w:hint="eastAsia" w:ascii="宋体" w:hAnsi="宋体" w:eastAsia="宋体" w:cs="宋体"/>
          <w:b w:val="0"/>
          <w:bCs w:val="0"/>
          <w:color w:val="auto"/>
          <w:highlight w:val="none"/>
          <w:lang w:eastAsia="zh"/>
        </w:rPr>
      </w:pPr>
      <w:r>
        <w:rPr>
          <w:rFonts w:hint="eastAsia" w:ascii="宋体" w:hAnsi="宋体" w:eastAsia="宋体" w:cs="宋体"/>
          <w:b w:val="0"/>
          <w:bCs w:val="0"/>
          <w:color w:val="auto"/>
          <w:highlight w:val="none"/>
          <w:lang w:eastAsia="zh"/>
        </w:rPr>
        <w:t>10.1开工预付款金额：无预付款。</w:t>
      </w:r>
    </w:p>
    <w:p>
      <w:pPr>
        <w:pageBreakBefore w:val="0"/>
        <w:widowControl/>
        <w:shd w:val="clear" w:color="auto" w:fill="FFFFFF"/>
        <w:kinsoku/>
        <w:wordWrap/>
        <w:overflowPunct/>
        <w:topLinePunct w:val="0"/>
        <w:autoSpaceDE/>
        <w:autoSpaceDN/>
        <w:bidi w:val="0"/>
        <w:adjustRightInd/>
        <w:snapToGrid/>
        <w:spacing w:line="360" w:lineRule="auto"/>
        <w:ind w:left="210" w:leftChars="100" w:firstLine="420" w:firstLineChars="200"/>
        <w:textAlignment w:val="auto"/>
        <w:rPr>
          <w:rFonts w:hint="eastAsia" w:ascii="宋体" w:hAnsi="宋体" w:eastAsia="宋体" w:cs="宋体"/>
          <w:b w:val="0"/>
          <w:bCs w:val="0"/>
          <w:color w:val="auto"/>
          <w:highlight w:val="none"/>
          <w:lang w:eastAsia="zh"/>
        </w:rPr>
      </w:pPr>
      <w:r>
        <w:rPr>
          <w:rFonts w:hint="eastAsia" w:ascii="宋体" w:hAnsi="宋体" w:eastAsia="宋体" w:cs="宋体"/>
          <w:b w:val="0"/>
          <w:bCs w:val="0"/>
          <w:color w:val="auto"/>
          <w:highlight w:val="none"/>
          <w:lang w:eastAsia="zh"/>
        </w:rPr>
        <w:t>10.2材料、设备预付款比例：无预付款。</w:t>
      </w:r>
    </w:p>
    <w:p>
      <w:pPr>
        <w:pageBreakBefore w:val="0"/>
        <w:widowControl/>
        <w:shd w:val="clear" w:color="auto" w:fill="FFFFFF"/>
        <w:kinsoku/>
        <w:wordWrap/>
        <w:overflowPunct/>
        <w:topLinePunct w:val="0"/>
        <w:autoSpaceDE/>
        <w:autoSpaceDN/>
        <w:bidi w:val="0"/>
        <w:adjustRightInd/>
        <w:snapToGrid/>
        <w:spacing w:line="360" w:lineRule="auto"/>
        <w:ind w:left="210" w:leftChars="100" w:firstLine="420" w:firstLineChars="20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highlight w:val="none"/>
          <w:lang w:eastAsia="zh"/>
        </w:rPr>
        <w:t>10.3付款方式：工程款原则上按月支付；合同内工程进度款按照当期已完成合格工程量计量金额的80%支付，累计不超过合同价的80%；合同外（设计变更）工程进度款，累计增加的变更金额在合同价的10%以内（含10%）的，按照当期计量金额的60%支付，超出合同价10%的部分不进行进度款计量支付，留待工程结算时一并支付；工程完工竣工验收达到质量要求，双方验收合格经审核单位结算审定工程造价后，工程款支付至结算总价的97%（含已支付的）；剩余3%作为工程质量保证金，12个月缺陷责任期满后30日内发包人无息退还剩余的质量保证金(无息)。</w:t>
      </w:r>
    </w:p>
    <w:p>
      <w:pPr>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lang w:val="en-US" w:eastAsia="zh-CN"/>
        </w:rPr>
      </w:pPr>
      <w:bookmarkStart w:id="0" w:name="OLE_LINK2"/>
      <w:r>
        <w:rPr>
          <w:rFonts w:hint="eastAsia" w:ascii="宋体" w:hAnsi="宋体" w:eastAsia="宋体" w:cs="宋体"/>
          <w:color w:val="auto"/>
          <w:szCs w:val="21"/>
          <w:lang w:val="en-US" w:eastAsia="zh-CN"/>
        </w:rPr>
        <w:t>11.人员基本要求</w:t>
      </w:r>
      <w:bookmarkEnd w:id="0"/>
      <w:r>
        <w:rPr>
          <w:rFonts w:hint="eastAsia" w:ascii="宋体" w:hAnsi="宋体" w:eastAsia="宋体" w:cs="宋体"/>
          <w:color w:val="auto"/>
          <w:szCs w:val="21"/>
          <w:lang w:val="en-US" w:eastAsia="zh-CN"/>
        </w:rPr>
        <w:t>：</w:t>
      </w:r>
    </w:p>
    <w:p>
      <w:pPr>
        <w:pageBreakBefore w:val="0"/>
        <w:numPr>
          <w:ilvl w:val="0"/>
          <w:numId w:val="0"/>
        </w:numPr>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lang w:val="en-US" w:eastAsia="zh-CN"/>
        </w:rPr>
        <w:t>11.1项目经理：供应商</w:t>
      </w:r>
      <w:r>
        <w:rPr>
          <w:rFonts w:hint="eastAsia" w:ascii="宋体" w:hAnsi="宋体" w:eastAsia="宋体" w:cs="宋体"/>
          <w:color w:val="auto"/>
          <w:highlight w:val="none"/>
        </w:rPr>
        <w:t>拟派项目经理须具备</w:t>
      </w:r>
      <w:r>
        <w:rPr>
          <w:rFonts w:hint="eastAsia" w:ascii="宋体" w:hAnsi="宋体" w:eastAsia="宋体" w:cs="宋体"/>
          <w:color w:val="auto"/>
          <w:highlight w:val="none"/>
          <w:u w:val="single"/>
        </w:rPr>
        <w:t xml:space="preserve"> </w:t>
      </w:r>
      <w:r>
        <w:rPr>
          <w:rFonts w:hint="eastAsia" w:ascii="宋体" w:hAnsi="宋体" w:eastAsia="宋体" w:cs="宋体"/>
          <w:b/>
          <w:bCs/>
          <w:color w:val="auto"/>
          <w:sz w:val="21"/>
          <w:szCs w:val="21"/>
          <w:highlight w:val="none"/>
          <w:u w:val="single"/>
          <w:lang w:val="en-US" w:eastAsia="zh-CN"/>
        </w:rPr>
        <w:t>建筑工程或市政公用工程或公路工程</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专业</w:t>
      </w:r>
      <w:r>
        <w:rPr>
          <w:rFonts w:hint="eastAsia" w:ascii="宋体" w:hAnsi="宋体" w:eastAsia="宋体" w:cs="宋体"/>
          <w:color w:val="auto"/>
          <w:highlight w:val="none"/>
          <w:u w:val="single"/>
        </w:rPr>
        <w:t xml:space="preserve"> </w:t>
      </w:r>
      <w:r>
        <w:rPr>
          <w:rFonts w:hint="eastAsia" w:ascii="宋体" w:hAnsi="宋体" w:eastAsia="宋体" w:cs="宋体"/>
          <w:b/>
          <w:bCs/>
          <w:color w:val="auto"/>
          <w:highlight w:val="none"/>
          <w:u w:val="single"/>
          <w:lang w:eastAsia="zh-CN"/>
        </w:rPr>
        <w:t>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级</w:t>
      </w:r>
      <w:r>
        <w:rPr>
          <w:rFonts w:hint="eastAsia" w:ascii="宋体" w:hAnsi="宋体" w:eastAsia="宋体" w:cs="宋体"/>
          <w:color w:val="auto"/>
          <w:highlight w:val="none"/>
          <w:lang w:eastAsia="zh-CN"/>
        </w:rPr>
        <w:t>及</w:t>
      </w:r>
      <w:r>
        <w:rPr>
          <w:rFonts w:hint="eastAsia" w:ascii="宋体" w:hAnsi="宋体" w:eastAsia="宋体" w:cs="宋体"/>
          <w:color w:val="auto"/>
          <w:highlight w:val="none"/>
        </w:rPr>
        <w:t>以上注册建造师执业资格</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具备有效的安全生产考核合格证书（B类）。本项目不接受有在建、已中标未开工或已列为其他项目中标候选人第一名的建造师作为项目经理</w:t>
      </w:r>
      <w:r>
        <w:rPr>
          <w:rFonts w:hint="eastAsia" w:ascii="宋体" w:hAnsi="宋体" w:eastAsia="宋体" w:cs="宋体"/>
          <w:color w:val="auto"/>
          <w:szCs w:val="21"/>
          <w:highlight w:val="none"/>
        </w:rPr>
        <w:t>。</w:t>
      </w:r>
    </w:p>
    <w:p>
      <w:pPr>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拟派项目经理被列为失信被执行人的（以评审阶段通过</w:t>
      </w:r>
      <w:r>
        <w:rPr>
          <w:rFonts w:hint="eastAsia" w:ascii="宋体" w:hAnsi="宋体" w:eastAsia="宋体" w:cs="宋体"/>
          <w:color w:val="auto"/>
          <w:kern w:val="2"/>
          <w:szCs w:val="21"/>
          <w:highlight w:val="none"/>
        </w:rPr>
        <w:t>“信用中国”网站</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kern w:val="2"/>
          <w:szCs w:val="21"/>
          <w:highlight w:val="none"/>
        </w:rPr>
        <w:t>www.creditchina.gov.cn</w:t>
      </w:r>
      <w:r>
        <w:rPr>
          <w:rFonts w:hint="eastAsia" w:ascii="宋体" w:hAnsi="宋体" w:eastAsia="宋体" w:cs="宋体"/>
          <w:color w:val="auto"/>
          <w:kern w:val="2"/>
          <w:szCs w:val="21"/>
          <w:highlight w:val="none"/>
          <w:lang w:eastAsia="zh-CN"/>
        </w:rPr>
        <w:t>）</w:t>
      </w:r>
      <w:r>
        <w:rPr>
          <w:rFonts w:hint="eastAsia" w:ascii="宋体" w:hAnsi="宋体" w:eastAsia="宋体" w:cs="宋体"/>
          <w:color w:val="auto"/>
          <w:szCs w:val="21"/>
          <w:lang w:val="en-US" w:eastAsia="zh-CN"/>
        </w:rPr>
        <w:t>查询的结果为准），不得参与竞标。</w:t>
      </w:r>
    </w:p>
    <w:p>
      <w:pPr>
        <w:pageBreakBefore w:val="0"/>
        <w:numPr>
          <w:ilvl w:val="0"/>
          <w:numId w:val="0"/>
        </w:numPr>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rPr>
      </w:pPr>
      <w:r>
        <w:rPr>
          <w:rFonts w:hint="eastAsia" w:ascii="宋体" w:hAnsi="宋体" w:eastAsia="宋体" w:cs="宋体"/>
          <w:color w:val="auto"/>
          <w:szCs w:val="21"/>
          <w:lang w:val="en-US" w:eastAsia="zh-CN"/>
        </w:rPr>
        <w:t>11.2项目技术负责人：具备</w:t>
      </w:r>
      <w:r>
        <w:rPr>
          <w:rFonts w:hint="eastAsia" w:ascii="宋体" w:hAnsi="宋体" w:eastAsia="宋体" w:cs="宋体"/>
          <w:color w:val="auto"/>
          <w:szCs w:val="21"/>
          <w:u w:val="single"/>
          <w:lang w:val="en-US" w:eastAsia="zh-CN"/>
        </w:rPr>
        <w:t xml:space="preserve"> </w:t>
      </w:r>
      <w:r>
        <w:rPr>
          <w:rFonts w:hint="eastAsia" w:ascii="宋体" w:hAnsi="宋体" w:cs="宋体"/>
          <w:b/>
          <w:bCs/>
          <w:color w:val="auto"/>
          <w:szCs w:val="21"/>
          <w:u w:val="single"/>
          <w:lang w:val="en-US" w:eastAsia="zh-CN"/>
        </w:rPr>
        <w:t>工程类中级及以上</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lang w:val="en-US" w:eastAsia="zh-CN"/>
        </w:rPr>
        <w:t>职称。</w:t>
      </w:r>
    </w:p>
    <w:p>
      <w:pPr>
        <w:pageBreakBefore w:val="0"/>
        <w:numPr>
          <w:ilvl w:val="0"/>
          <w:numId w:val="0"/>
        </w:numPr>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highlight w:val="none"/>
          <w:lang w:eastAsia="zh-CN"/>
        </w:rPr>
      </w:pPr>
      <w:r>
        <w:rPr>
          <w:rFonts w:hint="eastAsia" w:ascii="宋体" w:hAnsi="宋体" w:eastAsia="宋体" w:cs="宋体"/>
          <w:color w:val="auto"/>
          <w:szCs w:val="21"/>
          <w:lang w:val="en-US" w:eastAsia="zh-CN"/>
        </w:rPr>
        <w:t>11.3</w:t>
      </w:r>
      <w:r>
        <w:rPr>
          <w:rFonts w:hint="eastAsia" w:ascii="宋体" w:hAnsi="宋体" w:eastAsia="宋体" w:cs="宋体"/>
          <w:color w:val="auto"/>
          <w:highlight w:val="none"/>
        </w:rPr>
        <w:t>专职安全生产管理人员</w:t>
      </w:r>
      <w:r>
        <w:rPr>
          <w:rFonts w:hint="eastAsia" w:ascii="宋体" w:hAnsi="宋体" w:eastAsia="宋体" w:cs="宋体"/>
          <w:color w:val="auto"/>
          <w:highlight w:val="none"/>
          <w:lang w:eastAsia="zh-CN"/>
        </w:rPr>
        <w:t>：</w:t>
      </w:r>
      <w:r>
        <w:rPr>
          <w:rFonts w:hint="eastAsia" w:ascii="宋体" w:hAnsi="宋体" w:eastAsia="宋体" w:cs="宋体"/>
          <w:color w:val="auto"/>
          <w:szCs w:val="21"/>
          <w:u w:val="single"/>
          <w:lang w:val="en-US" w:eastAsia="zh-CN"/>
        </w:rPr>
        <w:t xml:space="preserve"> 1 </w:t>
      </w:r>
      <w:r>
        <w:rPr>
          <w:rFonts w:hint="eastAsia" w:ascii="宋体" w:hAnsi="宋体" w:eastAsia="宋体" w:cs="宋体"/>
          <w:color w:val="auto"/>
          <w:szCs w:val="21"/>
        </w:rPr>
        <w:t>人</w:t>
      </w:r>
      <w:r>
        <w:rPr>
          <w:rFonts w:hint="eastAsia" w:ascii="宋体" w:hAnsi="宋体" w:eastAsia="宋体" w:cs="宋体"/>
          <w:color w:val="auto"/>
          <w:szCs w:val="21"/>
          <w:lang w:eastAsia="zh-CN"/>
        </w:rPr>
        <w:t>，</w:t>
      </w:r>
      <w:r>
        <w:rPr>
          <w:rFonts w:hint="eastAsia" w:ascii="宋体" w:hAnsi="宋体" w:eastAsia="宋体" w:cs="宋体"/>
          <w:color w:val="auto"/>
          <w:szCs w:val="21"/>
        </w:rPr>
        <w:t>具备有效的安全生产考核合格证书（C类）</w:t>
      </w:r>
      <w:r>
        <w:rPr>
          <w:rFonts w:hint="eastAsia" w:ascii="宋体" w:hAnsi="宋体" w:eastAsia="宋体" w:cs="宋体"/>
          <w:color w:val="auto"/>
          <w:szCs w:val="21"/>
          <w:lang w:eastAsia="zh-CN"/>
        </w:rPr>
        <w:t>，且无在建项目</w:t>
      </w:r>
      <w:r>
        <w:rPr>
          <w:rFonts w:hint="eastAsia" w:ascii="宋体" w:hAnsi="宋体" w:eastAsia="宋体" w:cs="宋体"/>
          <w:color w:val="auto"/>
          <w:highlight w:val="none"/>
          <w:lang w:eastAsia="zh-CN"/>
        </w:rPr>
        <w:t>。</w:t>
      </w:r>
    </w:p>
    <w:p>
      <w:pPr>
        <w:pageBreakBefore w:val="0"/>
        <w:numPr>
          <w:ilvl w:val="0"/>
          <w:numId w:val="0"/>
        </w:numPr>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11.4其他人员：</w:t>
      </w:r>
      <w:bookmarkStart w:id="1" w:name="OLE_LINK7"/>
    </w:p>
    <w:p>
      <w:pPr>
        <w:pageBreakBefore w:val="0"/>
        <w:numPr>
          <w:ilvl w:val="0"/>
          <w:numId w:val="0"/>
        </w:numPr>
        <w:kinsoku/>
        <w:wordWrap/>
        <w:overflowPunct/>
        <w:topLinePunct w:val="0"/>
        <w:autoSpaceDE/>
        <w:autoSpaceDN/>
        <w:bidi w:val="0"/>
        <w:adjustRightInd/>
        <w:snapToGrid/>
        <w:spacing w:line="360" w:lineRule="auto"/>
        <w:ind w:firstLine="843" w:firstLineChars="4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11.4.1施工员至少1名、质量员至少1名、材料员至少1名、资料员至少1名、测量员至少1名，且持具有相应施工现场专业人员职业培训合格证书。</w:t>
      </w:r>
    </w:p>
    <w:p>
      <w:pPr>
        <w:numPr>
          <w:ilvl w:val="0"/>
          <w:numId w:val="0"/>
        </w:numPr>
        <w:spacing w:line="360" w:lineRule="auto"/>
        <w:ind w:firstLine="843" w:firstLineChars="400"/>
      </w:pPr>
      <w:r>
        <w:rPr>
          <w:rFonts w:hint="eastAsia" w:ascii="宋体" w:hAnsi="宋体" w:eastAsia="宋体" w:cs="宋体"/>
          <w:b/>
          <w:bCs/>
          <w:color w:val="auto"/>
          <w:sz w:val="21"/>
          <w:szCs w:val="21"/>
          <w:highlight w:val="none"/>
          <w:lang w:val="en-US" w:eastAsia="zh-CN"/>
        </w:rPr>
        <w:t>11.4.2特种作业人员至少2名，</w:t>
      </w:r>
      <w:bookmarkEnd w:id="1"/>
      <w:r>
        <w:rPr>
          <w:rFonts w:hint="eastAsia" w:ascii="宋体" w:hAnsi="宋体" w:eastAsia="宋体" w:cs="宋体"/>
          <w:b/>
          <w:bCs/>
          <w:color w:val="auto"/>
          <w:sz w:val="21"/>
          <w:szCs w:val="21"/>
          <w:highlight w:val="none"/>
          <w:lang w:val="en-US" w:eastAsia="zh-CN"/>
        </w:rPr>
        <w:t>实施目危岩清理、锚杆锚索、脚手架搭建、焊接与热切割、高空作业等涉及特种作业的施工内容时，必须持特种作业证书上岗。</w:t>
      </w:r>
    </w:p>
    <w:p>
      <w:pPr>
        <w:numPr>
          <w:ilvl w:val="0"/>
          <w:numId w:val="0"/>
        </w:numPr>
        <w:spacing w:line="360" w:lineRule="auto"/>
        <w:ind w:firstLine="420" w:firstLineChars="200"/>
        <w:rPr>
          <w:rFonts w:hint="eastAsia" w:eastAsia="宋体"/>
          <w:lang w:val="en-US" w:eastAsia="zh-CN"/>
        </w:rPr>
      </w:pPr>
      <w:r>
        <w:rPr>
          <w:rFonts w:hint="eastAsia"/>
          <w:lang w:val="en-US" w:eastAsia="zh-CN"/>
        </w:rPr>
        <w:t>注：须提供上述相关人员的</w:t>
      </w:r>
      <w:r>
        <w:rPr>
          <w:rFonts w:hint="eastAsia" w:ascii="宋体" w:hAnsi="宋体" w:eastAsia="宋体" w:cs="宋体"/>
          <w:color w:val="auto"/>
          <w:sz w:val="21"/>
          <w:szCs w:val="21"/>
          <w:highlight w:val="none"/>
          <w:lang w:val="en-US" w:eastAsia="zh-CN"/>
        </w:rPr>
        <w:t>执业资格证书或职称证书或</w:t>
      </w:r>
      <w:r>
        <w:rPr>
          <w:rFonts w:hint="eastAsia" w:ascii="宋体" w:hAnsi="宋体" w:eastAsia="宋体" w:cs="宋体"/>
          <w:color w:val="auto"/>
          <w:szCs w:val="21"/>
        </w:rPr>
        <w:t>安全生产考核合格证书</w:t>
      </w:r>
      <w:r>
        <w:rPr>
          <w:rFonts w:hint="eastAsia" w:ascii="宋体" w:hAnsi="宋体" w:eastAsia="宋体" w:cs="宋体"/>
          <w:color w:val="auto"/>
          <w:szCs w:val="21"/>
          <w:lang w:val="en-US" w:eastAsia="zh-CN"/>
        </w:rPr>
        <w:t>或</w:t>
      </w:r>
      <w:r>
        <w:rPr>
          <w:rFonts w:hint="eastAsia" w:ascii="宋体" w:hAnsi="宋体" w:eastAsia="宋体" w:cs="宋体"/>
          <w:color w:val="auto"/>
          <w:szCs w:val="21"/>
          <w:lang w:eastAsia="zh-CN"/>
        </w:rPr>
        <w:t>职业培训合格证书</w:t>
      </w:r>
      <w:r>
        <w:rPr>
          <w:rFonts w:hint="eastAsia" w:ascii="宋体" w:hAnsi="宋体" w:eastAsia="宋体" w:cs="宋体"/>
          <w:color w:val="auto"/>
          <w:szCs w:val="21"/>
          <w:lang w:val="en-US" w:eastAsia="zh-CN"/>
        </w:rPr>
        <w:t>或特种作业证书和</w:t>
      </w:r>
      <w:r>
        <w:rPr>
          <w:rFonts w:hint="eastAsia" w:ascii="宋体" w:hAnsi="宋体" w:eastAsia="宋体" w:cs="宋体"/>
          <w:color w:val="auto"/>
          <w:sz w:val="21"/>
          <w:szCs w:val="21"/>
          <w:highlight w:val="none"/>
          <w:lang w:val="en-US" w:eastAsia="zh-CN"/>
        </w:rPr>
        <w:t>竞标</w:t>
      </w:r>
      <w:r>
        <w:rPr>
          <w:rFonts w:hint="eastAsia" w:ascii="宋体" w:hAnsi="宋体" w:eastAsia="宋体" w:cs="宋体"/>
          <w:color w:val="auto"/>
          <w:sz w:val="21"/>
          <w:szCs w:val="21"/>
          <w:highlight w:val="none"/>
        </w:rPr>
        <w:t>截止时间前3个月内任意1个月（</w:t>
      </w:r>
      <w:r>
        <w:rPr>
          <w:rFonts w:hint="eastAsia" w:ascii="宋体" w:hAnsi="宋体" w:eastAsia="宋体" w:cs="宋体"/>
          <w:color w:val="auto"/>
          <w:sz w:val="21"/>
          <w:szCs w:val="21"/>
          <w:highlight w:val="none"/>
          <w:lang w:val="en-US" w:eastAsia="zh-CN"/>
        </w:rPr>
        <w:t>竞标</w:t>
      </w:r>
      <w:r>
        <w:rPr>
          <w:rFonts w:hint="eastAsia" w:ascii="宋体" w:hAnsi="宋体" w:eastAsia="宋体" w:cs="宋体"/>
          <w:color w:val="auto"/>
          <w:sz w:val="21"/>
          <w:szCs w:val="21"/>
          <w:highlight w:val="none"/>
        </w:rPr>
        <w:t>截止时间所在月份不计）</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lang w:val="en-US" w:eastAsia="zh-CN"/>
        </w:rPr>
        <w:t>供应商</w:t>
      </w:r>
      <w:r>
        <w:rPr>
          <w:rFonts w:hint="eastAsia" w:ascii="宋体" w:hAnsi="宋体" w:eastAsia="宋体" w:cs="宋体"/>
          <w:color w:val="auto"/>
          <w:sz w:val="21"/>
          <w:szCs w:val="21"/>
          <w:highlight w:val="none"/>
          <w:lang w:eastAsia="zh-CN"/>
        </w:rPr>
        <w:t>单位</w:t>
      </w:r>
      <w:r>
        <w:rPr>
          <w:rFonts w:hint="eastAsia" w:ascii="宋体" w:hAnsi="宋体" w:eastAsia="宋体" w:cs="宋体"/>
          <w:color w:val="auto"/>
          <w:sz w:val="21"/>
          <w:szCs w:val="21"/>
          <w:highlight w:val="none"/>
        </w:rPr>
        <w:t>依法缴纳社会保险证明材料的扫描件（已退休未满65岁的项目经理不用提供社保，但应附退休证明文件的扫描件，且建造师等注册证书注册单位与</w:t>
      </w:r>
      <w:r>
        <w:rPr>
          <w:rFonts w:hint="eastAsia" w:ascii="宋体" w:hAnsi="宋体" w:eastAsia="宋体" w:cs="宋体"/>
          <w:color w:val="auto"/>
          <w:sz w:val="21"/>
          <w:szCs w:val="21"/>
          <w:highlight w:val="none"/>
          <w:lang w:val="en-US" w:eastAsia="zh-CN"/>
        </w:rPr>
        <w:t>供应商单位名称</w:t>
      </w:r>
      <w:r>
        <w:rPr>
          <w:rFonts w:hint="eastAsia" w:ascii="宋体" w:hAnsi="宋体" w:eastAsia="宋体" w:cs="宋体"/>
          <w:color w:val="auto"/>
          <w:sz w:val="21"/>
          <w:szCs w:val="21"/>
          <w:highlight w:val="none"/>
        </w:rPr>
        <w:t>一致）</w:t>
      </w:r>
      <w:r>
        <w:rPr>
          <w:rFonts w:hint="eastAsia" w:ascii="宋体" w:hAnsi="宋体" w:eastAsia="宋体" w:cs="宋体"/>
          <w:color w:val="auto"/>
          <w:sz w:val="21"/>
          <w:szCs w:val="21"/>
          <w:highlight w:val="none"/>
          <w:lang w:eastAsia="zh-CN"/>
        </w:rPr>
        <w:t>，</w:t>
      </w:r>
      <w:r>
        <w:rPr>
          <w:rFonts w:hint="eastAsia" w:ascii="宋体" w:hAnsi="宋体" w:eastAsia="宋体" w:cs="宋体"/>
          <w:b/>
          <w:bCs/>
          <w:color w:val="auto"/>
          <w:sz w:val="21"/>
          <w:szCs w:val="21"/>
        </w:rPr>
        <w:t>否则响应文件</w:t>
      </w:r>
      <w:r>
        <w:rPr>
          <w:rFonts w:hint="eastAsia" w:ascii="宋体" w:hAnsi="宋体" w:eastAsia="宋体" w:cs="宋体"/>
          <w:b/>
          <w:bCs/>
          <w:color w:val="auto"/>
          <w:sz w:val="21"/>
          <w:szCs w:val="21"/>
          <w:lang w:val="en-US" w:eastAsia="zh-CN"/>
        </w:rPr>
        <w:t>按无效响应处理。</w:t>
      </w:r>
    </w:p>
    <w:p>
      <w:pPr>
        <w:pageBreakBefore w:val="0"/>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szCs w:val="21"/>
          <w:lang w:val="en-US" w:eastAsia="zh-CN"/>
        </w:rPr>
        <w:t>12.</w:t>
      </w:r>
      <w:r>
        <w:rPr>
          <w:rFonts w:hint="eastAsia" w:ascii="宋体" w:hAnsi="宋体" w:eastAsia="宋体" w:cs="宋体"/>
          <w:color w:val="auto"/>
          <w:szCs w:val="21"/>
        </w:rPr>
        <w:t>合同签订期：自</w:t>
      </w:r>
      <w:r>
        <w:rPr>
          <w:rFonts w:hint="eastAsia" w:ascii="宋体" w:hAnsi="宋体" w:eastAsia="宋体" w:cs="宋体"/>
          <w:color w:val="auto"/>
          <w:szCs w:val="21"/>
          <w:lang w:eastAsia="zh-CN"/>
        </w:rPr>
        <w:t>成交</w:t>
      </w:r>
      <w:r>
        <w:rPr>
          <w:rFonts w:hint="eastAsia" w:ascii="宋体" w:hAnsi="宋体" w:eastAsia="宋体" w:cs="宋体"/>
          <w:color w:val="auto"/>
          <w:szCs w:val="21"/>
        </w:rPr>
        <w:t>通知书发出之日起</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25 </w:t>
      </w:r>
      <w:r>
        <w:rPr>
          <w:rFonts w:hint="eastAsia" w:ascii="宋体" w:hAnsi="宋体" w:eastAsia="宋体" w:cs="宋体"/>
          <w:color w:val="auto"/>
          <w:szCs w:val="21"/>
        </w:rPr>
        <w:t>日内</w:t>
      </w:r>
      <w:r>
        <w:rPr>
          <w:rFonts w:hint="eastAsia" w:ascii="宋体" w:hAnsi="宋体" w:eastAsia="宋体" w:cs="宋体"/>
          <w:color w:val="auto"/>
          <w:highlight w:val="none"/>
          <w:lang w:eastAsia="zh-CN"/>
        </w:rPr>
        <w:t>。</w:t>
      </w:r>
    </w:p>
    <w:p>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 w:val="24"/>
          <w:szCs w:val="24"/>
          <w:lang w:val="en-US" w:eastAsia="zh-CN"/>
        </w:rPr>
        <w:t>二、其他说明</w:t>
      </w:r>
    </w:p>
    <w:p>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1.招标工程量清单</w:t>
      </w:r>
      <w:r>
        <w:rPr>
          <w:rFonts w:hint="eastAsia" w:hAnsi="宋体" w:cs="宋体"/>
          <w:color w:val="auto"/>
          <w:highlight w:val="none"/>
        </w:rPr>
        <w:t>（工作量清单）</w:t>
      </w:r>
      <w:r>
        <w:rPr>
          <w:rFonts w:hint="eastAsia" w:ascii="宋体" w:hAnsi="宋体" w:eastAsia="宋体" w:cs="宋体"/>
          <w:b/>
          <w:bCs/>
          <w:color w:val="auto"/>
          <w:sz w:val="21"/>
          <w:szCs w:val="21"/>
          <w:highlight w:val="none"/>
          <w:lang w:val="en-US" w:eastAsia="zh-CN"/>
        </w:rPr>
        <w:t>相关说明详见本章附件1。</w:t>
      </w:r>
    </w:p>
    <w:p>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本项目采用多次报价方式，作最终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报价时采购人将书面告知各供应商，供应商的最终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报价如有变动，则必须以招标工程量清单</w:t>
      </w:r>
      <w:r>
        <w:rPr>
          <w:rFonts w:hint="eastAsia" w:hAnsi="宋体" w:cs="宋体"/>
          <w:color w:val="auto"/>
          <w:highlight w:val="none"/>
        </w:rPr>
        <w:t>（工作量清单）</w:t>
      </w:r>
      <w:r>
        <w:rPr>
          <w:rFonts w:hint="eastAsia" w:ascii="宋体" w:hAnsi="宋体" w:eastAsia="宋体" w:cs="宋体"/>
          <w:color w:val="auto"/>
          <w:sz w:val="21"/>
          <w:szCs w:val="21"/>
          <w:highlight w:val="none"/>
          <w:lang w:eastAsia="zh-CN"/>
        </w:rPr>
        <w:t>的格式编制重新提交，供应商须提前做好相关准备并按时递交最终</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报价文件，</w:t>
      </w:r>
      <w:r>
        <w:rPr>
          <w:rFonts w:hint="eastAsia" w:ascii="宋体" w:hAnsi="宋体" w:eastAsia="宋体" w:cs="宋体"/>
          <w:b/>
          <w:bCs/>
          <w:color w:val="auto"/>
          <w:sz w:val="21"/>
          <w:szCs w:val="21"/>
          <w:highlight w:val="none"/>
          <w:lang w:eastAsia="zh-CN"/>
        </w:rPr>
        <w:t>否则其响应文件按无效响应处理。</w:t>
      </w:r>
    </w:p>
    <w:p>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3.供应商已标价工程量清单</w:t>
      </w:r>
      <w:r>
        <w:rPr>
          <w:rFonts w:hint="eastAsia" w:hAnsi="宋体" w:cs="宋体"/>
          <w:color w:val="auto"/>
          <w:highlight w:val="none"/>
        </w:rPr>
        <w:t>（工作量清单）</w:t>
      </w:r>
      <w:r>
        <w:rPr>
          <w:rFonts w:hint="eastAsia" w:ascii="宋体" w:hAnsi="宋体" w:eastAsia="宋体" w:cs="宋体"/>
          <w:b/>
          <w:bCs/>
          <w:color w:val="auto"/>
          <w:sz w:val="21"/>
          <w:szCs w:val="21"/>
          <w:highlight w:val="none"/>
          <w:lang w:val="en-US" w:eastAsia="zh-CN"/>
        </w:rPr>
        <w:t>与招标工程量清单</w:t>
      </w:r>
      <w:r>
        <w:rPr>
          <w:rFonts w:hint="eastAsia" w:hAnsi="宋体" w:cs="宋体"/>
          <w:color w:val="auto"/>
          <w:highlight w:val="none"/>
        </w:rPr>
        <w:t>（工作量清单）</w:t>
      </w:r>
      <w:r>
        <w:rPr>
          <w:rFonts w:hint="eastAsia" w:ascii="宋体" w:hAnsi="宋体" w:eastAsia="宋体" w:cs="宋体"/>
          <w:b/>
          <w:bCs/>
          <w:color w:val="auto"/>
          <w:sz w:val="21"/>
          <w:szCs w:val="21"/>
          <w:highlight w:val="none"/>
          <w:lang w:val="en-US" w:eastAsia="zh-CN"/>
        </w:rPr>
        <w:t>不一致的，响应文件作无效响应处理</w:t>
      </w:r>
      <w:r>
        <w:rPr>
          <w:rFonts w:hint="eastAsia" w:ascii="宋体" w:hAnsi="宋体" w:eastAsia="宋体" w:cs="宋体"/>
          <w:color w:val="auto"/>
          <w:lang w:eastAsia="zh-CN"/>
        </w:rPr>
        <w:t>。</w:t>
      </w:r>
    </w:p>
    <w:p>
      <w:pPr>
        <w:keepNext w:val="0"/>
        <w:keepLines w:val="0"/>
        <w:pageBreakBefore w:val="0"/>
        <w:widowControl w:val="0"/>
        <w:numPr>
          <w:ilvl w:val="0"/>
          <w:numId w:val="0"/>
        </w:numPr>
        <w:tabs>
          <w:tab w:val="left" w:pos="180"/>
          <w:tab w:val="left" w:pos="1620"/>
        </w:tabs>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lang w:eastAsia="zh-CN"/>
        </w:rPr>
        <w:t>本项目不发放工程量清单</w:t>
      </w:r>
      <w:r>
        <w:rPr>
          <w:rFonts w:hint="eastAsia" w:hAnsi="宋体" w:cs="宋体"/>
          <w:color w:val="auto"/>
          <w:highlight w:val="none"/>
        </w:rPr>
        <w:t>（工作量清单）</w:t>
      </w:r>
      <w:r>
        <w:rPr>
          <w:rFonts w:hint="eastAsia" w:ascii="宋体" w:hAnsi="宋体" w:eastAsia="宋体" w:cs="宋体"/>
          <w:b/>
          <w:bCs/>
          <w:color w:val="auto"/>
          <w:sz w:val="21"/>
          <w:szCs w:val="21"/>
          <w:highlight w:val="none"/>
          <w:lang w:val="en-US" w:eastAsia="zh-CN"/>
        </w:rPr>
        <w:t>纸质版</w:t>
      </w:r>
      <w:r>
        <w:rPr>
          <w:rFonts w:hint="eastAsia" w:ascii="宋体" w:hAnsi="宋体" w:eastAsia="宋体" w:cs="宋体"/>
          <w:b/>
          <w:bCs/>
          <w:color w:val="auto"/>
          <w:sz w:val="21"/>
          <w:szCs w:val="21"/>
          <w:highlight w:val="none"/>
          <w:lang w:eastAsia="zh-CN"/>
        </w:rPr>
        <w:t>，由潜在供应商自行在“</w:t>
      </w:r>
      <w:r>
        <w:rPr>
          <w:rFonts w:hint="eastAsia" w:ascii="宋体" w:hAnsi="宋体" w:eastAsia="宋体" w:cs="宋体"/>
          <w:b/>
          <w:bCs/>
          <w:color w:val="auto"/>
          <w:sz w:val="21"/>
          <w:szCs w:val="21"/>
          <w:highlight w:val="none"/>
          <w:lang w:val="en-US" w:eastAsia="zh-CN"/>
        </w:rPr>
        <w:t>广西政府采购云平台</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（https://www.gcy.zfcg.gxzf.gov.cn/）</w:t>
      </w:r>
      <w:r>
        <w:rPr>
          <w:rFonts w:hint="eastAsia" w:ascii="宋体" w:hAnsi="宋体" w:eastAsia="宋体" w:cs="宋体"/>
          <w:b/>
          <w:bCs/>
          <w:color w:val="auto"/>
          <w:sz w:val="21"/>
          <w:szCs w:val="21"/>
          <w:highlight w:val="none"/>
          <w:lang w:eastAsia="zh-CN"/>
        </w:rPr>
        <w:t>下载。</w:t>
      </w: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pStyle w:val="2"/>
        <w:rPr>
          <w:rFonts w:hint="eastAsia" w:ascii="宋体" w:hAnsi="宋体" w:eastAsia="宋体" w:cs="宋体"/>
          <w:b/>
          <w:bCs/>
          <w:color w:val="auto"/>
          <w:sz w:val="21"/>
          <w:szCs w:val="21"/>
          <w:highlight w:val="none"/>
          <w:lang w:eastAsia="zh-CN"/>
        </w:rPr>
      </w:pPr>
    </w:p>
    <w:p>
      <w:pPr>
        <w:numPr>
          <w:ilvl w:val="0"/>
          <w:numId w:val="0"/>
        </w:numPr>
        <w:tabs>
          <w:tab w:val="left" w:pos="180"/>
          <w:tab w:val="left" w:pos="1620"/>
        </w:tabs>
        <w:spacing w:line="360" w:lineRule="auto"/>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32"/>
          <w:szCs w:val="32"/>
          <w:highlight w:val="none"/>
          <w:lang w:val="en-US" w:eastAsia="zh-CN"/>
        </w:rPr>
        <w:t>附件1</w:t>
      </w:r>
    </w:p>
    <w:p>
      <w:pPr>
        <w:numPr>
          <w:ilvl w:val="0"/>
          <w:numId w:val="0"/>
        </w:numPr>
        <w:tabs>
          <w:tab w:val="left" w:pos="180"/>
          <w:tab w:val="left" w:pos="1620"/>
        </w:tabs>
        <w:spacing w:line="360" w:lineRule="auto"/>
        <w:ind w:left="0" w:firstLine="0" w:firstLineChars="0"/>
        <w:jc w:val="center"/>
        <w:rPr>
          <w:rFonts w:hint="default" w:ascii="宋体" w:hAnsi="宋体" w:eastAsia="宋体" w:cs="宋体"/>
          <w:color w:val="auto"/>
          <w:sz w:val="21"/>
          <w:szCs w:val="21"/>
          <w:highlight w:val="none"/>
          <w:lang w:val="en-US" w:eastAsia="zh-CN"/>
        </w:rPr>
      </w:pPr>
      <w:r>
        <w:rPr>
          <w:rFonts w:hint="eastAsia" w:ascii="宋体" w:hAnsi="宋体" w:eastAsia="宋体" w:cs="宋体"/>
          <w:b/>
          <w:bCs/>
          <w:color w:val="auto"/>
          <w:sz w:val="32"/>
          <w:szCs w:val="32"/>
          <w:highlight w:val="none"/>
          <w:lang w:val="en-US" w:eastAsia="zh-CN"/>
        </w:rPr>
        <w:t>一、工程量清单（工作量清单）</w:t>
      </w:r>
    </w:p>
    <w:p>
      <w:pPr>
        <w:pStyle w:val="4"/>
        <w:rPr>
          <w:rFonts w:hint="eastAsia" w:ascii="宋体" w:hAnsi="宋体" w:eastAsia="宋体" w:cs="宋体"/>
          <w:color w:val="auto"/>
          <w:kern w:val="44"/>
          <w:highlight w:val="none"/>
        </w:rPr>
      </w:pPr>
      <w:bookmarkStart w:id="2" w:name="_Toc23613"/>
      <w:r>
        <w:rPr>
          <w:rFonts w:hint="eastAsia" w:ascii="宋体" w:hAnsi="宋体" w:eastAsia="宋体" w:cs="宋体"/>
          <w:color w:val="auto"/>
          <w:highlight w:val="none"/>
        </w:rPr>
        <w:t>1 工程量清单（工作量清单）编制说明</w:t>
      </w:r>
      <w:bookmarkEnd w:id="2"/>
    </w:p>
    <w:p>
      <w:pPr>
        <w:numPr>
          <w:ilvl w:val="1"/>
          <w:numId w:val="1"/>
        </w:numPr>
        <w:spacing w:line="360" w:lineRule="auto"/>
        <w:ind w:firstLine="420" w:firstLineChars="200"/>
        <w:rPr>
          <w:rFonts w:hint="eastAsia" w:hAnsi="宋体" w:cs="宋体"/>
          <w:color w:val="auto"/>
          <w:highlight w:val="none"/>
          <w:lang w:eastAsia="zh-CN"/>
        </w:rPr>
      </w:pPr>
      <w:r>
        <w:rPr>
          <w:rFonts w:hint="eastAsia" w:hAnsi="宋体" w:cs="宋体"/>
          <w:color w:val="auto"/>
          <w:highlight w:val="none"/>
        </w:rPr>
        <w:t>本工程量清单（工作量清单）</w:t>
      </w:r>
      <w:r>
        <w:rPr>
          <w:rFonts w:hint="eastAsia" w:hAnsi="宋体" w:cs="宋体"/>
          <w:color w:val="auto"/>
          <w:highlight w:val="none"/>
          <w:lang w:eastAsia="zh-CN"/>
        </w:rPr>
        <w:t>编制</w:t>
      </w:r>
      <w:r>
        <w:rPr>
          <w:rFonts w:hint="eastAsia" w:hAnsi="宋体" w:cs="宋体"/>
          <w:color w:val="auto"/>
          <w:highlight w:val="none"/>
        </w:rPr>
        <w:t>依据</w:t>
      </w:r>
      <w:r>
        <w:rPr>
          <w:rFonts w:hint="eastAsia" w:hAnsi="宋体" w:cs="宋体"/>
          <w:color w:val="auto"/>
          <w:highlight w:val="none"/>
          <w:lang w:eastAsia="zh-CN"/>
        </w:rPr>
        <w:t>：</w:t>
      </w:r>
    </w:p>
    <w:p>
      <w:pPr>
        <w:numPr>
          <w:ilvl w:val="0"/>
          <w:numId w:val="0"/>
        </w:numPr>
        <w:spacing w:line="360" w:lineRule="auto"/>
        <w:ind w:leftChars="200"/>
        <w:rPr>
          <w:rFonts w:hint="eastAsia" w:hAnsi="宋体" w:cs="宋体"/>
          <w:color w:val="auto"/>
          <w:highlight w:val="none"/>
          <w:lang w:eastAsia="zh-CN"/>
        </w:rPr>
      </w:pPr>
      <w:r>
        <w:rPr>
          <w:rFonts w:hint="eastAsia" w:hAnsi="宋体" w:cs="宋体"/>
          <w:color w:val="auto"/>
          <w:highlight w:val="none"/>
          <w:lang w:eastAsia="zh-CN"/>
        </w:rPr>
        <w:t>（1）《广西壮族自治区地质灾害防治专项资金管理办法》（桂财建〔2011〕373号）；</w:t>
      </w:r>
    </w:p>
    <w:p>
      <w:pPr>
        <w:spacing w:line="360" w:lineRule="auto"/>
        <w:ind w:firstLine="420" w:firstLineChars="200"/>
        <w:rPr>
          <w:rFonts w:hint="eastAsia" w:hAnsi="宋体" w:cs="宋体"/>
          <w:color w:val="auto"/>
          <w:highlight w:val="none"/>
          <w:lang w:eastAsia="zh-CN"/>
        </w:rPr>
      </w:pPr>
      <w:r>
        <w:rPr>
          <w:rFonts w:hint="eastAsia" w:hAnsi="宋体" w:cs="宋体"/>
          <w:color w:val="auto"/>
          <w:highlight w:val="none"/>
          <w:lang w:eastAsia="zh-CN"/>
        </w:rPr>
        <w:t>（2）《广西壮族自治区自然资源事业发展专项资金管理办法》（桂自然资发【2021】87号）；</w:t>
      </w:r>
    </w:p>
    <w:p>
      <w:pPr>
        <w:spacing w:line="360" w:lineRule="auto"/>
        <w:ind w:firstLine="420" w:firstLineChars="200"/>
        <w:rPr>
          <w:rFonts w:hint="eastAsia" w:hAnsi="宋体" w:cs="宋体"/>
          <w:color w:val="auto"/>
          <w:highlight w:val="none"/>
          <w:lang w:eastAsia="zh-CN"/>
        </w:rPr>
      </w:pPr>
      <w:r>
        <w:rPr>
          <w:rFonts w:hint="eastAsia" w:hAnsi="宋体" w:cs="宋体"/>
          <w:color w:val="auto"/>
          <w:highlight w:val="none"/>
          <w:lang w:eastAsia="zh-CN"/>
        </w:rPr>
        <w:t>（3）《广西壮族自治区地质灾害防治工程预算标准（修订）》（桂财资环【2024】10号）及其附件；</w:t>
      </w:r>
    </w:p>
    <w:p>
      <w:pPr>
        <w:spacing w:line="360" w:lineRule="auto"/>
        <w:ind w:firstLine="420" w:firstLineChars="200"/>
        <w:rPr>
          <w:rFonts w:hint="eastAsia" w:hAnsi="宋体" w:cs="宋体"/>
          <w:color w:val="auto"/>
          <w:highlight w:val="none"/>
          <w:lang w:eastAsia="zh-CN"/>
        </w:rPr>
      </w:pPr>
      <w:r>
        <w:rPr>
          <w:rFonts w:hint="eastAsia" w:hAnsi="宋体" w:cs="宋体"/>
          <w:color w:val="auto"/>
          <w:highlight w:val="none"/>
          <w:lang w:eastAsia="zh-CN"/>
        </w:rPr>
        <w:t>（4）《南宁市公安局邕隆路办公点边坡新增滑坡区修护工程施工图设计报告》；</w:t>
      </w:r>
    </w:p>
    <w:p>
      <w:pPr>
        <w:spacing w:line="360" w:lineRule="auto"/>
        <w:ind w:firstLine="420" w:firstLineChars="200"/>
        <w:rPr>
          <w:rFonts w:hint="eastAsia" w:hAnsi="宋体" w:cs="宋体"/>
          <w:color w:val="auto"/>
          <w:highlight w:val="none"/>
          <w:lang w:eastAsia="zh-CN"/>
        </w:rPr>
      </w:pPr>
      <w:r>
        <w:rPr>
          <w:rFonts w:hint="eastAsia" w:hAnsi="宋体" w:cs="宋体"/>
          <w:color w:val="auto"/>
          <w:highlight w:val="none"/>
          <w:lang w:eastAsia="zh-CN"/>
        </w:rPr>
        <w:t>（5）《关于我区工程造价咨询服务行业收费参考标准》（桂价协字[2019]15号）；</w:t>
      </w:r>
    </w:p>
    <w:p>
      <w:pPr>
        <w:spacing w:line="360" w:lineRule="auto"/>
        <w:ind w:firstLine="420" w:firstLineChars="200"/>
        <w:rPr>
          <w:rFonts w:hint="eastAsia" w:hAnsi="宋体" w:cs="宋体"/>
          <w:color w:val="auto"/>
          <w:highlight w:val="none"/>
          <w:lang w:eastAsia="zh-CN"/>
        </w:rPr>
      </w:pPr>
      <w:r>
        <w:rPr>
          <w:rFonts w:hint="eastAsia" w:hAnsi="宋体" w:cs="宋体"/>
          <w:color w:val="auto"/>
          <w:highlight w:val="none"/>
          <w:lang w:eastAsia="zh-CN"/>
        </w:rPr>
        <w:t>（6）《关于调整建设工程计价增值税税率的通知》（桂建标[2019]12号）；</w:t>
      </w:r>
    </w:p>
    <w:p>
      <w:pPr>
        <w:spacing w:line="360" w:lineRule="auto"/>
        <w:ind w:firstLine="420" w:firstLineChars="200"/>
        <w:rPr>
          <w:rFonts w:hint="eastAsia" w:hAnsi="宋体" w:cs="宋体"/>
          <w:color w:val="auto"/>
          <w:highlight w:val="none"/>
          <w:lang w:eastAsia="zh-CN"/>
        </w:rPr>
      </w:pPr>
      <w:r>
        <w:rPr>
          <w:rFonts w:hint="eastAsia" w:hAnsi="宋体" w:cs="宋体"/>
          <w:color w:val="auto"/>
          <w:highlight w:val="none"/>
          <w:lang w:eastAsia="zh-CN"/>
        </w:rPr>
        <w:t>（7）《广西壮族自治区工程建设其他费用定额》（按照桂建标（2018）37号）；</w:t>
      </w:r>
    </w:p>
    <w:p>
      <w:pPr>
        <w:spacing w:line="360" w:lineRule="auto"/>
        <w:ind w:firstLine="420" w:firstLineChars="200"/>
        <w:rPr>
          <w:rFonts w:hint="eastAsia" w:hAnsi="宋体" w:cs="宋体"/>
          <w:color w:val="auto"/>
          <w:highlight w:val="none"/>
          <w:lang w:eastAsia="zh-CN"/>
        </w:rPr>
      </w:pPr>
      <w:r>
        <w:rPr>
          <w:rFonts w:hint="eastAsia" w:hAnsi="宋体" w:cs="宋体"/>
          <w:color w:val="auto"/>
          <w:highlight w:val="none"/>
          <w:lang w:eastAsia="zh-CN"/>
        </w:rPr>
        <w:t>（8）《南宁市公安局邕隆路办公点边坡新增滑坡区修护工程设计合同》、《南宁市公安局邕隆路办公点边坡新增滑坡区修护工程勘查合同》；</w:t>
      </w:r>
    </w:p>
    <w:p>
      <w:pPr>
        <w:spacing w:line="360" w:lineRule="auto"/>
        <w:ind w:firstLine="420" w:firstLineChars="200"/>
        <w:rPr>
          <w:rFonts w:hint="eastAsia" w:hAnsi="宋体" w:cs="宋体"/>
          <w:color w:val="auto"/>
          <w:highlight w:val="none"/>
          <w:lang w:eastAsia="zh-CN"/>
        </w:rPr>
      </w:pPr>
      <w:r>
        <w:rPr>
          <w:rFonts w:hint="eastAsia" w:hAnsi="宋体" w:cs="宋体"/>
          <w:color w:val="auto"/>
          <w:highlight w:val="none"/>
          <w:lang w:eastAsia="zh-CN"/>
        </w:rPr>
        <w:t>（9）广西建筑工程造价管理站公布的《南宁市建筑工程造价信息》（2026年3月下半月）；</w:t>
      </w:r>
    </w:p>
    <w:p>
      <w:pPr>
        <w:spacing w:line="360" w:lineRule="auto"/>
        <w:ind w:firstLine="422" w:firstLineChars="200"/>
        <w:rPr>
          <w:color w:val="auto"/>
          <w:highlight w:val="none"/>
        </w:rPr>
      </w:pPr>
      <w:r>
        <w:rPr>
          <w:rFonts w:hint="eastAsia" w:ascii="宋体" w:hAnsi="宋体" w:eastAsia="宋体" w:cs="宋体"/>
          <w:b/>
          <w:bCs/>
          <w:color w:val="auto"/>
          <w:highlight w:val="none"/>
          <w:lang w:eastAsia="zh-CN"/>
        </w:rPr>
        <w:t>具体以发布在“广西政府采购云平台”上的工程量清单（工作量清单）为准。</w:t>
      </w:r>
    </w:p>
    <w:p>
      <w:pPr>
        <w:spacing w:line="360" w:lineRule="auto"/>
        <w:ind w:firstLine="420" w:firstLineChars="200"/>
        <w:outlineLvl w:val="9"/>
        <w:rPr>
          <w:color w:val="auto"/>
          <w:highlight w:val="none"/>
        </w:rPr>
      </w:pPr>
      <w:r>
        <w:rPr>
          <w:color w:val="auto"/>
          <w:highlight w:val="none"/>
        </w:rPr>
        <w:t xml:space="preserve">1.2 </w:t>
      </w:r>
      <w:r>
        <w:rPr>
          <w:rFonts w:hint="eastAsia"/>
          <w:color w:val="auto"/>
          <w:highlight w:val="none"/>
        </w:rPr>
        <w:t>工程量清单（工作量清单）应与</w:t>
      </w:r>
      <w:r>
        <w:rPr>
          <w:rFonts w:hint="eastAsia"/>
          <w:color w:val="auto"/>
          <w:highlight w:val="none"/>
          <w:lang w:val="en-US" w:eastAsia="zh-CN"/>
        </w:rPr>
        <w:t>供应商</w:t>
      </w:r>
      <w:r>
        <w:rPr>
          <w:rFonts w:hint="eastAsia"/>
          <w:color w:val="auto"/>
          <w:highlight w:val="none"/>
        </w:rPr>
        <w:t>须知、合同协议条款、合同的通用条款、合同专用条款、技术规范及</w:t>
      </w:r>
      <w:r>
        <w:rPr>
          <w:rFonts w:hint="eastAsia"/>
          <w:color w:val="auto"/>
          <w:highlight w:val="none"/>
          <w:lang w:val="en-US" w:eastAsia="zh-CN"/>
        </w:rPr>
        <w:t>项目</w:t>
      </w:r>
      <w:r>
        <w:rPr>
          <w:rFonts w:hint="eastAsia"/>
          <w:color w:val="auto"/>
          <w:highlight w:val="none"/>
        </w:rPr>
        <w:t>图纸等文件一起结合使用。</w:t>
      </w:r>
    </w:p>
    <w:p>
      <w:pPr>
        <w:spacing w:line="360" w:lineRule="auto"/>
        <w:ind w:firstLine="420" w:firstLineChars="200"/>
        <w:rPr>
          <w:color w:val="auto"/>
          <w:highlight w:val="none"/>
        </w:rPr>
      </w:pPr>
      <w:r>
        <w:rPr>
          <w:color w:val="auto"/>
          <w:highlight w:val="none"/>
        </w:rPr>
        <w:t xml:space="preserve">1.3 </w:t>
      </w:r>
      <w:r>
        <w:rPr>
          <w:rFonts w:hint="eastAsia" w:cs="宋体"/>
          <w:color w:val="auto"/>
          <w:highlight w:val="none"/>
        </w:rPr>
        <w:t>工程量清单（工作量清单）是</w:t>
      </w:r>
      <w:r>
        <w:rPr>
          <w:rFonts w:hint="eastAsia" w:cs="宋体"/>
          <w:color w:val="auto"/>
          <w:highlight w:val="none"/>
          <w:lang w:eastAsia="zh-CN"/>
        </w:rPr>
        <w:t>磋商文件</w:t>
      </w:r>
      <w:r>
        <w:rPr>
          <w:rFonts w:hint="eastAsia" w:cs="宋体"/>
          <w:color w:val="auto"/>
          <w:highlight w:val="none"/>
        </w:rPr>
        <w:t>的组成部分。</w:t>
      </w:r>
    </w:p>
    <w:p>
      <w:pPr>
        <w:spacing w:line="360" w:lineRule="auto"/>
        <w:ind w:firstLine="420" w:firstLineChars="200"/>
        <w:rPr>
          <w:color w:val="auto"/>
          <w:highlight w:val="none"/>
        </w:rPr>
      </w:pPr>
      <w:r>
        <w:rPr>
          <w:color w:val="auto"/>
          <w:highlight w:val="none"/>
        </w:rPr>
        <w:t>1</w:t>
      </w:r>
      <w:r>
        <w:rPr>
          <w:rFonts w:hint="eastAsia"/>
          <w:color w:val="auto"/>
          <w:highlight w:val="none"/>
          <w:lang w:val="en-US" w:eastAsia="zh-CN"/>
        </w:rPr>
        <w:t>.5</w:t>
      </w:r>
      <w:r>
        <w:rPr>
          <w:rFonts w:hint="eastAsia" w:ascii="Times New Roman" w:hAnsi="Times New Roman"/>
          <w:color w:val="auto"/>
          <w:sz w:val="21"/>
          <w:szCs w:val="21"/>
          <w:highlight w:val="none"/>
        </w:rPr>
        <w:t xml:space="preserve"> </w:t>
      </w:r>
      <w:r>
        <w:rPr>
          <w:rFonts w:hint="eastAsia" w:ascii="Times New Roman" w:hAnsi="Times New Roman"/>
          <w:color w:val="auto"/>
          <w:sz w:val="21"/>
          <w:szCs w:val="21"/>
          <w:highlight w:val="none"/>
          <w:lang w:eastAsia="zh-CN"/>
        </w:rPr>
        <w:t>其他</w:t>
      </w:r>
      <w:r>
        <w:rPr>
          <w:rFonts w:hint="eastAsia" w:ascii="Times New Roman" w:hAnsi="Times New Roman"/>
          <w:color w:val="auto"/>
          <w:sz w:val="21"/>
          <w:szCs w:val="21"/>
          <w:highlight w:val="none"/>
        </w:rPr>
        <w:t>需要说明的问题：</w:t>
      </w:r>
      <w:r>
        <w:rPr>
          <w:rFonts w:hint="eastAsia" w:ascii="宋体" w:hAnsi="宋体" w:eastAsia="宋体" w:cs="宋体"/>
          <w:b/>
          <w:bCs/>
          <w:color w:val="auto"/>
          <w:highlight w:val="none"/>
          <w:lang w:eastAsia="zh-CN"/>
        </w:rPr>
        <w:t>具体以发布在“</w:t>
      </w:r>
      <w:r>
        <w:rPr>
          <w:rFonts w:hint="eastAsia" w:ascii="宋体" w:hAnsi="宋体" w:eastAsia="宋体" w:cs="宋体"/>
          <w:b/>
          <w:bCs/>
          <w:color w:val="auto"/>
          <w:sz w:val="21"/>
          <w:szCs w:val="21"/>
          <w:highlight w:val="none"/>
          <w:lang w:val="en-US" w:eastAsia="zh-CN"/>
        </w:rPr>
        <w:t>广西政府采购云平台</w:t>
      </w:r>
      <w:r>
        <w:rPr>
          <w:rFonts w:hint="eastAsia" w:ascii="宋体" w:hAnsi="宋体" w:eastAsia="宋体" w:cs="宋体"/>
          <w:b/>
          <w:bCs/>
          <w:color w:val="auto"/>
          <w:highlight w:val="none"/>
          <w:lang w:eastAsia="zh-CN"/>
        </w:rPr>
        <w:t>”上</w:t>
      </w:r>
      <w:r>
        <w:rPr>
          <w:rFonts w:hint="eastAsia" w:ascii="宋体" w:hAnsi="宋体" w:eastAsia="宋体" w:cs="宋体"/>
          <w:b/>
          <w:bCs/>
          <w:color w:val="000000"/>
          <w:kern w:val="0"/>
          <w:sz w:val="21"/>
          <w:szCs w:val="21"/>
          <w:lang w:val="en-US" w:eastAsia="zh-CN" w:bidi="ar"/>
        </w:rPr>
        <w:t>的施工图设计报告、预算书和工程量清单（工作量清单）为准</w:t>
      </w:r>
      <w:r>
        <w:rPr>
          <w:rFonts w:hint="eastAsia" w:ascii="宋体" w:hAnsi="宋体" w:eastAsia="宋体" w:cs="宋体"/>
          <w:b/>
          <w:bCs/>
          <w:color w:val="auto"/>
          <w:highlight w:val="none"/>
          <w:lang w:eastAsia="zh-CN"/>
        </w:rPr>
        <w:t>。</w:t>
      </w:r>
    </w:p>
    <w:p>
      <w:pPr>
        <w:spacing w:line="360" w:lineRule="auto"/>
        <w:ind w:firstLine="420" w:firstLineChars="200"/>
        <w:jc w:val="left"/>
        <w:rPr>
          <w:rFonts w:hint="eastAsia" w:ascii="Times New Roman" w:hAnsi="Times New Roman" w:eastAsia="宋体" w:cs="宋体"/>
          <w:color w:val="auto"/>
          <w:highlight w:val="none"/>
          <w:lang w:val="en-US" w:eastAsia="zh-CN"/>
        </w:rPr>
      </w:pPr>
      <w:r>
        <w:rPr>
          <w:rFonts w:hint="eastAsia"/>
          <w:color w:val="auto"/>
          <w:highlight w:val="none"/>
        </w:rPr>
        <w:t>工程量清单（工作量清单）表格</w:t>
      </w:r>
      <w:r>
        <w:rPr>
          <w:rFonts w:hint="eastAsia" w:ascii="宋体" w:hAnsi="宋体" w:cs="宋体"/>
          <w:color w:val="auto"/>
          <w:highlight w:val="none"/>
        </w:rPr>
        <w:t>具体</w:t>
      </w:r>
      <w:r>
        <w:rPr>
          <w:rFonts w:hint="eastAsia" w:cs="宋体"/>
          <w:color w:val="auto"/>
          <w:highlight w:val="none"/>
        </w:rPr>
        <w:t>包括：</w:t>
      </w:r>
      <w:r>
        <w:rPr>
          <w:rFonts w:hint="eastAsia" w:ascii="宋体" w:hAnsi="宋体" w:eastAsia="宋体" w:cs="宋体"/>
          <w:b/>
          <w:bCs/>
          <w:color w:val="auto"/>
          <w:highlight w:val="none"/>
          <w:lang w:eastAsia="zh-CN"/>
        </w:rPr>
        <w:t>以发布在“</w:t>
      </w:r>
      <w:r>
        <w:rPr>
          <w:rFonts w:hint="eastAsia" w:ascii="宋体" w:hAnsi="宋体" w:eastAsia="宋体" w:cs="宋体"/>
          <w:b/>
          <w:bCs/>
          <w:color w:val="auto"/>
          <w:sz w:val="21"/>
          <w:szCs w:val="21"/>
          <w:highlight w:val="none"/>
          <w:lang w:val="en-US" w:eastAsia="zh-CN"/>
        </w:rPr>
        <w:t>广西政府采购云平台</w:t>
      </w:r>
      <w:r>
        <w:rPr>
          <w:rFonts w:hint="eastAsia" w:ascii="宋体" w:hAnsi="宋体" w:eastAsia="宋体" w:cs="宋体"/>
          <w:b/>
          <w:bCs/>
          <w:color w:val="auto"/>
          <w:highlight w:val="none"/>
          <w:lang w:eastAsia="zh-CN"/>
        </w:rPr>
        <w:t>”上的</w:t>
      </w:r>
      <w:r>
        <w:rPr>
          <w:rFonts w:hint="eastAsia" w:ascii="宋体" w:hAnsi="宋体" w:eastAsia="宋体" w:cs="宋体"/>
          <w:b/>
          <w:bCs/>
          <w:color w:val="000000"/>
          <w:kern w:val="0"/>
          <w:sz w:val="21"/>
          <w:szCs w:val="21"/>
          <w:lang w:val="en-US" w:eastAsia="zh-CN" w:bidi="ar"/>
        </w:rPr>
        <w:t>工程量清单（工作量清单）</w:t>
      </w:r>
      <w:r>
        <w:rPr>
          <w:rFonts w:hint="eastAsia" w:ascii="宋体" w:hAnsi="宋体" w:eastAsia="宋体" w:cs="宋体"/>
          <w:b/>
          <w:bCs/>
          <w:color w:val="auto"/>
          <w:highlight w:val="none"/>
          <w:lang w:val="en-US" w:eastAsia="zh-CN"/>
        </w:rPr>
        <w:t>为准</w:t>
      </w:r>
      <w:r>
        <w:rPr>
          <w:rFonts w:hint="eastAsia" w:cs="宋体"/>
          <w:color w:val="auto"/>
          <w:highlight w:val="none"/>
        </w:rPr>
        <w:t>，潜在</w:t>
      </w:r>
      <w:r>
        <w:rPr>
          <w:rFonts w:hint="eastAsia" w:cs="宋体"/>
          <w:color w:val="auto"/>
          <w:highlight w:val="none"/>
          <w:lang w:eastAsia="zh-CN"/>
        </w:rPr>
        <w:t>供应商</w:t>
      </w:r>
      <w:r>
        <w:rPr>
          <w:rFonts w:hint="eastAsia" w:cs="宋体"/>
          <w:color w:val="auto"/>
          <w:highlight w:val="none"/>
        </w:rPr>
        <w:t>可</w:t>
      </w:r>
      <w:r>
        <w:rPr>
          <w:rFonts w:hint="eastAsia" w:cs="宋体"/>
          <w:color w:val="auto"/>
          <w:highlight w:val="none"/>
          <w:lang w:val="en-US" w:eastAsia="zh-CN"/>
        </w:rPr>
        <w:t>登录</w:t>
      </w:r>
      <w:r>
        <w:rPr>
          <w:rFonts w:hint="eastAsia" w:cs="宋体"/>
          <w:color w:val="auto"/>
          <w:highlight w:val="none"/>
        </w:rPr>
        <w:t>系统自行下载。</w:t>
      </w:r>
    </w:p>
    <w:p>
      <w:pPr>
        <w:pStyle w:val="4"/>
        <w:rPr>
          <w:rFonts w:hint="eastAsia" w:ascii="宋体" w:hAnsi="宋体" w:eastAsia="宋体" w:cs="宋体"/>
          <w:color w:val="auto"/>
          <w:highlight w:val="none"/>
          <w:lang w:eastAsia="zh-CN"/>
        </w:rPr>
      </w:pPr>
      <w:bookmarkStart w:id="3" w:name="_Toc24340"/>
      <w:r>
        <w:rPr>
          <w:rFonts w:hint="eastAsia" w:ascii="宋体" w:hAnsi="宋体" w:eastAsia="宋体" w:cs="宋体"/>
          <w:color w:val="auto"/>
          <w:highlight w:val="none"/>
        </w:rPr>
        <w:t xml:space="preserve">2 </w:t>
      </w:r>
      <w:r>
        <w:rPr>
          <w:rFonts w:hint="eastAsia" w:ascii="宋体" w:hAnsi="宋体" w:eastAsia="宋体" w:cs="宋体"/>
          <w:color w:val="auto"/>
          <w:highlight w:val="none"/>
          <w:lang w:val="en"/>
        </w:rPr>
        <w:t>最高投标限价</w:t>
      </w:r>
      <w:r>
        <w:rPr>
          <w:rFonts w:hint="eastAsia" w:ascii="宋体" w:hAnsi="宋体" w:eastAsia="宋体" w:cs="宋体"/>
          <w:color w:val="auto"/>
          <w:highlight w:val="none"/>
        </w:rPr>
        <w:t>编制说明</w:t>
      </w:r>
      <w:bookmarkEnd w:id="3"/>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如有</w:t>
      </w:r>
      <w:r>
        <w:rPr>
          <w:rFonts w:hint="eastAsia" w:ascii="宋体" w:hAnsi="宋体" w:eastAsia="宋体" w:cs="宋体"/>
          <w:color w:val="auto"/>
          <w:highlight w:val="none"/>
          <w:lang w:eastAsia="zh-CN"/>
        </w:rPr>
        <w:t>）</w:t>
      </w:r>
    </w:p>
    <w:p>
      <w:pPr>
        <w:spacing w:line="360" w:lineRule="auto"/>
        <w:ind w:firstLine="420" w:firstLineChars="200"/>
        <w:outlineLvl w:val="9"/>
        <w:rPr>
          <w:rFonts w:ascii="Times New Roman" w:hAnsi="Times New Roman" w:cs="Times New Roman"/>
          <w:color w:val="auto"/>
          <w:szCs w:val="21"/>
          <w:highlight w:val="none"/>
        </w:rPr>
      </w:pPr>
      <w:r>
        <w:rPr>
          <w:rFonts w:hint="eastAsia" w:ascii="Times New Roman" w:hAnsi="Times New Roman" w:cs="Times New Roman"/>
          <w:color w:val="auto"/>
          <w:szCs w:val="21"/>
          <w:highlight w:val="none"/>
          <w:lang w:val="en-US" w:eastAsia="zh-CN"/>
        </w:rPr>
        <w:t>2</w:t>
      </w:r>
      <w:r>
        <w:rPr>
          <w:rFonts w:hint="default" w:ascii="Times New Roman" w:hAnsi="Times New Roman" w:cs="Times New Roman"/>
          <w:color w:val="auto"/>
          <w:szCs w:val="21"/>
          <w:highlight w:val="none"/>
        </w:rPr>
        <w:t>.1编制依据：</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default" w:ascii="宋体" w:hAnsi="宋体" w:cs="宋体"/>
          <w:b w:val="0"/>
          <w:bCs/>
          <w:color w:val="auto"/>
          <w:sz w:val="21"/>
          <w:szCs w:val="21"/>
          <w:highlight w:val="none"/>
          <w:lang w:val="en" w:eastAsia="zh-CN"/>
        </w:rPr>
      </w:pPr>
      <w:r>
        <w:rPr>
          <w:rFonts w:hint="eastAsia" w:ascii="宋体" w:hAnsi="宋体" w:cs="宋体"/>
          <w:b w:val="0"/>
          <w:bCs/>
          <w:color w:val="auto"/>
          <w:sz w:val="21"/>
          <w:szCs w:val="21"/>
          <w:highlight w:val="none"/>
          <w:lang w:val="en-US" w:eastAsia="zh-CN"/>
        </w:rPr>
        <w:t>（1）具</w:t>
      </w:r>
      <w:r>
        <w:rPr>
          <w:rFonts w:hint="eastAsia" w:ascii="宋体" w:hAnsi="宋体" w:eastAsia="宋体" w:cs="宋体"/>
          <w:b w:val="0"/>
          <w:bCs/>
          <w:color w:val="auto"/>
          <w:highlight w:val="none"/>
          <w:lang w:eastAsia="zh-CN"/>
        </w:rPr>
        <w:t>体以发布在“</w:t>
      </w:r>
      <w:r>
        <w:rPr>
          <w:rFonts w:hint="eastAsia" w:ascii="宋体" w:hAnsi="宋体" w:eastAsia="宋体" w:cs="宋体"/>
          <w:b w:val="0"/>
          <w:bCs/>
          <w:color w:val="auto"/>
          <w:sz w:val="21"/>
          <w:szCs w:val="21"/>
          <w:highlight w:val="none"/>
          <w:lang w:val="en-US" w:eastAsia="zh-CN"/>
        </w:rPr>
        <w:t>广西政府采购云平台</w:t>
      </w:r>
      <w:r>
        <w:rPr>
          <w:rFonts w:hint="eastAsia" w:ascii="宋体" w:hAnsi="宋体" w:eastAsia="宋体" w:cs="宋体"/>
          <w:b w:val="0"/>
          <w:bCs/>
          <w:color w:val="auto"/>
          <w:highlight w:val="none"/>
          <w:lang w:eastAsia="zh-CN"/>
        </w:rPr>
        <w:t>”上</w:t>
      </w:r>
      <w:r>
        <w:rPr>
          <w:rFonts w:hint="eastAsia" w:ascii="宋体" w:hAnsi="宋体" w:eastAsia="宋体" w:cs="宋体"/>
          <w:b w:val="0"/>
          <w:bCs/>
          <w:color w:val="000000"/>
          <w:kern w:val="0"/>
          <w:sz w:val="21"/>
          <w:szCs w:val="21"/>
          <w:lang w:val="en-US" w:eastAsia="zh-CN" w:bidi="ar"/>
        </w:rPr>
        <w:t>的施工图设计报告、预算书和工程量清单（工作量清单）为准</w:t>
      </w:r>
      <w:r>
        <w:rPr>
          <w:rFonts w:hint="default" w:ascii="宋体" w:hAnsi="宋体" w:cs="宋体"/>
          <w:b w:val="0"/>
          <w:bCs/>
          <w:color w:val="auto"/>
          <w:sz w:val="21"/>
          <w:szCs w:val="21"/>
          <w:highlight w:val="none"/>
          <w:lang w:val="en"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default" w:ascii="宋体" w:hAnsi="宋体" w:cs="宋体"/>
          <w:b w:val="0"/>
          <w:bCs/>
          <w:color w:val="auto"/>
          <w:sz w:val="21"/>
          <w:szCs w:val="21"/>
          <w:highlight w:val="none"/>
          <w:lang w:val="en" w:eastAsia="zh-CN"/>
        </w:rPr>
      </w:pPr>
      <w:r>
        <w:rPr>
          <w:rFonts w:hint="eastAsia" w:ascii="宋体" w:hAnsi="宋体" w:cs="宋体"/>
          <w:b w:val="0"/>
          <w:bCs/>
          <w:color w:val="auto"/>
          <w:sz w:val="21"/>
          <w:szCs w:val="21"/>
          <w:highlight w:val="none"/>
          <w:lang w:val="en-US" w:eastAsia="zh-CN"/>
        </w:rPr>
        <w:t>（2）</w:t>
      </w:r>
      <w:r>
        <w:rPr>
          <w:rFonts w:hint="eastAsia" w:ascii="宋体" w:hAnsi="宋体" w:cs="宋体"/>
          <w:b w:val="0"/>
          <w:bCs/>
          <w:color w:val="auto"/>
          <w:sz w:val="21"/>
          <w:szCs w:val="21"/>
          <w:highlight w:val="none"/>
          <w:lang w:val="en" w:eastAsia="zh-CN"/>
        </w:rPr>
        <w:t>磋商文件</w:t>
      </w:r>
      <w:r>
        <w:rPr>
          <w:rFonts w:hint="default" w:ascii="宋体" w:hAnsi="宋体" w:cs="宋体"/>
          <w:b w:val="0"/>
          <w:bCs/>
          <w:color w:val="auto"/>
          <w:sz w:val="21"/>
          <w:szCs w:val="21"/>
          <w:highlight w:val="none"/>
          <w:lang w:val="en" w:eastAsia="zh-CN"/>
        </w:rPr>
        <w:t>（包括招标工程量清单</w:t>
      </w:r>
      <w:r>
        <w:rPr>
          <w:rFonts w:hint="eastAsia" w:ascii="宋体" w:hAnsi="宋体" w:cs="宋体"/>
          <w:b w:val="0"/>
          <w:bCs/>
          <w:color w:val="auto"/>
          <w:sz w:val="21"/>
          <w:szCs w:val="21"/>
          <w:highlight w:val="none"/>
          <w:lang w:val="en" w:eastAsia="zh-CN"/>
        </w:rPr>
        <w:t>或工作量清单</w:t>
      </w:r>
      <w:r>
        <w:rPr>
          <w:rFonts w:hint="default" w:ascii="宋体" w:hAnsi="宋体" w:cs="宋体"/>
          <w:b w:val="0"/>
          <w:bCs/>
          <w:color w:val="auto"/>
          <w:sz w:val="21"/>
          <w:szCs w:val="21"/>
          <w:highlight w:val="none"/>
          <w:lang w:val="en" w:eastAsia="zh-CN"/>
        </w:rPr>
        <w:t>、合同条款、招标图纸等）及其补遗、澄清或修改；</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default" w:ascii="宋体" w:hAnsi="宋体" w:cs="宋体"/>
          <w:b w:val="0"/>
          <w:bCs/>
          <w:color w:val="auto"/>
          <w:sz w:val="21"/>
          <w:szCs w:val="21"/>
          <w:highlight w:val="none"/>
          <w:lang w:val="en" w:eastAsia="zh-CN"/>
        </w:rPr>
      </w:pPr>
      <w:r>
        <w:rPr>
          <w:rFonts w:hint="eastAsia" w:ascii="宋体" w:hAnsi="宋体" w:cs="宋体"/>
          <w:b w:val="0"/>
          <w:bCs/>
          <w:color w:val="auto"/>
          <w:sz w:val="21"/>
          <w:szCs w:val="21"/>
          <w:highlight w:val="none"/>
          <w:lang w:val="en-US" w:eastAsia="zh-CN"/>
        </w:rPr>
        <w:t>（3）</w:t>
      </w:r>
      <w:r>
        <w:rPr>
          <w:rFonts w:hint="default" w:ascii="宋体" w:hAnsi="宋体" w:cs="宋体"/>
          <w:b w:val="0"/>
          <w:bCs/>
          <w:color w:val="auto"/>
          <w:sz w:val="21"/>
          <w:szCs w:val="21"/>
          <w:highlight w:val="none"/>
          <w:lang w:val="en" w:eastAsia="zh-CN"/>
        </w:rPr>
        <w:t>与</w:t>
      </w:r>
      <w:r>
        <w:rPr>
          <w:rFonts w:hint="eastAsia" w:ascii="宋体" w:hAnsi="宋体" w:cs="宋体"/>
          <w:b w:val="0"/>
          <w:bCs/>
          <w:color w:val="auto"/>
          <w:sz w:val="21"/>
          <w:szCs w:val="21"/>
          <w:highlight w:val="none"/>
          <w:lang w:val="en-US" w:eastAsia="zh-CN"/>
        </w:rPr>
        <w:t>磋商采购</w:t>
      </w:r>
      <w:r>
        <w:rPr>
          <w:rFonts w:hint="default" w:ascii="宋体" w:hAnsi="宋体" w:cs="宋体"/>
          <w:b w:val="0"/>
          <w:bCs/>
          <w:color w:val="auto"/>
          <w:sz w:val="21"/>
          <w:szCs w:val="21"/>
          <w:highlight w:val="none"/>
          <w:lang w:val="en" w:eastAsia="zh-CN"/>
        </w:rPr>
        <w:t>工程相关的标准、规范、技术资料；</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default" w:ascii="宋体" w:hAnsi="宋体" w:cs="宋体"/>
          <w:b w:val="0"/>
          <w:bCs/>
          <w:color w:val="auto"/>
          <w:sz w:val="21"/>
          <w:szCs w:val="21"/>
          <w:highlight w:val="none"/>
          <w:lang w:val="en" w:eastAsia="zh-CN"/>
        </w:rPr>
      </w:pPr>
      <w:r>
        <w:rPr>
          <w:rFonts w:hint="eastAsia" w:ascii="宋体" w:hAnsi="宋体" w:cs="宋体"/>
          <w:b w:val="0"/>
          <w:bCs/>
          <w:color w:val="auto"/>
          <w:sz w:val="21"/>
          <w:szCs w:val="21"/>
          <w:highlight w:val="none"/>
          <w:lang w:val="en-US" w:eastAsia="zh-CN"/>
        </w:rPr>
        <w:t>（4）</w:t>
      </w:r>
      <w:r>
        <w:rPr>
          <w:rFonts w:hint="default" w:ascii="宋体" w:hAnsi="宋体" w:cs="宋体"/>
          <w:b w:val="0"/>
          <w:bCs/>
          <w:color w:val="auto"/>
          <w:sz w:val="21"/>
          <w:szCs w:val="21"/>
          <w:highlight w:val="none"/>
          <w:lang w:val="en" w:eastAsia="zh-CN"/>
        </w:rPr>
        <w:t>施工现场情况、地勘水文资料、工程特点等</w:t>
      </w:r>
      <w:r>
        <w:rPr>
          <w:rFonts w:hint="eastAsia" w:ascii="宋体" w:hAnsi="宋体" w:cs="宋体"/>
          <w:b w:val="0"/>
          <w:bCs/>
          <w:color w:val="auto"/>
          <w:sz w:val="21"/>
          <w:szCs w:val="21"/>
          <w:highlight w:val="none"/>
          <w:lang w:val="en-US" w:eastAsia="zh-CN"/>
        </w:rPr>
        <w:t>具</w:t>
      </w:r>
      <w:r>
        <w:rPr>
          <w:rFonts w:hint="eastAsia" w:ascii="宋体" w:hAnsi="宋体" w:eastAsia="宋体" w:cs="宋体"/>
          <w:b w:val="0"/>
          <w:bCs/>
          <w:color w:val="auto"/>
          <w:highlight w:val="none"/>
          <w:lang w:eastAsia="zh-CN"/>
        </w:rPr>
        <w:t>体以发布在“</w:t>
      </w:r>
      <w:r>
        <w:rPr>
          <w:rFonts w:hint="eastAsia" w:ascii="宋体" w:hAnsi="宋体" w:eastAsia="宋体" w:cs="宋体"/>
          <w:b w:val="0"/>
          <w:bCs/>
          <w:color w:val="auto"/>
          <w:sz w:val="21"/>
          <w:szCs w:val="21"/>
          <w:highlight w:val="none"/>
          <w:lang w:val="en-US" w:eastAsia="zh-CN"/>
        </w:rPr>
        <w:t>广西政府采购云平台</w:t>
      </w:r>
      <w:r>
        <w:rPr>
          <w:rFonts w:hint="eastAsia" w:ascii="宋体" w:hAnsi="宋体" w:eastAsia="宋体" w:cs="宋体"/>
          <w:b w:val="0"/>
          <w:bCs/>
          <w:color w:val="auto"/>
          <w:highlight w:val="none"/>
          <w:lang w:eastAsia="zh-CN"/>
        </w:rPr>
        <w:t>”上</w:t>
      </w:r>
      <w:r>
        <w:rPr>
          <w:rFonts w:hint="eastAsia" w:ascii="宋体" w:hAnsi="宋体" w:eastAsia="宋体" w:cs="宋体"/>
          <w:b w:val="0"/>
          <w:bCs/>
          <w:color w:val="000000"/>
          <w:kern w:val="0"/>
          <w:sz w:val="21"/>
          <w:szCs w:val="21"/>
          <w:lang w:val="en-US" w:eastAsia="zh-CN" w:bidi="ar"/>
        </w:rPr>
        <w:t>的施工图设计报告为准</w:t>
      </w:r>
      <w:r>
        <w:rPr>
          <w:rFonts w:hint="default" w:ascii="宋体" w:hAnsi="宋体" w:cs="宋体"/>
          <w:b w:val="0"/>
          <w:bCs/>
          <w:color w:val="auto"/>
          <w:sz w:val="21"/>
          <w:szCs w:val="21"/>
          <w:highlight w:val="none"/>
          <w:lang w:val="en"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firstLine="422" w:firstLineChars="200"/>
        <w:jc w:val="left"/>
        <w:textAlignment w:val="auto"/>
        <w:rPr>
          <w:rFonts w:hint="default" w:ascii="宋体" w:hAnsi="宋体" w:cs="宋体"/>
          <w:b w:val="0"/>
          <w:bCs/>
          <w:color w:val="auto"/>
          <w:sz w:val="21"/>
          <w:szCs w:val="21"/>
          <w:highlight w:val="none"/>
          <w:lang w:val="en" w:eastAsia="zh-CN"/>
        </w:rPr>
      </w:pPr>
      <w:r>
        <w:rPr>
          <w:rFonts w:hint="eastAsia" w:ascii="宋体" w:hAnsi="宋体" w:cs="宋体"/>
          <w:b/>
          <w:bCs w:val="0"/>
          <w:color w:val="auto"/>
          <w:sz w:val="21"/>
          <w:szCs w:val="21"/>
          <w:highlight w:val="none"/>
          <w:lang w:val="en-US" w:eastAsia="zh-CN"/>
        </w:rPr>
        <w:t>（5）</w:t>
      </w:r>
      <w:r>
        <w:rPr>
          <w:rFonts w:hint="default" w:ascii="宋体" w:hAnsi="宋体" w:cs="宋体"/>
          <w:b w:val="0"/>
          <w:bCs/>
          <w:color w:val="auto"/>
          <w:sz w:val="21"/>
          <w:szCs w:val="21"/>
          <w:highlight w:val="none"/>
          <w:lang w:val="en" w:eastAsia="zh-CN"/>
        </w:rPr>
        <w:t>合理施工工期及常规施工工艺、顺序；</w:t>
      </w:r>
    </w:p>
    <w:p>
      <w:pPr>
        <w:spacing w:line="360" w:lineRule="auto"/>
        <w:ind w:firstLine="422" w:firstLineChars="200"/>
        <w:rPr>
          <w:rFonts w:hint="eastAsia" w:ascii="宋体" w:hAnsi="宋体" w:cs="宋体"/>
          <w:b/>
          <w:bCs w:val="0"/>
          <w:color w:val="auto"/>
          <w:sz w:val="21"/>
          <w:szCs w:val="21"/>
          <w:highlight w:val="none"/>
          <w:u w:val="none"/>
          <w:lang w:val="en-US" w:eastAsia="zh-CN"/>
        </w:rPr>
      </w:pPr>
      <w:r>
        <w:rPr>
          <w:rFonts w:hint="eastAsia" w:ascii="宋体" w:hAnsi="宋体" w:cs="宋体"/>
          <w:b/>
          <w:bCs w:val="0"/>
          <w:color w:val="auto"/>
          <w:sz w:val="21"/>
          <w:szCs w:val="21"/>
          <w:highlight w:val="none"/>
          <w:lang w:val="en-US" w:eastAsia="zh-CN"/>
        </w:rPr>
        <w:t>（6）最高投标限价计算方法及价格来源：</w:t>
      </w:r>
      <w:r>
        <w:rPr>
          <w:rFonts w:hint="eastAsia" w:ascii="宋体" w:hAnsi="宋体" w:cs="宋体"/>
          <w:b/>
          <w:bCs w:val="0"/>
          <w:color w:val="auto"/>
          <w:sz w:val="21"/>
          <w:szCs w:val="21"/>
          <w:highlight w:val="none"/>
          <w:u w:val="single"/>
          <w:lang w:val="en-US" w:eastAsia="zh-CN"/>
        </w:rPr>
        <w:t xml:space="preserve"> / </w:t>
      </w:r>
      <w:r>
        <w:rPr>
          <w:rFonts w:hint="eastAsia" w:ascii="宋体" w:hAnsi="宋体" w:cs="宋体"/>
          <w:b/>
          <w:bCs w:val="0"/>
          <w:color w:val="auto"/>
          <w:sz w:val="21"/>
          <w:szCs w:val="21"/>
          <w:highlight w:val="none"/>
          <w:u w:val="none"/>
          <w:lang w:val="en-US" w:eastAsia="zh-CN"/>
        </w:rPr>
        <w:t>。</w:t>
      </w:r>
    </w:p>
    <w:p>
      <w:pPr>
        <w:spacing w:line="360" w:lineRule="auto"/>
        <w:ind w:firstLine="420" w:firstLineChars="200"/>
        <w:rPr>
          <w:rFonts w:hint="eastAsia" w:ascii="宋体" w:hAnsi="宋体" w:eastAsia="宋体" w:cs="宋体"/>
          <w:b/>
          <w:bCs/>
          <w:color w:val="auto"/>
          <w:sz w:val="24"/>
          <w:szCs w:val="24"/>
          <w:highlight w:val="none"/>
        </w:rPr>
      </w:pPr>
      <w:r>
        <w:rPr>
          <w:color w:val="auto"/>
          <w:highlight w:val="none"/>
        </w:rPr>
        <w:t>2.</w:t>
      </w:r>
      <w:r>
        <w:rPr>
          <w:rFonts w:hint="eastAsia"/>
          <w:color w:val="auto"/>
          <w:highlight w:val="none"/>
          <w:lang w:val="en-US" w:eastAsia="zh-CN"/>
        </w:rPr>
        <w:t>2</w:t>
      </w:r>
      <w:r>
        <w:rPr>
          <w:color w:val="auto"/>
          <w:highlight w:val="none"/>
        </w:rPr>
        <w:t xml:space="preserve"> </w:t>
      </w:r>
      <w:r>
        <w:rPr>
          <w:rFonts w:hint="eastAsia"/>
          <w:color w:val="auto"/>
          <w:highlight w:val="none"/>
          <w:lang w:eastAsia="zh-CN"/>
        </w:rPr>
        <w:t>其他</w:t>
      </w:r>
      <w:r>
        <w:rPr>
          <w:rFonts w:hint="eastAsia" w:hAnsi="宋体" w:cs="宋体"/>
          <w:color w:val="auto"/>
          <w:highlight w:val="none"/>
        </w:rPr>
        <w:t>需要说明的问题：</w:t>
      </w:r>
      <w:r>
        <w:rPr>
          <w:rFonts w:hint="eastAsia" w:ascii="宋体" w:hAnsi="宋体" w:eastAsia="宋体" w:cs="宋体"/>
          <w:b/>
          <w:bCs/>
          <w:color w:val="auto"/>
          <w:highlight w:val="none"/>
          <w:u w:val="single"/>
          <w:lang w:eastAsia="zh-CN"/>
        </w:rPr>
        <w:t>具体以发布在“</w:t>
      </w:r>
      <w:r>
        <w:rPr>
          <w:rFonts w:hint="eastAsia" w:ascii="宋体" w:hAnsi="宋体" w:eastAsia="宋体" w:cs="宋体"/>
          <w:b/>
          <w:bCs/>
          <w:color w:val="auto"/>
          <w:sz w:val="21"/>
          <w:szCs w:val="21"/>
          <w:highlight w:val="none"/>
          <w:u w:val="single"/>
          <w:lang w:val="en-US" w:eastAsia="zh-CN"/>
        </w:rPr>
        <w:t>广西政府采购云平台</w:t>
      </w:r>
      <w:r>
        <w:rPr>
          <w:rFonts w:hint="eastAsia" w:ascii="宋体" w:hAnsi="宋体" w:eastAsia="宋体" w:cs="宋体"/>
          <w:b/>
          <w:bCs/>
          <w:color w:val="auto"/>
          <w:highlight w:val="none"/>
          <w:u w:val="single"/>
          <w:lang w:eastAsia="zh-CN"/>
        </w:rPr>
        <w:t>”上</w:t>
      </w:r>
      <w:r>
        <w:rPr>
          <w:rFonts w:hint="eastAsia" w:ascii="宋体" w:hAnsi="宋体" w:eastAsia="宋体" w:cs="宋体"/>
          <w:b/>
          <w:bCs/>
          <w:color w:val="000000"/>
          <w:kern w:val="0"/>
          <w:sz w:val="21"/>
          <w:szCs w:val="21"/>
          <w:u w:val="single"/>
          <w:lang w:val="en-US" w:eastAsia="zh-CN" w:bidi="ar"/>
        </w:rPr>
        <w:t>的施工图设计报告、预算书和工程量清单（工作量清单）为准</w:t>
      </w:r>
      <w:r>
        <w:rPr>
          <w:rFonts w:hint="eastAsia" w:ascii="宋体" w:hAnsi="宋体" w:eastAsia="宋体" w:cs="宋体"/>
          <w:b/>
          <w:bCs/>
          <w:color w:val="auto"/>
          <w:highlight w:val="none"/>
          <w:lang w:eastAsia="zh-CN"/>
        </w:rPr>
        <w:t>。</w:t>
      </w:r>
    </w:p>
    <w:p>
      <w:pPr>
        <w:numPr>
          <w:ilvl w:val="0"/>
          <w:numId w:val="0"/>
        </w:numPr>
        <w:tabs>
          <w:tab w:val="left" w:pos="180"/>
          <w:tab w:val="left" w:pos="1620"/>
        </w:tabs>
        <w:spacing w:line="360" w:lineRule="auto"/>
        <w:ind w:firstLine="0" w:firstLineChars="0"/>
        <w:jc w:val="center"/>
        <w:rPr>
          <w:rFonts w:hint="eastAsia" w:ascii="宋体" w:hAnsi="宋体" w:eastAsia="宋体" w:cs="宋体"/>
          <w:color w:val="auto"/>
          <w:sz w:val="32"/>
          <w:szCs w:val="32"/>
          <w:highlight w:val="none"/>
          <w:lang w:val="en-US" w:eastAsia="zh-CN"/>
        </w:rPr>
      </w:pPr>
    </w:p>
    <w:p>
      <w:pPr>
        <w:numPr>
          <w:ilvl w:val="0"/>
          <w:numId w:val="0"/>
        </w:numPr>
        <w:tabs>
          <w:tab w:val="left" w:pos="180"/>
          <w:tab w:val="left" w:pos="1620"/>
        </w:tabs>
        <w:spacing w:line="360" w:lineRule="auto"/>
        <w:ind w:firstLine="0" w:firstLineChars="0"/>
        <w:jc w:val="center"/>
        <w:rPr>
          <w:rFonts w:hint="eastAsia" w:ascii="宋体" w:hAnsi="宋体" w:eastAsia="宋体" w:cs="宋体"/>
          <w:color w:val="auto"/>
          <w:sz w:val="32"/>
          <w:szCs w:val="32"/>
          <w:highlight w:val="none"/>
          <w:lang w:val="en-US" w:eastAsia="zh-CN"/>
        </w:rPr>
        <w:sectPr>
          <w:pgSz w:w="11911" w:h="16838"/>
          <w:pgMar w:top="1134" w:right="1134" w:bottom="1134" w:left="1134" w:header="720" w:footer="720" w:gutter="0"/>
          <w:pgBorders>
            <w:top w:val="none" w:sz="0" w:space="0"/>
            <w:left w:val="none" w:sz="0" w:space="0"/>
            <w:bottom w:val="none" w:sz="0" w:space="0"/>
            <w:right w:val="none" w:sz="0" w:space="0"/>
          </w:pgBorders>
          <w:pgNumType w:fmt="decimal"/>
          <w:cols w:space="720" w:num="1"/>
          <w:titlePg/>
          <w:rtlGutter w:val="0"/>
          <w:docGrid w:linePitch="0" w:charSpace="0"/>
        </w:sectPr>
      </w:pPr>
      <w:r>
        <w:rPr>
          <w:rFonts w:hint="eastAsia" w:ascii="宋体" w:hAnsi="宋体" w:eastAsia="宋体" w:cs="宋体"/>
          <w:color w:val="auto"/>
          <w:sz w:val="32"/>
          <w:szCs w:val="32"/>
          <w:highlight w:val="none"/>
          <w:lang w:val="en-US" w:eastAsia="zh-CN"/>
        </w:rPr>
        <w:t>二、</w:t>
      </w:r>
      <w:r>
        <w:rPr>
          <w:rFonts w:hint="eastAsia" w:ascii="宋体" w:hAnsi="宋体" w:eastAsia="宋体" w:cs="宋体"/>
          <w:b/>
          <w:bCs/>
          <w:color w:val="auto"/>
          <w:sz w:val="32"/>
          <w:szCs w:val="32"/>
          <w:highlight w:val="none"/>
          <w:lang w:val="en-US" w:eastAsia="zh-CN"/>
        </w:rPr>
        <w:t>图纸及施工图设计报告（“广西政府采购云平台”另册发放）</w:t>
      </w:r>
    </w:p>
    <w:p>
      <w:pPr>
        <w:spacing w:line="428" w:lineRule="exact"/>
        <w:ind w:left="0"/>
        <w:rPr>
          <w:rFonts w:hint="eastAsia" w:ascii="宋体" w:hAnsi="宋体" w:eastAsia="宋体" w:cs="宋体"/>
          <w:color w:val="auto"/>
          <w:sz w:val="17"/>
          <w:szCs w:val="17"/>
          <w:highlight w:val="none"/>
        </w:rPr>
      </w:pPr>
      <w:r>
        <w:rPr>
          <w:rFonts w:hint="eastAsia" w:ascii="宋体" w:hAnsi="宋体" w:eastAsia="宋体" w:cs="宋体"/>
          <w:color w:val="auto"/>
          <w:sz w:val="32"/>
          <w:szCs w:val="32"/>
          <w:highlight w:val="none"/>
        </w:rPr>
        <w:t>附件</w:t>
      </w:r>
      <w:r>
        <w:rPr>
          <w:rFonts w:hint="eastAsia" w:ascii="宋体" w:hAnsi="宋体" w:eastAsia="宋体" w:cs="宋体"/>
          <w:color w:val="auto"/>
          <w:sz w:val="32"/>
          <w:szCs w:val="32"/>
          <w:highlight w:val="none"/>
          <w:lang w:val="en-US" w:eastAsia="zh-CN"/>
        </w:rPr>
        <w:t>2</w:t>
      </w:r>
    </w:p>
    <w:p>
      <w:pPr>
        <w:widowControl/>
        <w:spacing w:before="156" w:beforeLines="50" w:after="156" w:afterLines="50" w:line="280" w:lineRule="exact"/>
        <w:jc w:val="center"/>
        <w:rPr>
          <w:rFonts w:hint="eastAsia" w:ascii="宋体" w:hAnsi="宋体" w:eastAsia="宋体" w:cs="宋体"/>
          <w:b/>
          <w:bCs/>
          <w:color w:val="auto"/>
          <w:kern w:val="0"/>
          <w:sz w:val="30"/>
          <w:szCs w:val="30"/>
          <w:highlight w:val="none"/>
        </w:rPr>
      </w:pPr>
      <w:bookmarkStart w:id="4" w:name="_Toc28361_WPSOffice_Level2"/>
      <w:r>
        <w:rPr>
          <w:rFonts w:hint="eastAsia" w:ascii="宋体" w:hAnsi="宋体" w:eastAsia="宋体" w:cs="宋体"/>
          <w:b/>
          <w:bCs/>
          <w:color w:val="auto"/>
          <w:kern w:val="0"/>
          <w:sz w:val="30"/>
          <w:szCs w:val="30"/>
          <w:highlight w:val="none"/>
        </w:rPr>
        <w:t>统计上大中小微型企业划分标准</w:t>
      </w:r>
      <w:bookmarkEnd w:id="4"/>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pPr>
              <w:widowControl/>
              <w:spacing w:line="280" w:lineRule="exact"/>
              <w:jc w:val="center"/>
              <w:rPr>
                <w:rFonts w:hint="eastAsia" w:ascii="宋体" w:hAnsi="宋体" w:eastAsia="宋体" w:cs="宋体"/>
                <w:b/>
                <w:bCs/>
                <w:color w:val="auto"/>
                <w:kern w:val="0"/>
                <w:sz w:val="18"/>
                <w:szCs w:val="21"/>
                <w:highlight w:val="none"/>
              </w:rPr>
            </w:pPr>
            <w:r>
              <w:rPr>
                <w:rFonts w:hint="eastAsia" w:ascii="宋体" w:hAnsi="宋体" w:eastAsia="宋体" w:cs="宋体"/>
                <w:b/>
                <w:bCs/>
                <w:color w:val="auto"/>
                <w:kern w:val="0"/>
                <w:sz w:val="18"/>
                <w:szCs w:val="21"/>
                <w:highlight w:val="none"/>
              </w:rPr>
              <w:t>行业名称</w:t>
            </w:r>
          </w:p>
        </w:tc>
        <w:tc>
          <w:tcPr>
            <w:tcW w:w="1369" w:type="dxa"/>
            <w:shd w:val="clear" w:color="auto" w:fill="8DB3E2"/>
            <w:noWrap w:val="0"/>
            <w:vAlign w:val="center"/>
          </w:tcPr>
          <w:p>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指标名称</w:t>
            </w:r>
          </w:p>
        </w:tc>
        <w:tc>
          <w:tcPr>
            <w:tcW w:w="709" w:type="dxa"/>
            <w:shd w:val="clear" w:color="auto" w:fill="8DB3E2"/>
            <w:noWrap w:val="0"/>
            <w:vAlign w:val="center"/>
          </w:tcPr>
          <w:p>
            <w:pPr>
              <w:widowControl/>
              <w:spacing w:line="280" w:lineRule="exact"/>
              <w:jc w:val="center"/>
              <w:rPr>
                <w:rFonts w:hint="eastAsia" w:ascii="宋体" w:hAnsi="宋体" w:eastAsia="宋体" w:cs="宋体"/>
                <w:b/>
                <w:bCs/>
                <w:color w:val="auto"/>
                <w:kern w:val="0"/>
                <w:sz w:val="18"/>
                <w:szCs w:val="18"/>
                <w:highlight w:val="none"/>
                <w:lang w:eastAsia="zh-CN"/>
              </w:rPr>
            </w:pPr>
            <w:r>
              <w:rPr>
                <w:rFonts w:hint="eastAsia" w:ascii="宋体" w:hAnsi="宋体" w:eastAsia="宋体" w:cs="宋体"/>
                <w:b/>
                <w:bCs/>
                <w:color w:val="auto"/>
                <w:kern w:val="0"/>
                <w:sz w:val="18"/>
                <w:szCs w:val="18"/>
                <w:highlight w:val="none"/>
              </w:rPr>
              <w:t>计量</w:t>
            </w:r>
          </w:p>
          <w:p>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单位</w:t>
            </w:r>
          </w:p>
        </w:tc>
        <w:tc>
          <w:tcPr>
            <w:tcW w:w="1125" w:type="dxa"/>
            <w:shd w:val="clear" w:color="auto" w:fill="8DB3E2"/>
            <w:noWrap w:val="0"/>
            <w:vAlign w:val="center"/>
          </w:tcPr>
          <w:p>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大型</w:t>
            </w:r>
          </w:p>
        </w:tc>
        <w:tc>
          <w:tcPr>
            <w:tcW w:w="1701" w:type="dxa"/>
            <w:shd w:val="clear" w:color="auto" w:fill="8DB3E2"/>
            <w:noWrap w:val="0"/>
            <w:vAlign w:val="center"/>
          </w:tcPr>
          <w:p>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中型</w:t>
            </w:r>
          </w:p>
        </w:tc>
        <w:tc>
          <w:tcPr>
            <w:tcW w:w="1426" w:type="dxa"/>
            <w:shd w:val="clear" w:color="auto" w:fill="8DB3E2"/>
            <w:noWrap w:val="0"/>
            <w:vAlign w:val="center"/>
          </w:tcPr>
          <w:p>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小型</w:t>
            </w:r>
          </w:p>
        </w:tc>
        <w:tc>
          <w:tcPr>
            <w:tcW w:w="992" w:type="dxa"/>
            <w:shd w:val="clear" w:color="auto" w:fill="8DB3E2"/>
            <w:noWrap w:val="0"/>
            <w:vAlign w:val="center"/>
          </w:tcPr>
          <w:p>
            <w:pPr>
              <w:widowControl/>
              <w:spacing w:line="280" w:lineRule="exact"/>
              <w:jc w:val="center"/>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Y</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 *</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X</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Y</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Y</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Z</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X</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Y</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26" w:type="dxa"/>
            <w:noWrap w:val="0"/>
            <w:vAlign w:val="center"/>
          </w:tcPr>
          <w:p>
            <w:pPr>
              <w:widowControl/>
              <w:spacing w:line="280" w:lineRule="exact"/>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X</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426" w:type="dxa"/>
            <w:noWrap w:val="0"/>
            <w:vAlign w:val="center"/>
          </w:tcPr>
          <w:p>
            <w:pPr>
              <w:widowControl/>
              <w:spacing w:line="280" w:lineRule="exact"/>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10≤X＜50 </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Y</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noWrap w:val="0"/>
            <w:vAlign w:val="center"/>
          </w:tcPr>
          <w:p>
            <w:pPr>
              <w:widowControl/>
              <w:spacing w:line="280" w:lineRule="exact"/>
              <w:ind w:left="-1" w:leftChars="-1" w:hanging="1"/>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 *</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X</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Y</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X</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noWrap w:val="0"/>
            <w:vAlign w:val="center"/>
          </w:tcPr>
          <w:p>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Y</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X</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Y</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X</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Y</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X</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Y</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 *</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X</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Y</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hint="eastAsia" w:ascii="宋体" w:hAnsi="宋体" w:eastAsia="宋体" w:cs="宋体"/>
                <w:color w:val="auto"/>
                <w:spacing w:val="-12"/>
                <w:kern w:val="0"/>
                <w:sz w:val="18"/>
                <w:szCs w:val="18"/>
                <w:highlight w:val="none"/>
              </w:rPr>
            </w:pPr>
            <w:r>
              <w:rPr>
                <w:rFonts w:hint="eastAsia" w:ascii="宋体" w:hAnsi="宋体" w:eastAsia="宋体" w:cs="宋体"/>
                <w:color w:val="auto"/>
                <w:spacing w:val="-12"/>
                <w:kern w:val="0"/>
                <w:sz w:val="18"/>
                <w:szCs w:val="18"/>
                <w:highlight w:val="none"/>
              </w:rPr>
              <w:t>软件和信息技术服</w:t>
            </w:r>
            <w:r>
              <w:rPr>
                <w:rFonts w:hint="eastAsia" w:ascii="宋体" w:hAnsi="宋体" w:eastAsia="宋体" w:cs="宋体"/>
                <w:color w:val="auto"/>
                <w:kern w:val="0"/>
                <w:sz w:val="18"/>
                <w:szCs w:val="18"/>
                <w:highlight w:val="none"/>
              </w:rPr>
              <w:t>务业</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X</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hint="eastAsia" w:ascii="宋体" w:hAnsi="宋体" w:eastAsia="宋体" w:cs="宋体"/>
                <w:color w:val="auto"/>
                <w:spacing w:val="-12"/>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Y</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Y</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Z</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2000≤Z＜5000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X</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Y</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701" w:type="dxa"/>
            <w:noWrap w:val="0"/>
            <w:vAlign w:val="center"/>
          </w:tcPr>
          <w:p>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X</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hint="eastAsia" w:ascii="宋体" w:hAnsi="宋体" w:eastAsia="宋体" w:cs="宋体"/>
                <w:color w:val="auto"/>
                <w:kern w:val="0"/>
                <w:sz w:val="18"/>
                <w:szCs w:val="18"/>
                <w:highlight w:val="none"/>
              </w:rPr>
            </w:pP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Z</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701"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widowControl/>
              <w:spacing w:line="280" w:lineRule="exact"/>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 *</w:t>
            </w:r>
          </w:p>
        </w:tc>
        <w:tc>
          <w:tcPr>
            <w:tcW w:w="136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w:t>
            </w:r>
            <w:r>
              <w:rPr>
                <w:rFonts w:hint="eastAsia" w:ascii="宋体" w:hAnsi="宋体" w:eastAsia="宋体" w:cs="宋体"/>
                <w:color w:val="auto"/>
                <w:kern w:val="0"/>
                <w:sz w:val="18"/>
                <w:szCs w:val="18"/>
                <w:highlight w:val="none"/>
                <w:lang w:eastAsia="zh-CN"/>
              </w:rPr>
              <w:t>（</w:t>
            </w:r>
            <w:r>
              <w:rPr>
                <w:rFonts w:hint="eastAsia" w:ascii="宋体" w:hAnsi="宋体" w:eastAsia="宋体" w:cs="宋体"/>
                <w:color w:val="auto"/>
                <w:kern w:val="0"/>
                <w:sz w:val="18"/>
                <w:szCs w:val="18"/>
                <w:highlight w:val="none"/>
              </w:rPr>
              <w:t>X</w:t>
            </w:r>
            <w:r>
              <w:rPr>
                <w:rFonts w:hint="eastAsia" w:ascii="宋体" w:hAnsi="宋体" w:eastAsia="宋体" w:cs="宋体"/>
                <w:color w:val="auto"/>
                <w:kern w:val="0"/>
                <w:sz w:val="18"/>
                <w:szCs w:val="18"/>
                <w:highlight w:val="none"/>
                <w:lang w:eastAsia="zh-CN"/>
              </w:rPr>
              <w:t>）</w:t>
            </w:r>
          </w:p>
        </w:tc>
        <w:tc>
          <w:tcPr>
            <w:tcW w:w="709"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pPr>
              <w:widowControl/>
              <w:spacing w:line="280" w:lineRule="exac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pPr>
        <w:widowControl/>
        <w:spacing w:line="280" w:lineRule="exact"/>
        <w:rPr>
          <w:rFonts w:hint="eastAsia" w:ascii="宋体" w:hAnsi="宋体" w:eastAsia="宋体" w:cs="宋体"/>
          <w:color w:val="auto"/>
          <w:spacing w:val="8"/>
          <w:kern w:val="0"/>
          <w:sz w:val="24"/>
          <w:highlight w:val="none"/>
        </w:rPr>
      </w:pPr>
    </w:p>
    <w:p>
      <w:pPr>
        <w:widowControl/>
        <w:spacing w:line="480" w:lineRule="auto"/>
        <w:rPr>
          <w:rFonts w:hint="eastAsia"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说明：</w:t>
      </w:r>
    </w:p>
    <w:p>
      <w:pPr>
        <w:pStyle w:val="6"/>
        <w:adjustRightInd w:val="0"/>
        <w:spacing w:line="480" w:lineRule="auto"/>
        <w:ind w:firstLine="432" w:firstLineChars="200"/>
        <w:contextualSpacing/>
        <w:rPr>
          <w:rFonts w:hint="eastAsia"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1.大型、中型和小型企业须同时满足所列指标的下限，否则下划一档；微型企业只</w:t>
      </w:r>
      <w:r>
        <w:rPr>
          <w:rFonts w:hint="eastAsia" w:hAnsi="宋体" w:eastAsia="宋体" w:cs="宋体"/>
          <w:color w:val="auto"/>
          <w:spacing w:val="8"/>
          <w:kern w:val="0"/>
          <w:szCs w:val="21"/>
          <w:highlight w:val="none"/>
          <w:lang w:eastAsia="zh-CN"/>
        </w:rPr>
        <w:t>需</w:t>
      </w:r>
      <w:r>
        <w:rPr>
          <w:rFonts w:hint="eastAsia" w:ascii="宋体" w:hAnsi="宋体" w:eastAsia="宋体" w:cs="宋体"/>
          <w:color w:val="auto"/>
          <w:spacing w:val="8"/>
          <w:kern w:val="0"/>
          <w:szCs w:val="21"/>
          <w:highlight w:val="none"/>
        </w:rPr>
        <w:t>满足所列指标中的一项即可。</w:t>
      </w:r>
    </w:p>
    <w:p>
      <w:pPr>
        <w:pStyle w:val="6"/>
        <w:adjustRightInd w:val="0"/>
        <w:spacing w:line="480" w:lineRule="auto"/>
        <w:ind w:firstLine="432" w:firstLineChars="200"/>
        <w:contextualSpacing/>
        <w:rPr>
          <w:rFonts w:hint="eastAsia" w:ascii="宋体" w:hAnsi="宋体" w:eastAsia="宋体" w:cs="宋体"/>
          <w:color w:val="auto"/>
          <w:spacing w:val="8"/>
          <w:kern w:val="0"/>
          <w:szCs w:val="21"/>
          <w:highlight w:val="none"/>
        </w:rPr>
      </w:pPr>
      <w:r>
        <w:rPr>
          <w:rFonts w:hint="eastAsia" w:ascii="宋体" w:hAnsi="宋体" w:eastAsia="宋体" w:cs="宋体"/>
          <w:color w:val="auto"/>
          <w:spacing w:val="8"/>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eastAsia="宋体" w:cs="宋体"/>
          <w:color w:val="auto"/>
          <w:spacing w:val="8"/>
          <w:kern w:val="0"/>
          <w:szCs w:val="21"/>
          <w:highlight w:val="none"/>
          <w:lang w:eastAsia="zh-CN"/>
        </w:rPr>
        <w:t>；</w:t>
      </w:r>
      <w:r>
        <w:rPr>
          <w:rFonts w:hint="eastAsia" w:ascii="宋体" w:hAnsi="宋体" w:eastAsia="宋体" w:cs="宋体"/>
          <w:color w:val="auto"/>
          <w:spacing w:val="8"/>
          <w:kern w:val="0"/>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6"/>
        <w:adjustRightInd w:val="0"/>
        <w:spacing w:line="480" w:lineRule="auto"/>
        <w:ind w:firstLine="432" w:firstLineChars="200"/>
        <w:contextualSpacing/>
        <w:rPr>
          <w:rFonts w:hint="eastAsia" w:eastAsia="宋体"/>
          <w:lang w:eastAsia="zh-CN"/>
        </w:rPr>
      </w:pPr>
      <w:r>
        <w:rPr>
          <w:rFonts w:hint="eastAsia" w:ascii="宋体" w:hAnsi="宋体" w:eastAsia="宋体" w:cs="宋体"/>
          <w:color w:val="auto"/>
          <w:spacing w:val="8"/>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bookmarkStart w:id="5" w:name="_GoBack"/>
      <w:bookmarkEnd w:id="5"/>
      <w:r>
        <w:rPr>
          <w:rFonts w:hint="eastAsia" w:ascii="宋体" w:hAnsi="宋体" w:eastAsia="宋体" w:cs="宋体"/>
          <w:color w:val="auto"/>
          <w:spacing w:val="8"/>
          <w:kern w:val="0"/>
          <w:szCs w:val="21"/>
          <w:highlight w:val="none"/>
          <w:lang w:eastAsia="zh-CN"/>
        </w:rPr>
        <w:t>。</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39F89"/>
    <w:multiLevelType w:val="multilevel"/>
    <w:tmpl w:val="95A39F89"/>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hYWUyYzJiNzRkYzg5YTIyNjcwNjMzZGE2NTdhOGUifQ=="/>
  </w:docVars>
  <w:rsids>
    <w:rsidRoot w:val="7F27786B"/>
    <w:rsid w:val="0EB555D9"/>
    <w:rsid w:val="3E821CBE"/>
    <w:rsid w:val="7F277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9"/>
    <w:pPr>
      <w:keepNext/>
      <w:keepLines/>
      <w:spacing w:before="260" w:after="260" w:line="416" w:lineRule="auto"/>
      <w:outlineLvl w:val="1"/>
    </w:pPr>
    <w:rPr>
      <w:rFonts w:ascii="Cambria" w:hAnsi="Cambria"/>
      <w:b/>
      <w:bCs/>
      <w:sz w:val="32"/>
      <w:szCs w:val="32"/>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autoRedefine/>
    <w:qFormat/>
    <w:uiPriority w:val="0"/>
    <w:pPr>
      <w:widowControl w:val="0"/>
      <w:spacing w:before="0" w:after="120"/>
      <w:ind w:left="0" w:right="0" w:firstLine="420" w:firstLineChars="100"/>
      <w:jc w:val="both"/>
    </w:pPr>
    <w:rPr>
      <w:rFonts w:ascii="Times New Roman" w:hAnsi="Times New Roman" w:eastAsia="宋体" w:cs="Times New Roman"/>
      <w:kern w:val="2"/>
      <w:sz w:val="21"/>
      <w:szCs w:val="24"/>
      <w:lang w:val="en-US" w:eastAsia="zh-CN" w:bidi="ar-SA"/>
    </w:rPr>
  </w:style>
  <w:style w:type="paragraph" w:styleId="3">
    <w:name w:val="Body Text"/>
    <w:basedOn w:val="1"/>
    <w:autoRedefine/>
    <w:unhideWhenUsed/>
    <w:qFormat/>
    <w:uiPriority w:val="0"/>
    <w:pPr>
      <w:spacing w:after="120"/>
    </w:pPr>
  </w:style>
  <w:style w:type="paragraph" w:styleId="5">
    <w:name w:val="annotation text"/>
    <w:basedOn w:val="1"/>
    <w:autoRedefine/>
    <w:qFormat/>
    <w:uiPriority w:val="0"/>
    <w:pPr>
      <w:jc w:val="left"/>
    </w:pPr>
  </w:style>
  <w:style w:type="paragraph" w:styleId="6">
    <w:name w:val="Plain Text"/>
    <w:basedOn w:val="1"/>
    <w:autoRedefine/>
    <w:qFormat/>
    <w:uiPriority w:val="0"/>
    <w:rPr>
      <w:rFonts w:ascii="宋体" w:hAnsi="Courier New"/>
      <w:kern w:val="0"/>
      <w:sz w:val="2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2026-07-17T01:58:00Z</dcterms:created>
  <dc:creator>梁尉</dc:creator>
  <cp:lastModifiedBy>梁尉</cp:lastModifiedBy>
  <dcterms:modified xsi:type="dcterms:W3CDTF">2026-09-07T02:42:07Z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FF5E084A777841D487B9441D81198F9C_11</vt:lpwstr>
  </property>
</Properties>
</file>