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B1EBD">
      <w:pPr>
        <w:spacing w:line="360" w:lineRule="auto"/>
        <w:jc w:val="center"/>
        <w:rPr>
          <w:rFonts w:hint="eastAsia" w:ascii="宋体" w:hAnsi="宋体" w:eastAsia="宋体" w:cs="仿宋"/>
          <w:color w:val="auto"/>
          <w:highlight w:val="none"/>
          <w:lang w:val="en-US" w:eastAsia="zh-CN"/>
        </w:rPr>
      </w:pPr>
      <w:ins w:id="0" w:author="钟" w:date="2026-05-22T15:09:14Z">
        <w:r>
          <w:rPr>
            <w:rFonts w:hint="eastAsia" w:ascii="宋体" w:hAnsi="宋体" w:cs="仿宋"/>
            <w:color w:val="auto"/>
            <w:highlight w:val="none"/>
            <w:lang w:val="en-US" w:eastAsia="zh-CN"/>
          </w:rPr>
          <w:t xml:space="preserve"> </w:t>
        </w:r>
      </w:ins>
    </w:p>
    <w:p w14:paraId="57C170AE">
      <w:pPr>
        <w:spacing w:line="360" w:lineRule="auto"/>
        <w:jc w:val="center"/>
        <w:rPr>
          <w:rFonts w:hint="eastAsia" w:ascii="宋体" w:hAnsi="宋体" w:cs="仿宋"/>
          <w:color w:val="auto"/>
          <w:highlight w:val="none"/>
        </w:rPr>
      </w:pPr>
    </w:p>
    <w:p w14:paraId="3525C354">
      <w:pPr>
        <w:spacing w:line="360" w:lineRule="auto"/>
        <w:jc w:val="center"/>
        <w:rPr>
          <w:rFonts w:hint="eastAsia" w:ascii="宋体" w:hAnsi="宋体"/>
          <w:color w:val="auto"/>
          <w:sz w:val="52"/>
          <w:szCs w:val="52"/>
          <w:highlight w:val="none"/>
        </w:rPr>
      </w:pPr>
      <w:r>
        <w:rPr>
          <w:rFonts w:hint="eastAsia" w:ascii="宋体" w:hAnsi="宋体" w:cs="仿宋"/>
          <w:color w:val="auto"/>
          <w:highlight w:val="none"/>
        </w:rPr>
        <w:drawing>
          <wp:inline distT="0" distB="0" distL="114300" distR="114300">
            <wp:extent cx="885825" cy="934720"/>
            <wp:effectExtent l="0" t="0" r="9525" b="17780"/>
            <wp:docPr id="2"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科文名片"/>
                    <pic:cNvPicPr>
                      <a:picLocks noChangeAspect="1"/>
                    </pic:cNvPicPr>
                  </pic:nvPicPr>
                  <pic:blipFill>
                    <a:blip r:embed="rId12" cstate="print"/>
                    <a:stretch>
                      <a:fillRect/>
                    </a:stretch>
                  </pic:blipFill>
                  <pic:spPr>
                    <a:xfrm>
                      <a:off x="0" y="0"/>
                      <a:ext cx="885825" cy="934720"/>
                    </a:xfrm>
                    <a:prstGeom prst="rect">
                      <a:avLst/>
                    </a:prstGeom>
                    <a:noFill/>
                    <a:ln>
                      <a:noFill/>
                    </a:ln>
                  </pic:spPr>
                </pic:pic>
              </a:graphicData>
            </a:graphic>
          </wp:inline>
        </w:drawing>
      </w:r>
    </w:p>
    <w:p w14:paraId="3DEE08FA">
      <w:pPr>
        <w:pStyle w:val="26"/>
        <w:jc w:val="center"/>
        <w:rPr>
          <w:rFonts w:hint="eastAsia" w:hAnsi="宋体"/>
          <w:color w:val="auto"/>
          <w:spacing w:val="30"/>
          <w:kern w:val="52"/>
          <w:sz w:val="64"/>
          <w:szCs w:val="64"/>
          <w:highlight w:val="none"/>
        </w:rPr>
      </w:pPr>
      <w:r>
        <w:rPr>
          <w:rFonts w:hAnsi="宋体"/>
          <w:color w:val="auto"/>
          <w:spacing w:val="30"/>
          <w:kern w:val="52"/>
          <w:sz w:val="64"/>
          <w:szCs w:val="64"/>
          <w:highlight w:val="none"/>
        </w:rPr>
        <w:t>广西科文招标有限公司</w:t>
      </w:r>
    </w:p>
    <w:p w14:paraId="32815801">
      <w:pPr>
        <w:pStyle w:val="26"/>
        <w:jc w:val="center"/>
        <w:rPr>
          <w:rFonts w:hint="eastAsia" w:hAnsi="宋体"/>
          <w:color w:val="auto"/>
          <w:spacing w:val="28"/>
          <w:sz w:val="64"/>
          <w:szCs w:val="64"/>
          <w:highlight w:val="none"/>
        </w:rPr>
      </w:pPr>
      <w:r>
        <w:rPr>
          <w:rFonts w:hint="eastAsia" w:hAnsi="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98425</wp:posOffset>
                </wp:positionV>
                <wp:extent cx="5486400" cy="0"/>
                <wp:effectExtent l="0" t="6350" r="0" b="762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27pt;margin-top:7.75pt;height:0pt;width:432pt;z-index:251659264;mso-width-relative:page;mso-height-relative:page;" filled="f" stroked="t" coordsize="21600,21600" o:gfxdata="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m279YAAAAIAQAADwAAAAAAAAABACAA&#10;AAAiAAAAZHJzL2Rvd25yZXYueG1sUEsBAhQAFAAAAAgAh07iQCXds+HWAQAA3AMAAA4AAAAAAAAA&#10;AQAgAAAAJQEAAGRycy9lMm9Eb2MueG1sUEsFBgAAAAAGAAYAWQEAAG0FAAAAAA==&#10;">
                <v:fill on="f" focussize="0,0"/>
                <v:stroke weight="1pt" color="#000000" joinstyle="round"/>
                <v:imagedata o:title=""/>
                <o:lock v:ext="edit" aspectratio="f"/>
              </v:line>
            </w:pict>
          </mc:Fallback>
        </mc:AlternateContent>
      </w:r>
    </w:p>
    <w:p w14:paraId="17C283B0">
      <w:pPr>
        <w:snapToGrid w:val="0"/>
        <w:spacing w:before="120" w:beforeLines="50" w:line="360" w:lineRule="auto"/>
        <w:jc w:val="center"/>
        <w:rPr>
          <w:rFonts w:hint="eastAsia" w:ascii="宋体" w:hAnsi="宋体"/>
          <w:color w:val="auto"/>
          <w:sz w:val="96"/>
          <w:szCs w:val="96"/>
          <w:highlight w:val="none"/>
        </w:rPr>
      </w:pPr>
      <w:r>
        <w:rPr>
          <w:rFonts w:hint="eastAsia" w:ascii="宋体" w:hAnsi="宋体"/>
          <w:color w:val="auto"/>
          <w:sz w:val="96"/>
          <w:szCs w:val="96"/>
          <w:highlight w:val="none"/>
        </w:rPr>
        <w:t>公开招标文件</w:t>
      </w:r>
    </w:p>
    <w:p w14:paraId="11329070">
      <w:pPr>
        <w:pStyle w:val="26"/>
        <w:snapToGrid w:val="0"/>
        <w:spacing w:line="360" w:lineRule="auto"/>
        <w:ind w:left="2262" w:leftChars="941" w:hanging="286" w:hangingChars="100"/>
        <w:rPr>
          <w:rFonts w:hint="eastAsia" w:hAnsi="宋体"/>
          <w:b/>
          <w:bCs/>
          <w:color w:val="auto"/>
          <w:w w:val="95"/>
          <w:sz w:val="30"/>
          <w:szCs w:val="30"/>
          <w:highlight w:val="none"/>
        </w:rPr>
      </w:pPr>
    </w:p>
    <w:p w14:paraId="6D2C4A42">
      <w:pPr>
        <w:pStyle w:val="26"/>
        <w:snapToGrid w:val="0"/>
        <w:spacing w:line="360" w:lineRule="auto"/>
        <w:ind w:left="3407" w:leftChars="941" w:hanging="1431" w:hangingChars="500"/>
        <w:rPr>
          <w:rFonts w:hint="eastAsia" w:hAnsi="宋体"/>
          <w:b/>
          <w:bCs/>
          <w:color w:val="auto"/>
          <w:w w:val="95"/>
          <w:sz w:val="30"/>
          <w:szCs w:val="30"/>
          <w:highlight w:val="none"/>
        </w:rPr>
      </w:pPr>
      <w:r>
        <w:rPr>
          <w:rFonts w:hint="eastAsia" w:hAnsi="宋体"/>
          <w:b/>
          <w:bCs/>
          <w:color w:val="auto"/>
          <w:w w:val="95"/>
          <w:sz w:val="30"/>
          <w:szCs w:val="30"/>
          <w:highlight w:val="none"/>
        </w:rPr>
        <w:t>项目名称：广西数字政府一体安全项目（一期）</w:t>
      </w:r>
    </w:p>
    <w:p w14:paraId="4D44502C">
      <w:pPr>
        <w:pStyle w:val="26"/>
        <w:snapToGrid w:val="0"/>
        <w:spacing w:line="360" w:lineRule="auto"/>
        <w:ind w:firstLine="1977" w:firstLineChars="691"/>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GXZC2026-G3-001450-KWZB</w:t>
      </w:r>
    </w:p>
    <w:p w14:paraId="3E9CE225">
      <w:pPr>
        <w:pStyle w:val="26"/>
        <w:snapToGrid w:val="0"/>
        <w:spacing w:line="360" w:lineRule="auto"/>
        <w:ind w:firstLine="1977" w:firstLineChars="691"/>
        <w:rPr>
          <w:rFonts w:hint="eastAsia" w:hAnsi="宋体"/>
          <w:b/>
          <w:bCs/>
          <w:color w:val="auto"/>
          <w:w w:val="95"/>
          <w:sz w:val="30"/>
          <w:szCs w:val="30"/>
          <w:highlight w:val="none"/>
        </w:rPr>
      </w:pPr>
    </w:p>
    <w:p w14:paraId="6C9BA990">
      <w:pPr>
        <w:pStyle w:val="26"/>
        <w:snapToGrid w:val="0"/>
        <w:spacing w:line="360" w:lineRule="auto"/>
        <w:ind w:firstLine="1977" w:firstLineChars="691"/>
        <w:rPr>
          <w:rFonts w:hint="eastAsia" w:hAnsi="宋体"/>
          <w:b/>
          <w:bCs/>
          <w:color w:val="auto"/>
          <w:w w:val="95"/>
          <w:sz w:val="30"/>
          <w:szCs w:val="30"/>
          <w:highlight w:val="none"/>
        </w:rPr>
      </w:pPr>
    </w:p>
    <w:p w14:paraId="104DF027">
      <w:pPr>
        <w:pStyle w:val="26"/>
        <w:snapToGrid w:val="0"/>
        <w:spacing w:line="360" w:lineRule="auto"/>
        <w:ind w:firstLine="1977" w:firstLineChars="691"/>
        <w:rPr>
          <w:rFonts w:hint="eastAsia" w:hAnsi="宋体"/>
          <w:b/>
          <w:bCs/>
          <w:color w:val="auto"/>
          <w:w w:val="95"/>
          <w:sz w:val="30"/>
          <w:szCs w:val="30"/>
          <w:highlight w:val="none"/>
        </w:rPr>
      </w:pPr>
    </w:p>
    <w:p w14:paraId="37C6A955">
      <w:pPr>
        <w:pStyle w:val="26"/>
        <w:snapToGrid w:val="0"/>
        <w:spacing w:line="360" w:lineRule="auto"/>
        <w:ind w:firstLine="1977" w:firstLineChars="691"/>
        <w:rPr>
          <w:rFonts w:hint="eastAsia" w:hAnsi="宋体"/>
          <w:b/>
          <w:bCs/>
          <w:color w:val="auto"/>
          <w:w w:val="95"/>
          <w:sz w:val="30"/>
          <w:szCs w:val="30"/>
          <w:highlight w:val="none"/>
        </w:rPr>
      </w:pPr>
    </w:p>
    <w:p w14:paraId="536A8FFE">
      <w:pPr>
        <w:pStyle w:val="26"/>
        <w:snapToGrid w:val="0"/>
        <w:spacing w:line="360" w:lineRule="auto"/>
        <w:jc w:val="center"/>
        <w:rPr>
          <w:rFonts w:hint="eastAsia" w:hAnsi="宋体"/>
          <w:b/>
          <w:bCs/>
          <w:color w:val="auto"/>
          <w:w w:val="95"/>
          <w:sz w:val="30"/>
          <w:szCs w:val="30"/>
          <w:highlight w:val="none"/>
        </w:rPr>
      </w:pPr>
      <w:r>
        <w:rPr>
          <w:rFonts w:hint="eastAsia" w:hAnsi="宋体"/>
          <w:b/>
          <w:bCs/>
          <w:color w:val="auto"/>
          <w:w w:val="95"/>
          <w:sz w:val="30"/>
          <w:szCs w:val="30"/>
          <w:highlight w:val="none"/>
        </w:rPr>
        <w:t>采 购 人：广西壮族自治区信息中心</w:t>
      </w:r>
    </w:p>
    <w:p w14:paraId="5E15CE98">
      <w:pPr>
        <w:pStyle w:val="26"/>
        <w:snapToGrid w:val="0"/>
        <w:spacing w:line="360" w:lineRule="auto"/>
        <w:ind w:firstLine="2289" w:firstLineChars="800"/>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62A80F46">
      <w:pPr>
        <w:pStyle w:val="26"/>
        <w:snapToGrid w:val="0"/>
        <w:spacing w:line="360" w:lineRule="auto"/>
        <w:ind w:firstLine="1125" w:firstLineChars="393"/>
        <w:rPr>
          <w:rFonts w:hint="eastAsia" w:hAnsi="宋体"/>
          <w:b/>
          <w:bCs/>
          <w:color w:val="auto"/>
          <w:w w:val="95"/>
          <w:sz w:val="30"/>
          <w:szCs w:val="30"/>
          <w:highlight w:val="none"/>
        </w:rPr>
      </w:pPr>
    </w:p>
    <w:p w14:paraId="427E2675">
      <w:pPr>
        <w:pStyle w:val="26"/>
        <w:snapToGrid w:val="0"/>
        <w:spacing w:line="360" w:lineRule="auto"/>
        <w:jc w:val="center"/>
        <w:rPr>
          <w:rFonts w:hint="eastAsia" w:hAnsi="宋体"/>
          <w:color w:val="auto"/>
          <w:szCs w:val="20"/>
          <w:highlight w:val="none"/>
        </w:rPr>
      </w:pPr>
      <w:r>
        <w:rPr>
          <w:rFonts w:hint="eastAsia" w:hAnsi="宋体"/>
          <w:b/>
          <w:bCs/>
          <w:color w:val="auto"/>
          <w:w w:val="95"/>
          <w:sz w:val="30"/>
          <w:szCs w:val="30"/>
          <w:highlight w:val="none"/>
        </w:rPr>
        <w:t>2026年   月   日</w:t>
      </w:r>
    </w:p>
    <w:p w14:paraId="323046B2">
      <w:pPr>
        <w:pStyle w:val="20"/>
        <w:kinsoku w:val="0"/>
        <w:overflowPunct w:val="0"/>
        <w:rPr>
          <w:rFonts w:hint="eastAsia" w:ascii="宋体" w:hAnsi="宋体"/>
          <w:color w:val="auto"/>
          <w:sz w:val="40"/>
          <w:highlight w:val="none"/>
        </w:rPr>
      </w:pPr>
    </w:p>
    <w:p w14:paraId="1D3D513F">
      <w:pPr>
        <w:spacing w:line="360" w:lineRule="auto"/>
        <w:jc w:val="center"/>
        <w:rPr>
          <w:rFonts w:hint="eastAsia" w:ascii="宋体" w:hAnsi="宋体"/>
          <w:b/>
          <w:color w:val="auto"/>
          <w:sz w:val="44"/>
          <w:szCs w:val="44"/>
          <w:highlight w:val="none"/>
        </w:rPr>
      </w:pPr>
    </w:p>
    <w:p w14:paraId="6FCE24E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B637FDD">
      <w:pPr>
        <w:pStyle w:val="34"/>
        <w:tabs>
          <w:tab w:val="right" w:leader="dot" w:pos="8306"/>
          <w:tab w:val="clear" w:pos="8398"/>
        </w:tabs>
        <w:rPr>
          <w:rFonts w:hint="eastAsia"/>
          <w:color w:val="auto"/>
          <w:highlight w:val="none"/>
        </w:rPr>
      </w:pPr>
      <w:r>
        <w:rPr>
          <w:b w:val="0"/>
          <w:color w:val="auto"/>
          <w:highlight w:val="none"/>
        </w:rPr>
        <w:fldChar w:fldCharType="begin"/>
      </w:r>
      <w:r>
        <w:rPr>
          <w:rFonts w:hint="eastAsia"/>
          <w:b w:val="0"/>
          <w:color w:val="auto"/>
          <w:highlight w:val="none"/>
        </w:rPr>
        <w:instrText xml:space="preserve">TOC \o "1-2" \h \z \u</w:instrText>
      </w:r>
      <w:r>
        <w:rPr>
          <w:b w:val="0"/>
          <w:color w:val="auto"/>
          <w:highlight w:val="none"/>
        </w:rPr>
        <w:fldChar w:fldCharType="separate"/>
      </w:r>
      <w:r>
        <w:rPr>
          <w:color w:val="auto"/>
          <w:highlight w:val="none"/>
        </w:rPr>
        <w:fldChar w:fldCharType="begin"/>
      </w:r>
      <w:r>
        <w:rPr>
          <w:color w:val="auto"/>
          <w:highlight w:val="none"/>
        </w:rPr>
        <w:instrText xml:space="preserve"> HYPERLINK \l "_Toc22822" </w:instrText>
      </w:r>
      <w:r>
        <w:rPr>
          <w:color w:val="auto"/>
          <w:highlight w:val="none"/>
        </w:rPr>
        <w:fldChar w:fldCharType="separate"/>
      </w:r>
      <w:r>
        <w:rPr>
          <w:rFonts w:hint="eastAsia"/>
          <w:color w:val="auto"/>
          <w:szCs w:val="32"/>
          <w:highlight w:val="none"/>
        </w:rPr>
        <w:t xml:space="preserve">第一章 </w:t>
      </w:r>
      <w:r>
        <w:rPr>
          <w:rFonts w:hint="eastAsia"/>
          <w:color w:val="auto"/>
          <w:szCs w:val="32"/>
          <w:highlight w:val="none"/>
          <w:lang w:val="en-US" w:eastAsia="zh-CN"/>
        </w:rPr>
        <w:t xml:space="preserve"> </w:t>
      </w:r>
      <w:r>
        <w:rPr>
          <w:rFonts w:hint="eastAsia"/>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_Toc22822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18BC1EE9">
      <w:pPr>
        <w:pStyle w:val="34"/>
        <w:tabs>
          <w:tab w:val="right" w:leader="dot" w:pos="8306"/>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"_Toc21822" </w:instrText>
      </w:r>
      <w:r>
        <w:rPr>
          <w:color w:val="auto"/>
          <w:highlight w:val="none"/>
        </w:rPr>
        <w:fldChar w:fldCharType="separate"/>
      </w:r>
      <w:r>
        <w:rPr>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_Toc21822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B926BB8">
      <w:pPr>
        <w:pStyle w:val="34"/>
        <w:tabs>
          <w:tab w:val="right" w:leader="dot" w:pos="8306"/>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"_Toc3534" </w:instrText>
      </w:r>
      <w:r>
        <w:rPr>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_Toc3534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1C69492">
      <w:pPr>
        <w:pStyle w:val="34"/>
        <w:tabs>
          <w:tab w:val="right" w:leader="dot" w:pos="8306"/>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"_Toc17795" </w:instrText>
      </w:r>
      <w:r>
        <w:rPr>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_Toc17795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7DC8171D">
      <w:pPr>
        <w:pStyle w:val="34"/>
        <w:tabs>
          <w:tab w:val="right" w:leader="dot" w:pos="8306"/>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"_Toc614" </w:instrText>
      </w:r>
      <w:r>
        <w:rPr>
          <w:color w:val="auto"/>
          <w:highlight w:val="none"/>
        </w:rPr>
        <w:fldChar w:fldCharType="separate"/>
      </w:r>
      <w:r>
        <w:rPr>
          <w:rFonts w:hint="eastAsia"/>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_Toc614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4CC12021">
      <w:pPr>
        <w:pStyle w:val="34"/>
        <w:tabs>
          <w:tab w:val="right" w:leader="dot" w:pos="8306"/>
          <w:tab w:val="clear" w:pos="8398"/>
        </w:tabs>
        <w:ind w:firstLine="241"/>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"_Toc18213" </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_Toc18213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0075B73F">
      <w:pPr>
        <w:spacing w:before="120" w:beforeLines="50" w:line="480" w:lineRule="exact"/>
        <w:rPr>
          <w:rFonts w:hint="eastAsia" w:ascii="宋体" w:hAnsi="宋体"/>
          <w:color w:val="auto"/>
          <w:sz w:val="24"/>
          <w:highlight w:val="none"/>
        </w:rPr>
      </w:pPr>
      <w:r>
        <w:rPr>
          <w:rFonts w:ascii="宋体" w:hAnsi="宋体"/>
          <w:color w:val="auto"/>
          <w:highlight w:val="none"/>
        </w:rPr>
        <w:fldChar w:fldCharType="end"/>
      </w:r>
    </w:p>
    <w:p w14:paraId="6D3D82F3">
      <w:pPr>
        <w:spacing w:before="120" w:beforeLines="50" w:line="480" w:lineRule="exact"/>
        <w:rPr>
          <w:rFonts w:hint="eastAsia" w:ascii="宋体" w:hAnsi="宋体"/>
          <w:color w:val="auto"/>
          <w:sz w:val="30"/>
          <w:highlight w:val="none"/>
        </w:rPr>
      </w:pPr>
    </w:p>
    <w:p w14:paraId="40F8F00C">
      <w:pPr>
        <w:rPr>
          <w:rFonts w:hint="eastAsia" w:ascii="宋体" w:hAnsi="宋体"/>
          <w:color w:val="auto"/>
          <w:highlight w:val="none"/>
        </w:rPr>
      </w:pPr>
    </w:p>
    <w:p w14:paraId="24A4DE34">
      <w:pPr>
        <w:spacing w:before="120" w:beforeLines="50" w:line="480" w:lineRule="exact"/>
        <w:rPr>
          <w:rFonts w:hint="eastAsia" w:ascii="宋体" w:hAnsi="宋体"/>
          <w:color w:val="auto"/>
          <w:sz w:val="30"/>
          <w:highlight w:val="none"/>
        </w:rPr>
      </w:pPr>
    </w:p>
    <w:p w14:paraId="5E8DD9C3">
      <w:pPr>
        <w:spacing w:before="120" w:beforeLines="50" w:line="480" w:lineRule="exact"/>
        <w:rPr>
          <w:rFonts w:hint="eastAsia" w:ascii="宋体" w:hAnsi="宋体"/>
          <w:color w:val="auto"/>
          <w:sz w:val="30"/>
          <w:highlight w:val="none"/>
        </w:rPr>
      </w:pPr>
    </w:p>
    <w:p w14:paraId="44A7C296">
      <w:pPr>
        <w:pStyle w:val="18"/>
        <w:rPr>
          <w:rFonts w:hint="eastAsia" w:ascii="宋体" w:hAnsi="宋体" w:cs="宋体"/>
          <w:b/>
          <w:bCs/>
          <w:color w:val="auto"/>
          <w:highlight w:val="none"/>
        </w:rPr>
      </w:pPr>
      <w:bookmarkStart w:id="0" w:name="_Toc254970489"/>
      <w:bookmarkStart w:id="1" w:name="_Toc254970630"/>
    </w:p>
    <w:p w14:paraId="11391870">
      <w:pPr>
        <w:pStyle w:val="3"/>
        <w:keepNext w:val="0"/>
        <w:keepLines w:val="0"/>
        <w:tabs>
          <w:tab w:val="left" w:pos="0"/>
          <w:tab w:val="left" w:pos="3165"/>
          <w:tab w:val="center" w:pos="4153"/>
        </w:tabs>
        <w:autoSpaceDE w:val="0"/>
        <w:autoSpaceDN w:val="0"/>
        <w:adjustRightInd w:val="0"/>
        <w:spacing w:before="0" w:after="0"/>
        <w:jc w:val="center"/>
        <w:rPr>
          <w:rFonts w:hint="eastAsia" w:ascii="宋体" w:hAnsi="宋体" w:eastAsia="宋体"/>
          <w:color w:val="auto"/>
          <w:sz w:val="32"/>
          <w:szCs w:val="32"/>
          <w:highlight w:val="none"/>
        </w:rPr>
      </w:pPr>
      <w:r>
        <w:rPr>
          <w:rFonts w:ascii="宋体" w:hAnsi="宋体" w:eastAsia="宋体" w:cs="宋体"/>
          <w:color w:val="auto"/>
          <w:highlight w:val="none"/>
        </w:rPr>
        <w:br w:type="page"/>
      </w:r>
      <w:bookmarkStart w:id="2" w:name="_Toc22822"/>
      <w:r>
        <w:rPr>
          <w:rFonts w:hint="eastAsia" w:ascii="宋体" w:hAnsi="宋体" w:eastAsia="宋体"/>
          <w:color w:val="auto"/>
          <w:sz w:val="32"/>
          <w:szCs w:val="32"/>
          <w:highlight w:val="none"/>
        </w:rPr>
        <w:t>第一章</w:t>
      </w:r>
      <w:bookmarkEnd w:id="0"/>
      <w:bookmarkEnd w:id="1"/>
      <w:bookmarkStart w:id="3" w:name="_Toc28359001"/>
      <w:bookmarkStart w:id="4" w:name="_Toc35393789"/>
      <w:r>
        <w:rPr>
          <w:rFonts w:hint="eastAsia" w:ascii="宋体" w:hAnsi="宋体" w:eastAsia="宋体"/>
          <w:color w:val="auto"/>
          <w:sz w:val="32"/>
          <w:szCs w:val="32"/>
          <w:highlight w:val="none"/>
        </w:rPr>
        <w:t xml:space="preserve"> 招标公告</w:t>
      </w:r>
      <w:bookmarkEnd w:id="2"/>
      <w:bookmarkEnd w:id="3"/>
      <w:bookmarkEnd w:id="4"/>
    </w:p>
    <w:p w14:paraId="308F238D">
      <w:pPr>
        <w:pStyle w:val="26"/>
        <w:spacing w:line="500" w:lineRule="exact"/>
        <w:jc w:val="center"/>
        <w:rPr>
          <w:rFonts w:hint="eastAsia" w:hAnsi="宋体"/>
          <w:b/>
          <w:color w:val="auto"/>
          <w:sz w:val="30"/>
          <w:szCs w:val="30"/>
          <w:highlight w:val="none"/>
        </w:rPr>
      </w:pPr>
      <w:r>
        <w:rPr>
          <w:rFonts w:hint="eastAsia" w:hAnsi="宋体"/>
          <w:b/>
          <w:color w:val="auto"/>
          <w:sz w:val="30"/>
          <w:szCs w:val="30"/>
          <w:highlight w:val="none"/>
        </w:rPr>
        <w:t>广西科文招标有限公司</w:t>
      </w:r>
    </w:p>
    <w:p w14:paraId="2AB0389C">
      <w:pPr>
        <w:pStyle w:val="26"/>
        <w:spacing w:line="500" w:lineRule="exact"/>
        <w:jc w:val="center"/>
        <w:rPr>
          <w:rFonts w:hint="eastAsia" w:hAnsi="宋体"/>
          <w:b/>
          <w:color w:val="auto"/>
          <w:sz w:val="30"/>
          <w:szCs w:val="30"/>
          <w:highlight w:val="none"/>
        </w:rPr>
      </w:pPr>
      <w:r>
        <w:rPr>
          <w:rFonts w:hint="eastAsia" w:hAnsi="宋体"/>
          <w:b/>
          <w:color w:val="auto"/>
          <w:sz w:val="30"/>
          <w:szCs w:val="30"/>
          <w:highlight w:val="none"/>
        </w:rPr>
        <w:t>广西数字政府一体安全项目（一期）（</w:t>
      </w:r>
      <w:r>
        <w:rPr>
          <w:rFonts w:hint="eastAsia" w:hAnsi="宋体"/>
          <w:b/>
          <w:color w:val="auto"/>
          <w:sz w:val="30"/>
          <w:szCs w:val="30"/>
          <w:highlight w:val="none"/>
          <w:lang w:eastAsia="zh-CN"/>
        </w:rPr>
        <w:t>GXZC2026-G3-001450-KWZB</w:t>
      </w:r>
      <w:r>
        <w:rPr>
          <w:rFonts w:hint="eastAsia" w:hAnsi="宋体"/>
          <w:b/>
          <w:color w:val="auto"/>
          <w:sz w:val="30"/>
          <w:szCs w:val="30"/>
          <w:highlight w:val="none"/>
        </w:rPr>
        <w:t>）招标公告</w:t>
      </w:r>
      <w:bookmarkStart w:id="5" w:name="OLE_LINK2"/>
    </w:p>
    <w:p w14:paraId="53E9979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02CE977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s="Arial"/>
          <w:bCs/>
          <w:color w:val="auto"/>
          <w:szCs w:val="21"/>
          <w:highlight w:val="none"/>
        </w:rPr>
        <w:t>广西数字政府一体安全项目（一期）</w:t>
      </w:r>
      <w:r>
        <w:rPr>
          <w:rFonts w:hint="eastAsia" w:ascii="宋体" w:hAnsi="宋体"/>
          <w:color w:val="auto"/>
          <w:szCs w:val="21"/>
          <w:highlight w:val="none"/>
        </w:rPr>
        <w:t>的潜在投标人应在</w:t>
      </w:r>
      <w:r>
        <w:rPr>
          <w:rFonts w:hint="eastAsia" w:ascii="宋体" w:hAnsi="宋体" w:cs="宋体"/>
          <w:color w:val="auto"/>
          <w:szCs w:val="21"/>
          <w:highlight w:val="none"/>
        </w:rPr>
        <w:t>广西政府采购云平台（</w:t>
      </w:r>
      <w:r>
        <w:rPr>
          <w:rFonts w:ascii="宋体" w:hAnsi="宋体" w:cs="宋体"/>
          <w:color w:val="auto"/>
          <w:szCs w:val="21"/>
          <w:highlight w:val="none"/>
        </w:rPr>
        <w:t>https://www.gcy.zfcg.gxzf.gov.cn</w:t>
      </w:r>
      <w:r>
        <w:rPr>
          <w:rFonts w:hint="eastAsia" w:ascii="宋体" w:hAnsi="宋体" w:cs="宋体"/>
          <w:color w:val="auto"/>
          <w:szCs w:val="21"/>
          <w:highlight w:val="none"/>
        </w:rPr>
        <w:t>）</w:t>
      </w:r>
      <w:r>
        <w:rPr>
          <w:rFonts w:hint="eastAsia" w:ascii="宋体" w:hAnsi="宋体"/>
          <w:color w:val="auto"/>
          <w:szCs w:val="21"/>
          <w:highlight w:val="none"/>
        </w:rPr>
        <w:t>获取（下载）招标文件，并于</w:t>
      </w:r>
      <w:r>
        <w:rPr>
          <w:rFonts w:hint="eastAsia" w:ascii="宋体" w:hAnsi="宋体" w:cs="Arial"/>
          <w:bCs/>
          <w:color w:val="auto"/>
          <w:szCs w:val="21"/>
          <w:highlight w:val="none"/>
        </w:rPr>
        <w:t>2026年    月     日9时30分（北京时间）</w:t>
      </w:r>
      <w:r>
        <w:rPr>
          <w:rFonts w:hint="eastAsia" w:ascii="宋体" w:hAnsi="宋体"/>
          <w:bCs/>
          <w:color w:val="auto"/>
          <w:szCs w:val="21"/>
          <w:highlight w:val="none"/>
        </w:rPr>
        <w:t>前递交投标</w:t>
      </w:r>
      <w:r>
        <w:rPr>
          <w:rFonts w:ascii="宋体" w:hAnsi="宋体"/>
          <w:bCs/>
          <w:color w:val="auto"/>
          <w:szCs w:val="21"/>
          <w:highlight w:val="none"/>
        </w:rPr>
        <w:t>文件</w:t>
      </w:r>
      <w:r>
        <w:rPr>
          <w:rFonts w:hint="eastAsia" w:ascii="宋体" w:hAnsi="宋体"/>
          <w:color w:val="auto"/>
          <w:szCs w:val="21"/>
          <w:highlight w:val="none"/>
        </w:rPr>
        <w:t>。</w:t>
      </w:r>
    </w:p>
    <w:p w14:paraId="7571984D">
      <w:pPr>
        <w:spacing w:line="400" w:lineRule="exact"/>
        <w:rPr>
          <w:rFonts w:hint="eastAsia" w:ascii="宋体" w:hAnsi="宋体"/>
          <w:b/>
          <w:bCs/>
          <w:color w:val="auto"/>
          <w:sz w:val="24"/>
          <w:highlight w:val="none"/>
        </w:rPr>
      </w:pPr>
      <w:bookmarkStart w:id="6" w:name="_Toc28359002"/>
      <w:bookmarkStart w:id="7" w:name="_Toc35393790"/>
      <w:bookmarkStart w:id="8" w:name="_Toc35393621"/>
      <w:bookmarkStart w:id="9" w:name="_Toc28359079"/>
      <w:bookmarkStart w:id="10" w:name="_Hlk24379207"/>
      <w:r>
        <w:rPr>
          <w:rFonts w:hint="eastAsia" w:ascii="宋体" w:hAnsi="宋体"/>
          <w:b/>
          <w:bCs/>
          <w:color w:val="auto"/>
          <w:sz w:val="24"/>
          <w:highlight w:val="none"/>
        </w:rPr>
        <w:t>一、项目基本情况</w:t>
      </w:r>
      <w:bookmarkEnd w:id="6"/>
      <w:bookmarkEnd w:id="7"/>
      <w:bookmarkEnd w:id="8"/>
      <w:bookmarkEnd w:id="9"/>
    </w:p>
    <w:p w14:paraId="4E9618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GXZC2026-G3-001450-KWZB</w:t>
      </w:r>
      <w:r>
        <w:rPr>
          <w:rFonts w:hint="eastAsia" w:ascii="宋体" w:hAnsi="宋体"/>
          <w:color w:val="auto"/>
          <w:szCs w:val="21"/>
          <w:highlight w:val="none"/>
        </w:rPr>
        <w:t xml:space="preserve">  采购计划文号：广西政采[2026]9261号。</w:t>
      </w:r>
    </w:p>
    <w:p w14:paraId="30F2511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s="Arial"/>
          <w:bCs/>
          <w:color w:val="auto"/>
          <w:szCs w:val="21"/>
          <w:highlight w:val="none"/>
        </w:rPr>
        <w:t>广西数字政府一体安全项目（一期）</w:t>
      </w:r>
    </w:p>
    <w:bookmarkEnd w:id="10"/>
    <w:p w14:paraId="32820C1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预算金额：4109.88万元。</w:t>
      </w:r>
    </w:p>
    <w:p w14:paraId="5AC5CE7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最高限价（如有）：4109.88万元。</w:t>
      </w:r>
    </w:p>
    <w:p w14:paraId="3805D67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tbl>
      <w:tblPr>
        <w:tblStyle w:val="50"/>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6"/>
        <w:gridCol w:w="1545"/>
        <w:gridCol w:w="885"/>
        <w:gridCol w:w="6721"/>
      </w:tblGrid>
      <w:tr w14:paraId="73E83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14:paraId="44394022">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545" w:type="dxa"/>
            <w:tcBorders>
              <w:top w:val="single" w:color="auto" w:sz="4" w:space="0"/>
              <w:left w:val="single" w:color="auto" w:sz="4" w:space="0"/>
              <w:bottom w:val="single" w:color="auto" w:sz="4" w:space="0"/>
              <w:right w:val="single" w:color="auto" w:sz="4" w:space="0"/>
            </w:tcBorders>
            <w:vAlign w:val="center"/>
          </w:tcPr>
          <w:p w14:paraId="776880CD">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885" w:type="dxa"/>
            <w:tcBorders>
              <w:top w:val="single" w:color="auto" w:sz="4" w:space="0"/>
              <w:left w:val="single" w:color="auto" w:sz="4" w:space="0"/>
              <w:bottom w:val="single" w:color="auto" w:sz="4" w:space="0"/>
              <w:right w:val="single" w:color="auto" w:sz="4" w:space="0"/>
            </w:tcBorders>
            <w:vAlign w:val="center"/>
          </w:tcPr>
          <w:p w14:paraId="73CED137">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6721" w:type="dxa"/>
            <w:tcBorders>
              <w:top w:val="single" w:color="auto" w:sz="4" w:space="0"/>
              <w:left w:val="single" w:color="auto" w:sz="4" w:space="0"/>
              <w:bottom w:val="single" w:color="auto" w:sz="4" w:space="0"/>
              <w:right w:val="single" w:color="auto" w:sz="4" w:space="0"/>
            </w:tcBorders>
            <w:vAlign w:val="center"/>
          </w:tcPr>
          <w:p w14:paraId="10C52C80">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048F9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14:paraId="5261BA11">
            <w:pPr>
              <w:snapToGrid w:val="0"/>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01</w:t>
            </w:r>
          </w:p>
        </w:tc>
        <w:tc>
          <w:tcPr>
            <w:tcW w:w="1545" w:type="dxa"/>
            <w:tcBorders>
              <w:top w:val="single" w:color="auto" w:sz="4" w:space="0"/>
              <w:left w:val="single" w:color="auto" w:sz="4" w:space="0"/>
              <w:bottom w:val="single" w:color="auto" w:sz="4" w:space="0"/>
              <w:right w:val="single" w:color="auto" w:sz="4" w:space="0"/>
            </w:tcBorders>
            <w:vAlign w:val="center"/>
          </w:tcPr>
          <w:p w14:paraId="7C7867AA">
            <w:pPr>
              <w:snapToGrid w:val="0"/>
              <w:spacing w:line="400" w:lineRule="exact"/>
              <w:jc w:val="center"/>
              <w:rPr>
                <w:rFonts w:hint="eastAsia" w:ascii="宋体" w:hAnsi="宋体"/>
                <w:bCs/>
                <w:color w:val="auto"/>
                <w:szCs w:val="21"/>
                <w:highlight w:val="none"/>
              </w:rPr>
            </w:pPr>
            <w:r>
              <w:rPr>
                <w:rFonts w:hint="eastAsia" w:ascii="宋体" w:hAnsi="宋体" w:cs="宋体"/>
                <w:color w:val="auto"/>
                <w:szCs w:val="21"/>
                <w:highlight w:val="none"/>
              </w:rPr>
              <w:t>广西数字政府一体安全项目（一期）</w:t>
            </w:r>
          </w:p>
        </w:tc>
        <w:tc>
          <w:tcPr>
            <w:tcW w:w="885" w:type="dxa"/>
            <w:tcBorders>
              <w:top w:val="single" w:color="auto" w:sz="4" w:space="0"/>
              <w:left w:val="single" w:color="auto" w:sz="4" w:space="0"/>
              <w:bottom w:val="single" w:color="auto" w:sz="4" w:space="0"/>
              <w:right w:val="single" w:color="auto" w:sz="4" w:space="0"/>
            </w:tcBorders>
            <w:vAlign w:val="center"/>
          </w:tcPr>
          <w:p w14:paraId="67F25992">
            <w:pPr>
              <w:snapToGrid w:val="0"/>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1项</w:t>
            </w:r>
          </w:p>
        </w:tc>
        <w:tc>
          <w:tcPr>
            <w:tcW w:w="6721" w:type="dxa"/>
            <w:tcBorders>
              <w:top w:val="single" w:color="auto" w:sz="4" w:space="0"/>
              <w:left w:val="single" w:color="auto" w:sz="4" w:space="0"/>
              <w:bottom w:val="single" w:color="auto" w:sz="4" w:space="0"/>
              <w:right w:val="single" w:color="auto" w:sz="4" w:space="0"/>
            </w:tcBorders>
            <w:vAlign w:val="center"/>
          </w:tcPr>
          <w:p w14:paraId="625EE40F">
            <w:pPr>
              <w:pStyle w:val="21"/>
              <w:spacing w:line="400" w:lineRule="exact"/>
              <w:ind w:left="0" w:leftChars="0" w:firstLine="420" w:firstLineChars="200"/>
              <w:rPr>
                <w:rFonts w:hint="eastAsia" w:ascii="宋体" w:hAnsi="宋体"/>
                <w:color w:val="auto"/>
                <w:highlight w:val="none"/>
              </w:rPr>
            </w:pPr>
            <w:r>
              <w:rPr>
                <w:rFonts w:hint="eastAsia" w:ascii="宋体" w:hAnsi="宋体"/>
                <w:color w:val="auto"/>
                <w:highlight w:val="none"/>
              </w:rPr>
              <w:t>建设“一中心、一基座、五平台、一体系”，</w:t>
            </w:r>
            <w:r>
              <w:rPr>
                <w:rFonts w:hint="eastAsia"/>
                <w:color w:val="auto"/>
                <w:highlight w:val="none"/>
                <w:lang w:val="en-GB"/>
              </w:rPr>
              <w:t>即构建一个安全运营中心和一个人工智能安全基座，搭建数据安全监测平台、数据安全防护能力平台、政务云密码监管平台、政务外网终端零信任平台、溯源分析平台，从能力供给、防护和监测三方面形成覆盖“云、网、端、用、数”的安全服务能力；建立健全安全运营服务，实现对全区政务网络和数据安全监测分析、预警、信息通报和应急处置，实现对大模型应用的防护和安全监测，实现对全域资产台账、全域威胁感知、全域威胁预警、全域分析溯源、全域指挥调度的集约管理和统一智能运营。</w:t>
            </w:r>
          </w:p>
          <w:p w14:paraId="1FF329E3">
            <w:pPr>
              <w:pStyle w:val="21"/>
              <w:spacing w:line="400" w:lineRule="exact"/>
              <w:ind w:left="0" w:leftChars="0" w:firstLine="420" w:firstLineChars="200"/>
              <w:rPr>
                <w:rFonts w:hint="eastAsia" w:ascii="宋体" w:hAnsi="宋体"/>
                <w:color w:val="auto"/>
                <w:highlight w:val="none"/>
              </w:rPr>
            </w:pPr>
            <w:r>
              <w:rPr>
                <w:rFonts w:hint="eastAsia" w:ascii="宋体" w:hAnsi="宋体"/>
                <w:color w:val="auto"/>
                <w:highlight w:val="none"/>
              </w:rPr>
              <w:t>具体内容详见“第二章采购需求”。</w:t>
            </w:r>
          </w:p>
        </w:tc>
      </w:tr>
    </w:tbl>
    <w:p w14:paraId="18D1CF0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合同履约期限</w:t>
      </w:r>
      <w:r>
        <w:rPr>
          <w:rFonts w:hint="eastAsia" w:ascii="宋体" w:hAnsi="宋体"/>
          <w:color w:val="auto"/>
          <w:szCs w:val="21"/>
          <w:highlight w:val="none"/>
        </w:rPr>
        <w:t>：</w:t>
      </w:r>
    </w:p>
    <w:p w14:paraId="7F937995">
      <w:pPr>
        <w:tabs>
          <w:tab w:val="left" w:pos="180"/>
          <w:tab w:val="left" w:pos="1620"/>
        </w:tabs>
        <w:spacing w:line="40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1.建设期</w:t>
      </w:r>
    </w:p>
    <w:p w14:paraId="07A996E5">
      <w:pPr>
        <w:tabs>
          <w:tab w:val="left" w:pos="180"/>
          <w:tab w:val="left" w:pos="1620"/>
        </w:tabs>
        <w:spacing w:line="40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交付时间：中标人应在采购合同签订后16个月内交付全部货物</w:t>
      </w:r>
      <w:r>
        <w:rPr>
          <w:rFonts w:hint="eastAsia" w:ascii="宋体" w:hAnsi="宋体" w:cs="Times New Roman"/>
          <w:color w:val="auto"/>
          <w:kern w:val="2"/>
          <w:sz w:val="21"/>
          <w:szCs w:val="21"/>
          <w:highlight w:val="none"/>
          <w:lang w:val="en-US" w:eastAsia="zh-CN" w:bidi="ar-SA"/>
        </w:rPr>
        <w:t>（软硬件平台）</w:t>
      </w:r>
      <w:r>
        <w:rPr>
          <w:rFonts w:hint="eastAsia" w:ascii="宋体" w:hAnsi="宋体" w:eastAsia="宋体" w:cs="Times New Roman"/>
          <w:color w:val="auto"/>
          <w:kern w:val="2"/>
          <w:sz w:val="21"/>
          <w:szCs w:val="21"/>
          <w:highlight w:val="none"/>
          <w:lang w:val="en-US" w:eastAsia="zh-CN" w:bidi="ar-SA"/>
        </w:rPr>
        <w:t>并完成安装调试，并确保项目整体完工，</w:t>
      </w:r>
      <w:r>
        <w:rPr>
          <w:rFonts w:hint="eastAsia" w:ascii="宋体" w:hAnsi="宋体" w:cs="Times New Roman"/>
          <w:color w:val="auto"/>
          <w:kern w:val="2"/>
          <w:sz w:val="21"/>
          <w:szCs w:val="21"/>
          <w:highlight w:val="none"/>
          <w:lang w:val="en-US" w:eastAsia="zh-CN" w:bidi="ar-SA"/>
        </w:rPr>
        <w:t>并通过</w:t>
      </w:r>
      <w:r>
        <w:rPr>
          <w:rFonts w:hint="eastAsia" w:ascii="宋体" w:hAnsi="宋体" w:eastAsia="宋体" w:cs="Times New Roman"/>
          <w:color w:val="auto"/>
          <w:kern w:val="2"/>
          <w:sz w:val="21"/>
          <w:szCs w:val="21"/>
          <w:highlight w:val="none"/>
          <w:lang w:val="en-US" w:eastAsia="zh-CN" w:bidi="ar-SA"/>
        </w:rPr>
        <w:t>竣工验收；</w:t>
      </w:r>
    </w:p>
    <w:p w14:paraId="1A0479B7">
      <w:pPr>
        <w:tabs>
          <w:tab w:val="left" w:pos="180"/>
          <w:tab w:val="left" w:pos="1620"/>
        </w:tabs>
        <w:spacing w:line="40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2.运营期</w:t>
      </w:r>
    </w:p>
    <w:p w14:paraId="61A19D18">
      <w:pPr>
        <w:spacing w:line="40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交付时间：</w:t>
      </w:r>
      <w:r>
        <w:rPr>
          <w:rFonts w:hint="eastAsia" w:ascii="宋体" w:hAnsi="宋体" w:eastAsia="宋体" w:cs="Times New Roman"/>
          <w:color w:val="auto"/>
          <w:kern w:val="2"/>
          <w:sz w:val="21"/>
          <w:szCs w:val="21"/>
          <w:highlight w:val="none"/>
          <w:lang w:val="en-US" w:eastAsia="zh-CN" w:bidi="ar-SA"/>
        </w:rPr>
        <w:t>项目整体完工且</w:t>
      </w:r>
      <w:r>
        <w:rPr>
          <w:rFonts w:hint="eastAsia" w:ascii="宋体" w:hAnsi="宋体" w:cs="Times New Roman"/>
          <w:color w:val="auto"/>
          <w:kern w:val="2"/>
          <w:sz w:val="21"/>
          <w:szCs w:val="21"/>
          <w:highlight w:val="none"/>
          <w:lang w:val="en-US" w:eastAsia="zh-CN" w:bidi="ar-SA"/>
        </w:rPr>
        <w:t>通过</w:t>
      </w:r>
      <w:r>
        <w:rPr>
          <w:rFonts w:hint="eastAsia" w:ascii="宋体" w:hAnsi="宋体" w:eastAsia="宋体" w:cs="Times New Roman"/>
          <w:color w:val="auto"/>
          <w:kern w:val="2"/>
          <w:sz w:val="21"/>
          <w:szCs w:val="21"/>
          <w:highlight w:val="none"/>
          <w:lang w:val="en-US" w:eastAsia="zh-CN" w:bidi="ar-SA"/>
        </w:rPr>
        <w:t>竣工验收之日起进入运营期，为期3年。</w:t>
      </w:r>
    </w:p>
    <w:p w14:paraId="1A8A2DBE">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本项目（</w:t>
      </w:r>
      <w:r>
        <w:rPr>
          <w:rFonts w:ascii="宋体" w:hAnsi="宋体"/>
          <w:b/>
          <w:color w:val="auto"/>
          <w:szCs w:val="21"/>
          <w:highlight w:val="none"/>
        </w:rPr>
        <w:t>否</w:t>
      </w:r>
      <w:r>
        <w:rPr>
          <w:rFonts w:hint="eastAsia" w:ascii="宋体" w:hAnsi="宋体"/>
          <w:b/>
          <w:color w:val="auto"/>
          <w:szCs w:val="21"/>
          <w:highlight w:val="none"/>
        </w:rPr>
        <w:t>）接受联合体投标。</w:t>
      </w:r>
    </w:p>
    <w:p w14:paraId="6B259DB4">
      <w:pPr>
        <w:spacing w:line="400" w:lineRule="exact"/>
        <w:rPr>
          <w:rFonts w:hint="eastAsia" w:ascii="宋体" w:hAnsi="宋体"/>
          <w:b/>
          <w:bCs/>
          <w:color w:val="auto"/>
          <w:sz w:val="24"/>
          <w:highlight w:val="none"/>
        </w:rPr>
      </w:pPr>
      <w:bookmarkStart w:id="11" w:name="_Toc28359080"/>
      <w:bookmarkStart w:id="12" w:name="_Toc28359003"/>
      <w:bookmarkStart w:id="13" w:name="_Toc35393622"/>
      <w:bookmarkStart w:id="14" w:name="_Toc35393791"/>
      <w:r>
        <w:rPr>
          <w:rFonts w:hint="eastAsia" w:ascii="宋体" w:hAnsi="宋体"/>
          <w:b/>
          <w:bCs/>
          <w:color w:val="auto"/>
          <w:sz w:val="24"/>
          <w:highlight w:val="none"/>
        </w:rPr>
        <w:t>二、申请人的资格要求：</w:t>
      </w:r>
      <w:bookmarkEnd w:id="11"/>
      <w:bookmarkEnd w:id="12"/>
      <w:bookmarkEnd w:id="13"/>
      <w:bookmarkEnd w:id="14"/>
    </w:p>
    <w:p w14:paraId="0BA5CCB8">
      <w:pPr>
        <w:spacing w:line="400" w:lineRule="exact"/>
        <w:ind w:firstLine="420" w:firstLineChars="200"/>
        <w:rPr>
          <w:rFonts w:hint="eastAsia" w:ascii="宋体" w:hAnsi="宋体"/>
          <w:color w:val="auto"/>
          <w:szCs w:val="21"/>
          <w:highlight w:val="none"/>
        </w:rPr>
      </w:pPr>
      <w:bookmarkStart w:id="15" w:name="_Hlk51746371"/>
      <w:bookmarkStart w:id="16" w:name="_Toc28359081"/>
      <w:bookmarkStart w:id="17" w:name="_Toc28359004"/>
      <w:r>
        <w:rPr>
          <w:rFonts w:hint="eastAsia" w:ascii="宋体" w:hAnsi="宋体"/>
          <w:color w:val="auto"/>
          <w:szCs w:val="21"/>
          <w:highlight w:val="none"/>
        </w:rPr>
        <w:t>（一）满足《中华人民共和国政府采购法》第二十二条规定，具有本项目供应和服务能力，符合履行本文件各项规定的国内法人和其他组织；</w:t>
      </w:r>
    </w:p>
    <w:p w14:paraId="47F791F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（二）落实政府采购政策需满足的资格要求：本项目非专门面向中小企业采购；</w:t>
      </w:r>
    </w:p>
    <w:p w14:paraId="467DC2C9">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（三）本项目的特定资格要求：无。</w:t>
      </w:r>
    </w:p>
    <w:bookmarkEnd w:id="15"/>
    <w:p w14:paraId="7F75FB6E">
      <w:pPr>
        <w:spacing w:line="400" w:lineRule="exact"/>
        <w:rPr>
          <w:rFonts w:hint="eastAsia" w:ascii="宋体" w:hAnsi="宋体"/>
          <w:b/>
          <w:bCs/>
          <w:color w:val="auto"/>
          <w:sz w:val="24"/>
          <w:highlight w:val="none"/>
        </w:rPr>
      </w:pPr>
      <w:bookmarkStart w:id="18" w:name="_Toc35393792"/>
      <w:bookmarkStart w:id="19" w:name="_Toc35393623"/>
      <w:r>
        <w:rPr>
          <w:rFonts w:hint="eastAsia" w:ascii="宋体" w:hAnsi="宋体"/>
          <w:b/>
          <w:bCs/>
          <w:color w:val="auto"/>
          <w:sz w:val="24"/>
          <w:highlight w:val="none"/>
        </w:rPr>
        <w:t>三、获取招标文件</w:t>
      </w:r>
      <w:bookmarkEnd w:id="16"/>
      <w:bookmarkEnd w:id="17"/>
      <w:bookmarkEnd w:id="18"/>
      <w:bookmarkEnd w:id="19"/>
    </w:p>
    <w:p w14:paraId="2E3CC38B">
      <w:pPr>
        <w:spacing w:line="32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2026年   月   日</w:t>
      </w:r>
      <w:r>
        <w:rPr>
          <w:rFonts w:hint="eastAsia" w:ascii="宋体" w:hAnsi="宋体" w:cs="Arial"/>
          <w:color w:val="auto"/>
          <w:szCs w:val="21"/>
          <w:highlight w:val="none"/>
        </w:rPr>
        <w:t>至</w:t>
      </w:r>
      <w:r>
        <w:rPr>
          <w:rFonts w:hint="eastAsia" w:ascii="宋体" w:hAnsi="宋体" w:cs="Arial"/>
          <w:color w:val="auto"/>
          <w:highlight w:val="none"/>
        </w:rPr>
        <w:t>2026年   月   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28D657F8">
      <w:pPr>
        <w:spacing w:line="32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广西政府采购云平台（https://www.gcy.zfcg.gxzf.gov.cn）</w:t>
      </w:r>
    </w:p>
    <w:p w14:paraId="77E0EA84">
      <w:pPr>
        <w:spacing w:line="32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下载招标文件（登录广西政府采购云平台-项目采购-获取采购文件-找到本项目-点击“申请获取采购文件”），电子投标文件制作需要基于</w:t>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获取的招标文件编制。</w:t>
      </w:r>
    </w:p>
    <w:p w14:paraId="49231C4F">
      <w:pPr>
        <w:spacing w:line="32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售价：0元。</w:t>
      </w:r>
    </w:p>
    <w:p w14:paraId="00E79D3D">
      <w:pPr>
        <w:spacing w:line="400" w:lineRule="exact"/>
        <w:rPr>
          <w:rFonts w:hint="eastAsia" w:ascii="宋体" w:hAnsi="宋体"/>
          <w:b/>
          <w:bCs/>
          <w:color w:val="auto"/>
          <w:sz w:val="24"/>
          <w:highlight w:val="none"/>
        </w:rPr>
      </w:pPr>
      <w:bookmarkStart w:id="20" w:name="_Toc28359005"/>
      <w:bookmarkStart w:id="21" w:name="_Toc28359082"/>
      <w:bookmarkStart w:id="22" w:name="_Toc35393793"/>
      <w:bookmarkStart w:id="23" w:name="_Toc35393624"/>
      <w:r>
        <w:rPr>
          <w:rFonts w:hint="eastAsia" w:ascii="宋体" w:hAnsi="宋体"/>
          <w:b/>
          <w:bCs/>
          <w:color w:val="auto"/>
          <w:sz w:val="24"/>
          <w:highlight w:val="none"/>
        </w:rPr>
        <w:t>四、提交投标文件</w:t>
      </w:r>
      <w:bookmarkEnd w:id="20"/>
      <w:bookmarkEnd w:id="21"/>
      <w:r>
        <w:rPr>
          <w:rFonts w:hint="eastAsia" w:ascii="宋体" w:hAnsi="宋体"/>
          <w:b/>
          <w:bCs/>
          <w:color w:val="auto"/>
          <w:sz w:val="24"/>
          <w:highlight w:val="none"/>
        </w:rPr>
        <w:t>截止时间、开标时间和地点</w:t>
      </w:r>
      <w:bookmarkEnd w:id="22"/>
      <w:bookmarkEnd w:id="23"/>
    </w:p>
    <w:p w14:paraId="71CF4FA7">
      <w:pPr>
        <w:spacing w:line="380" w:lineRule="exact"/>
        <w:ind w:firstLine="420" w:firstLineChars="200"/>
        <w:rPr>
          <w:rFonts w:hint="eastAsia" w:ascii="宋体" w:hAnsi="宋体"/>
          <w:color w:val="auto"/>
          <w:szCs w:val="21"/>
          <w:highlight w:val="none"/>
        </w:rPr>
      </w:pPr>
      <w:bookmarkStart w:id="24" w:name="_Toc35393625"/>
      <w:bookmarkStart w:id="25" w:name="_Toc28359084"/>
      <w:bookmarkStart w:id="26" w:name="_Toc35393794"/>
      <w:bookmarkStart w:id="27" w:name="_Toc28359007"/>
      <w:r>
        <w:rPr>
          <w:rFonts w:hint="eastAsia" w:ascii="宋体" w:hAnsi="宋体"/>
          <w:color w:val="auto"/>
          <w:szCs w:val="21"/>
          <w:highlight w:val="none"/>
        </w:rPr>
        <w:t>1、</w:t>
      </w:r>
      <w:r>
        <w:rPr>
          <w:rFonts w:hint="eastAsia" w:ascii="宋体" w:hAnsi="宋体" w:cs="宋体"/>
          <w:color w:val="auto"/>
          <w:szCs w:val="21"/>
          <w:highlight w:val="none"/>
        </w:rPr>
        <w:t>截止时间</w:t>
      </w:r>
      <w:r>
        <w:rPr>
          <w:rFonts w:hint="eastAsia" w:ascii="宋体" w:hAnsi="宋体"/>
          <w:color w:val="auto"/>
          <w:szCs w:val="21"/>
          <w:highlight w:val="none"/>
        </w:rPr>
        <w:t>：2026年    月     日9时30分（北京时间）</w:t>
      </w:r>
    </w:p>
    <w:p w14:paraId="0BE96C0D">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rPr>
        <w:t>本项目将在</w:t>
      </w:r>
      <w:r>
        <w:rPr>
          <w:rFonts w:hint="eastAsia" w:ascii="宋体" w:hAnsi="宋体"/>
          <w:color w:val="auto"/>
          <w:szCs w:val="21"/>
          <w:highlight w:val="none"/>
        </w:rPr>
        <w:t>广西政府采购云平台</w:t>
      </w:r>
      <w:r>
        <w:rPr>
          <w:rFonts w:hint="eastAsia" w:ascii="宋体" w:hAnsi="宋体" w:cs="宋体"/>
          <w:color w:val="auto"/>
          <w:szCs w:val="21"/>
          <w:highlight w:val="none"/>
        </w:rPr>
        <w:t>电子开标大厅解密、开标。</w:t>
      </w:r>
    </w:p>
    <w:p w14:paraId="0268C586">
      <w:pPr>
        <w:spacing w:line="380" w:lineRule="exact"/>
        <w:rPr>
          <w:rFonts w:hint="eastAsia" w:ascii="宋体" w:hAnsi="宋体"/>
          <w:b/>
          <w:bCs/>
          <w:color w:val="auto"/>
          <w:sz w:val="24"/>
          <w:highlight w:val="none"/>
        </w:rPr>
      </w:pPr>
      <w:r>
        <w:rPr>
          <w:rFonts w:hint="eastAsia" w:ascii="宋体" w:hAnsi="宋体"/>
          <w:b/>
          <w:bCs/>
          <w:color w:val="auto"/>
          <w:sz w:val="24"/>
          <w:highlight w:val="none"/>
        </w:rPr>
        <w:t>五、公告期限</w:t>
      </w:r>
      <w:bookmarkEnd w:id="24"/>
      <w:bookmarkEnd w:id="25"/>
      <w:bookmarkEnd w:id="26"/>
      <w:bookmarkEnd w:id="27"/>
    </w:p>
    <w:p w14:paraId="1DE4A2C7">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492426B">
      <w:pPr>
        <w:spacing w:line="380" w:lineRule="exact"/>
        <w:rPr>
          <w:rFonts w:hint="eastAsia" w:ascii="宋体" w:hAnsi="宋体"/>
          <w:b/>
          <w:bCs/>
          <w:color w:val="auto"/>
          <w:sz w:val="24"/>
          <w:highlight w:val="none"/>
        </w:rPr>
      </w:pPr>
      <w:bookmarkStart w:id="28" w:name="_Toc35393795"/>
      <w:bookmarkStart w:id="29" w:name="_Toc35393626"/>
      <w:r>
        <w:rPr>
          <w:rFonts w:hint="eastAsia" w:ascii="宋体" w:hAnsi="宋体"/>
          <w:b/>
          <w:bCs/>
          <w:color w:val="auto"/>
          <w:sz w:val="24"/>
          <w:highlight w:val="none"/>
        </w:rPr>
        <w:t>六、其他补充事宜</w:t>
      </w:r>
      <w:bookmarkEnd w:id="28"/>
      <w:bookmarkEnd w:id="29"/>
    </w:p>
    <w:p w14:paraId="01CDD1E9">
      <w:pPr>
        <w:spacing w:line="300" w:lineRule="exact"/>
        <w:ind w:firstLine="420" w:firstLineChars="200"/>
        <w:rPr>
          <w:rFonts w:hint="eastAsia" w:ascii="宋体" w:hAnsi="宋体" w:cs="宋体"/>
          <w:color w:val="auto"/>
          <w:kern w:val="0"/>
          <w:szCs w:val="21"/>
          <w:highlight w:val="none"/>
        </w:rPr>
      </w:pPr>
      <w:bookmarkStart w:id="30" w:name="_Hlk37429674"/>
      <w:r>
        <w:rPr>
          <w:rFonts w:hint="eastAsia" w:ascii="宋体" w:hAnsi="宋体" w:cs="宋体"/>
          <w:color w:val="auto"/>
          <w:kern w:val="0"/>
          <w:szCs w:val="21"/>
          <w:highlight w:val="none"/>
        </w:rPr>
        <w:t>1、投标保证金（人民币）：拾万元整（￥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0000.00）。</w:t>
      </w:r>
    </w:p>
    <w:p w14:paraId="36624834">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BA86FE">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2E4CCBD">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4、网上查询地址：中国政府采购网（www.ccgp.gov.cn）、广西政府采购网（zfcg.gxzf.gov.cn）、广西公共资源交易中心网站（gxggzy.gxzf.gov.cn）。</w:t>
      </w:r>
    </w:p>
    <w:p w14:paraId="159363DF">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1C3A4ED0">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442978A">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F38D0CC">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5125248">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D45ED7E">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9E52ADC">
      <w:pPr>
        <w:spacing w:line="3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（6）扶持不发达地区和少数民族地区政策</w:t>
      </w:r>
      <w:r>
        <w:rPr>
          <w:rFonts w:hint="eastAsia" w:ascii="宋体" w:hAnsi="宋体" w:cs="宋体"/>
          <w:color w:val="auto"/>
          <w:kern w:val="0"/>
          <w:szCs w:val="21"/>
          <w:highlight w:val="none"/>
          <w:lang w:eastAsia="zh-CN"/>
        </w:rPr>
        <w:t>。</w:t>
      </w:r>
    </w:p>
    <w:p w14:paraId="5E6F141B">
      <w:pPr>
        <w:widowControl/>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6、投标注意事项：</w:t>
      </w:r>
    </w:p>
    <w:p w14:paraId="211B321F">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18DBBF60">
      <w:pPr>
        <w:spacing w:line="3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https://service.zcygov.cn/#/knowledges/tree?tag=AG1DtGwBFdiHxlNdhY0r；及时完成CA申领和绑定（见广西壮族自治区政府采购网—办事服务—下载专区-政采云CA证书办理操作指南）。</w:t>
      </w:r>
    </w:p>
    <w:p w14:paraId="5B145B8E">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650613A7">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3715AB08">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5CCF22E">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7、CA证书在线解密：供应商投标时，需携带制作投标文件时用来加密的有效数字证书（CA认证）登录广西政府采购云平台电子开标大厅现场按规定时间对加密的投标文件进行解密，否则后果自负。</w:t>
      </w:r>
    </w:p>
    <w:p w14:paraId="7F068FF7">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0"/>
    <w:p w14:paraId="5CB2E31A">
      <w:pPr>
        <w:spacing w:line="400" w:lineRule="exact"/>
        <w:rPr>
          <w:rFonts w:hint="eastAsia" w:ascii="宋体" w:hAnsi="宋体"/>
          <w:b/>
          <w:bCs/>
          <w:color w:val="auto"/>
          <w:sz w:val="24"/>
          <w:highlight w:val="none"/>
        </w:rPr>
      </w:pPr>
      <w:bookmarkStart w:id="31" w:name="_Toc35393627"/>
      <w:bookmarkStart w:id="32" w:name="_Toc28359085"/>
      <w:bookmarkStart w:id="33" w:name="_Toc28359008"/>
      <w:bookmarkStart w:id="34" w:name="_Toc35393796"/>
      <w:r>
        <w:rPr>
          <w:rFonts w:hint="eastAsia" w:ascii="宋体" w:hAnsi="宋体"/>
          <w:b/>
          <w:bCs/>
          <w:color w:val="auto"/>
          <w:sz w:val="24"/>
          <w:highlight w:val="none"/>
        </w:rPr>
        <w:t>七、对本次招标提出询问，请按</w:t>
      </w:r>
      <w:r>
        <w:rPr>
          <w:rFonts w:ascii="宋体" w:hAnsi="宋体"/>
          <w:b/>
          <w:bCs/>
          <w:color w:val="auto"/>
          <w:sz w:val="24"/>
          <w:highlight w:val="none"/>
        </w:rPr>
        <w:t>以下方式</w:t>
      </w:r>
      <w:r>
        <w:rPr>
          <w:rFonts w:hint="eastAsia" w:ascii="宋体" w:hAnsi="宋体"/>
          <w:b/>
          <w:bCs/>
          <w:color w:val="auto"/>
          <w:sz w:val="24"/>
          <w:highlight w:val="none"/>
        </w:rPr>
        <w:t>联系。</w:t>
      </w:r>
      <w:bookmarkEnd w:id="31"/>
      <w:bookmarkEnd w:id="32"/>
      <w:bookmarkEnd w:id="33"/>
      <w:bookmarkEnd w:id="34"/>
    </w:p>
    <w:p w14:paraId="630B8687">
      <w:pPr>
        <w:spacing w:line="3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3107D93F">
      <w:pPr>
        <w:spacing w:line="340" w:lineRule="exact"/>
        <w:ind w:firstLine="567" w:firstLineChars="270"/>
        <w:jc w:val="left"/>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highlight w:val="none"/>
          <w:u w:val="single"/>
        </w:rPr>
        <w:t>广西壮族自治区信息中心</w:t>
      </w:r>
    </w:p>
    <w:p w14:paraId="50C33587">
      <w:pPr>
        <w:spacing w:line="340" w:lineRule="exact"/>
        <w:ind w:firstLine="567" w:firstLineChars="270"/>
        <w:jc w:val="left"/>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南宁市体强路18号</w:t>
      </w:r>
    </w:p>
    <w:p w14:paraId="76B6E66C">
      <w:pPr>
        <w:spacing w:line="340" w:lineRule="exact"/>
        <w:ind w:firstLine="567" w:firstLineChars="270"/>
        <w:jc w:val="left"/>
        <w:rPr>
          <w:rFonts w:hint="eastAsia" w:ascii="宋体" w:hAnsi="宋体"/>
          <w:color w:val="auto"/>
          <w:szCs w:val="21"/>
          <w:highlight w:val="none"/>
        </w:rPr>
      </w:pPr>
      <w:bookmarkStart w:id="35" w:name="_Toc28359086"/>
      <w:bookmarkStart w:id="36" w:name="_Toc28359009"/>
      <w:r>
        <w:rPr>
          <w:rFonts w:hint="eastAsia" w:ascii="宋体" w:hAnsi="宋体"/>
          <w:color w:val="auto"/>
          <w:szCs w:val="21"/>
          <w:highlight w:val="none"/>
        </w:rPr>
        <w:t>联系人：韦宝</w:t>
      </w:r>
    </w:p>
    <w:p w14:paraId="2D8DA037">
      <w:pPr>
        <w:spacing w:line="340" w:lineRule="exact"/>
        <w:ind w:firstLine="567" w:firstLineChars="270"/>
        <w:jc w:val="left"/>
        <w:rPr>
          <w:rFonts w:hint="eastAsia" w:ascii="宋体" w:hAnsi="宋体"/>
          <w:color w:val="auto"/>
          <w:szCs w:val="21"/>
          <w:highlight w:val="none"/>
          <w:u w:val="single"/>
        </w:rPr>
      </w:pPr>
      <w:r>
        <w:rPr>
          <w:rFonts w:hint="eastAsia" w:ascii="宋体" w:hAnsi="宋体"/>
          <w:color w:val="auto"/>
          <w:szCs w:val="21"/>
          <w:highlight w:val="none"/>
        </w:rPr>
        <w:t>联系方式：0771-6113503</w:t>
      </w:r>
    </w:p>
    <w:p w14:paraId="31B4D1AC">
      <w:pPr>
        <w:spacing w:line="340" w:lineRule="exact"/>
        <w:ind w:firstLine="567" w:firstLineChars="270"/>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bookmarkEnd w:id="35"/>
      <w:bookmarkEnd w:id="36"/>
    </w:p>
    <w:p w14:paraId="075E48D0">
      <w:pPr>
        <w:spacing w:line="3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6DB1B4C7">
      <w:pPr>
        <w:spacing w:line="340" w:lineRule="exact"/>
        <w:ind w:firstLine="567" w:firstLineChars="270"/>
        <w:rPr>
          <w:rFonts w:hint="eastAsia" w:ascii="宋体" w:hAnsi="宋体" w:cs="Arial"/>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广西南宁市民族大道141号中鼎万象东方D区</w:t>
      </w:r>
      <w:r>
        <w:rPr>
          <w:rFonts w:hint="eastAsia" w:ascii="宋体" w:hAnsi="宋体" w:cs="Arial"/>
          <w:color w:val="auto"/>
          <w:highlight w:val="none"/>
        </w:rPr>
        <w:t>五</w:t>
      </w:r>
      <w:r>
        <w:rPr>
          <w:rFonts w:hint="eastAsia" w:ascii="宋体" w:hAnsi="宋体" w:cs="Arial"/>
          <w:color w:val="auto"/>
          <w:szCs w:val="21"/>
          <w:highlight w:val="none"/>
        </w:rPr>
        <w:t>层</w:t>
      </w:r>
    </w:p>
    <w:p w14:paraId="6AA9D3DB">
      <w:pPr>
        <w:spacing w:line="3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联系方式：</w:t>
      </w:r>
      <w:bookmarkStart w:id="37" w:name="_Toc28359010"/>
      <w:bookmarkStart w:id="38" w:name="_Toc28359087"/>
      <w:r>
        <w:rPr>
          <w:rFonts w:hint="eastAsia" w:ascii="宋体" w:hAnsi="宋体"/>
          <w:color w:val="auto"/>
          <w:szCs w:val="21"/>
          <w:highlight w:val="none"/>
          <w:u w:val="single"/>
        </w:rPr>
        <w:t>0771-2023805</w:t>
      </w:r>
    </w:p>
    <w:p w14:paraId="577D131B">
      <w:pPr>
        <w:spacing w:line="340" w:lineRule="exact"/>
        <w:ind w:firstLine="567" w:firstLineChars="270"/>
        <w:rPr>
          <w:rFonts w:hint="eastAsia"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7"/>
      <w:bookmarkEnd w:id="38"/>
    </w:p>
    <w:p w14:paraId="009DFCA6">
      <w:pPr>
        <w:pStyle w:val="26"/>
        <w:spacing w:line="340" w:lineRule="exact"/>
        <w:ind w:firstLine="567" w:firstLineChars="270"/>
        <w:rPr>
          <w:rFonts w:hint="eastAsia" w:hAnsi="宋体"/>
          <w:color w:val="auto"/>
          <w:sz w:val="21"/>
          <w:highlight w:val="none"/>
        </w:rPr>
      </w:pPr>
      <w:r>
        <w:rPr>
          <w:rFonts w:hint="eastAsia" w:hAnsi="宋体"/>
          <w:color w:val="auto"/>
          <w:sz w:val="21"/>
          <w:highlight w:val="none"/>
        </w:rPr>
        <w:t>项目联系人：</w:t>
      </w:r>
      <w:r>
        <w:rPr>
          <w:rFonts w:hint="eastAsia" w:hAnsi="宋体"/>
          <w:color w:val="auto"/>
          <w:sz w:val="21"/>
          <w:highlight w:val="none"/>
          <w:u w:val="single"/>
        </w:rPr>
        <w:t>雷工</w:t>
      </w:r>
    </w:p>
    <w:p w14:paraId="469716C1">
      <w:pPr>
        <w:spacing w:line="340" w:lineRule="exact"/>
        <w:ind w:firstLine="567" w:firstLineChars="27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0771-</w:t>
      </w:r>
      <w:r>
        <w:rPr>
          <w:rFonts w:ascii="宋体" w:hAnsi="宋体"/>
          <w:color w:val="auto"/>
          <w:szCs w:val="21"/>
          <w:highlight w:val="none"/>
          <w:u w:val="single"/>
        </w:rPr>
        <w:t>2023805</w:t>
      </w:r>
    </w:p>
    <w:p w14:paraId="5F4EE245">
      <w:pPr>
        <w:spacing w:line="400" w:lineRule="exact"/>
        <w:jc w:val="right"/>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3BFD1A55">
      <w:pPr>
        <w:snapToGrid w:val="0"/>
        <w:spacing w:line="400" w:lineRule="exact"/>
        <w:ind w:left="238"/>
        <w:jc w:val="right"/>
        <w:rPr>
          <w:rFonts w:hint="eastAsia" w:ascii="宋体" w:hAnsi="宋体" w:cs="Arial"/>
          <w:color w:val="auto"/>
          <w:highlight w:val="none"/>
        </w:rPr>
      </w:pPr>
      <w:r>
        <w:rPr>
          <w:rFonts w:hint="eastAsia" w:ascii="宋体" w:hAnsi="宋体"/>
          <w:color w:val="auto"/>
          <w:highlight w:val="none"/>
        </w:rPr>
        <w:t xml:space="preserve">   2026年   月   日</w:t>
      </w:r>
      <w:bookmarkEnd w:id="5"/>
    </w:p>
    <w:p w14:paraId="47E4A81B">
      <w:pPr>
        <w:snapToGrid w:val="0"/>
        <w:rPr>
          <w:rFonts w:hint="eastAsia" w:ascii="宋体" w:hAnsi="宋体"/>
          <w:color w:val="auto"/>
          <w:sz w:val="10"/>
          <w:szCs w:val="10"/>
          <w:highlight w:val="none"/>
        </w:rPr>
      </w:pPr>
      <w:r>
        <w:rPr>
          <w:rFonts w:ascii="宋体" w:hAnsi="宋体"/>
          <w:color w:val="auto"/>
          <w:sz w:val="24"/>
          <w:szCs w:val="20"/>
          <w:highlight w:val="none"/>
        </w:rPr>
        <w:br w:type="page"/>
      </w:r>
    </w:p>
    <w:p w14:paraId="1872DA09">
      <w:pPr>
        <w:pStyle w:val="3"/>
        <w:spacing w:before="0" w:after="0"/>
        <w:jc w:val="center"/>
        <w:rPr>
          <w:rFonts w:hint="eastAsia" w:ascii="宋体" w:hAnsi="宋体" w:eastAsia="宋体"/>
          <w:color w:val="auto"/>
          <w:highlight w:val="none"/>
        </w:rPr>
      </w:pPr>
      <w:bookmarkStart w:id="39" w:name="_Toc21822"/>
      <w:r>
        <w:rPr>
          <w:rFonts w:hint="eastAsia" w:ascii="宋体" w:hAnsi="宋体" w:eastAsia="宋体"/>
          <w:color w:val="auto"/>
          <w:highlight w:val="none"/>
        </w:rPr>
        <w:t>第二章  采购需求</w:t>
      </w:r>
      <w:bookmarkEnd w:id="39"/>
    </w:p>
    <w:p w14:paraId="7A8A5074">
      <w:pPr>
        <w:spacing w:line="360" w:lineRule="auto"/>
        <w:rPr>
          <w:rFonts w:hint="eastAsia" w:ascii="宋体" w:hAnsi="宋体" w:cs="宋体"/>
          <w:b/>
          <w:color w:val="auto"/>
          <w:szCs w:val="21"/>
          <w:highlight w:val="none"/>
        </w:rPr>
      </w:pPr>
      <w:bookmarkStart w:id="40" w:name="_Toc254970490"/>
      <w:bookmarkStart w:id="41" w:name="_Toc254970631"/>
      <w:r>
        <w:rPr>
          <w:rFonts w:hint="eastAsia" w:ascii="宋体" w:hAnsi="宋体" w:cs="宋体"/>
          <w:b/>
          <w:color w:val="auto"/>
          <w:szCs w:val="21"/>
          <w:highlight w:val="none"/>
        </w:rPr>
        <w:t>说明：</w:t>
      </w:r>
    </w:p>
    <w:p w14:paraId="665B946C">
      <w:pPr>
        <w:spacing w:line="360" w:lineRule="exact"/>
        <w:ind w:left="-10" w:leftChars="-5" w:right="2" w:rightChars="1" w:firstLine="422" w:firstLineChars="200"/>
        <w:rPr>
          <w:rFonts w:hint="eastAsia" w:ascii="宋体" w:hAnsi="宋体"/>
          <w:b/>
          <w:bCs/>
          <w:color w:val="auto"/>
          <w:highlight w:val="none"/>
        </w:rPr>
      </w:pPr>
      <w:r>
        <w:rPr>
          <w:rFonts w:hint="eastAsia" w:ascii="宋体"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宋体" w:hAnsi="宋体"/>
          <w:b/>
          <w:bCs/>
          <w:color w:val="auto"/>
          <w:highlight w:val="none"/>
        </w:rPr>
        <w:t>中</w:t>
      </w:r>
      <w:r>
        <w:rPr>
          <w:rFonts w:hint="eastAsia" w:ascii="宋体" w:hAnsi="宋体"/>
          <w:b/>
          <w:bCs/>
          <w:color w:val="auto"/>
          <w:highlight w:val="none"/>
        </w:rPr>
        <w:t>的技术要求。</w:t>
      </w:r>
    </w:p>
    <w:p w14:paraId="61BC44BD">
      <w:pPr>
        <w:spacing w:line="360" w:lineRule="exact"/>
        <w:ind w:left="-10" w:leftChars="-5" w:right="2" w:rightChars="1" w:firstLine="422" w:firstLineChars="200"/>
        <w:rPr>
          <w:rFonts w:hint="eastAsia" w:ascii="宋体" w:hAnsi="宋体"/>
          <w:b/>
          <w:bCs/>
          <w:color w:val="auto"/>
          <w:highlight w:val="none"/>
        </w:rPr>
      </w:pPr>
      <w:r>
        <w:rPr>
          <w:rFonts w:hint="eastAsia" w:ascii="宋体" w:hAnsi="宋体"/>
          <w:b/>
          <w:bCs/>
          <w:color w:val="auto"/>
          <w:highlight w:val="none"/>
        </w:rPr>
        <w:t>2、如投标人投标产品存在侵犯他人的知识产权或者专利成果行为的，由投标人自行承担相应法律责任。</w:t>
      </w:r>
    </w:p>
    <w:p w14:paraId="4E8D9AA3">
      <w:pPr>
        <w:spacing w:line="360" w:lineRule="exact"/>
        <w:ind w:left="-10" w:leftChars="-5" w:right="2" w:rightChars="1" w:firstLine="422" w:firstLineChars="200"/>
        <w:rPr>
          <w:rFonts w:hint="eastAsia" w:ascii="宋体" w:hAnsi="宋体"/>
          <w:b/>
          <w:bCs/>
          <w:color w:val="auto"/>
          <w:highlight w:val="none"/>
        </w:rPr>
      </w:pPr>
      <w:r>
        <w:rPr>
          <w:rFonts w:hint="eastAsia" w:ascii="宋体" w:hAnsi="宋体"/>
          <w:b/>
          <w:bCs/>
          <w:color w:val="auto"/>
          <w:highlight w:val="none"/>
        </w:rPr>
        <w:t>3、“实质性要求”是指招标文件中已经指明不满足则投标无效的条款，或者不能负偏离的条款，或者采购需求中带“★”的条款。</w:t>
      </w:r>
    </w:p>
    <w:p w14:paraId="3685FE23">
      <w:pPr>
        <w:spacing w:line="360" w:lineRule="exact"/>
        <w:ind w:left="-10" w:leftChars="-5" w:right="2" w:rightChars="1" w:firstLine="422" w:firstLineChars="200"/>
        <w:rPr>
          <w:rFonts w:hint="eastAsia" w:ascii="宋体" w:hAnsi="宋体"/>
          <w:b/>
          <w:bCs/>
          <w:color w:val="auto"/>
          <w:highlight w:val="none"/>
        </w:rPr>
      </w:pPr>
      <w:bookmarkStart w:id="42" w:name="_Hlk65055179"/>
      <w:r>
        <w:rPr>
          <w:rFonts w:hint="eastAsia" w:ascii="宋体" w:hAnsi="宋体"/>
          <w:b/>
          <w:bCs/>
          <w:color w:val="auto"/>
          <w:highlight w:val="none"/>
        </w:rPr>
        <w:t>4、投标人应根据自身实际情况如实响应招标文件，不得仅将招标文件内容简单复制粘贴作为投标响应，</w:t>
      </w:r>
      <w:r>
        <w:rPr>
          <w:rFonts w:ascii="宋体" w:hAnsi="宋体"/>
          <w:b/>
          <w:bCs/>
          <w:color w:val="auto"/>
          <w:highlight w:val="none"/>
        </w:rPr>
        <w:t>否则投标文件作无效处理</w:t>
      </w:r>
      <w:r>
        <w:rPr>
          <w:rFonts w:hint="eastAsia" w:ascii="宋体" w:hAnsi="宋体"/>
          <w:b/>
          <w:bCs/>
          <w:color w:val="auto"/>
          <w:highlight w:val="none"/>
        </w:rPr>
        <w:t>（定制采购不适用本条款）。</w:t>
      </w:r>
      <w:bookmarkEnd w:id="40"/>
      <w:bookmarkEnd w:id="41"/>
      <w:bookmarkEnd w:id="42"/>
    </w:p>
    <w:p w14:paraId="6EAF10E4">
      <w:pPr>
        <w:spacing w:line="360" w:lineRule="exact"/>
        <w:ind w:left="-10" w:leftChars="-5" w:right="2" w:rightChars="1" w:firstLine="422" w:firstLineChars="200"/>
        <w:rPr>
          <w:rFonts w:hint="eastAsia" w:ascii="宋体" w:hAnsi="宋体"/>
          <w:b/>
          <w:bCs/>
          <w:color w:val="auto"/>
          <w:highlight w:val="none"/>
        </w:rPr>
      </w:pPr>
      <w:r>
        <w:rPr>
          <w:rFonts w:hint="eastAsia" w:ascii="宋体" w:hAnsi="宋体"/>
          <w:b/>
          <w:bCs/>
          <w:color w:val="auto"/>
          <w:highlight w:val="none"/>
        </w:rPr>
        <w:t>采购预算：4109.88万元  本项目所属行业：软件和信息技术服务业</w:t>
      </w:r>
    </w:p>
    <w:tbl>
      <w:tblPr>
        <w:tblStyle w:val="50"/>
        <w:tblW w:w="5017" w:type="pct"/>
        <w:tblInd w:w="0" w:type="dxa"/>
        <w:tblLayout w:type="fixed"/>
        <w:tblCellMar>
          <w:top w:w="0" w:type="dxa"/>
          <w:left w:w="108" w:type="dxa"/>
          <w:bottom w:w="0" w:type="dxa"/>
          <w:right w:w="108" w:type="dxa"/>
        </w:tblCellMar>
      </w:tblPr>
      <w:tblGrid>
        <w:gridCol w:w="828"/>
        <w:gridCol w:w="848"/>
        <w:gridCol w:w="3983"/>
        <w:gridCol w:w="3530"/>
        <w:gridCol w:w="287"/>
        <w:gridCol w:w="413"/>
      </w:tblGrid>
      <w:tr w14:paraId="007176AA">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AC67FF5">
            <w:pPr>
              <w:widowControl/>
              <w:ind w:firstLine="360" w:firstLineChars="200"/>
              <w:jc w:val="left"/>
              <w:rPr>
                <w:rFonts w:hint="eastAsia" w:ascii="宋体" w:hAnsi="宋体" w:cs="宋体"/>
                <w:color w:val="auto"/>
                <w:kern w:val="0"/>
                <w:sz w:val="18"/>
                <w:szCs w:val="18"/>
                <w:highlight w:val="none"/>
              </w:rPr>
            </w:pPr>
          </w:p>
          <w:p w14:paraId="11E88C4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设“一中心、一基座、五平台、一体系”，即构建一个安全运营中心和一个人工智能安全基座，搭建数据安全监测平台、数据安全防护能力平台、政务云密码监管平台、政务外网终端零信任平台、溯源分析平台，从能力供给、防护和监测三方面形成覆盖“云、网、端、用、数”的安全服务能力；建立健全安全运营服务，实现对全区政务网络和数据安全监测分析、预警、信息通报和应急处置，实现对大模型应用的防护和安全监测，实现对全域资产台账、全域威胁感知、全域威胁预警、全域分析溯源、全域指挥调度的集约管理和统一智能运营。实现政务数据在采集、传输、使用、共享、存储等环节的统一安全管控，实现自治区各单位政务外网网络安全和数据安全的集约管理，打造“权责清晰、集约管理、纵深防御”的数字政府统一安全运营新模式，全面提升我区政务数据安全保护能力和治理水平，为数字广西高质量发展保驾护航。</w:t>
            </w:r>
          </w:p>
          <w:p w14:paraId="1051C052">
            <w:pPr>
              <w:widowControl/>
              <w:ind w:firstLine="360" w:firstLineChars="200"/>
              <w:jc w:val="left"/>
              <w:rPr>
                <w:rFonts w:hint="eastAsia" w:ascii="宋体" w:hAnsi="宋体" w:cs="宋体"/>
                <w:color w:val="auto"/>
                <w:kern w:val="0"/>
                <w:sz w:val="18"/>
                <w:szCs w:val="18"/>
                <w:highlight w:val="none"/>
              </w:rPr>
            </w:pPr>
          </w:p>
        </w:tc>
      </w:tr>
      <w:tr w14:paraId="10317498">
        <w:tblPrEx>
          <w:tblCellMar>
            <w:top w:w="0" w:type="dxa"/>
            <w:left w:w="108" w:type="dxa"/>
            <w:bottom w:w="0" w:type="dxa"/>
            <w:right w:w="108" w:type="dxa"/>
          </w:tblCellMar>
        </w:tblPrEx>
        <w:trPr>
          <w:trHeight w:val="90" w:hRule="atLeast"/>
        </w:trPr>
        <w:tc>
          <w:tcPr>
            <w:tcW w:w="418" w:type="pct"/>
            <w:tcBorders>
              <w:top w:val="nil"/>
              <w:left w:val="single" w:color="auto" w:sz="4" w:space="0"/>
              <w:bottom w:val="single" w:color="auto" w:sz="4" w:space="0"/>
              <w:right w:val="single" w:color="auto" w:sz="4" w:space="0"/>
            </w:tcBorders>
            <w:vAlign w:val="center"/>
          </w:tcPr>
          <w:p w14:paraId="7DF6D99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项号</w:t>
            </w:r>
          </w:p>
        </w:tc>
        <w:tc>
          <w:tcPr>
            <w:tcW w:w="428" w:type="pct"/>
            <w:tcBorders>
              <w:top w:val="nil"/>
              <w:left w:val="nil"/>
              <w:bottom w:val="single" w:color="auto" w:sz="4" w:space="0"/>
              <w:right w:val="single" w:color="auto" w:sz="4" w:space="0"/>
            </w:tcBorders>
            <w:vAlign w:val="center"/>
          </w:tcPr>
          <w:p w14:paraId="3D83925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3798" w:type="pct"/>
            <w:gridSpan w:val="2"/>
            <w:tcBorders>
              <w:top w:val="nil"/>
              <w:left w:val="nil"/>
              <w:bottom w:val="single" w:color="auto" w:sz="4" w:space="0"/>
              <w:right w:val="single" w:color="auto" w:sz="4" w:space="0"/>
            </w:tcBorders>
            <w:vAlign w:val="center"/>
          </w:tcPr>
          <w:p w14:paraId="27B962A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技术内容及要求</w:t>
            </w:r>
          </w:p>
        </w:tc>
        <w:tc>
          <w:tcPr>
            <w:tcW w:w="145" w:type="pct"/>
            <w:tcBorders>
              <w:top w:val="nil"/>
              <w:left w:val="nil"/>
              <w:bottom w:val="single" w:color="auto" w:sz="4" w:space="0"/>
              <w:right w:val="single" w:color="auto" w:sz="4" w:space="0"/>
            </w:tcBorders>
            <w:vAlign w:val="center"/>
          </w:tcPr>
          <w:p w14:paraId="654AA9F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208" w:type="pct"/>
            <w:tcBorders>
              <w:top w:val="nil"/>
              <w:left w:val="nil"/>
              <w:bottom w:val="single" w:color="auto" w:sz="4" w:space="0"/>
              <w:right w:val="single" w:color="auto" w:sz="4" w:space="0"/>
            </w:tcBorders>
            <w:vAlign w:val="center"/>
          </w:tcPr>
          <w:p w14:paraId="11B95D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r>
      <w:tr w14:paraId="32D35095">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6F2D220">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一</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noWrap/>
            <w:vAlign w:val="center"/>
          </w:tcPr>
          <w:p w14:paraId="2182C816">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安全运营服务</w:t>
            </w:r>
            <w:r>
              <w:rPr>
                <w:rFonts w:hint="eastAsia" w:ascii="宋体" w:hAnsi="宋体" w:cs="宋体"/>
                <w:b/>
                <w:bCs/>
                <w:color w:val="auto"/>
                <w:kern w:val="0"/>
                <w:sz w:val="18"/>
                <w:szCs w:val="18"/>
                <w:highlight w:val="none"/>
                <w:lang w:val="en-US" w:eastAsia="zh-CN"/>
              </w:rPr>
              <w:t>系统</w:t>
            </w:r>
          </w:p>
        </w:tc>
        <w:tc>
          <w:tcPr>
            <w:tcW w:w="3798" w:type="pct"/>
            <w:gridSpan w:val="2"/>
            <w:tcBorders>
              <w:top w:val="nil"/>
              <w:left w:val="nil"/>
              <w:bottom w:val="single" w:color="auto" w:sz="4" w:space="0"/>
              <w:right w:val="single" w:color="auto" w:sz="4" w:space="0"/>
            </w:tcBorders>
            <w:noWrap/>
            <w:vAlign w:val="center"/>
          </w:tcPr>
          <w:p w14:paraId="4EBDE1D4">
            <w:pPr>
              <w:widowControl/>
              <w:ind w:firstLine="360" w:firstLineChars="200"/>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安全运营服务</w:t>
            </w:r>
            <w:r>
              <w:rPr>
                <w:rFonts w:hint="eastAsia" w:ascii="宋体" w:hAnsi="宋体" w:cs="宋体"/>
                <w:color w:val="auto"/>
                <w:kern w:val="0"/>
                <w:sz w:val="18"/>
                <w:szCs w:val="18"/>
                <w:highlight w:val="none"/>
                <w:lang w:val="en-US" w:eastAsia="zh-CN"/>
              </w:rPr>
              <w:t>系统是</w:t>
            </w:r>
            <w:r>
              <w:rPr>
                <w:rFonts w:hint="eastAsia" w:ascii="宋体" w:hAnsi="宋体" w:cs="宋体"/>
                <w:color w:val="auto"/>
                <w:kern w:val="0"/>
                <w:sz w:val="18"/>
                <w:szCs w:val="18"/>
                <w:highlight w:val="none"/>
              </w:rPr>
              <w:t>全区数字政府一体安全</w:t>
            </w:r>
            <w:r>
              <w:rPr>
                <w:rFonts w:hint="eastAsia" w:ascii="宋体" w:hAnsi="宋体" w:cs="宋体"/>
                <w:color w:val="auto"/>
                <w:kern w:val="0"/>
                <w:sz w:val="18"/>
                <w:szCs w:val="18"/>
                <w:highlight w:val="none"/>
                <w:lang w:val="en-US" w:eastAsia="zh-CN"/>
              </w:rPr>
              <w:t>服务门户</w:t>
            </w:r>
            <w:r>
              <w:rPr>
                <w:rFonts w:hint="eastAsia" w:ascii="宋体" w:hAnsi="宋体" w:cs="宋体"/>
                <w:color w:val="auto"/>
                <w:kern w:val="0"/>
                <w:sz w:val="18"/>
                <w:szCs w:val="18"/>
                <w:highlight w:val="none"/>
              </w:rPr>
              <w:t>，为全区数字政府一体安全运营服务提供支撑底座，提供不同租户视角展现不同租户的安全威胁情况，</w:t>
            </w:r>
            <w:r>
              <w:rPr>
                <w:rFonts w:hint="eastAsia" w:ascii="宋体" w:hAnsi="宋体" w:cs="宋体"/>
                <w:color w:val="auto"/>
                <w:kern w:val="0"/>
                <w:sz w:val="18"/>
                <w:szCs w:val="18"/>
                <w:highlight w:val="none"/>
                <w:lang w:val="en-US" w:eastAsia="zh-CN"/>
              </w:rPr>
              <w:t>包含指挥展示、通报处置、运营支撑、协同共享和人工智能赋能安全运营等模块，为所有使用单位和用户提供基于人工智能辅助的数字政府一体安全运营系统，支撑开展全区数字政府一体安全运营服务，同时接入全国政务外网协调指挥平台，实现全国一张图的通报预警和一键处置。具体功能要点如下：</w:t>
            </w:r>
          </w:p>
        </w:tc>
        <w:tc>
          <w:tcPr>
            <w:tcW w:w="145" w:type="pct"/>
            <w:tcBorders>
              <w:top w:val="nil"/>
              <w:left w:val="nil"/>
              <w:bottom w:val="single" w:color="auto" w:sz="4" w:space="0"/>
              <w:right w:val="single" w:color="auto" w:sz="4" w:space="0"/>
            </w:tcBorders>
            <w:noWrap/>
            <w:vAlign w:val="center"/>
          </w:tcPr>
          <w:p w14:paraId="5786D0C2">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05939500">
            <w:pPr>
              <w:widowControl/>
              <w:jc w:val="center"/>
              <w:rPr>
                <w:rFonts w:hint="eastAsia" w:ascii="宋体" w:hAnsi="宋体" w:cs="宋体"/>
                <w:color w:val="auto"/>
                <w:kern w:val="0"/>
                <w:sz w:val="18"/>
                <w:szCs w:val="18"/>
                <w:highlight w:val="none"/>
              </w:rPr>
            </w:pPr>
          </w:p>
        </w:tc>
      </w:tr>
      <w:tr w14:paraId="550EB4F8">
        <w:tblPrEx>
          <w:tblCellMar>
            <w:top w:w="0" w:type="dxa"/>
            <w:left w:w="108" w:type="dxa"/>
            <w:bottom w:w="0" w:type="dxa"/>
            <w:right w:w="108" w:type="dxa"/>
          </w:tblCellMar>
        </w:tblPrEx>
        <w:trPr>
          <w:trHeight w:val="2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1E90603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w:t>
            </w:r>
          </w:p>
        </w:tc>
        <w:tc>
          <w:tcPr>
            <w:tcW w:w="428" w:type="pct"/>
            <w:tcBorders>
              <w:top w:val="nil"/>
              <w:left w:val="nil"/>
              <w:bottom w:val="single" w:color="auto" w:sz="4" w:space="0"/>
              <w:right w:val="single" w:color="auto" w:sz="4" w:space="0"/>
            </w:tcBorders>
            <w:shd w:val="clear" w:color="auto" w:fill="auto"/>
            <w:vAlign w:val="center"/>
          </w:tcPr>
          <w:p w14:paraId="2E8065C1">
            <w:pPr>
              <w:widowControl/>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指挥展示模块</w:t>
            </w:r>
          </w:p>
        </w:tc>
        <w:tc>
          <w:tcPr>
            <w:tcW w:w="3798" w:type="pct"/>
            <w:gridSpan w:val="2"/>
            <w:tcBorders>
              <w:top w:val="nil"/>
              <w:left w:val="nil"/>
              <w:bottom w:val="single" w:color="auto" w:sz="4" w:space="0"/>
              <w:right w:val="single" w:color="auto" w:sz="4" w:space="0"/>
            </w:tcBorders>
            <w:shd w:val="clear" w:color="auto" w:fill="auto"/>
            <w:vAlign w:val="center"/>
          </w:tcPr>
          <w:p w14:paraId="171AB09F">
            <w:pPr>
              <w:widowControl/>
              <w:ind w:firstLine="360" w:firstLineChars="200"/>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指挥展示模块包含全区数字政府一体安全运营综合态势、历史态势、安全信息等模块，是展示资产分布、安全事务、应急指挥、安全服务及平台信息的入口，支持可视化大屏呈现、多维度数据分析，全面支撑安全指挥工作。</w:t>
            </w:r>
            <w:r>
              <w:rPr>
                <w:rFonts w:hint="eastAsia" w:ascii="宋体" w:hAnsi="宋体" w:cs="宋体"/>
                <w:color w:val="auto"/>
                <w:kern w:val="0"/>
                <w:sz w:val="18"/>
                <w:szCs w:val="18"/>
                <w:highlight w:val="none"/>
                <w:lang w:val="en-US" w:eastAsia="zh-CN"/>
              </w:rPr>
              <w:t>具体技术功能点如下：</w:t>
            </w:r>
          </w:p>
        </w:tc>
        <w:tc>
          <w:tcPr>
            <w:tcW w:w="145" w:type="pct"/>
            <w:tcBorders>
              <w:top w:val="nil"/>
              <w:left w:val="nil"/>
              <w:bottom w:val="single" w:color="auto" w:sz="4" w:space="0"/>
              <w:right w:val="single" w:color="auto" w:sz="4" w:space="0"/>
            </w:tcBorders>
            <w:shd w:val="clear" w:color="auto" w:fill="auto"/>
            <w:vAlign w:val="center"/>
          </w:tcPr>
          <w:p w14:paraId="30642752">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shd w:val="clear" w:color="auto" w:fill="auto"/>
            <w:vAlign w:val="center"/>
          </w:tcPr>
          <w:p w14:paraId="7DD12F7C">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r>
      <w:tr w14:paraId="2242FB36">
        <w:tblPrEx>
          <w:tblCellMar>
            <w:top w:w="0" w:type="dxa"/>
            <w:left w:w="108" w:type="dxa"/>
            <w:bottom w:w="0" w:type="dxa"/>
            <w:right w:w="108" w:type="dxa"/>
          </w:tblCellMar>
        </w:tblPrEx>
        <w:trPr>
          <w:trHeight w:val="173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747C9BB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428" w:type="pct"/>
            <w:tcBorders>
              <w:top w:val="nil"/>
              <w:left w:val="nil"/>
              <w:bottom w:val="single" w:color="auto" w:sz="4" w:space="0"/>
              <w:right w:val="single" w:color="auto" w:sz="4" w:space="0"/>
            </w:tcBorders>
            <w:shd w:val="clear" w:color="auto" w:fill="auto"/>
            <w:vAlign w:val="center"/>
          </w:tcPr>
          <w:p w14:paraId="675F1B4E">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综合态势展示</w:t>
            </w:r>
          </w:p>
        </w:tc>
        <w:tc>
          <w:tcPr>
            <w:tcW w:w="3798" w:type="pct"/>
            <w:gridSpan w:val="2"/>
            <w:tcBorders>
              <w:top w:val="nil"/>
              <w:left w:val="nil"/>
              <w:bottom w:val="single" w:color="auto" w:sz="4" w:space="0"/>
              <w:right w:val="single" w:color="auto" w:sz="4" w:space="0"/>
            </w:tcBorders>
            <w:shd w:val="clear" w:color="auto" w:fill="auto"/>
            <w:vAlign w:val="center"/>
          </w:tcPr>
          <w:p w14:paraId="3FDE6565">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1.总体安全信息:汇总总体安全信息，统计并展示总体的安全状态。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2.图表统计:按照租户、告警类型、事件类型、安全风险程度及APT组织类型等维度进行数据分析，并以图表形式展现。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3.租户统计:通过点击图表中的租户信息，可查看所属该租户的单位列表，内容包括单位名称、安全评分、所属租户以及等保级别。</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4.多维分析:可按照单位、信息系统、安全级别进行多维数据碰撞、关联分析后形成个性化、可视化呈现。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5.子平台态势展示:可按照平台维度，分类展示各个子平台的态势数据，包括数据安全监测平台、数据安全防护能力平台、政务云密码监</w:t>
            </w:r>
            <w:r>
              <w:rPr>
                <w:rFonts w:hint="eastAsia" w:ascii="宋体" w:hAnsi="宋体" w:cs="宋体"/>
                <w:color w:val="auto"/>
                <w:kern w:val="0"/>
                <w:sz w:val="18"/>
                <w:szCs w:val="18"/>
                <w:highlight w:val="none"/>
                <w:lang w:val="en-US" w:eastAsia="zh-CN"/>
              </w:rPr>
              <w:t>管</w:t>
            </w:r>
            <w:r>
              <w:rPr>
                <w:rFonts w:hint="eastAsia" w:ascii="宋体" w:hAnsi="宋体" w:cs="宋体"/>
                <w:color w:val="auto"/>
                <w:kern w:val="0"/>
                <w:sz w:val="18"/>
                <w:szCs w:val="18"/>
                <w:highlight w:val="none"/>
              </w:rPr>
              <w:t>平台、溯源分析平台、政府大脑、省级协同指挥平台、桂融会视频会议系统、外部工单系统等对接情况。</w:t>
            </w:r>
          </w:p>
        </w:tc>
        <w:tc>
          <w:tcPr>
            <w:tcW w:w="145" w:type="pct"/>
            <w:tcBorders>
              <w:top w:val="nil"/>
              <w:left w:val="nil"/>
              <w:bottom w:val="single" w:color="auto" w:sz="4" w:space="0"/>
              <w:right w:val="single" w:color="auto" w:sz="4" w:space="0"/>
            </w:tcBorders>
            <w:shd w:val="clear" w:color="auto" w:fill="auto"/>
            <w:vAlign w:val="center"/>
          </w:tcPr>
          <w:p w14:paraId="15D21F5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3C42404C">
            <w:pPr>
              <w:widowControl/>
              <w:jc w:val="center"/>
              <w:rPr>
                <w:rFonts w:hint="eastAsia" w:ascii="宋体" w:hAnsi="宋体" w:cs="宋体"/>
                <w:color w:val="auto"/>
                <w:kern w:val="0"/>
                <w:sz w:val="18"/>
                <w:szCs w:val="18"/>
                <w:highlight w:val="none"/>
              </w:rPr>
            </w:pPr>
          </w:p>
        </w:tc>
      </w:tr>
      <w:tr w14:paraId="30C1727E">
        <w:tblPrEx>
          <w:tblCellMar>
            <w:top w:w="0" w:type="dxa"/>
            <w:left w:w="108" w:type="dxa"/>
            <w:bottom w:w="0" w:type="dxa"/>
            <w:right w:w="108" w:type="dxa"/>
          </w:tblCellMar>
        </w:tblPrEx>
        <w:trPr>
          <w:trHeight w:val="86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5952F20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428" w:type="pct"/>
            <w:tcBorders>
              <w:top w:val="nil"/>
              <w:left w:val="nil"/>
              <w:bottom w:val="single" w:color="auto" w:sz="4" w:space="0"/>
              <w:right w:val="single" w:color="auto" w:sz="4" w:space="0"/>
            </w:tcBorders>
            <w:shd w:val="clear" w:color="auto" w:fill="auto"/>
            <w:vAlign w:val="center"/>
          </w:tcPr>
          <w:p w14:paraId="481D216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历史态势展示</w:t>
            </w:r>
          </w:p>
        </w:tc>
        <w:tc>
          <w:tcPr>
            <w:tcW w:w="3798" w:type="pct"/>
            <w:gridSpan w:val="2"/>
            <w:tcBorders>
              <w:top w:val="nil"/>
              <w:left w:val="nil"/>
              <w:bottom w:val="single" w:color="auto" w:sz="4" w:space="0"/>
              <w:right w:val="single" w:color="auto" w:sz="4" w:space="0"/>
            </w:tcBorders>
            <w:shd w:val="clear" w:color="auto" w:fill="auto"/>
            <w:vAlign w:val="center"/>
          </w:tcPr>
          <w:p w14:paraId="6BAB2BA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1.数据关联展示:关联当前全维度数据，并结合历史日志、告警、事件数据。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2.内置算法:内置数据模型、安全风险评价评估算法。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3.可视化展示:通过深度关联分析引擎、多维分析引擎进行分析并可视化呈现其结果。</w:t>
            </w:r>
          </w:p>
        </w:tc>
        <w:tc>
          <w:tcPr>
            <w:tcW w:w="145" w:type="pct"/>
            <w:tcBorders>
              <w:top w:val="nil"/>
              <w:left w:val="nil"/>
              <w:bottom w:val="single" w:color="auto" w:sz="4" w:space="0"/>
              <w:right w:val="single" w:color="auto" w:sz="4" w:space="0"/>
            </w:tcBorders>
            <w:shd w:val="clear" w:color="auto" w:fill="auto"/>
            <w:vAlign w:val="center"/>
          </w:tcPr>
          <w:p w14:paraId="46362CF4">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201DADCC">
            <w:pPr>
              <w:widowControl/>
              <w:jc w:val="center"/>
              <w:rPr>
                <w:rFonts w:hint="eastAsia" w:ascii="宋体" w:hAnsi="宋体" w:cs="宋体"/>
                <w:color w:val="auto"/>
                <w:kern w:val="0"/>
                <w:sz w:val="18"/>
                <w:szCs w:val="18"/>
                <w:highlight w:val="none"/>
              </w:rPr>
            </w:pPr>
          </w:p>
        </w:tc>
      </w:tr>
      <w:tr w14:paraId="3D321D24">
        <w:tblPrEx>
          <w:tblCellMar>
            <w:top w:w="0" w:type="dxa"/>
            <w:left w:w="108" w:type="dxa"/>
            <w:bottom w:w="0" w:type="dxa"/>
            <w:right w:w="108" w:type="dxa"/>
          </w:tblCellMar>
        </w:tblPrEx>
        <w:trPr>
          <w:trHeight w:val="326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4B9EAA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428" w:type="pct"/>
            <w:tcBorders>
              <w:top w:val="nil"/>
              <w:left w:val="nil"/>
              <w:bottom w:val="single" w:color="auto" w:sz="4" w:space="0"/>
              <w:right w:val="single" w:color="auto" w:sz="4" w:space="0"/>
            </w:tcBorders>
            <w:shd w:val="clear" w:color="auto" w:fill="auto"/>
            <w:vAlign w:val="center"/>
          </w:tcPr>
          <w:p w14:paraId="105F9B50">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安全信息展示</w:t>
            </w:r>
          </w:p>
        </w:tc>
        <w:tc>
          <w:tcPr>
            <w:tcW w:w="3798" w:type="pct"/>
            <w:gridSpan w:val="2"/>
            <w:tcBorders>
              <w:top w:val="nil"/>
              <w:left w:val="nil"/>
              <w:bottom w:val="single" w:color="auto" w:sz="4" w:space="0"/>
              <w:right w:val="single" w:color="auto" w:sz="4" w:space="0"/>
            </w:tcBorders>
            <w:shd w:val="clear" w:color="auto" w:fill="auto"/>
            <w:vAlign w:val="center"/>
          </w:tcPr>
          <w:p w14:paraId="461AE4FB">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1.安全技术体系构建情况:应展示安全技术体系构建情况，以及在电子政务外网部署和应用的安全设备情况。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2.安全运营体系构建情况:应展示安全运营体系构建情况，包括资产运营、漏洞运营、安全服务总体情况等内容。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3.安全管理体系构建情况:应展示安全管理体系构建情况，包括安全组织架构、安全制度体系、安全培训等内容。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安全态势感知大屏:可通过互联网侧查看安全态势感知大屏，将具体的安全事件以地图的形式动态展示攻击源和攻击目标。支持对网络内外部威胁的可视化展示，包括安全事件一周的数量变化趋势、高中低危事件数量及占比、不同类别应急处置事件数量、安全事件闭环运营流程、从原始攻击到判定疑似事件到专家确认风险等阶段及对应事件数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5.资产安全状态:漏洞信息通过平台接入后，与内网关键信息基础设施等重要资产信息进行比对后关联，多层次、多维度监测范围内资产安全状态。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6.攻防演练展示:对每次攻防演练任务进行大屏展示，可以根据不同的攻防演练任务生成特定的攻防演练大屏，展示全量</w:t>
            </w:r>
            <w:r>
              <w:rPr>
                <w:rFonts w:hint="eastAsia" w:ascii="宋体" w:hAnsi="宋体" w:cs="宋体"/>
                <w:color w:val="auto"/>
                <w:kern w:val="0"/>
                <w:sz w:val="18"/>
                <w:szCs w:val="18"/>
                <w:highlight w:val="none"/>
                <w:lang w:val="en-US" w:eastAsia="zh-CN"/>
              </w:rPr>
              <w:t>信息，</w:t>
            </w:r>
            <w:r>
              <w:rPr>
                <w:rFonts w:hint="eastAsia" w:ascii="宋体" w:hAnsi="宋体" w:cs="宋体"/>
                <w:color w:val="auto"/>
                <w:kern w:val="0"/>
                <w:sz w:val="18"/>
                <w:szCs w:val="18"/>
                <w:highlight w:val="none"/>
              </w:rPr>
              <w:t>包括演练周期、攻击态势、系统受攻击排名、封堵IP数量、IP封禁工单趋势情况等，靶标系统信息，包括系统拓扑图、系统告警及安全事件、关联工单等情况。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7.安全事件情况:从知己知彼知威胁的角度，通过多个维度的统计分析，全面展示监管范围内的安全事件情况。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8.事件类型统计:对于所有的事件类型，分别从单位、事件级别</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个维度进行统计分析，通过可视化图表进行展示。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9.攻击类事件统计:对于攻击类事件，系统还可以对攻击源进行TOP统计，并通过地图的方式，直观展示攻击的来源地与攻击的目的地。</w:t>
            </w:r>
          </w:p>
        </w:tc>
        <w:tc>
          <w:tcPr>
            <w:tcW w:w="145" w:type="pct"/>
            <w:tcBorders>
              <w:top w:val="nil"/>
              <w:left w:val="nil"/>
              <w:bottom w:val="single" w:color="auto" w:sz="4" w:space="0"/>
              <w:right w:val="single" w:color="auto" w:sz="4" w:space="0"/>
            </w:tcBorders>
            <w:shd w:val="clear" w:color="auto" w:fill="auto"/>
            <w:vAlign w:val="center"/>
          </w:tcPr>
          <w:p w14:paraId="0473ABC0">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770F1049">
            <w:pPr>
              <w:widowControl/>
              <w:jc w:val="center"/>
              <w:rPr>
                <w:rFonts w:hint="eastAsia" w:ascii="宋体" w:hAnsi="宋体" w:cs="宋体"/>
                <w:color w:val="auto"/>
                <w:kern w:val="0"/>
                <w:sz w:val="18"/>
                <w:szCs w:val="18"/>
                <w:highlight w:val="none"/>
              </w:rPr>
            </w:pPr>
          </w:p>
        </w:tc>
      </w:tr>
      <w:tr w14:paraId="35815CDA">
        <w:tblPrEx>
          <w:tblCellMar>
            <w:top w:w="0" w:type="dxa"/>
            <w:left w:w="108" w:type="dxa"/>
            <w:bottom w:w="0" w:type="dxa"/>
            <w:right w:w="108" w:type="dxa"/>
          </w:tblCellMar>
        </w:tblPrEx>
        <w:trPr>
          <w:trHeight w:val="216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0E22126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428" w:type="pct"/>
            <w:tcBorders>
              <w:top w:val="nil"/>
              <w:left w:val="nil"/>
              <w:bottom w:val="single" w:color="auto" w:sz="4" w:space="0"/>
              <w:right w:val="single" w:color="auto" w:sz="4" w:space="0"/>
            </w:tcBorders>
            <w:shd w:val="clear" w:color="auto" w:fill="auto"/>
            <w:vAlign w:val="center"/>
          </w:tcPr>
          <w:p w14:paraId="5D7BC77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资产分布管理及展示</w:t>
            </w:r>
          </w:p>
        </w:tc>
        <w:tc>
          <w:tcPr>
            <w:tcW w:w="3798" w:type="pct"/>
            <w:gridSpan w:val="2"/>
            <w:tcBorders>
              <w:top w:val="nil"/>
              <w:left w:val="nil"/>
              <w:bottom w:val="single" w:color="auto" w:sz="4" w:space="0"/>
              <w:right w:val="single" w:color="auto" w:sz="4" w:space="0"/>
            </w:tcBorders>
            <w:shd w:val="clear" w:color="auto" w:fill="auto"/>
            <w:vAlign w:val="center"/>
          </w:tcPr>
          <w:p w14:paraId="445203F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1.资产发现数据展示:按软件资产、硬件资产分类展示系统接入的资产发现数据。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2.资产查询:以时间范围、网站名称、所属单位、IP、来源、标签字段进行软件资产查询。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3.属性信息统计:能够按列表的方式统计发现源属性信息，包括发现源厂商、设备名称、状态、最近30天资产发现数量、发现资产总数。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4.单位信息统计:按列表的方式统计展示单位信息，统计信息包括单位名称、单位简称、地区、租户、网络数量、业务系统数量、IP数量、监管单位、主管单位、标签。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5.资产分类统计:按软件资产、硬件资产、IP资产分类展示资产信息，</w:t>
            </w:r>
            <w:r>
              <w:rPr>
                <w:rFonts w:hint="eastAsia" w:ascii="宋体" w:hAnsi="宋体" w:cs="宋体"/>
                <w:color w:val="auto"/>
                <w:kern w:val="0"/>
                <w:sz w:val="18"/>
                <w:szCs w:val="18"/>
                <w:highlight w:val="none"/>
                <w:lang w:val="en-US" w:eastAsia="zh-CN"/>
              </w:rPr>
              <w:t>支持</w:t>
            </w:r>
            <w:r>
              <w:rPr>
                <w:rFonts w:hint="eastAsia" w:ascii="宋体" w:hAnsi="宋体" w:cs="宋体"/>
                <w:color w:val="auto"/>
                <w:kern w:val="0"/>
                <w:sz w:val="18"/>
                <w:szCs w:val="18"/>
                <w:highlight w:val="none"/>
              </w:rPr>
              <w:t>资产数据的批量导入、导出。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6.资产批量操作:资产数据的批量导入、导出，批量删除。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7.资产信息管理:按资产类型进行资产信息的管理和维护。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8.资产操作:新增、查看、删除、编辑资产相关信息。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9.资产数据检索:通过系统名称、域名、租户、所属单位、标签等信息进行数据检索。</w:t>
            </w:r>
          </w:p>
        </w:tc>
        <w:tc>
          <w:tcPr>
            <w:tcW w:w="145" w:type="pct"/>
            <w:tcBorders>
              <w:top w:val="nil"/>
              <w:left w:val="nil"/>
              <w:bottom w:val="single" w:color="auto" w:sz="4" w:space="0"/>
              <w:right w:val="single" w:color="auto" w:sz="4" w:space="0"/>
            </w:tcBorders>
            <w:shd w:val="clear" w:color="auto" w:fill="auto"/>
            <w:vAlign w:val="center"/>
          </w:tcPr>
          <w:p w14:paraId="48141A6F">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00FE987A">
            <w:pPr>
              <w:widowControl/>
              <w:jc w:val="center"/>
              <w:rPr>
                <w:rFonts w:hint="eastAsia" w:ascii="宋体" w:hAnsi="宋体" w:cs="宋体"/>
                <w:color w:val="auto"/>
                <w:kern w:val="0"/>
                <w:sz w:val="18"/>
                <w:szCs w:val="18"/>
                <w:highlight w:val="none"/>
              </w:rPr>
            </w:pPr>
          </w:p>
        </w:tc>
      </w:tr>
      <w:tr w14:paraId="363592D2">
        <w:tblPrEx>
          <w:tblCellMar>
            <w:top w:w="0" w:type="dxa"/>
            <w:left w:w="108" w:type="dxa"/>
            <w:bottom w:w="0" w:type="dxa"/>
            <w:right w:w="108" w:type="dxa"/>
          </w:tblCellMar>
        </w:tblPrEx>
        <w:trPr>
          <w:trHeight w:val="112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6919088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428" w:type="pct"/>
            <w:tcBorders>
              <w:top w:val="nil"/>
              <w:left w:val="nil"/>
              <w:bottom w:val="single" w:color="auto" w:sz="4" w:space="0"/>
              <w:right w:val="single" w:color="auto" w:sz="4" w:space="0"/>
            </w:tcBorders>
            <w:shd w:val="clear" w:color="auto" w:fill="auto"/>
            <w:vAlign w:val="center"/>
          </w:tcPr>
          <w:p w14:paraId="51AFE74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安全事务管理及展示</w:t>
            </w:r>
          </w:p>
        </w:tc>
        <w:tc>
          <w:tcPr>
            <w:tcW w:w="3798" w:type="pct"/>
            <w:gridSpan w:val="2"/>
            <w:tcBorders>
              <w:top w:val="nil"/>
              <w:left w:val="nil"/>
              <w:bottom w:val="single" w:color="auto" w:sz="4" w:space="0"/>
              <w:right w:val="single" w:color="auto" w:sz="4" w:space="0"/>
            </w:tcBorders>
            <w:shd w:val="clear" w:color="auto" w:fill="auto"/>
            <w:vAlign w:val="center"/>
          </w:tcPr>
          <w:p w14:paraId="2B95665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1.安全事件数据展示:事件列表数据呈现内容包括事件编号、事件标题、事件分类、上报时间、威胁程度、攻陷结果、影响范围、攻击者/组织、攻击者国家、关联告警数量等。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2.安全事件信息维护:基本信息维护包括事件的编号、发现单位、事件标题、上报时间、事件分类、事件发生起止时间、时段描述、事件描述、事件等级、解决方案。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3.安全事件举证信息维护:安全事件举证信息维护，即流量的上行、下行维护、说明文件上传、图片上传、图片描述信息，是否被攻陷、危害信息、攻击链阶段、事件包含的告警列表。</w:t>
            </w:r>
          </w:p>
        </w:tc>
        <w:tc>
          <w:tcPr>
            <w:tcW w:w="145" w:type="pct"/>
            <w:tcBorders>
              <w:top w:val="nil"/>
              <w:left w:val="nil"/>
              <w:bottom w:val="single" w:color="auto" w:sz="4" w:space="0"/>
              <w:right w:val="single" w:color="auto" w:sz="4" w:space="0"/>
            </w:tcBorders>
            <w:shd w:val="clear" w:color="auto" w:fill="auto"/>
            <w:vAlign w:val="center"/>
          </w:tcPr>
          <w:p w14:paraId="615132B5">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35EE08D5">
            <w:pPr>
              <w:widowControl/>
              <w:jc w:val="center"/>
              <w:rPr>
                <w:rFonts w:hint="eastAsia" w:ascii="宋体" w:hAnsi="宋体" w:cs="宋体"/>
                <w:color w:val="auto"/>
                <w:kern w:val="0"/>
                <w:sz w:val="18"/>
                <w:szCs w:val="18"/>
                <w:highlight w:val="none"/>
              </w:rPr>
            </w:pPr>
          </w:p>
        </w:tc>
      </w:tr>
      <w:tr w14:paraId="30B23277">
        <w:tblPrEx>
          <w:tblCellMar>
            <w:top w:w="0" w:type="dxa"/>
            <w:left w:w="108" w:type="dxa"/>
            <w:bottom w:w="0" w:type="dxa"/>
            <w:right w:w="108" w:type="dxa"/>
          </w:tblCellMar>
        </w:tblPrEx>
        <w:trPr>
          <w:trHeight w:val="120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30985EA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428" w:type="pct"/>
            <w:tcBorders>
              <w:top w:val="nil"/>
              <w:left w:val="nil"/>
              <w:bottom w:val="single" w:color="auto" w:sz="4" w:space="0"/>
              <w:right w:val="single" w:color="auto" w:sz="4" w:space="0"/>
            </w:tcBorders>
            <w:shd w:val="clear" w:color="auto" w:fill="auto"/>
            <w:vAlign w:val="center"/>
          </w:tcPr>
          <w:p w14:paraId="2152AF78">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应急指挥展示</w:t>
            </w:r>
          </w:p>
        </w:tc>
        <w:tc>
          <w:tcPr>
            <w:tcW w:w="3798" w:type="pct"/>
            <w:gridSpan w:val="2"/>
            <w:tcBorders>
              <w:top w:val="nil"/>
              <w:left w:val="nil"/>
              <w:bottom w:val="single" w:color="auto" w:sz="4" w:space="0"/>
              <w:right w:val="single" w:color="auto" w:sz="4" w:space="0"/>
            </w:tcBorders>
            <w:shd w:val="clear" w:color="auto" w:fill="auto"/>
            <w:vAlign w:val="center"/>
          </w:tcPr>
          <w:p w14:paraId="7CE9E351">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1.应急任务成效展示:展示应急任务产生的历史效果、直接成效和间接成效。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2.实时监测:在突发事件应急期间，对重点单位的网络安全情况和应急资源进行实时监测与调度。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3.任务可视化展示:将当前执行、已结束等</w:t>
            </w:r>
            <w:r>
              <w:rPr>
                <w:rFonts w:hint="eastAsia" w:ascii="宋体" w:hAnsi="宋体" w:cs="宋体"/>
                <w:color w:val="auto"/>
                <w:kern w:val="0"/>
                <w:sz w:val="18"/>
                <w:szCs w:val="18"/>
                <w:highlight w:val="none"/>
                <w:lang w:val="en-US" w:eastAsia="zh-CN"/>
              </w:rPr>
              <w:t>状态的</w:t>
            </w:r>
            <w:r>
              <w:rPr>
                <w:rFonts w:hint="eastAsia" w:ascii="宋体" w:hAnsi="宋体" w:cs="宋体"/>
                <w:color w:val="auto"/>
                <w:kern w:val="0"/>
                <w:sz w:val="18"/>
                <w:szCs w:val="18"/>
                <w:highlight w:val="none"/>
              </w:rPr>
              <w:t>任务以可视化方式呈现和分析，实现当前及历史所有任务的直观呈现。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4.重要资产安全事件展示:从平台获取数据，展示指定区域内重要资产（如：资产、重要网站等）安全事件状态的监控。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5.资源可视化展示:建立统一管理资源池，将应急相关资源以可视化方式呈现，实现协同资源可视化。</w:t>
            </w:r>
          </w:p>
        </w:tc>
        <w:tc>
          <w:tcPr>
            <w:tcW w:w="145" w:type="pct"/>
            <w:tcBorders>
              <w:top w:val="nil"/>
              <w:left w:val="nil"/>
              <w:bottom w:val="single" w:color="auto" w:sz="4" w:space="0"/>
              <w:right w:val="single" w:color="auto" w:sz="4" w:space="0"/>
            </w:tcBorders>
            <w:shd w:val="clear" w:color="auto" w:fill="auto"/>
            <w:vAlign w:val="center"/>
          </w:tcPr>
          <w:p w14:paraId="620C60A2">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10D10E34">
            <w:pPr>
              <w:widowControl/>
              <w:jc w:val="center"/>
              <w:rPr>
                <w:rFonts w:hint="eastAsia" w:ascii="宋体" w:hAnsi="宋体" w:cs="宋体"/>
                <w:color w:val="auto"/>
                <w:kern w:val="0"/>
                <w:sz w:val="18"/>
                <w:szCs w:val="18"/>
                <w:highlight w:val="none"/>
              </w:rPr>
            </w:pPr>
          </w:p>
        </w:tc>
      </w:tr>
      <w:tr w14:paraId="1C4320EA">
        <w:tblPrEx>
          <w:tblCellMar>
            <w:top w:w="0" w:type="dxa"/>
            <w:left w:w="108" w:type="dxa"/>
            <w:bottom w:w="0" w:type="dxa"/>
            <w:right w:w="108" w:type="dxa"/>
          </w:tblCellMar>
        </w:tblPrEx>
        <w:trPr>
          <w:trHeight w:val="30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326FB94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428" w:type="pct"/>
            <w:tcBorders>
              <w:top w:val="nil"/>
              <w:left w:val="nil"/>
              <w:bottom w:val="single" w:color="auto" w:sz="4" w:space="0"/>
              <w:right w:val="single" w:color="auto" w:sz="4" w:space="0"/>
            </w:tcBorders>
            <w:shd w:val="clear" w:color="auto" w:fill="auto"/>
            <w:vAlign w:val="center"/>
          </w:tcPr>
          <w:p w14:paraId="6448FC78">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安全服务指挥模块</w:t>
            </w:r>
          </w:p>
        </w:tc>
        <w:tc>
          <w:tcPr>
            <w:tcW w:w="3798" w:type="pct"/>
            <w:gridSpan w:val="2"/>
            <w:tcBorders>
              <w:top w:val="nil"/>
              <w:left w:val="nil"/>
              <w:bottom w:val="single" w:color="auto" w:sz="4" w:space="0"/>
              <w:right w:val="single" w:color="auto" w:sz="4" w:space="0"/>
            </w:tcBorders>
            <w:shd w:val="clear" w:color="auto" w:fill="auto"/>
            <w:vAlign w:val="center"/>
          </w:tcPr>
          <w:p w14:paraId="0C702985">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1.信息报送统计:展示报送的信息，以及安全服务期间报送的所有信息，支持查看报送信息的详情；实现报送信息的实时滚动展示，安全服务包括但不限于重保、事件调查、安全培训、安全检查等。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2.组织架构管理:根据管理业务、人员、组织架构、职能等数据，建立安保期间的组织架构，支持查看安保组的详细信息。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安全服务任务管理:对安全服务任务进行管理，实现安全服务任务的创建、删除、复制等操作；应确定重点安保对象，按照突出重点、分级保障的原则，根据有关要求，结合行业实际，研究确定在重大活动期间重点保障的对象并上报至本平台。督促安全服务单位进行隐患自查与风险评估，并实现对重点保卫对象的风险整改报告、责任书的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4.安保方案管理:制定安保方案与应急预案，明确安全服务对象，包括驻场民警、技术人员和各安全服务单位等，做好预警预案管理工作。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5.任务总结管理:根据安全服务总结模板，系统自动生成安全服务总结内容的信息，来完成总结的编制工作，并实现对安全服务任务总结文档的关联维护。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安全服务告警监测:监测本次安全服务任务相关告警，包括：漏洞、网站可用性、网站篡改、网页仿冒、威胁情报、网页漏洞利用、恶意软件、拒绝服务攻击，支持处置中、已处置状态过滤，支持推送至大屏。支持指令创建、下发、跟踪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7.事件统计管理:对下级单位报送的事件进行统计管理，支持选择事件推送至大屏。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8.安全服务报告管理:对安全服务报告进行管理，支持创建报告，明确任务、报告类型、报告描述、附件上传。</w:t>
            </w:r>
          </w:p>
        </w:tc>
        <w:tc>
          <w:tcPr>
            <w:tcW w:w="145" w:type="pct"/>
            <w:tcBorders>
              <w:top w:val="nil"/>
              <w:left w:val="nil"/>
              <w:bottom w:val="single" w:color="auto" w:sz="4" w:space="0"/>
              <w:right w:val="single" w:color="auto" w:sz="4" w:space="0"/>
            </w:tcBorders>
            <w:shd w:val="clear" w:color="auto" w:fill="auto"/>
            <w:vAlign w:val="center"/>
          </w:tcPr>
          <w:p w14:paraId="51EC6255">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693F0CBD">
            <w:pPr>
              <w:widowControl/>
              <w:jc w:val="center"/>
              <w:rPr>
                <w:rFonts w:hint="eastAsia" w:ascii="宋体" w:hAnsi="宋体" w:cs="宋体"/>
                <w:color w:val="auto"/>
                <w:kern w:val="0"/>
                <w:sz w:val="18"/>
                <w:szCs w:val="18"/>
                <w:highlight w:val="none"/>
              </w:rPr>
            </w:pPr>
          </w:p>
        </w:tc>
      </w:tr>
      <w:tr w14:paraId="4EDE36F1">
        <w:tblPrEx>
          <w:tblCellMar>
            <w:top w:w="0" w:type="dxa"/>
            <w:left w:w="108" w:type="dxa"/>
            <w:bottom w:w="0" w:type="dxa"/>
            <w:right w:w="108" w:type="dxa"/>
          </w:tblCellMar>
        </w:tblPrEx>
        <w:trPr>
          <w:trHeight w:val="120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0E1DF1B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428" w:type="pct"/>
            <w:tcBorders>
              <w:top w:val="nil"/>
              <w:left w:val="nil"/>
              <w:bottom w:val="single" w:color="auto" w:sz="4" w:space="0"/>
              <w:right w:val="single" w:color="auto" w:sz="4" w:space="0"/>
            </w:tcBorders>
            <w:shd w:val="clear" w:color="auto" w:fill="auto"/>
            <w:vAlign w:val="center"/>
          </w:tcPr>
          <w:p w14:paraId="68A388F1">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子平台信息展示</w:t>
            </w:r>
          </w:p>
        </w:tc>
        <w:tc>
          <w:tcPr>
            <w:tcW w:w="3798" w:type="pct"/>
            <w:gridSpan w:val="2"/>
            <w:tcBorders>
              <w:top w:val="nil"/>
              <w:left w:val="nil"/>
              <w:bottom w:val="single" w:color="auto" w:sz="4" w:space="0"/>
              <w:right w:val="single" w:color="auto" w:sz="4" w:space="0"/>
            </w:tcBorders>
            <w:shd w:val="clear" w:color="auto" w:fill="auto"/>
            <w:vAlign w:val="center"/>
          </w:tcPr>
          <w:p w14:paraId="0E5B7773">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1.接入数据源大屏:在大屏上展示已接入数据源的运行图，包括：数据源、数据节点、数据存储、数据流向、数据运行状态。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2.接入数据源统计:对已接入数据源的数量、健康状态进行统计。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3.数据接收展示:数据接收日志的实时情况展示。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4.大屏自定义:对大屏连线与节点的自定义，包括：添加连线、减少连线、添加服务器、减少服务器、减少节点。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5.子平台拓扑展示:将子平台的拓扑关系进行可视化展示。</w:t>
            </w:r>
          </w:p>
        </w:tc>
        <w:tc>
          <w:tcPr>
            <w:tcW w:w="145" w:type="pct"/>
            <w:tcBorders>
              <w:top w:val="nil"/>
              <w:left w:val="nil"/>
              <w:bottom w:val="single" w:color="auto" w:sz="4" w:space="0"/>
              <w:right w:val="single" w:color="auto" w:sz="4" w:space="0"/>
            </w:tcBorders>
            <w:shd w:val="clear" w:color="auto" w:fill="auto"/>
            <w:vAlign w:val="center"/>
          </w:tcPr>
          <w:p w14:paraId="72817B0E">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37DDFA9C">
            <w:pPr>
              <w:widowControl/>
              <w:jc w:val="center"/>
              <w:rPr>
                <w:rFonts w:hint="eastAsia" w:ascii="宋体" w:hAnsi="宋体" w:cs="宋体"/>
                <w:color w:val="auto"/>
                <w:kern w:val="0"/>
                <w:sz w:val="18"/>
                <w:szCs w:val="18"/>
                <w:highlight w:val="none"/>
              </w:rPr>
            </w:pPr>
          </w:p>
        </w:tc>
      </w:tr>
      <w:tr w14:paraId="6529FABD">
        <w:tblPrEx>
          <w:tblCellMar>
            <w:top w:w="0" w:type="dxa"/>
            <w:left w:w="108" w:type="dxa"/>
            <w:bottom w:w="0" w:type="dxa"/>
            <w:right w:w="108" w:type="dxa"/>
          </w:tblCellMar>
        </w:tblPrEx>
        <w:trPr>
          <w:trHeight w:val="96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0E52D67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1.9</w:t>
            </w:r>
          </w:p>
        </w:tc>
        <w:tc>
          <w:tcPr>
            <w:tcW w:w="428" w:type="pct"/>
            <w:tcBorders>
              <w:top w:val="nil"/>
              <w:left w:val="nil"/>
              <w:bottom w:val="single" w:color="auto" w:sz="4" w:space="0"/>
              <w:right w:val="single" w:color="auto" w:sz="4" w:space="0"/>
            </w:tcBorders>
            <w:shd w:val="clear" w:color="auto" w:fill="auto"/>
            <w:vAlign w:val="center"/>
          </w:tcPr>
          <w:p w14:paraId="5246FA62">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可视化展示</w:t>
            </w:r>
          </w:p>
        </w:tc>
        <w:tc>
          <w:tcPr>
            <w:tcW w:w="3798" w:type="pct"/>
            <w:gridSpan w:val="2"/>
            <w:tcBorders>
              <w:top w:val="nil"/>
              <w:left w:val="nil"/>
              <w:bottom w:val="single" w:color="auto" w:sz="4" w:space="0"/>
              <w:right w:val="single" w:color="auto" w:sz="4" w:space="0"/>
            </w:tcBorders>
            <w:shd w:val="clear" w:color="auto" w:fill="auto"/>
            <w:vAlign w:val="center"/>
          </w:tcPr>
          <w:p w14:paraId="235DFC85">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1.大屏驾驶舱:实现将上述模块的相关内容以图文图表、可视化大屏的方式进行展示，并展示可视化大屏领导驾驶舱内容；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2.支持将可视化大屏解耦为独立的可视化组件，形成可视化组件库，可将组件划分为业务主题组件、分析组件、条件组件；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支持自定义大屏场景，支持新增或者复制预置的大屏场景，通过可视化交互的方式在画布上进行组件拖拽选取、调整布局位置从而形成新的大屏场景，并支持对场景的分析总结建议进行配置；支持对业务主题组件、分析组件进行个性化配置，包括数据范围的配置、基本信息的配置等。</w:t>
            </w:r>
          </w:p>
        </w:tc>
        <w:tc>
          <w:tcPr>
            <w:tcW w:w="145" w:type="pct"/>
            <w:tcBorders>
              <w:top w:val="nil"/>
              <w:left w:val="nil"/>
              <w:bottom w:val="single" w:color="auto" w:sz="4" w:space="0"/>
              <w:right w:val="single" w:color="auto" w:sz="4" w:space="0"/>
            </w:tcBorders>
            <w:shd w:val="clear" w:color="auto" w:fill="auto"/>
            <w:vAlign w:val="center"/>
          </w:tcPr>
          <w:p w14:paraId="7311E4A5">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153BB243">
            <w:pPr>
              <w:widowControl/>
              <w:jc w:val="center"/>
              <w:rPr>
                <w:rFonts w:hint="eastAsia" w:ascii="宋体" w:hAnsi="宋体" w:cs="宋体"/>
                <w:color w:val="auto"/>
                <w:kern w:val="0"/>
                <w:sz w:val="18"/>
                <w:szCs w:val="18"/>
                <w:highlight w:val="none"/>
              </w:rPr>
            </w:pPr>
          </w:p>
        </w:tc>
      </w:tr>
      <w:tr w14:paraId="7D27C528">
        <w:tblPrEx>
          <w:tblCellMar>
            <w:top w:w="0" w:type="dxa"/>
            <w:left w:w="108" w:type="dxa"/>
            <w:bottom w:w="0" w:type="dxa"/>
            <w:right w:w="108" w:type="dxa"/>
          </w:tblCellMar>
        </w:tblPrEx>
        <w:trPr>
          <w:trHeight w:val="2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186F102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1.10</w:t>
            </w:r>
          </w:p>
        </w:tc>
        <w:tc>
          <w:tcPr>
            <w:tcW w:w="428" w:type="pct"/>
            <w:tcBorders>
              <w:top w:val="nil"/>
              <w:left w:val="nil"/>
              <w:bottom w:val="single" w:color="auto" w:sz="4" w:space="0"/>
              <w:right w:val="single" w:color="auto" w:sz="4" w:space="0"/>
            </w:tcBorders>
            <w:shd w:val="clear" w:color="auto" w:fill="auto"/>
            <w:vAlign w:val="center"/>
          </w:tcPr>
          <w:p w14:paraId="4FF8F4D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数据导出</w:t>
            </w:r>
          </w:p>
        </w:tc>
        <w:tc>
          <w:tcPr>
            <w:tcW w:w="3798" w:type="pct"/>
            <w:gridSpan w:val="2"/>
            <w:tcBorders>
              <w:top w:val="nil"/>
              <w:left w:val="nil"/>
              <w:bottom w:val="single" w:color="auto" w:sz="4" w:space="0"/>
              <w:right w:val="single" w:color="auto" w:sz="4" w:space="0"/>
            </w:tcBorders>
            <w:shd w:val="clear" w:color="auto" w:fill="auto"/>
            <w:vAlign w:val="center"/>
          </w:tcPr>
          <w:p w14:paraId="74863B98">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1.安全数据导出:支持管理员或租户以图文表格方式导出所需的数据，包括事件、报告、工单、处置情况等信息。</w:t>
            </w:r>
          </w:p>
        </w:tc>
        <w:tc>
          <w:tcPr>
            <w:tcW w:w="145" w:type="pct"/>
            <w:tcBorders>
              <w:top w:val="nil"/>
              <w:left w:val="nil"/>
              <w:bottom w:val="single" w:color="auto" w:sz="4" w:space="0"/>
              <w:right w:val="single" w:color="auto" w:sz="4" w:space="0"/>
            </w:tcBorders>
            <w:shd w:val="clear" w:color="auto" w:fill="auto"/>
            <w:vAlign w:val="center"/>
          </w:tcPr>
          <w:p w14:paraId="74D9F16E">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4BB31723">
            <w:pPr>
              <w:widowControl/>
              <w:jc w:val="center"/>
              <w:rPr>
                <w:rFonts w:hint="eastAsia" w:ascii="宋体" w:hAnsi="宋体" w:cs="宋体"/>
                <w:color w:val="auto"/>
                <w:kern w:val="0"/>
                <w:sz w:val="18"/>
                <w:szCs w:val="18"/>
                <w:highlight w:val="none"/>
              </w:rPr>
            </w:pPr>
          </w:p>
        </w:tc>
      </w:tr>
      <w:tr w14:paraId="301B02D0">
        <w:tblPrEx>
          <w:tblCellMar>
            <w:top w:w="0" w:type="dxa"/>
            <w:left w:w="108" w:type="dxa"/>
            <w:bottom w:w="0" w:type="dxa"/>
            <w:right w:w="108" w:type="dxa"/>
          </w:tblCellMar>
        </w:tblPrEx>
        <w:trPr>
          <w:trHeight w:val="2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0EA82BA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w:t>
            </w:r>
          </w:p>
        </w:tc>
        <w:tc>
          <w:tcPr>
            <w:tcW w:w="428" w:type="pct"/>
            <w:tcBorders>
              <w:top w:val="nil"/>
              <w:left w:val="nil"/>
              <w:bottom w:val="single" w:color="auto" w:sz="4" w:space="0"/>
              <w:right w:val="single" w:color="auto" w:sz="4" w:space="0"/>
            </w:tcBorders>
            <w:shd w:val="clear" w:color="auto" w:fill="auto"/>
            <w:vAlign w:val="center"/>
          </w:tcPr>
          <w:p w14:paraId="1698D8BB">
            <w:pPr>
              <w:widowControl/>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通报处置模块</w:t>
            </w:r>
          </w:p>
        </w:tc>
        <w:tc>
          <w:tcPr>
            <w:tcW w:w="3798" w:type="pct"/>
            <w:gridSpan w:val="2"/>
            <w:tcBorders>
              <w:top w:val="nil"/>
              <w:left w:val="nil"/>
              <w:bottom w:val="single" w:color="auto" w:sz="4" w:space="0"/>
              <w:right w:val="single" w:color="auto" w:sz="4" w:space="0"/>
            </w:tcBorders>
            <w:shd w:val="clear" w:color="auto" w:fill="auto"/>
            <w:vAlign w:val="center"/>
          </w:tcPr>
          <w:p w14:paraId="277ADBB5">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通报处置模块包含通报预警、应急指挥、漏洞闭环管理、通知通报等子模块，可通过多</w:t>
            </w:r>
            <w:r>
              <w:rPr>
                <w:rFonts w:hint="eastAsia" w:ascii="宋体" w:hAnsi="宋体" w:cs="宋体"/>
                <w:color w:val="auto"/>
                <w:kern w:val="0"/>
                <w:sz w:val="18"/>
                <w:szCs w:val="18"/>
                <w:highlight w:val="none"/>
                <w:lang w:val="en-US" w:eastAsia="zh-CN"/>
              </w:rPr>
              <w:t>种</w:t>
            </w:r>
            <w:r>
              <w:rPr>
                <w:rFonts w:hint="eastAsia" w:ascii="宋体" w:hAnsi="宋体" w:cs="宋体"/>
                <w:color w:val="auto"/>
                <w:kern w:val="0"/>
                <w:sz w:val="18"/>
                <w:szCs w:val="18"/>
                <w:highlight w:val="none"/>
              </w:rPr>
              <w:t>方式收集安全事件、威胁和数据并以多种方式发布各类通报，实现安全事件统一通报处置。</w:t>
            </w:r>
            <w:r>
              <w:rPr>
                <w:rFonts w:hint="eastAsia" w:ascii="宋体" w:hAnsi="宋体" w:cs="宋体"/>
                <w:color w:val="auto"/>
                <w:kern w:val="0"/>
                <w:sz w:val="18"/>
                <w:szCs w:val="18"/>
                <w:highlight w:val="none"/>
                <w:lang w:val="en-US" w:eastAsia="zh-CN"/>
              </w:rPr>
              <w:t>具体技术功能点如下：</w:t>
            </w:r>
          </w:p>
        </w:tc>
        <w:tc>
          <w:tcPr>
            <w:tcW w:w="145" w:type="pct"/>
            <w:tcBorders>
              <w:top w:val="nil"/>
              <w:left w:val="nil"/>
              <w:bottom w:val="single" w:color="auto" w:sz="4" w:space="0"/>
              <w:right w:val="single" w:color="auto" w:sz="4" w:space="0"/>
            </w:tcBorders>
            <w:shd w:val="clear" w:color="auto" w:fill="auto"/>
            <w:vAlign w:val="center"/>
          </w:tcPr>
          <w:p w14:paraId="66CBAF34">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shd w:val="clear" w:color="auto" w:fill="auto"/>
            <w:vAlign w:val="center"/>
          </w:tcPr>
          <w:p w14:paraId="0D005D09">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r>
      <w:tr w14:paraId="397EA459">
        <w:tblPrEx>
          <w:tblCellMar>
            <w:top w:w="0" w:type="dxa"/>
            <w:left w:w="108" w:type="dxa"/>
            <w:bottom w:w="0" w:type="dxa"/>
            <w:right w:w="108" w:type="dxa"/>
          </w:tblCellMar>
        </w:tblPrEx>
        <w:trPr>
          <w:trHeight w:val="144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3BD811F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2.1</w:t>
            </w:r>
          </w:p>
        </w:tc>
        <w:tc>
          <w:tcPr>
            <w:tcW w:w="428" w:type="pct"/>
            <w:tcBorders>
              <w:top w:val="nil"/>
              <w:left w:val="nil"/>
              <w:bottom w:val="single" w:color="auto" w:sz="4" w:space="0"/>
              <w:right w:val="single" w:color="auto" w:sz="4" w:space="0"/>
            </w:tcBorders>
            <w:shd w:val="clear" w:color="auto" w:fill="auto"/>
            <w:vAlign w:val="center"/>
          </w:tcPr>
          <w:p w14:paraId="320A8440">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通报预警基本功能模块</w:t>
            </w:r>
          </w:p>
        </w:tc>
        <w:tc>
          <w:tcPr>
            <w:tcW w:w="3798" w:type="pct"/>
            <w:gridSpan w:val="2"/>
            <w:tcBorders>
              <w:top w:val="nil"/>
              <w:left w:val="nil"/>
              <w:bottom w:val="single" w:color="auto" w:sz="4" w:space="0"/>
              <w:right w:val="single" w:color="auto" w:sz="4" w:space="0"/>
            </w:tcBorders>
            <w:shd w:val="clear" w:color="auto" w:fill="auto"/>
            <w:vAlign w:val="center"/>
          </w:tcPr>
          <w:p w14:paraId="22DCBB5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1.通报预警日常通报:基于平台监测、人工录入的各类网络安全隐患，对存在安全隐患的单位进行通报。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支持通过图形化方式呈现通报的整体流程，使用不同状态进行标识指令流程中的执行完成的环节、正在执行中的环节和未执行的环节。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2.通报预警综合通报:通过报告形式反映网络运行整体情况及普通预警性通报内容，为领导决策提供依据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3.通报预警专项预警:对报送上来的数据进行分析，预判安全事件发展趋势、影响范围，且能够对可能出现的安全风险进行预警通报。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4.通报预警通报发布:预警信息出现时，判断预警信息级别，给出预警级别、起始时间、可能的影响范围和造成的危害、应采取的防范措施、时限要求，并通知有关单位发布通报。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5.通报预警模板管理:用于集中维护日常通报、综合通报、专项通报模板，提供通报模板的创建、修改和删除等基础功能。</w:t>
            </w:r>
          </w:p>
        </w:tc>
        <w:tc>
          <w:tcPr>
            <w:tcW w:w="145" w:type="pct"/>
            <w:tcBorders>
              <w:top w:val="nil"/>
              <w:left w:val="nil"/>
              <w:bottom w:val="single" w:color="auto" w:sz="4" w:space="0"/>
              <w:right w:val="single" w:color="auto" w:sz="4" w:space="0"/>
            </w:tcBorders>
            <w:shd w:val="clear" w:color="auto" w:fill="auto"/>
            <w:vAlign w:val="center"/>
          </w:tcPr>
          <w:p w14:paraId="2B5E0E16">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1B6FBB2F">
            <w:pPr>
              <w:widowControl/>
              <w:jc w:val="center"/>
              <w:rPr>
                <w:rFonts w:hint="eastAsia" w:ascii="宋体" w:hAnsi="宋体" w:cs="宋体"/>
                <w:color w:val="auto"/>
                <w:kern w:val="0"/>
                <w:sz w:val="18"/>
                <w:szCs w:val="18"/>
                <w:highlight w:val="none"/>
              </w:rPr>
            </w:pPr>
          </w:p>
        </w:tc>
      </w:tr>
      <w:tr w14:paraId="0E86542F">
        <w:tblPrEx>
          <w:tblCellMar>
            <w:top w:w="0" w:type="dxa"/>
            <w:left w:w="108" w:type="dxa"/>
            <w:bottom w:w="0" w:type="dxa"/>
            <w:right w:w="108" w:type="dxa"/>
          </w:tblCellMar>
        </w:tblPrEx>
        <w:trPr>
          <w:trHeight w:val="9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7586C9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c>
          <w:tcPr>
            <w:tcW w:w="428" w:type="pct"/>
            <w:tcBorders>
              <w:top w:val="nil"/>
              <w:left w:val="nil"/>
              <w:bottom w:val="single" w:color="auto" w:sz="4" w:space="0"/>
              <w:right w:val="single" w:color="auto" w:sz="4" w:space="0"/>
            </w:tcBorders>
            <w:shd w:val="clear" w:color="auto" w:fill="auto"/>
            <w:vAlign w:val="center"/>
          </w:tcPr>
          <w:p w14:paraId="34A8B7E8">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应急指挥模块</w:t>
            </w:r>
          </w:p>
        </w:tc>
        <w:tc>
          <w:tcPr>
            <w:tcW w:w="3798" w:type="pct"/>
            <w:gridSpan w:val="2"/>
            <w:tcBorders>
              <w:top w:val="nil"/>
              <w:left w:val="nil"/>
              <w:bottom w:val="single" w:color="auto" w:sz="4" w:space="0"/>
              <w:right w:val="single" w:color="auto" w:sz="4" w:space="0"/>
            </w:tcBorders>
            <w:shd w:val="clear" w:color="auto" w:fill="auto"/>
            <w:vAlign w:val="center"/>
          </w:tcPr>
          <w:p w14:paraId="710C343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1.应急处置大屏:实现以地图的方式展示安全事件的分布情况。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2.应急响应流程跟踪:以时间轴的方式对应急响应的流程进行跟踪，展示各阶段涉及的资源以及所做的工作。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实现应急处置工作的统一管理，包括工作名称、处置类型、启动响应时间、持续时间、采用预案名称、标签、执行状态、创建时间、已完成指令和已处理任务等。实现对应急任务的查询、统计、添加、编辑和删除等操作，实现对应急处置工作的全流程调度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3.应急任务安全事件趋势:应急任务的安全事件趋势图展示，支持展示最近一段时间安全事件的变化趋势，默认为最近24小时，可以选择最近7天，最近15天；实时展示安全事件信息。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4.应急预案管理:预定义预案管理和自定义预案管理，系统支持内置应急预案和自定义添加应急预案。</w:t>
            </w:r>
          </w:p>
        </w:tc>
        <w:tc>
          <w:tcPr>
            <w:tcW w:w="145" w:type="pct"/>
            <w:tcBorders>
              <w:top w:val="nil"/>
              <w:left w:val="nil"/>
              <w:bottom w:val="single" w:color="auto" w:sz="4" w:space="0"/>
              <w:right w:val="single" w:color="auto" w:sz="4" w:space="0"/>
            </w:tcBorders>
            <w:shd w:val="clear" w:color="auto" w:fill="auto"/>
            <w:vAlign w:val="center"/>
          </w:tcPr>
          <w:p w14:paraId="740917CC">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46CD4A2E">
            <w:pPr>
              <w:widowControl/>
              <w:jc w:val="center"/>
              <w:rPr>
                <w:rFonts w:hint="eastAsia" w:ascii="宋体" w:hAnsi="宋体" w:cs="宋体"/>
                <w:color w:val="auto"/>
                <w:kern w:val="0"/>
                <w:sz w:val="18"/>
                <w:szCs w:val="18"/>
                <w:highlight w:val="none"/>
              </w:rPr>
            </w:pPr>
          </w:p>
        </w:tc>
      </w:tr>
      <w:tr w14:paraId="70DA92CA">
        <w:tblPrEx>
          <w:tblCellMar>
            <w:top w:w="0" w:type="dxa"/>
            <w:left w:w="108" w:type="dxa"/>
            <w:bottom w:w="0" w:type="dxa"/>
            <w:right w:w="108" w:type="dxa"/>
          </w:tblCellMar>
        </w:tblPrEx>
        <w:trPr>
          <w:trHeight w:val="555"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54056E8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2.3</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01D74230">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漏洞闭环管理模块</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E95FE8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漏洞发现与录入:模块应实现从各种来源（如安全扫描、人工报告、第三方情报等）录入漏洞信息，同时对接多家厂商扫描器设备。支持动态更新扫描器对接配置，并提供详细的漏洞描述和属性。实现对漏洞进行聚合处理，并累计上报次数，不重复上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初始风险评估:对新发现的漏洞进行初步风险评估，确定其潜在影响、严重性和紧急程度，以便后续处理。实现手动创建扫描任务。支持定时、周期模式执行扫描，跟踪任务状态。实现对关联的任务工单下的资产自动匹配，完成任务创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3.安全事件运营处置:实现对安全事件进行研判处置的闭环运营流程，包括但不限于研判忽略、误报、封禁IP、整改加固、应急处置等，以及一键下发处置工单，跟踪事件处置进展并完成安全事件处置闭环。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4.安全事件自动处置:支持自定义安全事件自动处置规则，依据事件条件执行自动研判、自动下发工单和自动通知，形成自动化事件研判运营流程。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漏洞分配与追踪:根据漏洞的严重性和类型，将漏洞分配给相应团队或成员进行处理，并提供处理进度的实时追踪功能。实现下发对应工单至对应责任运营人员，完成漏洞研判、验证、修复、复测多个处置环节状态跟踪，测试过程及修复方式详述，联动指挥调度工单系统，完成漏洞工单跟踪闭环。实现管理主机漏洞、web漏洞、弱口令和配置核查类的弱口令等功能，并且允许对相关漏洞启动通报，预警等处置响应的业务，下达到脆弱性相关资产的所属单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6.漏洞修复策略:相应团队为漏洞制定修复策略建议，包括修复步骤、所需资源、预计完成时间等，并记录在系统中。</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7.漏洞修复实施:按照修复策略实施修复工作。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8.漏洞修复验证:在修复完成后进行验证，确保漏洞已被成功修复。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9.漏洞报告:实现对任务或选中漏洞生成或导出漏洞综述报告、主机漏洞报告、WEB漏洞报告。支持对多个漏洞报告数据聚合，并合并输出。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10.漏洞状态监控:在整个漏洞处理过程中，模块应持续监控漏洞的状态，包括待处理、处理中、已修复等，确保漏洞得到及时处理。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11.漏洞跟进:如果已关闭的漏洞被重新发现或存在其他未解决的问题，会产生新的漏洞提醒，并允许安全团队进行进一步的跟进和处理。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12.漏洞多维分析与管理: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（1）漏洞监测结果统一管理与统计：平台能够对运营用户的 Web 漏洞监测结果进行统一管理，并对相关成果进行统计，包括累计发送告警数、及时率、超时未发送告警数等。通过这些数据统计，可直观了解漏洞监测的整体情况，为后续的漏洞处理提供数据支持。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（2）现存漏洞等级统计：具备对现存漏洞等级进行统计的能力，帮助运营人员快速掌握不同等级漏洞的分布情况，以便优先处理高危漏洞，合理分配安全资源。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（3）漏洞类型自动统计与展示：可以自动统计该客户已发现的漏洞类型，并进行统计展示。这有助于安全运营人员了解漏洞的类型分布，发现潜在的安全风险趋势，针对性地制定防范措施。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（4）以网站为维度汇总展示监测成果：能够统一管理 Web 监测成果，以网站为维度对漏洞进行汇总展示，展示内容包括漏洞标题、漏洞类型、漏洞地址、风险等级、更新时间、确认人与审核人、确认状态与审核状态等基本内容。这种以网站为单位的集中展示方式，方便运营人员快速查看每个网站的漏洞情况，对网站的安全状况有整体的把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（5）漏洞详细信息钻取查看：通过钻取功能展示某漏洞的详细信息，如扫描任务情况、网站 URL、网站信息、开放端口信息、漏洞状态、连续出现次数、连续自动忽略次数、历史出现次数、漏洞处理时间、处理人、审核时间、审核人、漏洞标题、漏洞类型、漏洞地址、提交方式、问题参数、测试用例、请求头消息、漏洞描述、加固建议等。全面的详细信息为漏洞的精准分析和有效处理提供了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（6）漏洞确认结果审核能力：平台具备对漏洞的确认结果进行审核的能力，能要求上级分析师对一线分析师的漏洞确认进行审核。通过多层审核机制，确保漏洞确认的准确性，避免误判导致安全隐患被忽视。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（7）历史漏洞自动确认或忽略：具备自动确认的能力，能将每次扫描发现的已确认的历史漏洞进行自动确认或自动忽略，减少运营人员的重复性工作，提高漏洞管理效率。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维护漏洞自动过滤清单：能够维护漏洞自动过滤清单，以漏洞来源、漏洞影响类型、漏洞级别为条件自动化忽略无需关注的低危害漏洞信息，进一步减少运营人员的无效工作，使其能更专注于处理高风险漏洞。</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178D16DC">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5C37E32B">
            <w:pPr>
              <w:widowControl/>
              <w:jc w:val="center"/>
              <w:rPr>
                <w:rFonts w:hint="eastAsia" w:ascii="宋体" w:hAnsi="宋体" w:cs="宋体"/>
                <w:color w:val="auto"/>
                <w:kern w:val="0"/>
                <w:sz w:val="18"/>
                <w:szCs w:val="18"/>
                <w:highlight w:val="none"/>
              </w:rPr>
            </w:pPr>
          </w:p>
        </w:tc>
      </w:tr>
      <w:tr w14:paraId="6B846FC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158EE03">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123472">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66DB9C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0A1573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36770D">
            <w:pPr>
              <w:widowControl/>
              <w:rPr>
                <w:rFonts w:hint="eastAsia" w:ascii="宋体" w:hAnsi="宋体" w:cs="宋体"/>
                <w:color w:val="auto"/>
                <w:kern w:val="0"/>
                <w:sz w:val="18"/>
                <w:szCs w:val="18"/>
                <w:highlight w:val="none"/>
              </w:rPr>
            </w:pPr>
          </w:p>
        </w:tc>
      </w:tr>
      <w:tr w14:paraId="3406C59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7F39296">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A93EE4E">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58F058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D99C4F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E67029">
            <w:pPr>
              <w:widowControl/>
              <w:rPr>
                <w:rFonts w:hint="eastAsia" w:ascii="宋体" w:hAnsi="宋体" w:cs="宋体"/>
                <w:color w:val="auto"/>
                <w:kern w:val="0"/>
                <w:sz w:val="18"/>
                <w:szCs w:val="18"/>
                <w:highlight w:val="none"/>
              </w:rPr>
            </w:pPr>
          </w:p>
        </w:tc>
      </w:tr>
      <w:tr w14:paraId="09059CD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1053837">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DCE19D">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E6BA54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E6A8EC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41B65FB">
            <w:pPr>
              <w:widowControl/>
              <w:rPr>
                <w:rFonts w:hint="eastAsia" w:ascii="宋体" w:hAnsi="宋体" w:cs="宋体"/>
                <w:color w:val="auto"/>
                <w:kern w:val="0"/>
                <w:sz w:val="18"/>
                <w:szCs w:val="18"/>
                <w:highlight w:val="none"/>
              </w:rPr>
            </w:pPr>
          </w:p>
        </w:tc>
      </w:tr>
      <w:tr w14:paraId="064FC55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87B96D1">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3E8FBE4">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3D849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029895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546EC8F">
            <w:pPr>
              <w:widowControl/>
              <w:rPr>
                <w:rFonts w:hint="eastAsia" w:ascii="宋体" w:hAnsi="宋体" w:cs="宋体"/>
                <w:color w:val="auto"/>
                <w:kern w:val="0"/>
                <w:sz w:val="18"/>
                <w:szCs w:val="18"/>
                <w:highlight w:val="none"/>
              </w:rPr>
            </w:pPr>
          </w:p>
        </w:tc>
      </w:tr>
      <w:tr w14:paraId="4BB3F5C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59192F1">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F9D2ACC">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9031D8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29B433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739141C">
            <w:pPr>
              <w:widowControl/>
              <w:rPr>
                <w:rFonts w:hint="eastAsia" w:ascii="宋体" w:hAnsi="宋体" w:cs="宋体"/>
                <w:color w:val="auto"/>
                <w:kern w:val="0"/>
                <w:sz w:val="18"/>
                <w:szCs w:val="18"/>
                <w:highlight w:val="none"/>
              </w:rPr>
            </w:pPr>
          </w:p>
        </w:tc>
      </w:tr>
      <w:tr w14:paraId="12773EC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4F090B6">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8C307CC">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4464E1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A87C1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4AF92A9">
            <w:pPr>
              <w:widowControl/>
              <w:rPr>
                <w:rFonts w:hint="eastAsia" w:ascii="宋体" w:hAnsi="宋体" w:cs="宋体"/>
                <w:color w:val="auto"/>
                <w:kern w:val="0"/>
                <w:sz w:val="18"/>
                <w:szCs w:val="18"/>
                <w:highlight w:val="none"/>
              </w:rPr>
            </w:pPr>
          </w:p>
        </w:tc>
      </w:tr>
      <w:tr w14:paraId="2F9D349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42A3A21">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FB10F3E">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4F0C28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E05D23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D621D29">
            <w:pPr>
              <w:widowControl/>
              <w:rPr>
                <w:rFonts w:hint="eastAsia" w:ascii="宋体" w:hAnsi="宋体" w:cs="宋体"/>
                <w:color w:val="auto"/>
                <w:kern w:val="0"/>
                <w:sz w:val="18"/>
                <w:szCs w:val="18"/>
                <w:highlight w:val="none"/>
              </w:rPr>
            </w:pPr>
          </w:p>
        </w:tc>
      </w:tr>
      <w:tr w14:paraId="775C54C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0D097EE">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9F103D3">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087BC3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1B2A0E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DBB08F8">
            <w:pPr>
              <w:widowControl/>
              <w:rPr>
                <w:rFonts w:hint="eastAsia" w:ascii="宋体" w:hAnsi="宋体" w:cs="宋体"/>
                <w:color w:val="auto"/>
                <w:kern w:val="0"/>
                <w:sz w:val="18"/>
                <w:szCs w:val="18"/>
                <w:highlight w:val="none"/>
              </w:rPr>
            </w:pPr>
          </w:p>
        </w:tc>
      </w:tr>
      <w:tr w14:paraId="77774DB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38CE81E">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061A363">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DB07F0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6D9626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3C4F48D">
            <w:pPr>
              <w:widowControl/>
              <w:rPr>
                <w:rFonts w:hint="eastAsia" w:ascii="宋体" w:hAnsi="宋体" w:cs="宋体"/>
                <w:color w:val="auto"/>
                <w:kern w:val="0"/>
                <w:sz w:val="18"/>
                <w:szCs w:val="18"/>
                <w:highlight w:val="none"/>
              </w:rPr>
            </w:pPr>
          </w:p>
        </w:tc>
      </w:tr>
      <w:tr w14:paraId="72E1E39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69D8B30">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9179B40">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25BDD8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693259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6BE3539">
            <w:pPr>
              <w:widowControl/>
              <w:rPr>
                <w:rFonts w:hint="eastAsia" w:ascii="宋体" w:hAnsi="宋体" w:cs="宋体"/>
                <w:color w:val="auto"/>
                <w:kern w:val="0"/>
                <w:sz w:val="18"/>
                <w:szCs w:val="18"/>
                <w:highlight w:val="none"/>
              </w:rPr>
            </w:pPr>
          </w:p>
        </w:tc>
      </w:tr>
      <w:tr w14:paraId="111DAC6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740F6D6">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9A52BA">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49811B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68FA8C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D8D6BF7">
            <w:pPr>
              <w:widowControl/>
              <w:rPr>
                <w:rFonts w:hint="eastAsia" w:ascii="宋体" w:hAnsi="宋体" w:cs="宋体"/>
                <w:color w:val="auto"/>
                <w:kern w:val="0"/>
                <w:sz w:val="18"/>
                <w:szCs w:val="18"/>
                <w:highlight w:val="none"/>
              </w:rPr>
            </w:pPr>
          </w:p>
        </w:tc>
      </w:tr>
      <w:tr w14:paraId="3F06BB5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CDBE203">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997116D">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6F4DBB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D64B91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501F547">
            <w:pPr>
              <w:widowControl/>
              <w:rPr>
                <w:rFonts w:hint="eastAsia" w:ascii="宋体" w:hAnsi="宋体" w:cs="宋体"/>
                <w:color w:val="auto"/>
                <w:kern w:val="0"/>
                <w:sz w:val="18"/>
                <w:szCs w:val="18"/>
                <w:highlight w:val="none"/>
              </w:rPr>
            </w:pPr>
          </w:p>
        </w:tc>
      </w:tr>
      <w:tr w14:paraId="1740C8C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7FFC2C2">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9DF89FB">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265FDB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BB4EE0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885FF74">
            <w:pPr>
              <w:widowControl/>
              <w:rPr>
                <w:rFonts w:hint="eastAsia" w:ascii="宋体" w:hAnsi="宋体" w:cs="宋体"/>
                <w:color w:val="auto"/>
                <w:kern w:val="0"/>
                <w:sz w:val="18"/>
                <w:szCs w:val="18"/>
                <w:highlight w:val="none"/>
              </w:rPr>
            </w:pPr>
          </w:p>
        </w:tc>
      </w:tr>
      <w:tr w14:paraId="17904FA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73528A6">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D60DB93">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55739B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73FE4C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69B659C">
            <w:pPr>
              <w:widowControl/>
              <w:rPr>
                <w:rFonts w:hint="eastAsia" w:ascii="宋体" w:hAnsi="宋体" w:cs="宋体"/>
                <w:color w:val="auto"/>
                <w:kern w:val="0"/>
                <w:sz w:val="18"/>
                <w:szCs w:val="18"/>
                <w:highlight w:val="none"/>
              </w:rPr>
            </w:pPr>
          </w:p>
        </w:tc>
      </w:tr>
      <w:tr w14:paraId="3553E44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28D3590">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6C64CEA">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E90856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8E6584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C15B71E">
            <w:pPr>
              <w:widowControl/>
              <w:rPr>
                <w:rFonts w:hint="eastAsia" w:ascii="宋体" w:hAnsi="宋体" w:cs="宋体"/>
                <w:color w:val="auto"/>
                <w:kern w:val="0"/>
                <w:sz w:val="18"/>
                <w:szCs w:val="18"/>
                <w:highlight w:val="none"/>
              </w:rPr>
            </w:pPr>
          </w:p>
        </w:tc>
      </w:tr>
      <w:tr w14:paraId="7BA89DE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6E1EA6">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3B1A01">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332133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E3402E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FD97CE0">
            <w:pPr>
              <w:widowControl/>
              <w:rPr>
                <w:rFonts w:hint="eastAsia" w:ascii="宋体" w:hAnsi="宋体" w:cs="宋体"/>
                <w:color w:val="auto"/>
                <w:kern w:val="0"/>
                <w:sz w:val="18"/>
                <w:szCs w:val="18"/>
                <w:highlight w:val="none"/>
              </w:rPr>
            </w:pPr>
          </w:p>
        </w:tc>
      </w:tr>
      <w:tr w14:paraId="6A1404D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97EC21E">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5EEEE3A">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42849F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C61FBE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0804CFA">
            <w:pPr>
              <w:widowControl/>
              <w:rPr>
                <w:rFonts w:hint="eastAsia" w:ascii="宋体" w:hAnsi="宋体" w:cs="宋体"/>
                <w:color w:val="auto"/>
                <w:kern w:val="0"/>
                <w:sz w:val="18"/>
                <w:szCs w:val="18"/>
                <w:highlight w:val="none"/>
              </w:rPr>
            </w:pPr>
          </w:p>
        </w:tc>
      </w:tr>
      <w:tr w14:paraId="41DCDF8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0806E5">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C9FBCF">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359733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DCD2B6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9E41D97">
            <w:pPr>
              <w:widowControl/>
              <w:rPr>
                <w:rFonts w:hint="eastAsia" w:ascii="宋体" w:hAnsi="宋体" w:cs="宋体"/>
                <w:color w:val="auto"/>
                <w:kern w:val="0"/>
                <w:sz w:val="18"/>
                <w:szCs w:val="18"/>
                <w:highlight w:val="none"/>
              </w:rPr>
            </w:pPr>
          </w:p>
        </w:tc>
      </w:tr>
      <w:tr w14:paraId="4101419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2E6C45C">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AACF8DA">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D32927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7178A0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70D35A4">
            <w:pPr>
              <w:widowControl/>
              <w:rPr>
                <w:rFonts w:hint="eastAsia" w:ascii="宋体" w:hAnsi="宋体" w:cs="宋体"/>
                <w:color w:val="auto"/>
                <w:kern w:val="0"/>
                <w:sz w:val="18"/>
                <w:szCs w:val="18"/>
                <w:highlight w:val="none"/>
              </w:rPr>
            </w:pPr>
          </w:p>
        </w:tc>
      </w:tr>
      <w:tr w14:paraId="13AF83B1">
        <w:tblPrEx>
          <w:tblCellMar>
            <w:top w:w="0" w:type="dxa"/>
            <w:left w:w="108" w:type="dxa"/>
            <w:bottom w:w="0" w:type="dxa"/>
            <w:right w:w="108" w:type="dxa"/>
          </w:tblCellMar>
        </w:tblPrEx>
        <w:trPr>
          <w:trHeight w:val="343" w:hRule="atLeast"/>
        </w:trPr>
        <w:tc>
          <w:tcPr>
            <w:tcW w:w="418" w:type="pct"/>
            <w:vMerge w:val="continue"/>
            <w:tcBorders>
              <w:top w:val="nil"/>
              <w:left w:val="single" w:color="auto" w:sz="4" w:space="0"/>
              <w:bottom w:val="single" w:color="auto" w:sz="4" w:space="0"/>
              <w:right w:val="single" w:color="auto" w:sz="4" w:space="0"/>
            </w:tcBorders>
            <w:vAlign w:val="center"/>
          </w:tcPr>
          <w:p w14:paraId="4EBE377F">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1A34B5D">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F002AE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6C7A81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3C4F534">
            <w:pPr>
              <w:widowControl/>
              <w:rPr>
                <w:rFonts w:hint="eastAsia" w:ascii="宋体" w:hAnsi="宋体" w:cs="宋体"/>
                <w:color w:val="auto"/>
                <w:kern w:val="0"/>
                <w:sz w:val="18"/>
                <w:szCs w:val="18"/>
                <w:highlight w:val="none"/>
              </w:rPr>
            </w:pPr>
          </w:p>
        </w:tc>
      </w:tr>
      <w:tr w14:paraId="11B4CD37">
        <w:tblPrEx>
          <w:tblCellMar>
            <w:top w:w="0" w:type="dxa"/>
            <w:left w:w="108" w:type="dxa"/>
            <w:bottom w:w="0" w:type="dxa"/>
            <w:right w:w="108" w:type="dxa"/>
          </w:tblCellMar>
        </w:tblPrEx>
        <w:trPr>
          <w:trHeight w:val="18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4CD2A2D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2.4</w:t>
            </w:r>
          </w:p>
        </w:tc>
        <w:tc>
          <w:tcPr>
            <w:tcW w:w="428" w:type="pct"/>
            <w:tcBorders>
              <w:top w:val="nil"/>
              <w:left w:val="nil"/>
              <w:bottom w:val="single" w:color="auto" w:sz="4" w:space="0"/>
              <w:right w:val="single" w:color="auto" w:sz="4" w:space="0"/>
            </w:tcBorders>
            <w:shd w:val="clear" w:color="auto" w:fill="auto"/>
            <w:vAlign w:val="center"/>
          </w:tcPr>
          <w:p w14:paraId="6661937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通知通报模块</w:t>
            </w:r>
          </w:p>
        </w:tc>
        <w:tc>
          <w:tcPr>
            <w:tcW w:w="3798" w:type="pct"/>
            <w:gridSpan w:val="2"/>
            <w:tcBorders>
              <w:top w:val="nil"/>
              <w:left w:val="nil"/>
              <w:bottom w:val="single" w:color="auto" w:sz="4" w:space="0"/>
              <w:right w:val="single" w:color="auto" w:sz="4" w:space="0"/>
            </w:tcBorders>
            <w:shd w:val="clear" w:color="auto" w:fill="auto"/>
            <w:vAlign w:val="center"/>
          </w:tcPr>
          <w:p w14:paraId="013D52AD">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1.多渠道通知:实现多种通讯方式（如电子邮件、短信、即时消息等），确保关键信息能够及时送达接收者。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2.智能筛选与优先级设定:基于事件的严重性和紧急程度自动过滤和排序通知，确保重要信息首先被处理。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3.模板化通报格式:提供预设的通知模板，涵盖不同类型的通报需求，如安全警告、系统状态更新、合规性提醒等，确保通报内容的一致性和专业性。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4.接</w:t>
            </w:r>
            <w:r>
              <w:rPr>
                <w:rFonts w:hint="eastAsia" w:ascii="宋体" w:hAnsi="宋体" w:cs="宋体"/>
                <w:color w:val="auto"/>
                <w:kern w:val="0"/>
                <w:sz w:val="18"/>
                <w:szCs w:val="18"/>
                <w:highlight w:val="none"/>
                <w:lang w:val="en-US" w:eastAsia="zh-CN"/>
              </w:rPr>
              <w:t>收</w:t>
            </w:r>
            <w:r>
              <w:rPr>
                <w:rFonts w:hint="eastAsia" w:ascii="宋体" w:hAnsi="宋体" w:cs="宋体"/>
                <w:color w:val="auto"/>
                <w:kern w:val="0"/>
                <w:sz w:val="18"/>
                <w:szCs w:val="18"/>
                <w:highlight w:val="none"/>
              </w:rPr>
              <w:t>确认与反馈机制:要求接收者确认收到通报，必要时提供反馈渠道，以便后续跟踪和改进通报效果。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5.历史记录与检索功能:保存所有发出的通报记录，便于用户查询历史信息，同时也方便管理者审查通报的发送状态和效果。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6.工单系统联动:与工单系统进行联动，将安全事件转为通知通报，下发到租户手中。</w:t>
            </w:r>
          </w:p>
        </w:tc>
        <w:tc>
          <w:tcPr>
            <w:tcW w:w="145" w:type="pct"/>
            <w:tcBorders>
              <w:top w:val="nil"/>
              <w:left w:val="nil"/>
              <w:bottom w:val="single" w:color="auto" w:sz="4" w:space="0"/>
              <w:right w:val="single" w:color="auto" w:sz="4" w:space="0"/>
            </w:tcBorders>
            <w:shd w:val="clear" w:color="auto" w:fill="auto"/>
            <w:vAlign w:val="center"/>
          </w:tcPr>
          <w:p w14:paraId="27C6946E">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281AC109">
            <w:pPr>
              <w:widowControl/>
              <w:jc w:val="center"/>
              <w:rPr>
                <w:rFonts w:hint="eastAsia" w:ascii="宋体" w:hAnsi="宋体" w:cs="宋体"/>
                <w:color w:val="auto"/>
                <w:kern w:val="0"/>
                <w:sz w:val="18"/>
                <w:szCs w:val="18"/>
                <w:highlight w:val="none"/>
              </w:rPr>
            </w:pPr>
          </w:p>
        </w:tc>
      </w:tr>
      <w:tr w14:paraId="59095542">
        <w:tblPrEx>
          <w:tblCellMar>
            <w:top w:w="0" w:type="dxa"/>
            <w:left w:w="108" w:type="dxa"/>
            <w:bottom w:w="0" w:type="dxa"/>
            <w:right w:w="108" w:type="dxa"/>
          </w:tblCellMar>
        </w:tblPrEx>
        <w:trPr>
          <w:trHeight w:val="16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34E65B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428" w:type="pct"/>
            <w:tcBorders>
              <w:top w:val="nil"/>
              <w:left w:val="nil"/>
              <w:bottom w:val="single" w:color="auto" w:sz="4" w:space="0"/>
              <w:right w:val="single" w:color="auto" w:sz="4" w:space="0"/>
            </w:tcBorders>
            <w:shd w:val="clear" w:color="auto" w:fill="auto"/>
            <w:vAlign w:val="center"/>
          </w:tcPr>
          <w:p w14:paraId="147AE3A8">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封堵处置模块</w:t>
            </w:r>
          </w:p>
        </w:tc>
        <w:tc>
          <w:tcPr>
            <w:tcW w:w="3798" w:type="pct"/>
            <w:gridSpan w:val="2"/>
            <w:tcBorders>
              <w:top w:val="nil"/>
              <w:left w:val="nil"/>
              <w:bottom w:val="single" w:color="auto" w:sz="4" w:space="0"/>
              <w:right w:val="single" w:color="auto" w:sz="4" w:space="0"/>
            </w:tcBorders>
            <w:shd w:val="clear" w:color="auto" w:fill="auto"/>
            <w:vAlign w:val="center"/>
          </w:tcPr>
          <w:p w14:paraId="1B40216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1.安全编排与自动化响应:实现安全编排与自动化响应功能，提供可视化剧本编排能力。</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2.剧本类型管理:实现剧本类型管理，提供内置剧本，并可自定义创建剧本分类。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3.创建剧本:实现创建剧本，可通过对人员角色、流程、设备、动作等要素进行剧本编排。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4.剧本导入导出:实现剧本导入导出，创建的剧本可在剧本管理界面导出离线保存，并再次导入使用。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5.剧本日志管理:实现剧本日志管理，记录剧本执行日志。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6.IP自动化封堵场景:实现剧本编排实现IP自动化封堵场景，可对接第三方安全设备并下发IP封堵指令。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7.单位关联查找:实现根据单位进行关联查找IP并对目标安全设备进行IP封堵指令的下发。</w:t>
            </w:r>
          </w:p>
        </w:tc>
        <w:tc>
          <w:tcPr>
            <w:tcW w:w="145" w:type="pct"/>
            <w:tcBorders>
              <w:top w:val="nil"/>
              <w:left w:val="nil"/>
              <w:bottom w:val="single" w:color="auto" w:sz="4" w:space="0"/>
              <w:right w:val="single" w:color="auto" w:sz="4" w:space="0"/>
            </w:tcBorders>
            <w:shd w:val="clear" w:color="auto" w:fill="auto"/>
            <w:vAlign w:val="center"/>
          </w:tcPr>
          <w:p w14:paraId="756BF20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1AA933D1">
            <w:pPr>
              <w:widowControl/>
              <w:jc w:val="center"/>
              <w:rPr>
                <w:rFonts w:hint="eastAsia" w:ascii="宋体" w:hAnsi="宋体" w:cs="宋体"/>
                <w:color w:val="auto"/>
                <w:kern w:val="0"/>
                <w:sz w:val="18"/>
                <w:szCs w:val="18"/>
                <w:highlight w:val="none"/>
              </w:rPr>
            </w:pPr>
          </w:p>
        </w:tc>
      </w:tr>
      <w:tr w14:paraId="26D0C915">
        <w:tblPrEx>
          <w:tblCellMar>
            <w:top w:w="0" w:type="dxa"/>
            <w:left w:w="108" w:type="dxa"/>
            <w:bottom w:w="0" w:type="dxa"/>
            <w:right w:w="108" w:type="dxa"/>
          </w:tblCellMar>
        </w:tblPrEx>
        <w:trPr>
          <w:trHeight w:val="2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2F33DA5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w:t>
            </w:r>
          </w:p>
        </w:tc>
        <w:tc>
          <w:tcPr>
            <w:tcW w:w="428" w:type="pct"/>
            <w:tcBorders>
              <w:top w:val="nil"/>
              <w:left w:val="nil"/>
              <w:bottom w:val="single" w:color="auto" w:sz="4" w:space="0"/>
              <w:right w:val="single" w:color="auto" w:sz="4" w:space="0"/>
            </w:tcBorders>
            <w:shd w:val="clear" w:color="auto" w:fill="auto"/>
            <w:vAlign w:val="center"/>
          </w:tcPr>
          <w:p w14:paraId="36DCE8BA">
            <w:pPr>
              <w:widowControl/>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运营支撑模块</w:t>
            </w:r>
          </w:p>
        </w:tc>
        <w:tc>
          <w:tcPr>
            <w:tcW w:w="3798" w:type="pct"/>
            <w:gridSpan w:val="2"/>
            <w:tcBorders>
              <w:top w:val="nil"/>
              <w:left w:val="nil"/>
              <w:bottom w:val="single" w:color="auto" w:sz="4" w:space="0"/>
              <w:right w:val="single" w:color="auto" w:sz="4" w:space="0"/>
            </w:tcBorders>
            <w:shd w:val="clear" w:color="auto" w:fill="auto"/>
            <w:vAlign w:val="center"/>
          </w:tcPr>
          <w:p w14:paraId="3AD9742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运营支撑模块是安全运营</w:t>
            </w:r>
            <w:r>
              <w:rPr>
                <w:rFonts w:hint="eastAsia" w:ascii="宋体" w:hAnsi="宋体" w:cs="宋体"/>
                <w:color w:val="auto"/>
                <w:kern w:val="0"/>
                <w:sz w:val="18"/>
                <w:szCs w:val="18"/>
                <w:highlight w:val="none"/>
                <w:lang w:val="en-US" w:eastAsia="zh-CN"/>
              </w:rPr>
              <w:t>服务系统</w:t>
            </w:r>
            <w:r>
              <w:rPr>
                <w:rFonts w:hint="eastAsia" w:ascii="宋体" w:hAnsi="宋体" w:cs="宋体"/>
                <w:color w:val="auto"/>
                <w:kern w:val="0"/>
                <w:sz w:val="18"/>
                <w:szCs w:val="18"/>
                <w:highlight w:val="none"/>
              </w:rPr>
              <w:t>开展运营支撑的入口，面向多租户场景提供一体化运营管控、配置运维、流程协同与数据决策能力。</w:t>
            </w:r>
            <w:r>
              <w:rPr>
                <w:rFonts w:hint="eastAsia" w:ascii="宋体" w:hAnsi="宋体" w:cs="宋体"/>
                <w:color w:val="auto"/>
                <w:kern w:val="0"/>
                <w:sz w:val="18"/>
                <w:szCs w:val="18"/>
                <w:highlight w:val="none"/>
                <w:lang w:val="en-US" w:eastAsia="zh-CN"/>
              </w:rPr>
              <w:t>具体技术功能点如下：</w:t>
            </w:r>
          </w:p>
        </w:tc>
        <w:tc>
          <w:tcPr>
            <w:tcW w:w="145" w:type="pct"/>
            <w:tcBorders>
              <w:top w:val="nil"/>
              <w:left w:val="nil"/>
              <w:bottom w:val="single" w:color="auto" w:sz="4" w:space="0"/>
              <w:right w:val="single" w:color="auto" w:sz="4" w:space="0"/>
            </w:tcBorders>
            <w:shd w:val="clear" w:color="auto" w:fill="auto"/>
            <w:vAlign w:val="center"/>
          </w:tcPr>
          <w:p w14:paraId="08663F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shd w:val="clear" w:color="auto" w:fill="auto"/>
            <w:vAlign w:val="center"/>
          </w:tcPr>
          <w:p w14:paraId="2479E4F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套</w:t>
            </w:r>
          </w:p>
        </w:tc>
      </w:tr>
      <w:tr w14:paraId="55D99406">
        <w:tblPrEx>
          <w:tblCellMar>
            <w:top w:w="0" w:type="dxa"/>
            <w:left w:w="108" w:type="dxa"/>
            <w:bottom w:w="0" w:type="dxa"/>
            <w:right w:w="108" w:type="dxa"/>
          </w:tblCellMar>
        </w:tblPrEx>
        <w:trPr>
          <w:trHeight w:val="2823"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705815F2">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3.1</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63FF6DCC">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运营工作台子系统</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74281D8C">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1.运营工作台子系统功能:实现运营系统总览、待办事项、日志中心等功能。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(1)消息通知:消息通知应实现用户呈现收到的所有消息，并展示消息的详情信息。能够区分不同的消息级别（包括通知、警告、提示和错误等）和阅读状态（已读或未读），统计未读消息的数量。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(2)工作事项: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1）以任务卡片形式实现显示用户待办、已办和我发起的任务事项，实现风险预警、事件通报、指令协同、重要活动保障、考核评估等任务展示。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2）实现任务标题、类型、发起时间、任务状态的展示。实现待办、我发起的任务数量显示和任务检索。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3）实现用户通过任务列表中任务事项快捷跳转到平台功能页面进行任务事项处置和详情查看。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(3)快捷入口:以快捷入口卡片形式展示平台配置的功能菜单快捷入口，实现以快捷方式访问平台功能，支持常用快捷菜单选择，支持菜单排序设置。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(4)政策资讯:以资讯卡片形式展示发布的资讯信息，包括资讯封面图、资讯标题、资讯摘要、资讯发布人、资讯发布时间等；实现查看资讯详情，可通过关键字、资讯类型查找资讯。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(5)工作统计:支持以仪表板方式展示工作统计图表。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2.来电来访管理:实现来访管理、来访登记、热线电话管理等功能。其中，热线管理功能需记录拨入电话的信息、号码、事件内容、处理结果等。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(1)来访管理:实现来访管理功能，包括访客预约管理、现场登记与验证、通行权限管控、来访过程跟踪、来访数据统计分析功能。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(2)来访登记:实现来访登记功能，包括线上预约登记和现场临时登记。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通报工单信息:用户可以查看自己的用户界面，租户可以通过用户界面看到管理员下发的通报和工单信息，并且进行操作管理，通过用户界面可以查看用户名下资产、安全服务、租户基本情况等，管理人员通过服务界面来使用和配置其他模块的功能、方便开展安全运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通报管理:基于平台监测、人工录入的各类网络安全隐患事件，对存在安全隐患的单位进行通报，实现在用户权限和数据权限范围下的事件通报指令的统一管理，能够以手工方式导出通报文件，跟踪和记录通报的反馈、整改及处罚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(2)通报详情:对通报流程的每一个环节的执行信息进行呈现，明确指令环节的具体进度，包括每一个流程环节的执行方、执行状态、执行时间、延期状态。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(3)通报回收站:实现对删除的通报指令进行管理，同时应实现通报指令的恢复机制，恢复的指令能够继续执行删除前的处置流程。如果该业务实体已经关联了新的指令，则已经删除的指令不能进行恢复。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4.安全数据趋势统计:租户可以通过自服务界面查看资产、漏洞、安全服务、安全事件运营、应急处置事件、安全事件趋势概况，以及租户最新报表和热点漏洞情况。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(1)概况查看:租户可以通过自服务界面查看资产、漏洞、安全服务、安全事件运营、应急处置事件、安全事件趋势概况，实现租户自主查看、快速响应、数据可视的目标。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(2)最新报表:租户最新报表包括首页看板、漏洞修复情况、安全事件运营详情，合格与风险总结，实现按时间范围（近1天/ 7 天 / 30 天 / 自定义）筛选和导出。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(3)热点漏洞:当前热点漏洞情况，结合最新漏洞态势，筛选对租户资产影响较大的热点漏洞，按风险优先级排序。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5.用户信息管理:用户管理可实现多租户模式，对系统用户信息进行管理，实现新增、删除、编辑等功能。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(1)多租户模式:用户管理应实现多租户模式，实现多个租户之间的数据隔离与共享。</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(2)用户信息管理:实现对系统用户信息进行管理，包括用户角色及权限划分、用户信息维护、用户状态管理、用户操作日志管理与审计等。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(3)用户信息维护:实现用户信息修改、密码管理等功能，以及用户信息进行新增、删除、编辑等功能。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6.安全运营报告:实现安全态势月报，每月生成组织架构下各个单位的月报，统计安全事件、资产管理、资产风险、安全服务等方面的运营数据。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视图:应根据分析需求构建视图，能够实现视图的统一管理，能够以所见即所得的方式构建交叉表、明细表、分组表，以及饼图、柱图、条形图、双轴图、指标卡、矩形树图、词云图等20类以上分析视图。实现对视图中的数据进行同环比、百分比、累计值的计算，如去年同比、上月同比、上周同比、环比等。实现对数据的字段进行聚合运算，包括求和、最大值、最小值、平均值、计数、计数（去重）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仪表板:应根据业务需求，将多个视图组合构建成可视化仪表板，并且能够对仪表板进行统一管理。对仪表板的颜色、文字样式、标题、图表样式、表格样式进行配置，实现仪表板PC端、移动端分别设置画布布局，适应多终端查看，实现对仪表板面向不同的部门或用户进行授权，保障数据的安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报告模板:对报告中需要使用的动态数据进行数据准备，能够根据不同的数据集可视化的方式预处理数据，实现对报告的报告周期、执行时间和周期起始时间等进行设置，满足不同周期（日报、月报、季报、年报等）报告的数据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周期报告:能够根据预定的时间及执行频率自动计算数据并输出统计报表、分析结果等不同类型的周期报告，实现周期报告统一配置和管理，包括名称、类型、报告周期（年报、季报、月报、周报、日报和单次运行等）、使用模板、更新时间、启停状态、最近运行时间、下次运行时间等。实现将报告授权给不同的用户或用户组，保障数据安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(5)门户:实现为不同的用户创建不同的门户菜单项和页面内容，每一个门户能够绑定多个仪表板并授权或公开给不同的用户，门户中内容的来源包括仪表板、周期报表和URL等。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7.运营报告操作:应展示所有安全运营报告列表，可进行报告下载；也可通过人工上传报告。</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(1)模板过滤:实现通过关键字、模板启用状态查询过滤模板。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(2)模板编辑:实现对模板的新建、编辑、克隆、配置、删除及批量删除，并实现列表内打开/关闭启用状态。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(3)标准模板:默认自带“标准模板”，该模板可克隆、编辑、配置，但是不能删除。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(4)模板配置:实现对模板的启用状态、模板的下载类型进行配置。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(5)模板操作:实现对模板进行预览、导出、保存操作。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(6)模板内容编辑:实现对模板内容进行所见即所得的配置方式进行编辑，实现字体、字号、粗体、斜体、删除线、下划线、下标、上标、超链接、文字颜色、背景色、有序列表、无</w:t>
            </w:r>
            <w:r>
              <w:rPr>
                <w:rFonts w:hint="eastAsia" w:ascii="宋体" w:hAnsi="宋体" w:cs="宋体"/>
                <w:color w:val="auto"/>
                <w:kern w:val="0"/>
                <w:sz w:val="18"/>
                <w:szCs w:val="18"/>
                <w:highlight w:val="none"/>
                <w:lang w:val="en-US" w:eastAsia="zh-CN"/>
              </w:rPr>
              <w:t>序</w:t>
            </w:r>
            <w:r>
              <w:rPr>
                <w:rFonts w:hint="eastAsia" w:ascii="宋体" w:hAnsi="宋体" w:cs="宋体"/>
                <w:color w:val="auto"/>
                <w:kern w:val="0"/>
                <w:sz w:val="18"/>
                <w:szCs w:val="18"/>
                <w:highlight w:val="none"/>
              </w:rPr>
              <w:t>列表、引用、左缩进、右缩进、文字对齐、插入目录、插入分页、插入图片、插入表格、删除表格、插入行、删除行、插入列、删除列、合并单元格、拆分单元格等操作。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8.报告任务配置:报告任务配置：实现自定义安全运营报告任务，包括周期性任务和自定义时间范围内的单次任务，依据报告任务生成具体报告。</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(1)报告格式:能够定义各类业务和平台报告的模板（Word和PPT格式）。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(2)报告在线编辑:实现模板的在线编辑，能够以所见即所得的方式编辑模板中的文本样式、字体、段落、标题等内容和在报告中插入各类视图中的图表。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(3)报告预览:实现报告的预览和导出功能。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(4)数据准备:对报告中需要使用的动态数据进行数据准备，能够根据不同的数据集可视化的方式预处理数据。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(5)周期性报告:实现对报告周期、执行时间和周期起始时间等进行设置，满足不同周期（日报、月报、季报、年报等）报告的数据需求。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9.租户界面: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租户界面：租户资产管理:租户可以通过自服务界面进行信息化资产管理、应用系统管理、未知资产管理及资产区域管理；可对漏洞、弱口令、配置核查情况进行查看和处置；可展示安全事件分析、封禁IP库及事件追踪溯源情况；可进行指挥调度工单操作，发起安全测评工单，可对工单进行查询和导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界面访问功能:租户可以通过自服务界面进行信息化资产管理、应用系统管理、未知资产管理及资产区域管理，提升服务界面的便捷性。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安全隐患查看:可对漏洞、弱口令、配置核查情况进行实时查看和处置，无需额外对接。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安全问题跟踪:可展示资产及区域管理、漏洞 / 弱口令处置、安全事件分析、IP 封禁查询、事件溯源等信息。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工单操作:可进行指挥调度工单操作，发起安全测评工单，可对工单进行查询和导出，并对工单信息进行统计分析。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(2)租户界面：租户大屏展示:自服务界面可展示安全运营大屏、安全威胁态势大屏、资产大屏，通过大屏展示租户的运营数据。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安全运营大屏:自服务界面可展示安全运营大屏、通过大屏展示租户的运营数据，实现安全事件、封禁 IP 等核心数据的实时可视化汇总。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安全威胁态势大屏:自服务界面可展示安全威胁态势大屏，实现按近24小时、近7天、近30天、自定义时间展示态势数据；实现对全局时间范围的威胁告警等级（未知、提示、低危、中危、高危、危急）进行统计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资产大屏:自服务界面可展示资产大屏，实现按近24小时、近7天、近30天、自定义时间展示态势数据；实现资产的统计展示，包括资产单位、系统、设备、软件、服务、网站；实现数据下钻。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租户界面：租户智能问答与知识库查询:租户可以通过智能问答功能提出问题，系统会自动匹配知识库中的答案，或调用人工智能模型进行回复。租户还可以浏览知识库，查找常见问题的解决方案，提高问题解决的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10.</w:t>
            </w:r>
            <w:r>
              <w:rPr>
                <w:rFonts w:hint="eastAsia" w:ascii="宋体" w:hAnsi="宋体" w:cs="宋体"/>
                <w:color w:val="auto"/>
                <w:kern w:val="0"/>
                <w:sz w:val="18"/>
                <w:szCs w:val="18"/>
                <w:highlight w:val="none"/>
              </w:rPr>
              <w:t>租户智能问答:租户可以通过智能问答功能提出问题，系统会自动匹配知识库中的答案，或调用人工智能模型进行回复。实现对用户可能想要询问的内容进行快速提问；实现引导式提问；实现会话能力，包括创建文本会话、删除文本会话、查询历史会话、重新生成；应展示历史会话内容；提供经过网络安全专业知识训练的大语言模型，为用户提供智能问答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知识库查询:租户还可以浏览知识库，查找常见问题的解决方案，提高问题解决的效率。实现威胁情报查询、漏洞情报查询、漏洞资讯解读。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11.任务分派: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(1)运营任务生成:工作台具备依据各类运营工作生成运营任务的能力，包括告警研判任务、漏洞确认任务、漏洞审核任务、渗透测试任务、报告生成任务、资产变更确认任务等。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运营任务管理:实现根据实际业务需求新建运营分析任务，可指定任务名称、描述以及对该任务打标签。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运营任务展示形式:实现卡片和表格两种方式的展示，并能够实现两种方式的切换，实现对任务信息进行展示，展示内容包括：任务名称、创建人、创建时间、标签以及任务的描述。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(2)负载均衡式任务分派:工作台具备根据实际运营情况及分析人员个人工作状态进行负载均衡式任务分派的能力，参照指标包括告警等级、告警时间等。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运营人员能力评估:工作台根据运营人员日常工作能力表现、工作饱和度、擅长分析的领域对运营人员综合能力进行画像。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分析任务自动分派:工作台根据运营人员能力及当前运营情况，自动将合适</w:t>
            </w:r>
            <w:r>
              <w:rPr>
                <w:rFonts w:hint="eastAsia" w:ascii="宋体" w:hAnsi="宋体" w:cs="宋体"/>
                <w:color w:val="auto"/>
                <w:kern w:val="0"/>
                <w:sz w:val="18"/>
                <w:szCs w:val="18"/>
                <w:highlight w:val="none"/>
                <w:lang w:val="en-US" w:eastAsia="zh-CN"/>
              </w:rPr>
              <w:t>的</w:t>
            </w:r>
            <w:r>
              <w:rPr>
                <w:rFonts w:hint="eastAsia" w:ascii="宋体" w:hAnsi="宋体" w:cs="宋体"/>
                <w:color w:val="auto"/>
                <w:kern w:val="0"/>
                <w:sz w:val="18"/>
                <w:szCs w:val="18"/>
                <w:highlight w:val="none"/>
              </w:rPr>
              <w:t>分析研判任务派发给相关人员。</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(3)告警维护过滤:工作台能够根据告警维护过滤清单，过滤条件包括告警名称、告警描述等字段，且告警描述字段需能够模糊匹配。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过滤字段设置:过滤记录数据列表的呈现内容可根据设置的显示字段进行展示，针对每个呈现的字段提供快速复制操作，针对攻击者ip、受害者ip、攻击结果等关键字段可以进行二次过滤操作，包括添加到搜索、从搜索中排除、新建搜索、添加过滤规则。</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二次过滤:过滤记录数据列表中根据告警分类进行二次过滤；显示字段的配置和显示顺序的调整；实现数据列表表头展示字段的设置。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过滤查看:实现以降序方式查看筛选结果并进行操作，使用户优先关注最新的数据；实现分页查询。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12.交叉检验: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(1)告警确认任务校验:工作台具备配置多人进行告警确认任务交叉校验和抽检的能力，确保告警确认的准确性和可靠性。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告警确认任务校验:工作台具备配置多人进行告警确认任务交叉校验和抽检的能力，确保告警确认的准确性和可靠性。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告警确认任务交叉校验:工作台可将一个待确认的安全事件指派给2人或2人以下进行研判，</w:t>
            </w:r>
            <w:r>
              <w:rPr>
                <w:rFonts w:hint="eastAsia" w:ascii="宋体" w:hAnsi="宋体" w:cs="宋体"/>
                <w:color w:val="auto"/>
                <w:kern w:val="0"/>
                <w:sz w:val="18"/>
                <w:szCs w:val="18"/>
                <w:highlight w:val="none"/>
                <w:lang w:val="en-US" w:eastAsia="zh-CN"/>
              </w:rPr>
              <w:t>分析</w:t>
            </w:r>
            <w:r>
              <w:rPr>
                <w:rFonts w:hint="eastAsia" w:ascii="宋体" w:hAnsi="宋体" w:cs="宋体"/>
                <w:color w:val="auto"/>
                <w:kern w:val="0"/>
                <w:sz w:val="18"/>
                <w:szCs w:val="18"/>
                <w:highlight w:val="none"/>
              </w:rPr>
              <w:t>彼此研判结果的差异性，确保告警确认的准确性和可靠性。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(2)运营对象管理:系统具备运营对象管理功能，为管理者及运营团队提供针对运营对象情况的查询和管理能力，集中把控运营对象的安全状态。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运营对象管理:为管理者及运营团队提供针对运营对象情况的查询能力，</w:t>
            </w:r>
            <w:r>
              <w:rPr>
                <w:rFonts w:hint="eastAsia" w:ascii="宋体" w:hAnsi="宋体" w:cs="宋体"/>
                <w:color w:val="auto"/>
                <w:kern w:val="0"/>
                <w:sz w:val="18"/>
                <w:szCs w:val="18"/>
                <w:highlight w:val="none"/>
                <w:lang w:val="en-US" w:eastAsia="zh-CN"/>
              </w:rPr>
              <w:t>可</w:t>
            </w:r>
            <w:r>
              <w:rPr>
                <w:rFonts w:hint="eastAsia" w:ascii="宋体" w:hAnsi="宋体" w:cs="宋体"/>
                <w:color w:val="auto"/>
                <w:kern w:val="0"/>
                <w:sz w:val="18"/>
                <w:szCs w:val="18"/>
                <w:highlight w:val="none"/>
              </w:rPr>
              <w:t>按照角色、时间、事件等维度</w:t>
            </w:r>
            <w:r>
              <w:rPr>
                <w:rFonts w:hint="eastAsia" w:ascii="宋体" w:hAnsi="宋体" w:cs="宋体"/>
                <w:color w:val="auto"/>
                <w:kern w:val="0"/>
                <w:sz w:val="18"/>
                <w:szCs w:val="18"/>
                <w:highlight w:val="none"/>
                <w:lang w:val="en-US" w:eastAsia="zh-CN"/>
              </w:rPr>
              <w:t>作为</w:t>
            </w:r>
            <w:r>
              <w:rPr>
                <w:rFonts w:hint="eastAsia" w:ascii="宋体" w:hAnsi="宋体" w:cs="宋体"/>
                <w:color w:val="auto"/>
                <w:kern w:val="0"/>
                <w:sz w:val="18"/>
                <w:szCs w:val="18"/>
                <w:highlight w:val="none"/>
              </w:rPr>
              <w:t>查询条件。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运营对象管理:系统具备运营对象管理功能，为管理者及运营团队提供针对运营对象情况的管理能力，包括权限控制、信息维护、密码管理、日志审计等功能，集中把控运营对象的安全状态。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(3)权限管理:平台能够将现有运营客户进行集中呈现，并能够按访问权限拆分展示内容，确保不同权限用户只能访问相应的内容。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用户管理:实现系统用户和组织架构的管理，能够定义组织架构的分支和子分支，并将组织架构</w:t>
            </w:r>
            <w:r>
              <w:rPr>
                <w:rFonts w:hint="eastAsia" w:ascii="宋体" w:hAnsi="宋体" w:cs="宋体"/>
                <w:color w:val="auto"/>
                <w:kern w:val="0"/>
                <w:sz w:val="18"/>
                <w:szCs w:val="18"/>
                <w:highlight w:val="none"/>
                <w:lang w:val="en-US" w:eastAsia="zh-CN"/>
              </w:rPr>
              <w:t>与</w:t>
            </w:r>
            <w:r>
              <w:rPr>
                <w:rFonts w:hint="eastAsia" w:ascii="宋体" w:hAnsi="宋体" w:cs="宋体"/>
                <w:color w:val="auto"/>
                <w:kern w:val="0"/>
                <w:sz w:val="18"/>
                <w:szCs w:val="18"/>
                <w:highlight w:val="none"/>
              </w:rPr>
              <w:t>用户相关联。对用户组织机构的岗位进行统一管理和配置，实现用户角色、人员信息和岗位的关联绑定。</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权限控制:</w:t>
            </w:r>
            <w:r>
              <w:rPr>
                <w:rFonts w:hint="eastAsia" w:ascii="宋体" w:hAnsi="宋体" w:cs="宋体"/>
                <w:color w:val="auto"/>
                <w:kern w:val="0"/>
                <w:sz w:val="18"/>
                <w:szCs w:val="18"/>
                <w:highlight w:val="none"/>
                <w:lang w:val="en-US" w:eastAsia="zh-CN"/>
              </w:rPr>
              <w:t>支</w:t>
            </w:r>
            <w:r>
              <w:rPr>
                <w:rFonts w:hint="eastAsia" w:ascii="宋体" w:hAnsi="宋体" w:cs="宋体"/>
                <w:color w:val="auto"/>
                <w:kern w:val="0"/>
                <w:sz w:val="18"/>
                <w:szCs w:val="18"/>
                <w:highlight w:val="none"/>
              </w:rPr>
              <w:t>持不同的用户角色和管理员配置，能够对不同角色配置不同的功能权限和数据权限。包括设置授权用户信息、角色信息、授权有效期、权限范围、权限类型等。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用户设置:用户认证服务管理，实现接入LDAP/SCIM认证服务器，实现账号信息数据源和数据实时同步到平台。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个人中心:实现每一个用户登录查看本人信息，以及重置密码操作。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应用列表:实现</w:t>
            </w:r>
            <w:r>
              <w:rPr>
                <w:rFonts w:hint="eastAsia" w:ascii="宋体" w:hAnsi="宋体" w:cs="宋体"/>
                <w:color w:val="auto"/>
                <w:kern w:val="0"/>
                <w:sz w:val="18"/>
                <w:szCs w:val="18"/>
                <w:highlight w:val="none"/>
                <w:lang w:val="en-US" w:eastAsia="zh-CN"/>
              </w:rPr>
              <w:t>与</w:t>
            </w:r>
            <w:r>
              <w:rPr>
                <w:rFonts w:hint="eastAsia" w:ascii="宋体" w:hAnsi="宋体" w:cs="宋体"/>
                <w:color w:val="auto"/>
                <w:kern w:val="0"/>
                <w:sz w:val="18"/>
                <w:szCs w:val="18"/>
                <w:highlight w:val="none"/>
              </w:rPr>
              <w:t>外部第三方应用</w:t>
            </w:r>
            <w:r>
              <w:rPr>
                <w:rFonts w:hint="eastAsia" w:ascii="宋体" w:hAnsi="宋体" w:cs="宋体"/>
                <w:color w:val="auto"/>
                <w:kern w:val="0"/>
                <w:sz w:val="18"/>
                <w:szCs w:val="18"/>
                <w:highlight w:val="none"/>
                <w:lang w:val="en-US" w:eastAsia="zh-CN"/>
              </w:rPr>
              <w:t>的</w:t>
            </w:r>
            <w:r>
              <w:rPr>
                <w:rFonts w:hint="eastAsia" w:ascii="宋体" w:hAnsi="宋体" w:cs="宋体"/>
                <w:color w:val="auto"/>
                <w:kern w:val="0"/>
                <w:sz w:val="18"/>
                <w:szCs w:val="18"/>
                <w:highlight w:val="none"/>
              </w:rPr>
              <w:t>集成能力，实现第三方应用在平台的统一权限管理。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(4)服务状态查看:平台能够展示运营客户的服务状态汇总</w:t>
            </w:r>
            <w:r>
              <w:rPr>
                <w:rFonts w:hint="eastAsia" w:ascii="宋体" w:hAnsi="宋体" w:cs="宋体"/>
                <w:color w:val="auto"/>
                <w:kern w:val="0"/>
                <w:sz w:val="18"/>
                <w:szCs w:val="18"/>
                <w:highlight w:val="none"/>
                <w:lang w:val="en-US" w:eastAsia="zh-CN"/>
              </w:rPr>
              <w:t>情况</w:t>
            </w:r>
            <w:r>
              <w:rPr>
                <w:rFonts w:hint="eastAsia" w:ascii="宋体" w:hAnsi="宋体" w:cs="宋体"/>
                <w:color w:val="auto"/>
                <w:kern w:val="0"/>
                <w:sz w:val="18"/>
                <w:szCs w:val="18"/>
                <w:highlight w:val="none"/>
              </w:rPr>
              <w:t>，记录服务的历史变更情况，以及</w:t>
            </w:r>
            <w:r>
              <w:rPr>
                <w:rFonts w:hint="eastAsia" w:ascii="宋体" w:hAnsi="宋体" w:cs="宋体"/>
                <w:color w:val="auto"/>
                <w:kern w:val="0"/>
                <w:sz w:val="18"/>
                <w:szCs w:val="18"/>
                <w:highlight w:val="none"/>
                <w:lang w:val="en-US" w:eastAsia="zh-CN"/>
              </w:rPr>
              <w:t>根据</w:t>
            </w:r>
            <w:r>
              <w:rPr>
                <w:rFonts w:hint="eastAsia" w:ascii="宋体" w:hAnsi="宋体" w:cs="宋体"/>
                <w:color w:val="auto"/>
                <w:kern w:val="0"/>
                <w:sz w:val="18"/>
                <w:szCs w:val="18"/>
                <w:highlight w:val="none"/>
              </w:rPr>
              <w:t>交付成果的状态进行汇总展示，方便管理者了解服务的整体情况。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服务状态评价:服务状况可从过程、结果、考勤等维度进行综合评判，可按照月度、季度、半年、年度进行</w:t>
            </w:r>
            <w:r>
              <w:rPr>
                <w:rFonts w:hint="eastAsia" w:ascii="宋体" w:hAnsi="宋体" w:cs="宋体"/>
                <w:color w:val="auto"/>
                <w:kern w:val="0"/>
                <w:sz w:val="18"/>
                <w:szCs w:val="18"/>
                <w:highlight w:val="none"/>
                <w:lang w:val="en-US" w:eastAsia="zh-CN"/>
              </w:rPr>
              <w:t>评</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服务结果查看:通过运营数据的采集，可分个人、公司及时间等维度对运营结果进行排名查看。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3.服务参数配置: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客户运营参数配置:平台能够配置客户的相关运营参数，包括可用性监测引擎配置、web漏洞监测引擎配置、全局漏洞忽略规则、项目权重、分析人员配置、联系人配置、通知渠道配置、业务系统配置、互联网监测IP配置、报告任务配置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配置形式:实现运营规则自动配置或手动配置。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配置管理:实现对规则进行查看、开启、关闭等基础管理。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(2)备岗分析人员配置:平台具备配置备岗分析人员的能力，确保在主岗人员不在时，能够有其他人员接替工作，保证运营工作的连续性。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分析人员能力画像:平台从分析人员教育背景、性格、能力特长、日常工作表现、工作成效等维度对人员进行画像，并自动匹配能力相近的人员作为备用岗。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备岗人员推荐:平台具备配置备岗分析人员的能力，确保在主岗人员不在时，能够主动识别和推进有其他人员接替工作，保证运营工作的连续性。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(3)联系人与通知配置:平台具备</w:t>
            </w:r>
            <w:r>
              <w:rPr>
                <w:rFonts w:hint="eastAsia" w:ascii="宋体" w:hAnsi="宋体" w:cs="宋体"/>
                <w:color w:val="auto"/>
                <w:kern w:val="0"/>
                <w:sz w:val="18"/>
                <w:szCs w:val="18"/>
                <w:highlight w:val="none"/>
                <w:lang w:val="en-US" w:eastAsia="zh-CN"/>
              </w:rPr>
              <w:t>为</w:t>
            </w:r>
            <w:r>
              <w:rPr>
                <w:rFonts w:hint="eastAsia" w:ascii="宋体" w:hAnsi="宋体" w:cs="宋体"/>
                <w:color w:val="auto"/>
                <w:kern w:val="0"/>
                <w:sz w:val="18"/>
                <w:szCs w:val="18"/>
                <w:highlight w:val="none"/>
              </w:rPr>
              <w:t>联系人配置对应域名或IP信息的能力，并能够对每个联系人所选用的通知渠道及通知类型进行配置，</w:t>
            </w:r>
            <w:r>
              <w:rPr>
                <w:rFonts w:hint="eastAsia" w:ascii="宋体" w:hAnsi="宋体" w:cs="宋体"/>
                <w:color w:val="auto"/>
                <w:kern w:val="0"/>
                <w:sz w:val="18"/>
                <w:szCs w:val="18"/>
                <w:highlight w:val="none"/>
                <w:lang w:val="en-US" w:eastAsia="zh-CN"/>
              </w:rPr>
              <w:t>以</w:t>
            </w:r>
            <w:r>
              <w:rPr>
                <w:rFonts w:hint="eastAsia" w:ascii="宋体" w:hAnsi="宋体" w:cs="宋体"/>
                <w:color w:val="auto"/>
                <w:kern w:val="0"/>
                <w:sz w:val="18"/>
                <w:szCs w:val="18"/>
                <w:highlight w:val="none"/>
              </w:rPr>
              <w:t>确保通知的准确性和及时性。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联系人系统配置:平台具备联系人配置对应域名或IP信息的能力，预先配置一个或多个特定的目标地址（域名或IP）。当平台需要与该联系人通信或为其提供服务时，会自动使用为其配置的地址，而不是统一的默认地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联系途径优先级配置:当主用通知方式无效后，可采用备用通知方式，包括邮件、电话、短信、第三方通讯工具等方式，确保通知渠道健壮性；并能够对每个联系人所选用的通知渠道及通知类型进行优先级配置，确保通知的准确性和及时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(4)通知渠道支持:平台具备短信、邮件等通知渠道，能够根据配置向联系人发送相应的通知信息。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短信传送:平台具备</w:t>
            </w:r>
            <w:r>
              <w:rPr>
                <w:rFonts w:hint="eastAsia" w:ascii="宋体" w:hAnsi="宋体" w:cs="宋体"/>
                <w:color w:val="auto"/>
                <w:kern w:val="0"/>
                <w:sz w:val="18"/>
                <w:szCs w:val="18"/>
                <w:highlight w:val="none"/>
                <w:lang w:val="en-US" w:eastAsia="zh-CN"/>
              </w:rPr>
              <w:t>通过</w:t>
            </w:r>
            <w:r>
              <w:rPr>
                <w:rFonts w:hint="eastAsia" w:ascii="宋体" w:hAnsi="宋体" w:cs="宋体"/>
                <w:color w:val="auto"/>
                <w:kern w:val="0"/>
                <w:sz w:val="18"/>
                <w:szCs w:val="18"/>
                <w:highlight w:val="none"/>
              </w:rPr>
              <w:t>打通运营商短信网关的方式进行通知，短信通信内容实现加密传送。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邮件传送:平台具备</w:t>
            </w:r>
            <w:r>
              <w:rPr>
                <w:rFonts w:hint="eastAsia" w:ascii="宋体" w:hAnsi="宋体" w:cs="宋体"/>
                <w:color w:val="auto"/>
                <w:kern w:val="0"/>
                <w:sz w:val="18"/>
                <w:szCs w:val="18"/>
                <w:highlight w:val="none"/>
                <w:lang w:val="en-US" w:eastAsia="zh-CN"/>
              </w:rPr>
              <w:t>通过</w:t>
            </w:r>
            <w:r>
              <w:rPr>
                <w:rFonts w:hint="eastAsia" w:ascii="宋体" w:hAnsi="宋体" w:cs="宋体"/>
                <w:color w:val="auto"/>
                <w:kern w:val="0"/>
                <w:sz w:val="18"/>
                <w:szCs w:val="18"/>
                <w:highlight w:val="none"/>
              </w:rPr>
              <w:t>邮件方式</w:t>
            </w:r>
            <w:r>
              <w:rPr>
                <w:rFonts w:hint="eastAsia" w:ascii="宋体" w:hAnsi="宋体" w:cs="宋体"/>
                <w:color w:val="auto"/>
                <w:kern w:val="0"/>
                <w:sz w:val="18"/>
                <w:szCs w:val="18"/>
                <w:highlight w:val="none"/>
                <w:lang w:val="en-US" w:eastAsia="zh-CN"/>
              </w:rPr>
              <w:t>发送</w:t>
            </w:r>
            <w:r>
              <w:rPr>
                <w:rFonts w:hint="eastAsia" w:ascii="宋体" w:hAnsi="宋体" w:cs="宋体"/>
                <w:color w:val="auto"/>
                <w:kern w:val="0"/>
                <w:sz w:val="18"/>
                <w:szCs w:val="18"/>
                <w:highlight w:val="none"/>
              </w:rPr>
              <w:t>通知信息</w:t>
            </w:r>
            <w:r>
              <w:rPr>
                <w:rFonts w:hint="eastAsia" w:ascii="宋体" w:hAnsi="宋体" w:cs="宋体"/>
                <w:color w:val="auto"/>
                <w:kern w:val="0"/>
                <w:sz w:val="18"/>
                <w:szCs w:val="18"/>
                <w:highlight w:val="none"/>
                <w:lang w:val="en-US" w:eastAsia="zh-CN"/>
              </w:rPr>
              <w:t>的能力</w:t>
            </w:r>
            <w:r>
              <w:rPr>
                <w:rFonts w:hint="eastAsia" w:ascii="宋体" w:hAnsi="宋体" w:cs="宋体"/>
                <w:color w:val="auto"/>
                <w:kern w:val="0"/>
                <w:sz w:val="18"/>
                <w:szCs w:val="18"/>
                <w:highlight w:val="none"/>
              </w:rPr>
              <w:t>，邮件通信内容实现加密传送。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(5)业务系统及IP地址管理:平台能够添加运营客户的业务系统及IP地址，并实现批量上传，方便对多个业务系统和IP地址进行统一管理。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业务系统管理:平台能够添加运营客户的业务系统，并实现批量上传，方便对多个业务系统进行统一管理。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IP地址管理:平台能够添加运营客户的IP地址，并实现批量上传，方便对多个IP地址进行统一管理。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(6)报告编撰任务配置:平台具备添加客户要求的报告编撰任务的能力，任务内容包括但不限于报告类型、任务名、报告范围、时间与周期等，</w:t>
            </w:r>
            <w:r>
              <w:rPr>
                <w:rFonts w:hint="eastAsia" w:ascii="宋体" w:hAnsi="宋体" w:cs="宋体"/>
                <w:color w:val="auto"/>
                <w:kern w:val="0"/>
                <w:sz w:val="18"/>
                <w:szCs w:val="18"/>
                <w:highlight w:val="none"/>
                <w:lang w:val="en-US" w:eastAsia="zh-CN"/>
              </w:rPr>
              <w:t>以</w:t>
            </w:r>
            <w:r>
              <w:rPr>
                <w:rFonts w:hint="eastAsia" w:ascii="宋体" w:hAnsi="宋体" w:cs="宋体"/>
                <w:color w:val="auto"/>
                <w:kern w:val="0"/>
                <w:sz w:val="18"/>
                <w:szCs w:val="18"/>
                <w:highlight w:val="none"/>
              </w:rPr>
              <w:t>满足客户对报告的个性化需求。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报告模板格式:实现在线配置word、ppt类型报告模板，并能对模板样式进行编辑。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模板样式设置:模板中实现对报告中需要使用的动态数据进行预处理并快速拾取表达式，同时对报告模板中的文本样式、段落等进行设置，实现模板编辑和预览。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图表支持:可在word模板在报告中插入视图中的图表，实现导出功能。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14.服务参数配置: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(1)脚本基础管理: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脚本增删改查:实现全生命周期的脚本管理功能，包括创建新脚本（含名称/类型/阶段等元数据）、编辑脚本内容（富文本与流程图编辑）、删除脚本（需二次确认防误操作）、查询脚本（关键词/类型/创建者等多条件检索），并提供版本控制与修改日志追溯能力。</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脚本导入导出:提供标准化文件格式（XML/JSON）的脚本导入导出功能，实现跨环境迁移和备份恢复，导入时自动校验脚本格式完整性与关联模板有效性，导出可选择包含关联知识库条目，实现版本兼容性提示与格式转换工具。</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(2)脚本类型体系: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脚本类型自定义:允许管理员创建/修改两类基础脚本类型：基础脚本（标准化操作手册）和定性脚本（经验决策树），实现自定义类型属性字段（如优先级/适用场景），实现类型间的继承关系定义，具备类型禁用/启用状态管理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模板关联管理:应建立脚本间的层级关联关系，可定义父子脚本（如将“APT攻击分析”设为父脚本，关联“流量监测”“日志溯源”等子脚本），提供可视化关联拓扑图，实现跨脚本的依赖关系检查与冲突预警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分析布局模式:实现多种分析布局模式，包括块状布局、树状布局、横向树状布局、引力布局以及环状布局，点击使分析任务结果按照对应的布局进行展示。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分析溯源:实现根据某一节点进行溯源分析，实现按数据源和查询模型进行溯源，数据源包括流量原始库、告警资源库、告警原始库；查询模型包括永恒之蓝规则模型、IP通联关系模型、IP资产模型、攻击者画像模型、同源分析模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时间轴打点:实现根据实体的发现时间将实体在时间轴上进行分布打点，并能够自动播放与暂停。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(3)阶段流程管理: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流程建模支持:预设六大标准阶段（监测→分析→追溯→抑制→清除→追踪），实现阶段顺序调整与自定义阶段添加（如新增“跨部门协同”阶段），每个阶段可配置输入输出标准、责任角色、完成时限等流程要素。</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攻击过程时间轴展示:在分析过程中以时间轴的形式展示攻击过程，呈现攻击过程中分析出的相关结果，展示内容包括：首次发现时间、最近发生时间、威胁名称、受害IP、攻击IP、威胁级别、确信度、攻击结果和分析结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攻击阶段划分:分析的结果按照侦察、入侵、命令控制、横向渗透、数据外泄、痕迹清理等攻击阶段，分别展示每个阶段所对应的全量告警数据。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阶段攻击详情:提供阶段模式查看详细的告警详情，能够对告警重新定义所属攻击阶段。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默认脚本管理:允许用户根据业务需求修改阶段属性，包括阶段名称变更（需保持历史数据兼容）、阶段合并拆分（如将“加固与清除”拆分为独立阶段）、设置阶段跳转条件（如分析结果达标则跳过抑制阶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阶段名称变更:允许用户根据业务需求修改阶段属性，包括阶段名称变更（需保持历史数据兼容），</w:t>
            </w:r>
            <w:r>
              <w:rPr>
                <w:rFonts w:hint="eastAsia" w:ascii="宋体" w:hAnsi="宋体" w:cs="宋体"/>
                <w:color w:val="auto"/>
                <w:kern w:val="0"/>
                <w:sz w:val="18"/>
                <w:szCs w:val="18"/>
                <w:highlight w:val="none"/>
                <w:lang w:val="en-US" w:eastAsia="zh-CN"/>
              </w:rPr>
              <w:t>可</w:t>
            </w:r>
            <w:r>
              <w:rPr>
                <w:rFonts w:hint="eastAsia" w:ascii="宋体" w:hAnsi="宋体" w:cs="宋体"/>
                <w:color w:val="auto"/>
                <w:kern w:val="0"/>
                <w:sz w:val="18"/>
                <w:szCs w:val="18"/>
                <w:highlight w:val="none"/>
              </w:rPr>
              <w:t>对不同阶段的名称进行修改，以适应不同客户使用习惯。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阶段合并拆分:允许用户根据业务需求修改阶段属性，包括阶段合并拆分（如将“加固与清除”拆分为独立阶段），使分析的过程更加符合不同人的使用习惯。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阶段跳转条件设置:允许用户根据业务需求修改阶段属性，包括设置阶段跳转条件（如分析结果达标则跳过抑制阶段），可以提升工作效率。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(4)智能流程支持: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流程建模支持:提供可视化流程设计器，实现通过拖拽方式构建运营脚本流程图，可调用内置的威胁情报库、漏洞数据库等资源，实现条件分支、并行任务、自动触发规则等高级流程配置功能。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流程自定义编排:实现可视化交互的方式进行预案流程的自定义编排，实现流程的灵活处理。实现将工作组件（包括业务交互、脚本执行、机器动作、人工指令和逻辑节点等类型）通过可视化拖拽到当前应急任务进行编辑、更新以及另存为新流程模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预案管理:实现预案组的创建和配置，对预案进行分类统计和管理，按照不同的预案组来分类展示每个预案组下的方案数量，并可查看具体信息。实现添加预案组，包括预案组名称与所属分组，能够在当前分组下创建新的预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预案创建:可对预案进行创建，包括：预案名称、预案类型、预案标签、克隆模板、预案分组、当前状态、预案审核人、预案描述等。可选择已存在的预案进行克隆。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预案编辑更新:实现对预案相关信息进行编辑更新，包括预案名称、预案类型、预案标签、预案分组、当前状态、预案审核人、预案描述的编辑。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默认脚本管理:系统预置符合等保2.0/网络安全法的标准处置脚本（如DDOS应急响应脚本），实现默认脚本的克隆修改（保留原始模板）、版本更新提示、使用统计查看等功能，提供行业最佳实践脚本库的在线更新服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预案管理:预案管理可针对重大活动安保、突发事件应急处置等相关业务工作的预案场景进行管理和编排，包括创建人、创建时间、更新时间、预案类型、当前状态、标签和描述等。实现对预案的创建、编排、编辑、启用、克隆、删除、导入、导出等基本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实现预案组的创建和配置，对预案进行分类统计和管理，按照不同的预案组来分类展示每个预案组下的方案数量，并可查看具体信息。实现添加预案组，包括预案组名称与所属分组，能够在当前分组下创建新的预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预案编排:利用可视化的流程编辑器，按照不同流程的管理逻辑进行编排管理。编排的过程，就是选择合适的手段措施，拖拽到编排面板进行排版、编辑、执行顺序调整，以及对每个具体措施的参数配置，形成一整套从开始、到执行、到结束的完整过程，该过程的执行能够支撑闭环管理工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实现对流程中的环节进行配置。编排工作支持方案的嵌套、引用，通过不同阶段的预案的内容的合并、子方案的嵌套和分支配置，如switch-case多条件、if-else单条件等条件分支模式，实现对执行过程的细化分解，从而高效应对不同事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预案试运行:预案试运行实现预案流程的任务运行情况管理，包括任务名称、任务状态、预案名称、开始时间、结束时间、执行时间描述和操作等。支持对预案任务的新建、终止和详情查看等操作。</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6333977F">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0FE31C5D">
            <w:pPr>
              <w:widowControl/>
              <w:jc w:val="center"/>
              <w:rPr>
                <w:rFonts w:hint="eastAsia" w:ascii="宋体" w:hAnsi="宋体" w:cs="宋体"/>
                <w:color w:val="auto"/>
                <w:kern w:val="0"/>
                <w:sz w:val="18"/>
                <w:szCs w:val="18"/>
                <w:highlight w:val="none"/>
              </w:rPr>
            </w:pPr>
          </w:p>
        </w:tc>
      </w:tr>
      <w:tr w14:paraId="013B55E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C36065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1D3EBF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28F6ED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8B6013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C964C79">
            <w:pPr>
              <w:widowControl/>
              <w:rPr>
                <w:rFonts w:hint="eastAsia" w:ascii="宋体" w:hAnsi="宋体" w:cs="宋体"/>
                <w:color w:val="auto"/>
                <w:kern w:val="0"/>
                <w:sz w:val="18"/>
                <w:szCs w:val="18"/>
                <w:highlight w:val="none"/>
              </w:rPr>
            </w:pPr>
          </w:p>
        </w:tc>
      </w:tr>
      <w:tr w14:paraId="4AB0F05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CD9923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62EEE1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D7DFFA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89466F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B48675F">
            <w:pPr>
              <w:widowControl/>
              <w:rPr>
                <w:rFonts w:hint="eastAsia" w:ascii="宋体" w:hAnsi="宋体" w:cs="宋体"/>
                <w:color w:val="auto"/>
                <w:kern w:val="0"/>
                <w:sz w:val="18"/>
                <w:szCs w:val="18"/>
                <w:highlight w:val="none"/>
              </w:rPr>
            </w:pPr>
          </w:p>
        </w:tc>
      </w:tr>
      <w:tr w14:paraId="4E20FDD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EA9137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E5CB9D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197543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47C9AF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D09A935">
            <w:pPr>
              <w:widowControl/>
              <w:rPr>
                <w:rFonts w:hint="eastAsia" w:ascii="宋体" w:hAnsi="宋体" w:cs="宋体"/>
                <w:color w:val="auto"/>
                <w:kern w:val="0"/>
                <w:sz w:val="18"/>
                <w:szCs w:val="18"/>
                <w:highlight w:val="none"/>
              </w:rPr>
            </w:pPr>
          </w:p>
        </w:tc>
      </w:tr>
      <w:tr w14:paraId="019501F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56A57E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850C59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79EC8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AC0979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A52235F">
            <w:pPr>
              <w:widowControl/>
              <w:rPr>
                <w:rFonts w:hint="eastAsia" w:ascii="宋体" w:hAnsi="宋体" w:cs="宋体"/>
                <w:color w:val="auto"/>
                <w:kern w:val="0"/>
                <w:sz w:val="18"/>
                <w:szCs w:val="18"/>
                <w:highlight w:val="none"/>
              </w:rPr>
            </w:pPr>
          </w:p>
        </w:tc>
      </w:tr>
      <w:tr w14:paraId="2A4D4F1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9BF618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991F6C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25A2A3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3F745B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2B0007">
            <w:pPr>
              <w:widowControl/>
              <w:rPr>
                <w:rFonts w:hint="eastAsia" w:ascii="宋体" w:hAnsi="宋体" w:cs="宋体"/>
                <w:color w:val="auto"/>
                <w:kern w:val="0"/>
                <w:sz w:val="18"/>
                <w:szCs w:val="18"/>
                <w:highlight w:val="none"/>
              </w:rPr>
            </w:pPr>
          </w:p>
        </w:tc>
      </w:tr>
      <w:tr w14:paraId="74F5A50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13F11C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DE5E07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0A3DF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9227A3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E2F41B3">
            <w:pPr>
              <w:widowControl/>
              <w:rPr>
                <w:rFonts w:hint="eastAsia" w:ascii="宋体" w:hAnsi="宋体" w:cs="宋体"/>
                <w:color w:val="auto"/>
                <w:kern w:val="0"/>
                <w:sz w:val="18"/>
                <w:szCs w:val="18"/>
                <w:highlight w:val="none"/>
              </w:rPr>
            </w:pPr>
          </w:p>
        </w:tc>
      </w:tr>
      <w:tr w14:paraId="284790E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30D72D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0A7160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476279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430713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2973A63">
            <w:pPr>
              <w:widowControl/>
              <w:rPr>
                <w:rFonts w:hint="eastAsia" w:ascii="宋体" w:hAnsi="宋体" w:cs="宋体"/>
                <w:color w:val="auto"/>
                <w:kern w:val="0"/>
                <w:sz w:val="18"/>
                <w:szCs w:val="18"/>
                <w:highlight w:val="none"/>
              </w:rPr>
            </w:pPr>
          </w:p>
        </w:tc>
      </w:tr>
      <w:tr w14:paraId="092EB6E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48382E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B20473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90FF7F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3CD3D5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9B01535">
            <w:pPr>
              <w:widowControl/>
              <w:rPr>
                <w:rFonts w:hint="eastAsia" w:ascii="宋体" w:hAnsi="宋体" w:cs="宋体"/>
                <w:color w:val="auto"/>
                <w:kern w:val="0"/>
                <w:sz w:val="18"/>
                <w:szCs w:val="18"/>
                <w:highlight w:val="none"/>
              </w:rPr>
            </w:pPr>
          </w:p>
        </w:tc>
      </w:tr>
      <w:tr w14:paraId="7131058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31FC8A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887209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D8A699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BF26BD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585E134">
            <w:pPr>
              <w:widowControl/>
              <w:rPr>
                <w:rFonts w:hint="eastAsia" w:ascii="宋体" w:hAnsi="宋体" w:cs="宋体"/>
                <w:color w:val="auto"/>
                <w:kern w:val="0"/>
                <w:sz w:val="18"/>
                <w:szCs w:val="18"/>
                <w:highlight w:val="none"/>
              </w:rPr>
            </w:pPr>
          </w:p>
        </w:tc>
      </w:tr>
      <w:tr w14:paraId="194D2E3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C5DBE9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E1CAB0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B0B51B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04872D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21B6953">
            <w:pPr>
              <w:widowControl/>
              <w:rPr>
                <w:rFonts w:hint="eastAsia" w:ascii="宋体" w:hAnsi="宋体" w:cs="宋体"/>
                <w:color w:val="auto"/>
                <w:kern w:val="0"/>
                <w:sz w:val="18"/>
                <w:szCs w:val="18"/>
                <w:highlight w:val="none"/>
              </w:rPr>
            </w:pPr>
          </w:p>
        </w:tc>
      </w:tr>
      <w:tr w14:paraId="06E8B7E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372702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C69805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42B48A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A04A82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58C432A">
            <w:pPr>
              <w:widowControl/>
              <w:rPr>
                <w:rFonts w:hint="eastAsia" w:ascii="宋体" w:hAnsi="宋体" w:cs="宋体"/>
                <w:color w:val="auto"/>
                <w:kern w:val="0"/>
                <w:sz w:val="18"/>
                <w:szCs w:val="18"/>
                <w:highlight w:val="none"/>
              </w:rPr>
            </w:pPr>
          </w:p>
        </w:tc>
      </w:tr>
      <w:tr w14:paraId="1C06FBB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2DBD43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A3EE3B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A84083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A9EEE5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7F859DB">
            <w:pPr>
              <w:widowControl/>
              <w:rPr>
                <w:rFonts w:hint="eastAsia" w:ascii="宋体" w:hAnsi="宋体" w:cs="宋体"/>
                <w:color w:val="auto"/>
                <w:kern w:val="0"/>
                <w:sz w:val="18"/>
                <w:szCs w:val="18"/>
                <w:highlight w:val="none"/>
              </w:rPr>
            </w:pPr>
          </w:p>
        </w:tc>
      </w:tr>
      <w:tr w14:paraId="1534E7E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779ED3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2689FC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78508B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AC437F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D54D570">
            <w:pPr>
              <w:widowControl/>
              <w:rPr>
                <w:rFonts w:hint="eastAsia" w:ascii="宋体" w:hAnsi="宋体" w:cs="宋体"/>
                <w:color w:val="auto"/>
                <w:kern w:val="0"/>
                <w:sz w:val="18"/>
                <w:szCs w:val="18"/>
                <w:highlight w:val="none"/>
              </w:rPr>
            </w:pPr>
          </w:p>
        </w:tc>
      </w:tr>
      <w:tr w14:paraId="6B50E19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B80FA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472C8E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BB5889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54E6D2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ABFF4E6">
            <w:pPr>
              <w:widowControl/>
              <w:rPr>
                <w:rFonts w:hint="eastAsia" w:ascii="宋体" w:hAnsi="宋体" w:cs="宋体"/>
                <w:color w:val="auto"/>
                <w:kern w:val="0"/>
                <w:sz w:val="18"/>
                <w:szCs w:val="18"/>
                <w:highlight w:val="none"/>
              </w:rPr>
            </w:pPr>
          </w:p>
        </w:tc>
      </w:tr>
      <w:tr w14:paraId="21BD3D1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931562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F73F32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4382A5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CB8FB1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A302B0">
            <w:pPr>
              <w:widowControl/>
              <w:rPr>
                <w:rFonts w:hint="eastAsia" w:ascii="宋体" w:hAnsi="宋体" w:cs="宋体"/>
                <w:color w:val="auto"/>
                <w:kern w:val="0"/>
                <w:sz w:val="18"/>
                <w:szCs w:val="18"/>
                <w:highlight w:val="none"/>
              </w:rPr>
            </w:pPr>
          </w:p>
        </w:tc>
      </w:tr>
      <w:tr w14:paraId="5490AFD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22C6BD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C7B25A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2F244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6D846E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FAC9498">
            <w:pPr>
              <w:widowControl/>
              <w:rPr>
                <w:rFonts w:hint="eastAsia" w:ascii="宋体" w:hAnsi="宋体" w:cs="宋体"/>
                <w:color w:val="auto"/>
                <w:kern w:val="0"/>
                <w:sz w:val="18"/>
                <w:szCs w:val="18"/>
                <w:highlight w:val="none"/>
              </w:rPr>
            </w:pPr>
          </w:p>
        </w:tc>
      </w:tr>
      <w:tr w14:paraId="79F3849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C99088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526D92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7A8FD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90F102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59CC6CC">
            <w:pPr>
              <w:widowControl/>
              <w:rPr>
                <w:rFonts w:hint="eastAsia" w:ascii="宋体" w:hAnsi="宋体" w:cs="宋体"/>
                <w:color w:val="auto"/>
                <w:kern w:val="0"/>
                <w:sz w:val="18"/>
                <w:szCs w:val="18"/>
                <w:highlight w:val="none"/>
              </w:rPr>
            </w:pPr>
          </w:p>
        </w:tc>
      </w:tr>
      <w:tr w14:paraId="18FF5E3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D2B52F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966C45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FCD631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C9F247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9F4F87B">
            <w:pPr>
              <w:widowControl/>
              <w:rPr>
                <w:rFonts w:hint="eastAsia" w:ascii="宋体" w:hAnsi="宋体" w:cs="宋体"/>
                <w:color w:val="auto"/>
                <w:kern w:val="0"/>
                <w:sz w:val="18"/>
                <w:szCs w:val="18"/>
                <w:highlight w:val="none"/>
              </w:rPr>
            </w:pPr>
          </w:p>
        </w:tc>
      </w:tr>
      <w:tr w14:paraId="0A1CFB5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DBB613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52661A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0AC27B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F400ED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1374D54">
            <w:pPr>
              <w:widowControl/>
              <w:rPr>
                <w:rFonts w:hint="eastAsia" w:ascii="宋体" w:hAnsi="宋体" w:cs="宋体"/>
                <w:color w:val="auto"/>
                <w:kern w:val="0"/>
                <w:sz w:val="18"/>
                <w:szCs w:val="18"/>
                <w:highlight w:val="none"/>
              </w:rPr>
            </w:pPr>
          </w:p>
        </w:tc>
      </w:tr>
      <w:tr w14:paraId="5781BF9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2DA9F9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9587F0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E00FD3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0EF44F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AE9CEB0">
            <w:pPr>
              <w:widowControl/>
              <w:rPr>
                <w:rFonts w:hint="eastAsia" w:ascii="宋体" w:hAnsi="宋体" w:cs="宋体"/>
                <w:color w:val="auto"/>
                <w:kern w:val="0"/>
                <w:sz w:val="18"/>
                <w:szCs w:val="18"/>
                <w:highlight w:val="none"/>
              </w:rPr>
            </w:pPr>
          </w:p>
        </w:tc>
      </w:tr>
      <w:tr w14:paraId="30A81B7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788CA0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B04367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29C1BE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BA5E1C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87E01B3">
            <w:pPr>
              <w:widowControl/>
              <w:rPr>
                <w:rFonts w:hint="eastAsia" w:ascii="宋体" w:hAnsi="宋体" w:cs="宋体"/>
                <w:color w:val="auto"/>
                <w:kern w:val="0"/>
                <w:sz w:val="18"/>
                <w:szCs w:val="18"/>
                <w:highlight w:val="none"/>
              </w:rPr>
            </w:pPr>
          </w:p>
        </w:tc>
      </w:tr>
      <w:tr w14:paraId="0632A42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A1B03A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0E08A4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797AB1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19364F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9F660A7">
            <w:pPr>
              <w:widowControl/>
              <w:rPr>
                <w:rFonts w:hint="eastAsia" w:ascii="宋体" w:hAnsi="宋体" w:cs="宋体"/>
                <w:color w:val="auto"/>
                <w:kern w:val="0"/>
                <w:sz w:val="18"/>
                <w:szCs w:val="18"/>
                <w:highlight w:val="none"/>
              </w:rPr>
            </w:pPr>
          </w:p>
        </w:tc>
      </w:tr>
      <w:tr w14:paraId="6046DC6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7CB88C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021D7C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AE05EA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E8071C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D270046">
            <w:pPr>
              <w:widowControl/>
              <w:rPr>
                <w:rFonts w:hint="eastAsia" w:ascii="宋体" w:hAnsi="宋体" w:cs="宋体"/>
                <w:color w:val="auto"/>
                <w:kern w:val="0"/>
                <w:sz w:val="18"/>
                <w:szCs w:val="18"/>
                <w:highlight w:val="none"/>
              </w:rPr>
            </w:pPr>
          </w:p>
        </w:tc>
      </w:tr>
      <w:tr w14:paraId="2325C13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2DBA39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A86168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3323DF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A606CE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0A49C04">
            <w:pPr>
              <w:widowControl/>
              <w:rPr>
                <w:rFonts w:hint="eastAsia" w:ascii="宋体" w:hAnsi="宋体" w:cs="宋体"/>
                <w:color w:val="auto"/>
                <w:kern w:val="0"/>
                <w:sz w:val="18"/>
                <w:szCs w:val="18"/>
                <w:highlight w:val="none"/>
              </w:rPr>
            </w:pPr>
          </w:p>
        </w:tc>
      </w:tr>
      <w:tr w14:paraId="142ED4A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A4F2BF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FB34A6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B10E51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DADEA4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A676859">
            <w:pPr>
              <w:widowControl/>
              <w:rPr>
                <w:rFonts w:hint="eastAsia" w:ascii="宋体" w:hAnsi="宋体" w:cs="宋体"/>
                <w:color w:val="auto"/>
                <w:kern w:val="0"/>
                <w:sz w:val="18"/>
                <w:szCs w:val="18"/>
                <w:highlight w:val="none"/>
              </w:rPr>
            </w:pPr>
          </w:p>
        </w:tc>
      </w:tr>
      <w:tr w14:paraId="2205F22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6DE122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DDE820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2667FF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971E68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68259E5">
            <w:pPr>
              <w:widowControl/>
              <w:rPr>
                <w:rFonts w:hint="eastAsia" w:ascii="宋体" w:hAnsi="宋体" w:cs="宋体"/>
                <w:color w:val="auto"/>
                <w:kern w:val="0"/>
                <w:sz w:val="18"/>
                <w:szCs w:val="18"/>
                <w:highlight w:val="none"/>
              </w:rPr>
            </w:pPr>
          </w:p>
        </w:tc>
      </w:tr>
      <w:tr w14:paraId="7828D91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CB4E76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12305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7E67DF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6F0FAF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30F81D7">
            <w:pPr>
              <w:widowControl/>
              <w:rPr>
                <w:rFonts w:hint="eastAsia" w:ascii="宋体" w:hAnsi="宋体" w:cs="宋体"/>
                <w:color w:val="auto"/>
                <w:kern w:val="0"/>
                <w:sz w:val="18"/>
                <w:szCs w:val="18"/>
                <w:highlight w:val="none"/>
              </w:rPr>
            </w:pPr>
          </w:p>
        </w:tc>
      </w:tr>
      <w:tr w14:paraId="650C370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D47D57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01E139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DDA297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19914F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09CE87D">
            <w:pPr>
              <w:widowControl/>
              <w:rPr>
                <w:rFonts w:hint="eastAsia" w:ascii="宋体" w:hAnsi="宋体" w:cs="宋体"/>
                <w:color w:val="auto"/>
                <w:kern w:val="0"/>
                <w:sz w:val="18"/>
                <w:szCs w:val="18"/>
                <w:highlight w:val="none"/>
              </w:rPr>
            </w:pPr>
          </w:p>
        </w:tc>
      </w:tr>
      <w:tr w14:paraId="1000BDF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323229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F914B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7D2B60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0C887F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E2C11FE">
            <w:pPr>
              <w:widowControl/>
              <w:rPr>
                <w:rFonts w:hint="eastAsia" w:ascii="宋体" w:hAnsi="宋体" w:cs="宋体"/>
                <w:color w:val="auto"/>
                <w:kern w:val="0"/>
                <w:sz w:val="18"/>
                <w:szCs w:val="18"/>
                <w:highlight w:val="none"/>
              </w:rPr>
            </w:pPr>
          </w:p>
        </w:tc>
      </w:tr>
      <w:tr w14:paraId="790ED17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7BE82F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25A690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EAC38A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EE765C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36BA48B">
            <w:pPr>
              <w:widowControl/>
              <w:rPr>
                <w:rFonts w:hint="eastAsia" w:ascii="宋体" w:hAnsi="宋体" w:cs="宋体"/>
                <w:color w:val="auto"/>
                <w:kern w:val="0"/>
                <w:sz w:val="18"/>
                <w:szCs w:val="18"/>
                <w:highlight w:val="none"/>
              </w:rPr>
            </w:pPr>
          </w:p>
        </w:tc>
      </w:tr>
      <w:tr w14:paraId="434ABEC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626E5E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28F63B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398A02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42433F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2AB5C43">
            <w:pPr>
              <w:widowControl/>
              <w:rPr>
                <w:rFonts w:hint="eastAsia" w:ascii="宋体" w:hAnsi="宋体" w:cs="宋体"/>
                <w:color w:val="auto"/>
                <w:kern w:val="0"/>
                <w:sz w:val="18"/>
                <w:szCs w:val="18"/>
                <w:highlight w:val="none"/>
              </w:rPr>
            </w:pPr>
          </w:p>
        </w:tc>
      </w:tr>
      <w:tr w14:paraId="3B15850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E1309A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974E1A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48639C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190D92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C0254E">
            <w:pPr>
              <w:widowControl/>
              <w:rPr>
                <w:rFonts w:hint="eastAsia" w:ascii="宋体" w:hAnsi="宋体" w:cs="宋体"/>
                <w:color w:val="auto"/>
                <w:kern w:val="0"/>
                <w:sz w:val="18"/>
                <w:szCs w:val="18"/>
                <w:highlight w:val="none"/>
              </w:rPr>
            </w:pPr>
          </w:p>
        </w:tc>
      </w:tr>
      <w:tr w14:paraId="135D20B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C89452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8B2A3F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110134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16CEBC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2511AFE">
            <w:pPr>
              <w:widowControl/>
              <w:rPr>
                <w:rFonts w:hint="eastAsia" w:ascii="宋体" w:hAnsi="宋体" w:cs="宋体"/>
                <w:color w:val="auto"/>
                <w:kern w:val="0"/>
                <w:sz w:val="18"/>
                <w:szCs w:val="18"/>
                <w:highlight w:val="none"/>
              </w:rPr>
            </w:pPr>
          </w:p>
        </w:tc>
      </w:tr>
      <w:tr w14:paraId="36DCE3E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D4E385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35DC69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F11D5C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8FECCE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7098FE1">
            <w:pPr>
              <w:widowControl/>
              <w:rPr>
                <w:rFonts w:hint="eastAsia" w:ascii="宋体" w:hAnsi="宋体" w:cs="宋体"/>
                <w:color w:val="auto"/>
                <w:kern w:val="0"/>
                <w:sz w:val="18"/>
                <w:szCs w:val="18"/>
                <w:highlight w:val="none"/>
              </w:rPr>
            </w:pPr>
          </w:p>
        </w:tc>
      </w:tr>
      <w:tr w14:paraId="3AEC42A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00CFDE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DE19C7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BE4828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7716AF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20C2AD8">
            <w:pPr>
              <w:widowControl/>
              <w:rPr>
                <w:rFonts w:hint="eastAsia" w:ascii="宋体" w:hAnsi="宋体" w:cs="宋体"/>
                <w:color w:val="auto"/>
                <w:kern w:val="0"/>
                <w:sz w:val="18"/>
                <w:szCs w:val="18"/>
                <w:highlight w:val="none"/>
              </w:rPr>
            </w:pPr>
          </w:p>
        </w:tc>
      </w:tr>
      <w:tr w14:paraId="5972B9F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AACD32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2D363D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D42BC5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0FC363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3357A12">
            <w:pPr>
              <w:widowControl/>
              <w:rPr>
                <w:rFonts w:hint="eastAsia" w:ascii="宋体" w:hAnsi="宋体" w:cs="宋体"/>
                <w:color w:val="auto"/>
                <w:kern w:val="0"/>
                <w:sz w:val="18"/>
                <w:szCs w:val="18"/>
                <w:highlight w:val="none"/>
              </w:rPr>
            </w:pPr>
          </w:p>
        </w:tc>
      </w:tr>
      <w:tr w14:paraId="5E74CEB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C6020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0628C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796315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3E5FA3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39FC41F">
            <w:pPr>
              <w:widowControl/>
              <w:rPr>
                <w:rFonts w:hint="eastAsia" w:ascii="宋体" w:hAnsi="宋体" w:cs="宋体"/>
                <w:color w:val="auto"/>
                <w:kern w:val="0"/>
                <w:sz w:val="18"/>
                <w:szCs w:val="18"/>
                <w:highlight w:val="none"/>
              </w:rPr>
            </w:pPr>
          </w:p>
        </w:tc>
      </w:tr>
      <w:tr w14:paraId="5672D9F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FB895B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BF7FD7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3667DD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D1A96C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FF41715">
            <w:pPr>
              <w:widowControl/>
              <w:rPr>
                <w:rFonts w:hint="eastAsia" w:ascii="宋体" w:hAnsi="宋体" w:cs="宋体"/>
                <w:color w:val="auto"/>
                <w:kern w:val="0"/>
                <w:sz w:val="18"/>
                <w:szCs w:val="18"/>
                <w:highlight w:val="none"/>
              </w:rPr>
            </w:pPr>
          </w:p>
        </w:tc>
      </w:tr>
      <w:tr w14:paraId="338C513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01CB71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F84D11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423F22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3AB295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052F5A3">
            <w:pPr>
              <w:widowControl/>
              <w:rPr>
                <w:rFonts w:hint="eastAsia" w:ascii="宋体" w:hAnsi="宋体" w:cs="宋体"/>
                <w:color w:val="auto"/>
                <w:kern w:val="0"/>
                <w:sz w:val="18"/>
                <w:szCs w:val="18"/>
                <w:highlight w:val="none"/>
              </w:rPr>
            </w:pPr>
          </w:p>
        </w:tc>
      </w:tr>
      <w:tr w14:paraId="2F3B211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3085B4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FFF5FA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E2B6FD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BA2FAD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4C67AC">
            <w:pPr>
              <w:widowControl/>
              <w:rPr>
                <w:rFonts w:hint="eastAsia" w:ascii="宋体" w:hAnsi="宋体" w:cs="宋体"/>
                <w:color w:val="auto"/>
                <w:kern w:val="0"/>
                <w:sz w:val="18"/>
                <w:szCs w:val="18"/>
                <w:highlight w:val="none"/>
              </w:rPr>
            </w:pPr>
          </w:p>
        </w:tc>
      </w:tr>
      <w:tr w14:paraId="473CE47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F2305F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2D1D1B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E0AD6F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D79C8E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021C9A6">
            <w:pPr>
              <w:widowControl/>
              <w:rPr>
                <w:rFonts w:hint="eastAsia" w:ascii="宋体" w:hAnsi="宋体" w:cs="宋体"/>
                <w:color w:val="auto"/>
                <w:kern w:val="0"/>
                <w:sz w:val="18"/>
                <w:szCs w:val="18"/>
                <w:highlight w:val="none"/>
              </w:rPr>
            </w:pPr>
          </w:p>
        </w:tc>
      </w:tr>
      <w:tr w14:paraId="03489A6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B98662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F4F205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54250C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EDFB2F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FA8DE0A">
            <w:pPr>
              <w:widowControl/>
              <w:rPr>
                <w:rFonts w:hint="eastAsia" w:ascii="宋体" w:hAnsi="宋体" w:cs="宋体"/>
                <w:color w:val="auto"/>
                <w:kern w:val="0"/>
                <w:sz w:val="18"/>
                <w:szCs w:val="18"/>
                <w:highlight w:val="none"/>
              </w:rPr>
            </w:pPr>
          </w:p>
        </w:tc>
      </w:tr>
      <w:tr w14:paraId="69CAA39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D5A69D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ECA4BF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AA6EF6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1F6D80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A55CAFD">
            <w:pPr>
              <w:widowControl/>
              <w:rPr>
                <w:rFonts w:hint="eastAsia" w:ascii="宋体" w:hAnsi="宋体" w:cs="宋体"/>
                <w:color w:val="auto"/>
                <w:kern w:val="0"/>
                <w:sz w:val="18"/>
                <w:szCs w:val="18"/>
                <w:highlight w:val="none"/>
              </w:rPr>
            </w:pPr>
          </w:p>
        </w:tc>
      </w:tr>
      <w:tr w14:paraId="3B73FBD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5DF1F3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053D92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EDCEE9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DFD01D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4B94907">
            <w:pPr>
              <w:widowControl/>
              <w:rPr>
                <w:rFonts w:hint="eastAsia" w:ascii="宋体" w:hAnsi="宋体" w:cs="宋体"/>
                <w:color w:val="auto"/>
                <w:kern w:val="0"/>
                <w:sz w:val="18"/>
                <w:szCs w:val="18"/>
                <w:highlight w:val="none"/>
              </w:rPr>
            </w:pPr>
          </w:p>
        </w:tc>
      </w:tr>
      <w:tr w14:paraId="711CF59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C1DB60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026063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3D03C9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DE84AF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0A53E34">
            <w:pPr>
              <w:widowControl/>
              <w:rPr>
                <w:rFonts w:hint="eastAsia" w:ascii="宋体" w:hAnsi="宋体" w:cs="宋体"/>
                <w:color w:val="auto"/>
                <w:kern w:val="0"/>
                <w:sz w:val="18"/>
                <w:szCs w:val="18"/>
                <w:highlight w:val="none"/>
              </w:rPr>
            </w:pPr>
          </w:p>
        </w:tc>
      </w:tr>
      <w:tr w14:paraId="6993B4E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67EB1E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095226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53FCDA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424D84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52AFD5">
            <w:pPr>
              <w:widowControl/>
              <w:rPr>
                <w:rFonts w:hint="eastAsia" w:ascii="宋体" w:hAnsi="宋体" w:cs="宋体"/>
                <w:color w:val="auto"/>
                <w:kern w:val="0"/>
                <w:sz w:val="18"/>
                <w:szCs w:val="18"/>
                <w:highlight w:val="none"/>
              </w:rPr>
            </w:pPr>
          </w:p>
        </w:tc>
      </w:tr>
      <w:tr w14:paraId="51A58F3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5582AB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58EE69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C931C9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BC3FD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AB6243B">
            <w:pPr>
              <w:widowControl/>
              <w:rPr>
                <w:rFonts w:hint="eastAsia" w:ascii="宋体" w:hAnsi="宋体" w:cs="宋体"/>
                <w:color w:val="auto"/>
                <w:kern w:val="0"/>
                <w:sz w:val="18"/>
                <w:szCs w:val="18"/>
                <w:highlight w:val="none"/>
              </w:rPr>
            </w:pPr>
          </w:p>
        </w:tc>
      </w:tr>
      <w:tr w14:paraId="6E09A77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E630A3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DE72B3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8442B0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26C900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4827AAB">
            <w:pPr>
              <w:widowControl/>
              <w:rPr>
                <w:rFonts w:hint="eastAsia" w:ascii="宋体" w:hAnsi="宋体" w:cs="宋体"/>
                <w:color w:val="auto"/>
                <w:kern w:val="0"/>
                <w:sz w:val="18"/>
                <w:szCs w:val="18"/>
                <w:highlight w:val="none"/>
              </w:rPr>
            </w:pPr>
          </w:p>
        </w:tc>
      </w:tr>
      <w:tr w14:paraId="21FAD8C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FCB69F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1E6D50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3A05C7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C8529C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4E6EC41">
            <w:pPr>
              <w:widowControl/>
              <w:rPr>
                <w:rFonts w:hint="eastAsia" w:ascii="宋体" w:hAnsi="宋体" w:cs="宋体"/>
                <w:color w:val="auto"/>
                <w:kern w:val="0"/>
                <w:sz w:val="18"/>
                <w:szCs w:val="18"/>
                <w:highlight w:val="none"/>
              </w:rPr>
            </w:pPr>
          </w:p>
        </w:tc>
      </w:tr>
      <w:tr w14:paraId="562D0A2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20B461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FD0DD5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33C7D3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33D32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C4C871B">
            <w:pPr>
              <w:widowControl/>
              <w:rPr>
                <w:rFonts w:hint="eastAsia" w:ascii="宋体" w:hAnsi="宋体" w:cs="宋体"/>
                <w:color w:val="auto"/>
                <w:kern w:val="0"/>
                <w:sz w:val="18"/>
                <w:szCs w:val="18"/>
                <w:highlight w:val="none"/>
              </w:rPr>
            </w:pPr>
          </w:p>
        </w:tc>
      </w:tr>
      <w:tr w14:paraId="5F95522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3714BB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46F509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EA522E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5F80E5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5DD63A3">
            <w:pPr>
              <w:widowControl/>
              <w:rPr>
                <w:rFonts w:hint="eastAsia" w:ascii="宋体" w:hAnsi="宋体" w:cs="宋体"/>
                <w:color w:val="auto"/>
                <w:kern w:val="0"/>
                <w:sz w:val="18"/>
                <w:szCs w:val="18"/>
                <w:highlight w:val="none"/>
              </w:rPr>
            </w:pPr>
          </w:p>
        </w:tc>
      </w:tr>
      <w:tr w14:paraId="22917B1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029501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D2F291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A4B250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3364B0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94D2B99">
            <w:pPr>
              <w:widowControl/>
              <w:rPr>
                <w:rFonts w:hint="eastAsia" w:ascii="宋体" w:hAnsi="宋体" w:cs="宋体"/>
                <w:color w:val="auto"/>
                <w:kern w:val="0"/>
                <w:sz w:val="18"/>
                <w:szCs w:val="18"/>
                <w:highlight w:val="none"/>
              </w:rPr>
            </w:pPr>
          </w:p>
        </w:tc>
      </w:tr>
      <w:tr w14:paraId="7D221BD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9CB72C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DD7526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F94342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56E553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9DEA758">
            <w:pPr>
              <w:widowControl/>
              <w:rPr>
                <w:rFonts w:hint="eastAsia" w:ascii="宋体" w:hAnsi="宋体" w:cs="宋体"/>
                <w:color w:val="auto"/>
                <w:kern w:val="0"/>
                <w:sz w:val="18"/>
                <w:szCs w:val="18"/>
                <w:highlight w:val="none"/>
              </w:rPr>
            </w:pPr>
          </w:p>
        </w:tc>
      </w:tr>
      <w:tr w14:paraId="6DCCD58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05F36A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83F173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FEAA73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0C3151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EDE780E">
            <w:pPr>
              <w:widowControl/>
              <w:rPr>
                <w:rFonts w:hint="eastAsia" w:ascii="宋体" w:hAnsi="宋体" w:cs="宋体"/>
                <w:color w:val="auto"/>
                <w:kern w:val="0"/>
                <w:sz w:val="18"/>
                <w:szCs w:val="18"/>
                <w:highlight w:val="none"/>
              </w:rPr>
            </w:pPr>
          </w:p>
        </w:tc>
      </w:tr>
      <w:tr w14:paraId="66A51BA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567BE0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18D287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C8B949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93BB29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CE3899D">
            <w:pPr>
              <w:widowControl/>
              <w:rPr>
                <w:rFonts w:hint="eastAsia" w:ascii="宋体" w:hAnsi="宋体" w:cs="宋体"/>
                <w:color w:val="auto"/>
                <w:kern w:val="0"/>
                <w:sz w:val="18"/>
                <w:szCs w:val="18"/>
                <w:highlight w:val="none"/>
              </w:rPr>
            </w:pPr>
          </w:p>
        </w:tc>
      </w:tr>
      <w:tr w14:paraId="0CF154C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1379E8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D0653C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DB294D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4070FD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98DE7C">
            <w:pPr>
              <w:widowControl/>
              <w:rPr>
                <w:rFonts w:hint="eastAsia" w:ascii="宋体" w:hAnsi="宋体" w:cs="宋体"/>
                <w:color w:val="auto"/>
                <w:kern w:val="0"/>
                <w:sz w:val="18"/>
                <w:szCs w:val="18"/>
                <w:highlight w:val="none"/>
              </w:rPr>
            </w:pPr>
          </w:p>
        </w:tc>
      </w:tr>
      <w:tr w14:paraId="17724EB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32F9B5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4BC9D1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659ADA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51EE6B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E4B10B9">
            <w:pPr>
              <w:widowControl/>
              <w:rPr>
                <w:rFonts w:hint="eastAsia" w:ascii="宋体" w:hAnsi="宋体" w:cs="宋体"/>
                <w:color w:val="auto"/>
                <w:kern w:val="0"/>
                <w:sz w:val="18"/>
                <w:szCs w:val="18"/>
                <w:highlight w:val="none"/>
              </w:rPr>
            </w:pPr>
          </w:p>
        </w:tc>
      </w:tr>
      <w:tr w14:paraId="07F085C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D22958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DFD684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CA0D2D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609D65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CB79CCC">
            <w:pPr>
              <w:widowControl/>
              <w:rPr>
                <w:rFonts w:hint="eastAsia" w:ascii="宋体" w:hAnsi="宋体" w:cs="宋体"/>
                <w:color w:val="auto"/>
                <w:kern w:val="0"/>
                <w:sz w:val="18"/>
                <w:szCs w:val="18"/>
                <w:highlight w:val="none"/>
              </w:rPr>
            </w:pPr>
          </w:p>
        </w:tc>
      </w:tr>
      <w:tr w14:paraId="598472A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50917F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CB5BDB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23E6A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7472EE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8568D11">
            <w:pPr>
              <w:widowControl/>
              <w:rPr>
                <w:rFonts w:hint="eastAsia" w:ascii="宋体" w:hAnsi="宋体" w:cs="宋体"/>
                <w:color w:val="auto"/>
                <w:kern w:val="0"/>
                <w:sz w:val="18"/>
                <w:szCs w:val="18"/>
                <w:highlight w:val="none"/>
              </w:rPr>
            </w:pPr>
          </w:p>
        </w:tc>
      </w:tr>
      <w:tr w14:paraId="70D3A99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A80083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9866FD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A312C5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94BF35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826775">
            <w:pPr>
              <w:widowControl/>
              <w:rPr>
                <w:rFonts w:hint="eastAsia" w:ascii="宋体" w:hAnsi="宋体" w:cs="宋体"/>
                <w:color w:val="auto"/>
                <w:kern w:val="0"/>
                <w:sz w:val="18"/>
                <w:szCs w:val="18"/>
                <w:highlight w:val="none"/>
              </w:rPr>
            </w:pPr>
          </w:p>
        </w:tc>
      </w:tr>
      <w:tr w14:paraId="010F0E6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0884FD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504F13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94BB15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8A3A42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620C512">
            <w:pPr>
              <w:widowControl/>
              <w:rPr>
                <w:rFonts w:hint="eastAsia" w:ascii="宋体" w:hAnsi="宋体" w:cs="宋体"/>
                <w:color w:val="auto"/>
                <w:kern w:val="0"/>
                <w:sz w:val="18"/>
                <w:szCs w:val="18"/>
                <w:highlight w:val="none"/>
              </w:rPr>
            </w:pPr>
          </w:p>
        </w:tc>
      </w:tr>
      <w:tr w14:paraId="03ED73E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07C358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1BC07A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A56D40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9E624E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AC0947F">
            <w:pPr>
              <w:widowControl/>
              <w:rPr>
                <w:rFonts w:hint="eastAsia" w:ascii="宋体" w:hAnsi="宋体" w:cs="宋体"/>
                <w:color w:val="auto"/>
                <w:kern w:val="0"/>
                <w:sz w:val="18"/>
                <w:szCs w:val="18"/>
                <w:highlight w:val="none"/>
              </w:rPr>
            </w:pPr>
          </w:p>
        </w:tc>
      </w:tr>
      <w:tr w14:paraId="5687034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4EDA72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87F070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50140C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EDB5A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03127B1">
            <w:pPr>
              <w:widowControl/>
              <w:rPr>
                <w:rFonts w:hint="eastAsia" w:ascii="宋体" w:hAnsi="宋体" w:cs="宋体"/>
                <w:color w:val="auto"/>
                <w:kern w:val="0"/>
                <w:sz w:val="18"/>
                <w:szCs w:val="18"/>
                <w:highlight w:val="none"/>
              </w:rPr>
            </w:pPr>
          </w:p>
        </w:tc>
      </w:tr>
      <w:tr w14:paraId="7B8526E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2A16B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6DC916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3F2E34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80F3BD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193DA13">
            <w:pPr>
              <w:widowControl/>
              <w:rPr>
                <w:rFonts w:hint="eastAsia" w:ascii="宋体" w:hAnsi="宋体" w:cs="宋体"/>
                <w:color w:val="auto"/>
                <w:kern w:val="0"/>
                <w:sz w:val="18"/>
                <w:szCs w:val="18"/>
                <w:highlight w:val="none"/>
              </w:rPr>
            </w:pPr>
          </w:p>
        </w:tc>
      </w:tr>
      <w:tr w14:paraId="620F7D0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1153CB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003035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64BC0E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F46EF2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0FA0AD8">
            <w:pPr>
              <w:widowControl/>
              <w:rPr>
                <w:rFonts w:hint="eastAsia" w:ascii="宋体" w:hAnsi="宋体" w:cs="宋体"/>
                <w:color w:val="auto"/>
                <w:kern w:val="0"/>
                <w:sz w:val="18"/>
                <w:szCs w:val="18"/>
                <w:highlight w:val="none"/>
              </w:rPr>
            </w:pPr>
          </w:p>
        </w:tc>
      </w:tr>
      <w:tr w14:paraId="0B54A98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F18D79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1B87C1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3EB5A1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B4A562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0082831">
            <w:pPr>
              <w:widowControl/>
              <w:rPr>
                <w:rFonts w:hint="eastAsia" w:ascii="宋体" w:hAnsi="宋体" w:cs="宋体"/>
                <w:color w:val="auto"/>
                <w:kern w:val="0"/>
                <w:sz w:val="18"/>
                <w:szCs w:val="18"/>
                <w:highlight w:val="none"/>
              </w:rPr>
            </w:pPr>
          </w:p>
        </w:tc>
      </w:tr>
      <w:tr w14:paraId="12B401E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8EF764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9411BE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DAC43F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9A3EFC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A81BA3">
            <w:pPr>
              <w:widowControl/>
              <w:rPr>
                <w:rFonts w:hint="eastAsia" w:ascii="宋体" w:hAnsi="宋体" w:cs="宋体"/>
                <w:color w:val="auto"/>
                <w:kern w:val="0"/>
                <w:sz w:val="18"/>
                <w:szCs w:val="18"/>
                <w:highlight w:val="none"/>
              </w:rPr>
            </w:pPr>
          </w:p>
        </w:tc>
      </w:tr>
      <w:tr w14:paraId="1E78773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A8D555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5EA049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37AA10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6BD787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DC1D3C5">
            <w:pPr>
              <w:widowControl/>
              <w:rPr>
                <w:rFonts w:hint="eastAsia" w:ascii="宋体" w:hAnsi="宋体" w:cs="宋体"/>
                <w:color w:val="auto"/>
                <w:kern w:val="0"/>
                <w:sz w:val="18"/>
                <w:szCs w:val="18"/>
                <w:highlight w:val="none"/>
              </w:rPr>
            </w:pPr>
          </w:p>
        </w:tc>
      </w:tr>
      <w:tr w14:paraId="5D0C98D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636E57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DCAD63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E13FB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49888B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1D1BE76">
            <w:pPr>
              <w:widowControl/>
              <w:rPr>
                <w:rFonts w:hint="eastAsia" w:ascii="宋体" w:hAnsi="宋体" w:cs="宋体"/>
                <w:color w:val="auto"/>
                <w:kern w:val="0"/>
                <w:sz w:val="18"/>
                <w:szCs w:val="18"/>
                <w:highlight w:val="none"/>
              </w:rPr>
            </w:pPr>
          </w:p>
        </w:tc>
      </w:tr>
      <w:tr w14:paraId="70A7AC4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916A1D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ED147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5892AC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580967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F40ABCE">
            <w:pPr>
              <w:widowControl/>
              <w:rPr>
                <w:rFonts w:hint="eastAsia" w:ascii="宋体" w:hAnsi="宋体" w:cs="宋体"/>
                <w:color w:val="auto"/>
                <w:kern w:val="0"/>
                <w:sz w:val="18"/>
                <w:szCs w:val="18"/>
                <w:highlight w:val="none"/>
              </w:rPr>
            </w:pPr>
          </w:p>
        </w:tc>
      </w:tr>
      <w:tr w14:paraId="3F24602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79AC6E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A8711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64C22E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B16E83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647817B">
            <w:pPr>
              <w:widowControl/>
              <w:rPr>
                <w:rFonts w:hint="eastAsia" w:ascii="宋体" w:hAnsi="宋体" w:cs="宋体"/>
                <w:color w:val="auto"/>
                <w:kern w:val="0"/>
                <w:sz w:val="18"/>
                <w:szCs w:val="18"/>
                <w:highlight w:val="none"/>
              </w:rPr>
            </w:pPr>
          </w:p>
        </w:tc>
      </w:tr>
      <w:tr w14:paraId="6611F16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0899E4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F88A1C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CF9C6E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15EE6B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3B58A4">
            <w:pPr>
              <w:widowControl/>
              <w:rPr>
                <w:rFonts w:hint="eastAsia" w:ascii="宋体" w:hAnsi="宋体" w:cs="宋体"/>
                <w:color w:val="auto"/>
                <w:kern w:val="0"/>
                <w:sz w:val="18"/>
                <w:szCs w:val="18"/>
                <w:highlight w:val="none"/>
              </w:rPr>
            </w:pPr>
          </w:p>
        </w:tc>
      </w:tr>
      <w:tr w14:paraId="31606F0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E3D80C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986643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6762A1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379F3B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D451DF8">
            <w:pPr>
              <w:widowControl/>
              <w:rPr>
                <w:rFonts w:hint="eastAsia" w:ascii="宋体" w:hAnsi="宋体" w:cs="宋体"/>
                <w:color w:val="auto"/>
                <w:kern w:val="0"/>
                <w:sz w:val="18"/>
                <w:szCs w:val="18"/>
                <w:highlight w:val="none"/>
              </w:rPr>
            </w:pPr>
          </w:p>
        </w:tc>
      </w:tr>
      <w:tr w14:paraId="4D55590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F8CB36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AC27E3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809751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11CDDF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119C936">
            <w:pPr>
              <w:widowControl/>
              <w:rPr>
                <w:rFonts w:hint="eastAsia" w:ascii="宋体" w:hAnsi="宋体" w:cs="宋体"/>
                <w:color w:val="auto"/>
                <w:kern w:val="0"/>
                <w:sz w:val="18"/>
                <w:szCs w:val="18"/>
                <w:highlight w:val="none"/>
              </w:rPr>
            </w:pPr>
          </w:p>
        </w:tc>
      </w:tr>
      <w:tr w14:paraId="410DA30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6D16F6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F375E1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FD517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453593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E172E96">
            <w:pPr>
              <w:widowControl/>
              <w:rPr>
                <w:rFonts w:hint="eastAsia" w:ascii="宋体" w:hAnsi="宋体" w:cs="宋体"/>
                <w:color w:val="auto"/>
                <w:kern w:val="0"/>
                <w:sz w:val="18"/>
                <w:szCs w:val="18"/>
                <w:highlight w:val="none"/>
              </w:rPr>
            </w:pPr>
          </w:p>
        </w:tc>
      </w:tr>
      <w:tr w14:paraId="32A037B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534E46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10D674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AEF718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717644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D746C6A">
            <w:pPr>
              <w:widowControl/>
              <w:rPr>
                <w:rFonts w:hint="eastAsia" w:ascii="宋体" w:hAnsi="宋体" w:cs="宋体"/>
                <w:color w:val="auto"/>
                <w:kern w:val="0"/>
                <w:sz w:val="18"/>
                <w:szCs w:val="18"/>
                <w:highlight w:val="none"/>
              </w:rPr>
            </w:pPr>
          </w:p>
        </w:tc>
      </w:tr>
      <w:tr w14:paraId="64E453E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115EAE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9CDB15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E1DD44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15BD1C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745A1D8">
            <w:pPr>
              <w:widowControl/>
              <w:rPr>
                <w:rFonts w:hint="eastAsia" w:ascii="宋体" w:hAnsi="宋体" w:cs="宋体"/>
                <w:color w:val="auto"/>
                <w:kern w:val="0"/>
                <w:sz w:val="18"/>
                <w:szCs w:val="18"/>
                <w:highlight w:val="none"/>
              </w:rPr>
            </w:pPr>
          </w:p>
        </w:tc>
      </w:tr>
      <w:tr w14:paraId="5D14DD6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32F9FA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FE85B1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30DD09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290CEB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86E72AA">
            <w:pPr>
              <w:widowControl/>
              <w:rPr>
                <w:rFonts w:hint="eastAsia" w:ascii="宋体" w:hAnsi="宋体" w:cs="宋体"/>
                <w:color w:val="auto"/>
                <w:kern w:val="0"/>
                <w:sz w:val="18"/>
                <w:szCs w:val="18"/>
                <w:highlight w:val="none"/>
              </w:rPr>
            </w:pPr>
          </w:p>
        </w:tc>
      </w:tr>
      <w:tr w14:paraId="1BAE34D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856FF7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3C80FD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A1ED39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49F633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BB9CCB9">
            <w:pPr>
              <w:widowControl/>
              <w:rPr>
                <w:rFonts w:hint="eastAsia" w:ascii="宋体" w:hAnsi="宋体" w:cs="宋体"/>
                <w:color w:val="auto"/>
                <w:kern w:val="0"/>
                <w:sz w:val="18"/>
                <w:szCs w:val="18"/>
                <w:highlight w:val="none"/>
              </w:rPr>
            </w:pPr>
          </w:p>
        </w:tc>
      </w:tr>
      <w:tr w14:paraId="5CC3EAD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22DA15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1B0FA8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3061DF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3EC362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08850DD">
            <w:pPr>
              <w:widowControl/>
              <w:rPr>
                <w:rFonts w:hint="eastAsia" w:ascii="宋体" w:hAnsi="宋体" w:cs="宋体"/>
                <w:color w:val="auto"/>
                <w:kern w:val="0"/>
                <w:sz w:val="18"/>
                <w:szCs w:val="18"/>
                <w:highlight w:val="none"/>
              </w:rPr>
            </w:pPr>
          </w:p>
        </w:tc>
      </w:tr>
      <w:tr w14:paraId="4CD4B12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290989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FD1E9E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E2A598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FD3A5C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F1FF0D7">
            <w:pPr>
              <w:widowControl/>
              <w:rPr>
                <w:rFonts w:hint="eastAsia" w:ascii="宋体" w:hAnsi="宋体" w:cs="宋体"/>
                <w:color w:val="auto"/>
                <w:kern w:val="0"/>
                <w:sz w:val="18"/>
                <w:szCs w:val="18"/>
                <w:highlight w:val="none"/>
              </w:rPr>
            </w:pPr>
          </w:p>
        </w:tc>
      </w:tr>
      <w:tr w14:paraId="24D6C0F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ABC5D0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795485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27330C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866454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565866A">
            <w:pPr>
              <w:widowControl/>
              <w:rPr>
                <w:rFonts w:hint="eastAsia" w:ascii="宋体" w:hAnsi="宋体" w:cs="宋体"/>
                <w:color w:val="auto"/>
                <w:kern w:val="0"/>
                <w:sz w:val="18"/>
                <w:szCs w:val="18"/>
                <w:highlight w:val="none"/>
              </w:rPr>
            </w:pPr>
          </w:p>
        </w:tc>
      </w:tr>
      <w:tr w14:paraId="46DFBB6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54C638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BAD249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F525A3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3C9649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1C6DC77">
            <w:pPr>
              <w:widowControl/>
              <w:rPr>
                <w:rFonts w:hint="eastAsia" w:ascii="宋体" w:hAnsi="宋体" w:cs="宋体"/>
                <w:color w:val="auto"/>
                <w:kern w:val="0"/>
                <w:sz w:val="18"/>
                <w:szCs w:val="18"/>
                <w:highlight w:val="none"/>
              </w:rPr>
            </w:pPr>
          </w:p>
        </w:tc>
      </w:tr>
      <w:tr w14:paraId="7AC3267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F0C5D7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CEEEF3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691F05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12AC00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6F8DECC">
            <w:pPr>
              <w:widowControl/>
              <w:rPr>
                <w:rFonts w:hint="eastAsia" w:ascii="宋体" w:hAnsi="宋体" w:cs="宋体"/>
                <w:color w:val="auto"/>
                <w:kern w:val="0"/>
                <w:sz w:val="18"/>
                <w:szCs w:val="18"/>
                <w:highlight w:val="none"/>
              </w:rPr>
            </w:pPr>
          </w:p>
        </w:tc>
      </w:tr>
      <w:tr w14:paraId="09BBF86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919FD9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30A3C4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F57112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216E78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613307B">
            <w:pPr>
              <w:widowControl/>
              <w:rPr>
                <w:rFonts w:hint="eastAsia" w:ascii="宋体" w:hAnsi="宋体" w:cs="宋体"/>
                <w:color w:val="auto"/>
                <w:kern w:val="0"/>
                <w:sz w:val="18"/>
                <w:szCs w:val="18"/>
                <w:highlight w:val="none"/>
              </w:rPr>
            </w:pPr>
          </w:p>
        </w:tc>
      </w:tr>
      <w:tr w14:paraId="713A61C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3B2A44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12F4B3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2C6B9E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3AEBB7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D763048">
            <w:pPr>
              <w:widowControl/>
              <w:rPr>
                <w:rFonts w:hint="eastAsia" w:ascii="宋体" w:hAnsi="宋体" w:cs="宋体"/>
                <w:color w:val="auto"/>
                <w:kern w:val="0"/>
                <w:sz w:val="18"/>
                <w:szCs w:val="18"/>
                <w:highlight w:val="none"/>
              </w:rPr>
            </w:pPr>
          </w:p>
        </w:tc>
      </w:tr>
      <w:tr w14:paraId="47BB630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9D7591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4BB789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7A8C0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E4B6A6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D1556AF">
            <w:pPr>
              <w:widowControl/>
              <w:rPr>
                <w:rFonts w:hint="eastAsia" w:ascii="宋体" w:hAnsi="宋体" w:cs="宋体"/>
                <w:color w:val="auto"/>
                <w:kern w:val="0"/>
                <w:sz w:val="18"/>
                <w:szCs w:val="18"/>
                <w:highlight w:val="none"/>
              </w:rPr>
            </w:pPr>
          </w:p>
        </w:tc>
      </w:tr>
      <w:tr w14:paraId="24E00C6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1C2ECC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EC19F9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8F41E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D2937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90C9F2A">
            <w:pPr>
              <w:widowControl/>
              <w:rPr>
                <w:rFonts w:hint="eastAsia" w:ascii="宋体" w:hAnsi="宋体" w:cs="宋体"/>
                <w:color w:val="auto"/>
                <w:kern w:val="0"/>
                <w:sz w:val="18"/>
                <w:szCs w:val="18"/>
                <w:highlight w:val="none"/>
              </w:rPr>
            </w:pPr>
          </w:p>
        </w:tc>
      </w:tr>
      <w:tr w14:paraId="2795D93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89239D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9E15F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0B8C73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FB507C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DE29EA3">
            <w:pPr>
              <w:widowControl/>
              <w:rPr>
                <w:rFonts w:hint="eastAsia" w:ascii="宋体" w:hAnsi="宋体" w:cs="宋体"/>
                <w:color w:val="auto"/>
                <w:kern w:val="0"/>
                <w:sz w:val="18"/>
                <w:szCs w:val="18"/>
                <w:highlight w:val="none"/>
              </w:rPr>
            </w:pPr>
          </w:p>
        </w:tc>
      </w:tr>
      <w:tr w14:paraId="64321D6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BF9A5F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B5FDD0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6F2811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32FCA4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CAE8C66">
            <w:pPr>
              <w:widowControl/>
              <w:rPr>
                <w:rFonts w:hint="eastAsia" w:ascii="宋体" w:hAnsi="宋体" w:cs="宋体"/>
                <w:color w:val="auto"/>
                <w:kern w:val="0"/>
                <w:sz w:val="18"/>
                <w:szCs w:val="18"/>
                <w:highlight w:val="none"/>
              </w:rPr>
            </w:pPr>
          </w:p>
        </w:tc>
      </w:tr>
      <w:tr w14:paraId="280CDA0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DA5DEB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FA4A27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010729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649974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1279909">
            <w:pPr>
              <w:widowControl/>
              <w:rPr>
                <w:rFonts w:hint="eastAsia" w:ascii="宋体" w:hAnsi="宋体" w:cs="宋体"/>
                <w:color w:val="auto"/>
                <w:kern w:val="0"/>
                <w:sz w:val="18"/>
                <w:szCs w:val="18"/>
                <w:highlight w:val="none"/>
              </w:rPr>
            </w:pPr>
          </w:p>
        </w:tc>
      </w:tr>
      <w:tr w14:paraId="7A2F50F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11B702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D28677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6EC7F1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DF32E7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898A685">
            <w:pPr>
              <w:widowControl/>
              <w:rPr>
                <w:rFonts w:hint="eastAsia" w:ascii="宋体" w:hAnsi="宋体" w:cs="宋体"/>
                <w:color w:val="auto"/>
                <w:kern w:val="0"/>
                <w:sz w:val="18"/>
                <w:szCs w:val="18"/>
                <w:highlight w:val="none"/>
              </w:rPr>
            </w:pPr>
          </w:p>
        </w:tc>
      </w:tr>
      <w:tr w14:paraId="2F742CF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344F32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CC571B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B5CB86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1B4096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0C83ABA">
            <w:pPr>
              <w:widowControl/>
              <w:rPr>
                <w:rFonts w:hint="eastAsia" w:ascii="宋体" w:hAnsi="宋体" w:cs="宋体"/>
                <w:color w:val="auto"/>
                <w:kern w:val="0"/>
                <w:sz w:val="18"/>
                <w:szCs w:val="18"/>
                <w:highlight w:val="none"/>
              </w:rPr>
            </w:pPr>
          </w:p>
        </w:tc>
      </w:tr>
      <w:tr w14:paraId="4B7136B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B88D57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D4E7B7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B643C5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88A65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FD6F53C">
            <w:pPr>
              <w:widowControl/>
              <w:rPr>
                <w:rFonts w:hint="eastAsia" w:ascii="宋体" w:hAnsi="宋体" w:cs="宋体"/>
                <w:color w:val="auto"/>
                <w:kern w:val="0"/>
                <w:sz w:val="18"/>
                <w:szCs w:val="18"/>
                <w:highlight w:val="none"/>
              </w:rPr>
            </w:pPr>
          </w:p>
        </w:tc>
      </w:tr>
      <w:tr w14:paraId="2A4950F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9CBA82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F3C3D7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D112E8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0964C5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3A842BE">
            <w:pPr>
              <w:widowControl/>
              <w:rPr>
                <w:rFonts w:hint="eastAsia" w:ascii="宋体" w:hAnsi="宋体" w:cs="宋体"/>
                <w:color w:val="auto"/>
                <w:kern w:val="0"/>
                <w:sz w:val="18"/>
                <w:szCs w:val="18"/>
                <w:highlight w:val="none"/>
              </w:rPr>
            </w:pPr>
          </w:p>
        </w:tc>
      </w:tr>
      <w:tr w14:paraId="6B5B56E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926262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73E1D3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7A6D87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AAD7C8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1646919">
            <w:pPr>
              <w:widowControl/>
              <w:rPr>
                <w:rFonts w:hint="eastAsia" w:ascii="宋体" w:hAnsi="宋体" w:cs="宋体"/>
                <w:color w:val="auto"/>
                <w:kern w:val="0"/>
                <w:sz w:val="18"/>
                <w:szCs w:val="18"/>
                <w:highlight w:val="none"/>
              </w:rPr>
            </w:pPr>
          </w:p>
        </w:tc>
      </w:tr>
      <w:tr w14:paraId="43778B6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02042B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324A85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E3E580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878739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31B4D8D">
            <w:pPr>
              <w:widowControl/>
              <w:rPr>
                <w:rFonts w:hint="eastAsia" w:ascii="宋体" w:hAnsi="宋体" w:cs="宋体"/>
                <w:color w:val="auto"/>
                <w:kern w:val="0"/>
                <w:sz w:val="18"/>
                <w:szCs w:val="18"/>
                <w:highlight w:val="none"/>
              </w:rPr>
            </w:pPr>
          </w:p>
        </w:tc>
      </w:tr>
      <w:tr w14:paraId="0240488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95DED2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6F9EDB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A7FA11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1F1C79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A813085">
            <w:pPr>
              <w:widowControl/>
              <w:rPr>
                <w:rFonts w:hint="eastAsia" w:ascii="宋体" w:hAnsi="宋体" w:cs="宋体"/>
                <w:color w:val="auto"/>
                <w:kern w:val="0"/>
                <w:sz w:val="18"/>
                <w:szCs w:val="18"/>
                <w:highlight w:val="none"/>
              </w:rPr>
            </w:pPr>
          </w:p>
        </w:tc>
      </w:tr>
      <w:tr w14:paraId="4BD15C9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5022AC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6B89E9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6BBF6B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60B61F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EEA238E">
            <w:pPr>
              <w:widowControl/>
              <w:rPr>
                <w:rFonts w:hint="eastAsia" w:ascii="宋体" w:hAnsi="宋体" w:cs="宋体"/>
                <w:color w:val="auto"/>
                <w:kern w:val="0"/>
                <w:sz w:val="18"/>
                <w:szCs w:val="18"/>
                <w:highlight w:val="none"/>
              </w:rPr>
            </w:pPr>
          </w:p>
        </w:tc>
      </w:tr>
      <w:tr w14:paraId="0D59C21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90783C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EBB83B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3DFA6A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617F24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D370C57">
            <w:pPr>
              <w:widowControl/>
              <w:rPr>
                <w:rFonts w:hint="eastAsia" w:ascii="宋体" w:hAnsi="宋体" w:cs="宋体"/>
                <w:color w:val="auto"/>
                <w:kern w:val="0"/>
                <w:sz w:val="18"/>
                <w:szCs w:val="18"/>
                <w:highlight w:val="none"/>
              </w:rPr>
            </w:pPr>
          </w:p>
        </w:tc>
      </w:tr>
      <w:tr w14:paraId="1D9B1FB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0E6D2F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670944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2746AD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797DED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4D3B06B">
            <w:pPr>
              <w:widowControl/>
              <w:rPr>
                <w:rFonts w:hint="eastAsia" w:ascii="宋体" w:hAnsi="宋体" w:cs="宋体"/>
                <w:color w:val="auto"/>
                <w:kern w:val="0"/>
                <w:sz w:val="18"/>
                <w:szCs w:val="18"/>
                <w:highlight w:val="none"/>
              </w:rPr>
            </w:pPr>
          </w:p>
        </w:tc>
      </w:tr>
      <w:tr w14:paraId="798CA1A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04B47E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0A8294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74239B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9EF5A0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41B1242">
            <w:pPr>
              <w:widowControl/>
              <w:rPr>
                <w:rFonts w:hint="eastAsia" w:ascii="宋体" w:hAnsi="宋体" w:cs="宋体"/>
                <w:color w:val="auto"/>
                <w:kern w:val="0"/>
                <w:sz w:val="18"/>
                <w:szCs w:val="18"/>
                <w:highlight w:val="none"/>
              </w:rPr>
            </w:pPr>
          </w:p>
        </w:tc>
      </w:tr>
      <w:tr w14:paraId="7BFD855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750539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0EEF75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233335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58504E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B0B49C">
            <w:pPr>
              <w:widowControl/>
              <w:rPr>
                <w:rFonts w:hint="eastAsia" w:ascii="宋体" w:hAnsi="宋体" w:cs="宋体"/>
                <w:color w:val="auto"/>
                <w:kern w:val="0"/>
                <w:sz w:val="18"/>
                <w:szCs w:val="18"/>
                <w:highlight w:val="none"/>
              </w:rPr>
            </w:pPr>
          </w:p>
        </w:tc>
      </w:tr>
      <w:tr w14:paraId="43A1457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292F77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F61293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AA4A91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64F141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EB93FDE">
            <w:pPr>
              <w:widowControl/>
              <w:rPr>
                <w:rFonts w:hint="eastAsia" w:ascii="宋体" w:hAnsi="宋体" w:cs="宋体"/>
                <w:color w:val="auto"/>
                <w:kern w:val="0"/>
                <w:sz w:val="18"/>
                <w:szCs w:val="18"/>
                <w:highlight w:val="none"/>
              </w:rPr>
            </w:pPr>
          </w:p>
        </w:tc>
      </w:tr>
      <w:tr w14:paraId="1013C91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5A7857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588405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C200F4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B0B5F0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91E2C4E">
            <w:pPr>
              <w:widowControl/>
              <w:rPr>
                <w:rFonts w:hint="eastAsia" w:ascii="宋体" w:hAnsi="宋体" w:cs="宋体"/>
                <w:color w:val="auto"/>
                <w:kern w:val="0"/>
                <w:sz w:val="18"/>
                <w:szCs w:val="18"/>
                <w:highlight w:val="none"/>
              </w:rPr>
            </w:pPr>
          </w:p>
        </w:tc>
      </w:tr>
      <w:tr w14:paraId="5407968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455C86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E88A42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234B27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6B16C9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00E9A57">
            <w:pPr>
              <w:widowControl/>
              <w:rPr>
                <w:rFonts w:hint="eastAsia" w:ascii="宋体" w:hAnsi="宋体" w:cs="宋体"/>
                <w:color w:val="auto"/>
                <w:kern w:val="0"/>
                <w:sz w:val="18"/>
                <w:szCs w:val="18"/>
                <w:highlight w:val="none"/>
              </w:rPr>
            </w:pPr>
          </w:p>
        </w:tc>
      </w:tr>
      <w:tr w14:paraId="76697D6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FAD7EE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893F96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83CA72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4A8A8F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4FB80F8">
            <w:pPr>
              <w:widowControl/>
              <w:rPr>
                <w:rFonts w:hint="eastAsia" w:ascii="宋体" w:hAnsi="宋体" w:cs="宋体"/>
                <w:color w:val="auto"/>
                <w:kern w:val="0"/>
                <w:sz w:val="18"/>
                <w:szCs w:val="18"/>
                <w:highlight w:val="none"/>
              </w:rPr>
            </w:pPr>
          </w:p>
        </w:tc>
      </w:tr>
      <w:tr w14:paraId="5D38A27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BF855E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F6968D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76744A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6DBDB3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082A5EC">
            <w:pPr>
              <w:widowControl/>
              <w:rPr>
                <w:rFonts w:hint="eastAsia" w:ascii="宋体" w:hAnsi="宋体" w:cs="宋体"/>
                <w:color w:val="auto"/>
                <w:kern w:val="0"/>
                <w:sz w:val="18"/>
                <w:szCs w:val="18"/>
                <w:highlight w:val="none"/>
              </w:rPr>
            </w:pPr>
          </w:p>
        </w:tc>
      </w:tr>
      <w:tr w14:paraId="6C427E6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22D076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6F0FA1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7FD050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C6D17E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73A9B64">
            <w:pPr>
              <w:widowControl/>
              <w:rPr>
                <w:rFonts w:hint="eastAsia" w:ascii="宋体" w:hAnsi="宋体" w:cs="宋体"/>
                <w:color w:val="auto"/>
                <w:kern w:val="0"/>
                <w:sz w:val="18"/>
                <w:szCs w:val="18"/>
                <w:highlight w:val="none"/>
              </w:rPr>
            </w:pPr>
          </w:p>
        </w:tc>
      </w:tr>
      <w:tr w14:paraId="0993483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58E9D9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C89F05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196D3E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A37015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2CC0CD2">
            <w:pPr>
              <w:widowControl/>
              <w:rPr>
                <w:rFonts w:hint="eastAsia" w:ascii="宋体" w:hAnsi="宋体" w:cs="宋体"/>
                <w:color w:val="auto"/>
                <w:kern w:val="0"/>
                <w:sz w:val="18"/>
                <w:szCs w:val="18"/>
                <w:highlight w:val="none"/>
              </w:rPr>
            </w:pPr>
          </w:p>
        </w:tc>
      </w:tr>
      <w:tr w14:paraId="164DD01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98BA9A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98DC31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5C5D16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2EAB85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210E93C">
            <w:pPr>
              <w:widowControl/>
              <w:rPr>
                <w:rFonts w:hint="eastAsia" w:ascii="宋体" w:hAnsi="宋体" w:cs="宋体"/>
                <w:color w:val="auto"/>
                <w:kern w:val="0"/>
                <w:sz w:val="18"/>
                <w:szCs w:val="18"/>
                <w:highlight w:val="none"/>
              </w:rPr>
            </w:pPr>
          </w:p>
        </w:tc>
      </w:tr>
      <w:tr w14:paraId="61B3C92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035145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7DF3D8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2AAB37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ED4477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8BFE1A5">
            <w:pPr>
              <w:widowControl/>
              <w:rPr>
                <w:rFonts w:hint="eastAsia" w:ascii="宋体" w:hAnsi="宋体" w:cs="宋体"/>
                <w:color w:val="auto"/>
                <w:kern w:val="0"/>
                <w:sz w:val="18"/>
                <w:szCs w:val="18"/>
                <w:highlight w:val="none"/>
              </w:rPr>
            </w:pPr>
          </w:p>
        </w:tc>
      </w:tr>
      <w:tr w14:paraId="7F7CA61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4F43A5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7CF5C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ED100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F6B4D0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F1683AC">
            <w:pPr>
              <w:widowControl/>
              <w:rPr>
                <w:rFonts w:hint="eastAsia" w:ascii="宋体" w:hAnsi="宋体" w:cs="宋体"/>
                <w:color w:val="auto"/>
                <w:kern w:val="0"/>
                <w:sz w:val="18"/>
                <w:szCs w:val="18"/>
                <w:highlight w:val="none"/>
              </w:rPr>
            </w:pPr>
          </w:p>
        </w:tc>
      </w:tr>
      <w:tr w14:paraId="413B023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CBEC02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B3DB15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018DAA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1F5FAD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64008D6">
            <w:pPr>
              <w:widowControl/>
              <w:rPr>
                <w:rFonts w:hint="eastAsia" w:ascii="宋体" w:hAnsi="宋体" w:cs="宋体"/>
                <w:color w:val="auto"/>
                <w:kern w:val="0"/>
                <w:sz w:val="18"/>
                <w:szCs w:val="18"/>
                <w:highlight w:val="none"/>
              </w:rPr>
            </w:pPr>
          </w:p>
        </w:tc>
      </w:tr>
      <w:tr w14:paraId="551EACB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ADACDC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22E670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03A9BC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1E070D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ACAFAB0">
            <w:pPr>
              <w:widowControl/>
              <w:rPr>
                <w:rFonts w:hint="eastAsia" w:ascii="宋体" w:hAnsi="宋体" w:cs="宋体"/>
                <w:color w:val="auto"/>
                <w:kern w:val="0"/>
                <w:sz w:val="18"/>
                <w:szCs w:val="18"/>
                <w:highlight w:val="none"/>
              </w:rPr>
            </w:pPr>
          </w:p>
        </w:tc>
      </w:tr>
      <w:tr w14:paraId="2035B3B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BDEDD6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3FF0FA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FFD79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FA04E1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AC407BD">
            <w:pPr>
              <w:widowControl/>
              <w:rPr>
                <w:rFonts w:hint="eastAsia" w:ascii="宋体" w:hAnsi="宋体" w:cs="宋体"/>
                <w:color w:val="auto"/>
                <w:kern w:val="0"/>
                <w:sz w:val="18"/>
                <w:szCs w:val="18"/>
                <w:highlight w:val="none"/>
              </w:rPr>
            </w:pPr>
          </w:p>
        </w:tc>
      </w:tr>
      <w:tr w14:paraId="093E4D1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899C36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8B101A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6047B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136963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4E0719F">
            <w:pPr>
              <w:widowControl/>
              <w:rPr>
                <w:rFonts w:hint="eastAsia" w:ascii="宋体" w:hAnsi="宋体" w:cs="宋体"/>
                <w:color w:val="auto"/>
                <w:kern w:val="0"/>
                <w:sz w:val="18"/>
                <w:szCs w:val="18"/>
                <w:highlight w:val="none"/>
              </w:rPr>
            </w:pPr>
          </w:p>
        </w:tc>
      </w:tr>
      <w:tr w14:paraId="410B64F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985422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D06EE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7768B3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F63FF9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7F15636">
            <w:pPr>
              <w:widowControl/>
              <w:rPr>
                <w:rFonts w:hint="eastAsia" w:ascii="宋体" w:hAnsi="宋体" w:cs="宋体"/>
                <w:color w:val="auto"/>
                <w:kern w:val="0"/>
                <w:sz w:val="18"/>
                <w:szCs w:val="18"/>
                <w:highlight w:val="none"/>
              </w:rPr>
            </w:pPr>
          </w:p>
        </w:tc>
      </w:tr>
      <w:tr w14:paraId="3D5E8F5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11B906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FD1A35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D550F7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C05B25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7090C2">
            <w:pPr>
              <w:widowControl/>
              <w:rPr>
                <w:rFonts w:hint="eastAsia" w:ascii="宋体" w:hAnsi="宋体" w:cs="宋体"/>
                <w:color w:val="auto"/>
                <w:kern w:val="0"/>
                <w:sz w:val="18"/>
                <w:szCs w:val="18"/>
                <w:highlight w:val="none"/>
              </w:rPr>
            </w:pPr>
          </w:p>
        </w:tc>
      </w:tr>
      <w:tr w14:paraId="79DC5E4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E696E5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2090B8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80E026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436748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910E5FA">
            <w:pPr>
              <w:widowControl/>
              <w:rPr>
                <w:rFonts w:hint="eastAsia" w:ascii="宋体" w:hAnsi="宋体" w:cs="宋体"/>
                <w:color w:val="auto"/>
                <w:kern w:val="0"/>
                <w:sz w:val="18"/>
                <w:szCs w:val="18"/>
                <w:highlight w:val="none"/>
              </w:rPr>
            </w:pPr>
          </w:p>
        </w:tc>
      </w:tr>
      <w:tr w14:paraId="6A158B2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705B10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3F12CE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5D873A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6D3A63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15551F9">
            <w:pPr>
              <w:widowControl/>
              <w:rPr>
                <w:rFonts w:hint="eastAsia" w:ascii="宋体" w:hAnsi="宋体" w:cs="宋体"/>
                <w:color w:val="auto"/>
                <w:kern w:val="0"/>
                <w:sz w:val="18"/>
                <w:szCs w:val="18"/>
                <w:highlight w:val="none"/>
              </w:rPr>
            </w:pPr>
          </w:p>
        </w:tc>
      </w:tr>
      <w:tr w14:paraId="54A429C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161A7C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D113B3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7DFD1E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1ABDFF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1534F1F">
            <w:pPr>
              <w:widowControl/>
              <w:rPr>
                <w:rFonts w:hint="eastAsia" w:ascii="宋体" w:hAnsi="宋体" w:cs="宋体"/>
                <w:color w:val="auto"/>
                <w:kern w:val="0"/>
                <w:sz w:val="18"/>
                <w:szCs w:val="18"/>
                <w:highlight w:val="none"/>
              </w:rPr>
            </w:pPr>
          </w:p>
        </w:tc>
      </w:tr>
      <w:tr w14:paraId="369B23A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350077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2E1F91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21454C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69911B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D872E96">
            <w:pPr>
              <w:widowControl/>
              <w:rPr>
                <w:rFonts w:hint="eastAsia" w:ascii="宋体" w:hAnsi="宋体" w:cs="宋体"/>
                <w:color w:val="auto"/>
                <w:kern w:val="0"/>
                <w:sz w:val="18"/>
                <w:szCs w:val="18"/>
                <w:highlight w:val="none"/>
              </w:rPr>
            </w:pPr>
          </w:p>
        </w:tc>
      </w:tr>
      <w:tr w14:paraId="4A3E8ED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5C79CA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B7993B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6BF9EB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517B6F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BE98F2A">
            <w:pPr>
              <w:widowControl/>
              <w:rPr>
                <w:rFonts w:hint="eastAsia" w:ascii="宋体" w:hAnsi="宋体" w:cs="宋体"/>
                <w:color w:val="auto"/>
                <w:kern w:val="0"/>
                <w:sz w:val="18"/>
                <w:szCs w:val="18"/>
                <w:highlight w:val="none"/>
              </w:rPr>
            </w:pPr>
          </w:p>
        </w:tc>
      </w:tr>
      <w:tr w14:paraId="22AF181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330F1A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945AFC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5D42CD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DA7311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EC24CD4">
            <w:pPr>
              <w:widowControl/>
              <w:rPr>
                <w:rFonts w:hint="eastAsia" w:ascii="宋体" w:hAnsi="宋体" w:cs="宋体"/>
                <w:color w:val="auto"/>
                <w:kern w:val="0"/>
                <w:sz w:val="18"/>
                <w:szCs w:val="18"/>
                <w:highlight w:val="none"/>
              </w:rPr>
            </w:pPr>
          </w:p>
        </w:tc>
      </w:tr>
      <w:tr w14:paraId="6FCF743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ED832E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ADD167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6ED1F5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D7BA0F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2EA7FE0">
            <w:pPr>
              <w:widowControl/>
              <w:rPr>
                <w:rFonts w:hint="eastAsia" w:ascii="宋体" w:hAnsi="宋体" w:cs="宋体"/>
                <w:color w:val="auto"/>
                <w:kern w:val="0"/>
                <w:sz w:val="18"/>
                <w:szCs w:val="18"/>
                <w:highlight w:val="none"/>
              </w:rPr>
            </w:pPr>
          </w:p>
        </w:tc>
      </w:tr>
      <w:tr w14:paraId="75403C6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8A3F0E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9A0144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437421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B80C35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0C5C9A6">
            <w:pPr>
              <w:widowControl/>
              <w:rPr>
                <w:rFonts w:hint="eastAsia" w:ascii="宋体" w:hAnsi="宋体" w:cs="宋体"/>
                <w:color w:val="auto"/>
                <w:kern w:val="0"/>
                <w:sz w:val="18"/>
                <w:szCs w:val="18"/>
                <w:highlight w:val="none"/>
              </w:rPr>
            </w:pPr>
          </w:p>
        </w:tc>
      </w:tr>
      <w:tr w14:paraId="4F8AA8B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6C2AC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C6E7EE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52665C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50CA5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2CB1FC9">
            <w:pPr>
              <w:widowControl/>
              <w:rPr>
                <w:rFonts w:hint="eastAsia" w:ascii="宋体" w:hAnsi="宋体" w:cs="宋体"/>
                <w:color w:val="auto"/>
                <w:kern w:val="0"/>
                <w:sz w:val="18"/>
                <w:szCs w:val="18"/>
                <w:highlight w:val="none"/>
              </w:rPr>
            </w:pPr>
          </w:p>
        </w:tc>
      </w:tr>
      <w:tr w14:paraId="0DFA2C7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9477C8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815937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02B5D7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C68D93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02F8611">
            <w:pPr>
              <w:widowControl/>
              <w:rPr>
                <w:rFonts w:hint="eastAsia" w:ascii="宋体" w:hAnsi="宋体" w:cs="宋体"/>
                <w:color w:val="auto"/>
                <w:kern w:val="0"/>
                <w:sz w:val="18"/>
                <w:szCs w:val="18"/>
                <w:highlight w:val="none"/>
              </w:rPr>
            </w:pPr>
          </w:p>
        </w:tc>
      </w:tr>
      <w:tr w14:paraId="1858466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0DFBCA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34B62B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CB11C7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B0EEE5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BB9FBD9">
            <w:pPr>
              <w:widowControl/>
              <w:rPr>
                <w:rFonts w:hint="eastAsia" w:ascii="宋体" w:hAnsi="宋体" w:cs="宋体"/>
                <w:color w:val="auto"/>
                <w:kern w:val="0"/>
                <w:sz w:val="18"/>
                <w:szCs w:val="18"/>
                <w:highlight w:val="none"/>
              </w:rPr>
            </w:pPr>
          </w:p>
        </w:tc>
      </w:tr>
      <w:tr w14:paraId="538B483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AF4F7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EBC067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8B2962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9E5A17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9426714">
            <w:pPr>
              <w:widowControl/>
              <w:rPr>
                <w:rFonts w:hint="eastAsia" w:ascii="宋体" w:hAnsi="宋体" w:cs="宋体"/>
                <w:color w:val="auto"/>
                <w:kern w:val="0"/>
                <w:sz w:val="18"/>
                <w:szCs w:val="18"/>
                <w:highlight w:val="none"/>
              </w:rPr>
            </w:pPr>
          </w:p>
        </w:tc>
      </w:tr>
      <w:tr w14:paraId="6942C8B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4466AF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C1071D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94A7B9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011198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49ED592">
            <w:pPr>
              <w:widowControl/>
              <w:rPr>
                <w:rFonts w:hint="eastAsia" w:ascii="宋体" w:hAnsi="宋体" w:cs="宋体"/>
                <w:color w:val="auto"/>
                <w:kern w:val="0"/>
                <w:sz w:val="18"/>
                <w:szCs w:val="18"/>
                <w:highlight w:val="none"/>
              </w:rPr>
            </w:pPr>
          </w:p>
        </w:tc>
      </w:tr>
      <w:tr w14:paraId="023E90E0">
        <w:tblPrEx>
          <w:tblCellMar>
            <w:top w:w="0" w:type="dxa"/>
            <w:left w:w="108" w:type="dxa"/>
            <w:bottom w:w="0" w:type="dxa"/>
            <w:right w:w="108" w:type="dxa"/>
          </w:tblCellMar>
        </w:tblPrEx>
        <w:trPr>
          <w:trHeight w:val="3700" w:hRule="atLeast"/>
        </w:trPr>
        <w:tc>
          <w:tcPr>
            <w:tcW w:w="418" w:type="pct"/>
            <w:vMerge w:val="continue"/>
            <w:tcBorders>
              <w:top w:val="nil"/>
              <w:left w:val="single" w:color="auto" w:sz="4" w:space="0"/>
              <w:bottom w:val="single" w:color="auto" w:sz="4" w:space="0"/>
              <w:right w:val="single" w:color="auto" w:sz="4" w:space="0"/>
            </w:tcBorders>
            <w:vAlign w:val="center"/>
          </w:tcPr>
          <w:p w14:paraId="4E3D597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8DADB8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E76D71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F61E44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A7B9A65">
            <w:pPr>
              <w:widowControl/>
              <w:rPr>
                <w:rFonts w:hint="eastAsia" w:ascii="宋体" w:hAnsi="宋体" w:cs="宋体"/>
                <w:color w:val="auto"/>
                <w:kern w:val="0"/>
                <w:sz w:val="18"/>
                <w:szCs w:val="18"/>
                <w:highlight w:val="none"/>
              </w:rPr>
            </w:pPr>
          </w:p>
        </w:tc>
      </w:tr>
      <w:tr w14:paraId="4FE3C87D">
        <w:tblPrEx>
          <w:tblCellMar>
            <w:top w:w="0" w:type="dxa"/>
            <w:left w:w="108" w:type="dxa"/>
            <w:bottom w:w="0" w:type="dxa"/>
            <w:right w:w="108" w:type="dxa"/>
          </w:tblCellMar>
        </w:tblPrEx>
        <w:trPr>
          <w:trHeight w:val="312"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1923806F">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3.2</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3F3BFDE2">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配置管理工作台</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3A4C36A2">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设备状态监测:监测所管理设备的运行状态、服务运行状态以及平台数据传输状态监测项包括：服务正常异常数量、设备正常异常数量、设备服务告警统计，通过饼状图的方式呈现告警级别的分布情况以及通过条形图的方式呈现告警设备出现告警次数的排名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(1)运行状态监控:对设备进行统一监控，具体内容有主机名称、IP、节点名称、状态、CPU使用率、内存使用率、磁盘使用率等。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(2)服务状态监控:对平台运行的服务进行监测，实现展示服务总数、运行服务数、异常服务数、未运行服务数。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(3)数据传输状态监控:对数据采集、处理、入库的全流程速率监控，包括日志采集速率、日志采集发送速率、平台接收速率、平台处理速率、ES入库速率、CK入库速率等。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2.大数据集群状态监测:大数据集群状态监测，监测大数据每个节点的健康状态，负载情况。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(1)运行状态监控:实现对平台集群状态进行监测，包括集群节点总数、运行节点、维护节点和离线节点等情况。支持查看集群各节点运行状态包括节点名称、IP、状态、CPU使用率、内存使用率、磁盘使用率等。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(2)系统组件监测:系统底层相关的业务支撑组件运行状态进行监测，如ZOOKEEPER、KAFKA、Flink等大数据组件。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(3)服务监测:实现</w:t>
            </w:r>
            <w:r>
              <w:rPr>
                <w:rFonts w:hint="eastAsia" w:ascii="宋体" w:hAnsi="宋体" w:cs="宋体"/>
                <w:color w:val="auto"/>
                <w:kern w:val="0"/>
                <w:sz w:val="18"/>
                <w:szCs w:val="18"/>
                <w:highlight w:val="none"/>
                <w:lang w:val="en-US" w:eastAsia="zh-CN"/>
              </w:rPr>
              <w:t>对</w:t>
            </w:r>
            <w:r>
              <w:rPr>
                <w:rFonts w:hint="eastAsia" w:ascii="宋体" w:hAnsi="宋体" w:cs="宋体"/>
                <w:color w:val="auto"/>
                <w:kern w:val="0"/>
                <w:sz w:val="18"/>
                <w:szCs w:val="18"/>
                <w:highlight w:val="none"/>
              </w:rPr>
              <w:t>系统底层服务运行状态进行监测，应包括服务名称、状态、版本号、所属组件、实例数、部署节点数、运行节点数等。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数据库监测:数据库监测是对系统配套的各业务数据库的运行状态进行监测，包括数据库名称、状态、版本号、实例数、部署节点数等。实现对数据库监测统计，包括数据库总数、运行数据库数、异常数据库数和未运行数据库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3.平台数据传输状态监测:平台数据传输状态监测，监测内容包括数据源名称、最后异常时间、最后接收数据时间、数据传输状态。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(1)跨网数据监控视图:实现跨网数据传输的查询、统计，</w:t>
            </w:r>
            <w:r>
              <w:rPr>
                <w:rFonts w:hint="eastAsia" w:ascii="宋体" w:hAnsi="宋体" w:cs="宋体"/>
                <w:color w:val="auto"/>
                <w:kern w:val="0"/>
                <w:sz w:val="18"/>
                <w:szCs w:val="18"/>
                <w:highlight w:val="none"/>
                <w:lang w:val="en-US" w:eastAsia="zh-CN"/>
              </w:rPr>
              <w:t>并</w:t>
            </w:r>
            <w:r>
              <w:rPr>
                <w:rFonts w:hint="eastAsia" w:ascii="宋体" w:hAnsi="宋体" w:cs="宋体"/>
                <w:color w:val="auto"/>
                <w:kern w:val="0"/>
                <w:sz w:val="18"/>
                <w:szCs w:val="18"/>
                <w:highlight w:val="none"/>
              </w:rPr>
              <w:t>以列表方式呈现，并支持查看数据生成时间、数据编号、数据类型、发送方向、发送状态，以及查看数据内容。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(2)跨网数据监控日志:实现网闸通道状态监测、异常日志的查询、查看。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4.设备管理维护:实现对设备进行管理维护，包括设备的添加编辑，主要属性包括监控任务名称、</w:t>
            </w:r>
            <w:r>
              <w:rPr>
                <w:rFonts w:hint="eastAsia" w:ascii="宋体" w:hAnsi="宋体" w:cs="宋体"/>
                <w:color w:val="auto"/>
                <w:kern w:val="0"/>
                <w:sz w:val="18"/>
                <w:szCs w:val="18"/>
                <w:highlight w:val="none"/>
                <w:lang w:val="en-US" w:eastAsia="zh-CN"/>
              </w:rPr>
              <w:t>IP</w:t>
            </w:r>
            <w:r>
              <w:rPr>
                <w:rFonts w:hint="eastAsia" w:ascii="宋体" w:hAnsi="宋体" w:cs="宋体"/>
                <w:color w:val="auto"/>
                <w:kern w:val="0"/>
                <w:sz w:val="18"/>
                <w:szCs w:val="18"/>
                <w:highlight w:val="none"/>
              </w:rPr>
              <w:t>地址、所属IDC机房、所属机架、操作系统、主机名称、设备类型、</w:t>
            </w:r>
            <w:r>
              <w:rPr>
                <w:rFonts w:hint="eastAsia" w:ascii="宋体" w:hAnsi="宋体" w:cs="宋体"/>
                <w:color w:val="auto"/>
                <w:kern w:val="0"/>
                <w:sz w:val="18"/>
                <w:szCs w:val="18"/>
                <w:highlight w:val="none"/>
                <w:lang w:val="en-US" w:eastAsia="zh-CN"/>
              </w:rPr>
              <w:t>MAC</w:t>
            </w:r>
            <w:r>
              <w:rPr>
                <w:rFonts w:hint="eastAsia" w:ascii="宋体" w:hAnsi="宋体" w:cs="宋体"/>
                <w:color w:val="auto"/>
                <w:kern w:val="0"/>
                <w:sz w:val="18"/>
                <w:szCs w:val="18"/>
                <w:highlight w:val="none"/>
              </w:rPr>
              <w:t>地址、联系人、邮箱、职务、用途、备注等，并提供在线ping设备是否连接正常</w:t>
            </w:r>
            <w:r>
              <w:rPr>
                <w:rFonts w:hint="eastAsia" w:ascii="宋体" w:hAnsi="宋体" w:cs="宋体"/>
                <w:color w:val="auto"/>
                <w:kern w:val="0"/>
                <w:sz w:val="18"/>
                <w:szCs w:val="18"/>
                <w:highlight w:val="none"/>
                <w:lang w:eastAsia="zh-CN"/>
              </w:rPr>
              <w:t>的</w:t>
            </w:r>
            <w:r>
              <w:rPr>
                <w:rFonts w:hint="eastAsia" w:ascii="宋体" w:hAnsi="宋体" w:cs="宋体"/>
                <w:color w:val="auto"/>
                <w:kern w:val="0"/>
                <w:sz w:val="18"/>
                <w:szCs w:val="18"/>
                <w:highlight w:val="none"/>
                <w:lang w:val="en-US" w:eastAsia="zh-CN"/>
              </w:rPr>
              <w:t>查询</w:t>
            </w:r>
            <w:r>
              <w:rPr>
                <w:rFonts w:hint="eastAsia" w:ascii="宋体" w:hAnsi="宋体" w:cs="宋体"/>
                <w:color w:val="auto"/>
                <w:kern w:val="0"/>
                <w:sz w:val="18"/>
                <w:szCs w:val="18"/>
                <w:highlight w:val="none"/>
                <w:lang w:eastAsia="zh-CN"/>
              </w:rPr>
              <w:t>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(1)系统备份: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1、实现备份服务器的配置。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2、实现以列表的方式展示备份记录，并实现新增备份任务、查询、删除、查看失败原因</w:t>
            </w:r>
            <w:r>
              <w:rPr>
                <w:rFonts w:hint="eastAsia" w:ascii="宋体" w:hAnsi="宋体" w:cs="宋体"/>
                <w:color w:val="auto"/>
                <w:kern w:val="0"/>
                <w:sz w:val="18"/>
                <w:szCs w:val="18"/>
                <w:highlight w:val="none"/>
                <w:lang w:val="en-US" w:eastAsia="zh-CN"/>
              </w:rPr>
              <w:t>等</w:t>
            </w:r>
            <w:r>
              <w:rPr>
                <w:rFonts w:hint="eastAsia" w:ascii="宋体" w:hAnsi="宋体" w:cs="宋体"/>
                <w:color w:val="auto"/>
                <w:kern w:val="0"/>
                <w:sz w:val="18"/>
                <w:szCs w:val="18"/>
                <w:highlight w:val="none"/>
              </w:rPr>
              <w:t>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3、备份维护信息包括备份任务名称、备份类型、备份执行方式；备份记录显示内容包括备份计划执行时间、备份执行开始时间、备份执行完成时间、备份任务名称、备份类型、备份包大小、任务进度、状态。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(2)系统还原:实现以列表的方式展示系统还原记录</w:t>
            </w:r>
            <w:r>
              <w:rPr>
                <w:rFonts w:hint="eastAsia" w:ascii="宋体" w:hAnsi="宋体" w:cs="宋体"/>
                <w:color w:val="auto"/>
                <w:kern w:val="0"/>
                <w:sz w:val="18"/>
                <w:szCs w:val="18"/>
                <w:highlight w:val="none"/>
                <w:lang w:eastAsia="zh-CN"/>
              </w:rPr>
              <w:t>的功能。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(3)系统升级: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1、实现备份服务器的配置。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2、实现以列表的方式展示备份记录，并实现新增备份任务、查询、删除、查看失败原因</w:t>
            </w:r>
            <w:r>
              <w:rPr>
                <w:rFonts w:hint="eastAsia" w:ascii="宋体" w:hAnsi="宋体" w:cs="宋体"/>
                <w:color w:val="auto"/>
                <w:kern w:val="0"/>
                <w:sz w:val="18"/>
                <w:szCs w:val="18"/>
                <w:highlight w:val="none"/>
                <w:lang w:val="en-US" w:eastAsia="zh-CN"/>
              </w:rPr>
              <w:t>等</w:t>
            </w:r>
            <w:r>
              <w:rPr>
                <w:rFonts w:hint="eastAsia" w:ascii="宋体" w:hAnsi="宋体" w:cs="宋体"/>
                <w:color w:val="auto"/>
                <w:kern w:val="0"/>
                <w:sz w:val="18"/>
                <w:szCs w:val="18"/>
                <w:highlight w:val="none"/>
              </w:rPr>
              <w:t>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3、备份维护信息包括备份任务名称、备份类型、备份执行方式；备份记录显示内容包括备份计划执行时间、备份执行开始时间、备份执行完成时间、备份任务名称、备份类型、备份包大小、任务进度、状态。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5.设备状态监测展示:实现以列表的方式展示系统还原记录。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(1)监控告警信息:实现导入系统升级包、导入补丁升级包；支持查看升级历史；支持查看当前系统信息。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监控策略管理:对告警策略进行设置，策略类型包括数据积压告警、服务组件告警、物理资源告警、存储告警、系统组件告警、采集器告警、数据流告警；根据策略类型设置告警触发条件、策略名称、告警等级、重复告警次数等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(3)日志周期管理: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1、总体策略配置，配置项包括擦除阈值百分比设置，当磁盘使用率超过该阈值时，系统将根据数据时间先后进行自动清除，该值不可低于70%，且需大于告警阈值（当前告警阈值为80%）。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2、实现资产发现信息、终端日志、流量日志、告警日志数据的策略配置，配置项包括期望保留周期、是否永久擦除。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(4)系统审计日志: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1、实现以列表的方式呈现系统操作日志，并支持查询、导出、查看详情操作。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2、数据列表显示项包括操作时间、角色、用户、访问ip、功能模块、操作动作、操作结果、操作内容，并可查看详情。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6.服务状态监测:对服务状态进行监测，监测项包括以仪表的方式呈现cpu占用率、以仪表的方式呈现cpu占用率、组件监控，包括每个组件的进程名称</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运行状态以及可以进行启停组件操作。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(1)系统组件监控:系统组件为系统运行底层组件（例如：redis、pg、kafka、ES等），主要对系统组件运行状态、关键指标参数进行监控。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(2)业务支撑组件监控:业务支撑组件为支撑平台业务运行的支撑组件，主要对各业务支撑组件状态、各业务支撑组件下业务服务运行状态进行监控。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(3)业务组件监控:平台开发的微服务业务组件（例如：uae-alert-server（安全监测-告警详情）等），主要对各组件运行状态及该组件关键运行参数进行监控。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7.资产拓扑图:根据主动扫描出的资产绘制拓扑图，也可人工自定义拓扑图，主要功能包括：拉取最新资产数据自动绘制拓扑、人工自定义拓扑图，可手工选择网络图标通过连线自行描绘网络拓扑，拓扑图</w:t>
            </w:r>
            <w:r>
              <w:rPr>
                <w:rFonts w:hint="eastAsia" w:ascii="宋体" w:hAnsi="宋体" w:cs="宋体"/>
                <w:color w:val="auto"/>
                <w:kern w:val="0"/>
                <w:sz w:val="18"/>
                <w:szCs w:val="18"/>
                <w:highlight w:val="none"/>
                <w:lang w:val="en-US" w:eastAsia="zh-CN"/>
              </w:rPr>
              <w:t>可</w:t>
            </w:r>
            <w:r>
              <w:rPr>
                <w:rFonts w:hint="eastAsia" w:ascii="宋体" w:hAnsi="宋体" w:cs="宋体"/>
                <w:color w:val="auto"/>
                <w:kern w:val="0"/>
                <w:sz w:val="18"/>
                <w:szCs w:val="18"/>
                <w:highlight w:val="none"/>
              </w:rPr>
              <w:t>自定义背景颜色、常用网络图标管理，包括安全设备、服务器设备、网络设备、终端设备、形状、组合图形等。每种图标</w:t>
            </w:r>
            <w:r>
              <w:rPr>
                <w:rFonts w:hint="eastAsia" w:ascii="宋体" w:hAnsi="宋体" w:cs="宋体"/>
                <w:color w:val="auto"/>
                <w:kern w:val="0"/>
                <w:sz w:val="18"/>
                <w:szCs w:val="18"/>
                <w:highlight w:val="none"/>
                <w:lang w:val="en-US" w:eastAsia="zh-CN"/>
              </w:rPr>
              <w:t>具备</w:t>
            </w:r>
            <w:r>
              <w:rPr>
                <w:rFonts w:hint="eastAsia" w:ascii="宋体" w:hAnsi="宋体" w:cs="宋体"/>
                <w:color w:val="auto"/>
                <w:kern w:val="0"/>
                <w:sz w:val="18"/>
                <w:szCs w:val="18"/>
                <w:highlight w:val="none"/>
              </w:rPr>
              <w:t>基本属性配置功能，可配置项包括图标名称、文字大小、字体颜色、字体粗细、字体位置、字体锚点、多种布局方式，包括横向布局、纵向布局以及自定义布局方式、图标与业务资产绑定，每种网络图标可以与资产库中的网络资产进行业务绑定。导出拓扑图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(1)拓扑绘制:实现逻辑拓扑的绘制，提供在线拓扑绘制工具，可手动进行逻辑拓扑的绘制。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(2)绘制图标选择:实现常见的网络设备分类及图标，包括安全设备图标、服务器设备图标、网络设备图标、终端设备图标、其他图标，支持各类形状的绘制，实现文本说明的绘制。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拓扑图操作:实现拓扑图的整体拖拽和缩放操作，支持对单个节点拖放操作，支持关联拓扑下钻功能；支持拓扑结构绑定单位和机房资产，能够直接拉取已经绑定的单位和机房资产，快速形成单位的拓扑结构，并能在此基础上手动修改优化拓扑结构。</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数据源监测规则管理:提供对数据源监测规则的统一管理；对数据源监测进行配置（包括接收设备、接收服务、监测时间长度）；监测规则的单条新增、编辑、详情查看、删除、启用、禁用以及批量启用、批量禁用、批量删除；按数据源厂商、数据源名称、状态、创建时间进行查询；按数据源厂商、数据源名称、接收设备、状态、创建时间进行排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(1)多维度监控:实现数据流监控、数据库监控、全流程监控、采集方式监控等多维度监控。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(2)数据流全过程监控:实现数据流监控：从数据发送、数据接收、数据处理到数据存储全过程的监控，应展示各节点数据处理的数量以及接收差值率、处理差值率、入库差值率。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(3)入库情况监控:数据库监控应对总入库条数以及总存储条件进行监控，实现自定义时间范围。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(4)采集速率监控:全流程监控日志采集器发送速率、日志采集器采集速率、流量采集器发送速率、第三方采集发送速率、平台接收速率、平台处理速率、ES入库速率、HIVE入库速率、CK入库速率。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(5)采集趋势监控:应按采集方式进行监控，实现采集速率以及转发速率的监控，查看不同采集方式的趋势监控。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数据源统一管理:提供对数据源的统一管理；按数据源厂商、数据源名称、账号名称、状态进行查询；单条数据源的新增、编辑、删除、启用、禁用、详情查看和批量启用、批量禁用、批量删除；按接入位置、接收设备、接收服务、接入方式、状态、更新时间进行排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(1)数据源编码方式:支持对在数据接入过程中未能正常解析的数据管理，能够选择不同的编码方式（包括UTF-8、Unicode、ASCII、GBK、GB2312等）对内容进行查看。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(2)数据源迁移:实现数据源迁移功能，采集器IP等配置变化后，能够把一个采集器的数据源迁移到新注册的采集器。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(3)数据源转发:实现数据转发能力，实现转发方式、采集格式、用户名、密码、目标IP地址、目标端口、目标路径和文件存储条数和超时等待等配置。</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3750D17F">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51D11A86">
            <w:pPr>
              <w:widowControl/>
              <w:jc w:val="center"/>
              <w:rPr>
                <w:rFonts w:hint="eastAsia" w:ascii="宋体" w:hAnsi="宋体" w:cs="宋体"/>
                <w:color w:val="auto"/>
                <w:kern w:val="0"/>
                <w:sz w:val="18"/>
                <w:szCs w:val="18"/>
                <w:highlight w:val="none"/>
              </w:rPr>
            </w:pPr>
          </w:p>
        </w:tc>
      </w:tr>
      <w:tr w14:paraId="0B2588D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5DB44C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F0068A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6F20D3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9AC8BE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EAF99DE">
            <w:pPr>
              <w:widowControl/>
              <w:rPr>
                <w:rFonts w:hint="eastAsia" w:ascii="宋体" w:hAnsi="宋体" w:cs="宋体"/>
                <w:color w:val="auto"/>
                <w:kern w:val="0"/>
                <w:sz w:val="18"/>
                <w:szCs w:val="18"/>
                <w:highlight w:val="none"/>
              </w:rPr>
            </w:pPr>
          </w:p>
        </w:tc>
      </w:tr>
      <w:tr w14:paraId="702FF0D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DCC0C9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F52D10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4F0AB5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78A275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79B00A0">
            <w:pPr>
              <w:widowControl/>
              <w:rPr>
                <w:rFonts w:hint="eastAsia" w:ascii="宋体" w:hAnsi="宋体" w:cs="宋体"/>
                <w:color w:val="auto"/>
                <w:kern w:val="0"/>
                <w:sz w:val="18"/>
                <w:szCs w:val="18"/>
                <w:highlight w:val="none"/>
              </w:rPr>
            </w:pPr>
          </w:p>
        </w:tc>
      </w:tr>
      <w:tr w14:paraId="575D6CC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04096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523BC2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9BAB4F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DBE28C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17DE49">
            <w:pPr>
              <w:widowControl/>
              <w:rPr>
                <w:rFonts w:hint="eastAsia" w:ascii="宋体" w:hAnsi="宋体" w:cs="宋体"/>
                <w:color w:val="auto"/>
                <w:kern w:val="0"/>
                <w:sz w:val="18"/>
                <w:szCs w:val="18"/>
                <w:highlight w:val="none"/>
              </w:rPr>
            </w:pPr>
          </w:p>
        </w:tc>
      </w:tr>
      <w:tr w14:paraId="433F6AB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1341F4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8EBDC1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3E1FAD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66C859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23FD735">
            <w:pPr>
              <w:widowControl/>
              <w:rPr>
                <w:rFonts w:hint="eastAsia" w:ascii="宋体" w:hAnsi="宋体" w:cs="宋体"/>
                <w:color w:val="auto"/>
                <w:kern w:val="0"/>
                <w:sz w:val="18"/>
                <w:szCs w:val="18"/>
                <w:highlight w:val="none"/>
              </w:rPr>
            </w:pPr>
          </w:p>
        </w:tc>
      </w:tr>
      <w:tr w14:paraId="0A26A34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DDF62B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653C7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7CAA3F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B060E7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3DCC2D">
            <w:pPr>
              <w:widowControl/>
              <w:rPr>
                <w:rFonts w:hint="eastAsia" w:ascii="宋体" w:hAnsi="宋体" w:cs="宋体"/>
                <w:color w:val="auto"/>
                <w:kern w:val="0"/>
                <w:sz w:val="18"/>
                <w:szCs w:val="18"/>
                <w:highlight w:val="none"/>
              </w:rPr>
            </w:pPr>
          </w:p>
        </w:tc>
      </w:tr>
      <w:tr w14:paraId="60547FB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0947BB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56AEF5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DE2B15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E5B85C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308FDD4">
            <w:pPr>
              <w:widowControl/>
              <w:rPr>
                <w:rFonts w:hint="eastAsia" w:ascii="宋体" w:hAnsi="宋体" w:cs="宋体"/>
                <w:color w:val="auto"/>
                <w:kern w:val="0"/>
                <w:sz w:val="18"/>
                <w:szCs w:val="18"/>
                <w:highlight w:val="none"/>
              </w:rPr>
            </w:pPr>
          </w:p>
        </w:tc>
      </w:tr>
      <w:tr w14:paraId="5D230EF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DA96EA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01F2BE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9B3B05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598DFC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31F3A63">
            <w:pPr>
              <w:widowControl/>
              <w:rPr>
                <w:rFonts w:hint="eastAsia" w:ascii="宋体" w:hAnsi="宋体" w:cs="宋体"/>
                <w:color w:val="auto"/>
                <w:kern w:val="0"/>
                <w:sz w:val="18"/>
                <w:szCs w:val="18"/>
                <w:highlight w:val="none"/>
              </w:rPr>
            </w:pPr>
          </w:p>
        </w:tc>
      </w:tr>
      <w:tr w14:paraId="3AE2AF6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8735A3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6F1F4C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AD8CEE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B744EB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C2B34AF">
            <w:pPr>
              <w:widowControl/>
              <w:rPr>
                <w:rFonts w:hint="eastAsia" w:ascii="宋体" w:hAnsi="宋体" w:cs="宋体"/>
                <w:color w:val="auto"/>
                <w:kern w:val="0"/>
                <w:sz w:val="18"/>
                <w:szCs w:val="18"/>
                <w:highlight w:val="none"/>
              </w:rPr>
            </w:pPr>
          </w:p>
        </w:tc>
      </w:tr>
      <w:tr w14:paraId="62410E4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743C1A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356D14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878FB1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79A0A6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92FF663">
            <w:pPr>
              <w:widowControl/>
              <w:rPr>
                <w:rFonts w:hint="eastAsia" w:ascii="宋体" w:hAnsi="宋体" w:cs="宋体"/>
                <w:color w:val="auto"/>
                <w:kern w:val="0"/>
                <w:sz w:val="18"/>
                <w:szCs w:val="18"/>
                <w:highlight w:val="none"/>
              </w:rPr>
            </w:pPr>
          </w:p>
        </w:tc>
      </w:tr>
      <w:tr w14:paraId="7C3BCB0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DEA0CB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6128E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F3FFE2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2B2250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3CD525A">
            <w:pPr>
              <w:widowControl/>
              <w:rPr>
                <w:rFonts w:hint="eastAsia" w:ascii="宋体" w:hAnsi="宋体" w:cs="宋体"/>
                <w:color w:val="auto"/>
                <w:kern w:val="0"/>
                <w:sz w:val="18"/>
                <w:szCs w:val="18"/>
                <w:highlight w:val="none"/>
              </w:rPr>
            </w:pPr>
          </w:p>
        </w:tc>
      </w:tr>
      <w:tr w14:paraId="1A3F602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6B05A6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02FFA3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5D4EC1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D94ACE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53ED204">
            <w:pPr>
              <w:widowControl/>
              <w:rPr>
                <w:rFonts w:hint="eastAsia" w:ascii="宋体" w:hAnsi="宋体" w:cs="宋体"/>
                <w:color w:val="auto"/>
                <w:kern w:val="0"/>
                <w:sz w:val="18"/>
                <w:szCs w:val="18"/>
                <w:highlight w:val="none"/>
              </w:rPr>
            </w:pPr>
          </w:p>
        </w:tc>
      </w:tr>
      <w:tr w14:paraId="574D181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71229A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58A803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43E23D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F42FE5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945782F">
            <w:pPr>
              <w:widowControl/>
              <w:rPr>
                <w:rFonts w:hint="eastAsia" w:ascii="宋体" w:hAnsi="宋体" w:cs="宋体"/>
                <w:color w:val="auto"/>
                <w:kern w:val="0"/>
                <w:sz w:val="18"/>
                <w:szCs w:val="18"/>
                <w:highlight w:val="none"/>
              </w:rPr>
            </w:pPr>
          </w:p>
        </w:tc>
      </w:tr>
      <w:tr w14:paraId="2D05A9C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01960E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6279D2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53B356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5D9315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607F93E">
            <w:pPr>
              <w:widowControl/>
              <w:rPr>
                <w:rFonts w:hint="eastAsia" w:ascii="宋体" w:hAnsi="宋体" w:cs="宋体"/>
                <w:color w:val="auto"/>
                <w:kern w:val="0"/>
                <w:sz w:val="18"/>
                <w:szCs w:val="18"/>
                <w:highlight w:val="none"/>
              </w:rPr>
            </w:pPr>
          </w:p>
        </w:tc>
      </w:tr>
      <w:tr w14:paraId="47C3C5E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C2D839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39E30F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AD7417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3E1A8F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BD37EE7">
            <w:pPr>
              <w:widowControl/>
              <w:rPr>
                <w:rFonts w:hint="eastAsia" w:ascii="宋体" w:hAnsi="宋体" w:cs="宋体"/>
                <w:color w:val="auto"/>
                <w:kern w:val="0"/>
                <w:sz w:val="18"/>
                <w:szCs w:val="18"/>
                <w:highlight w:val="none"/>
              </w:rPr>
            </w:pPr>
          </w:p>
        </w:tc>
      </w:tr>
      <w:tr w14:paraId="3F3C27F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F7A3F2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1B525A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33AB6C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C75C7D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512F42D">
            <w:pPr>
              <w:widowControl/>
              <w:rPr>
                <w:rFonts w:hint="eastAsia" w:ascii="宋体" w:hAnsi="宋体" w:cs="宋体"/>
                <w:color w:val="auto"/>
                <w:kern w:val="0"/>
                <w:sz w:val="18"/>
                <w:szCs w:val="18"/>
                <w:highlight w:val="none"/>
              </w:rPr>
            </w:pPr>
          </w:p>
        </w:tc>
      </w:tr>
      <w:tr w14:paraId="4FEA47D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EBDB43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C52FB4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70B065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31DD5B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131587B">
            <w:pPr>
              <w:widowControl/>
              <w:rPr>
                <w:rFonts w:hint="eastAsia" w:ascii="宋体" w:hAnsi="宋体" w:cs="宋体"/>
                <w:color w:val="auto"/>
                <w:kern w:val="0"/>
                <w:sz w:val="18"/>
                <w:szCs w:val="18"/>
                <w:highlight w:val="none"/>
              </w:rPr>
            </w:pPr>
          </w:p>
        </w:tc>
      </w:tr>
      <w:tr w14:paraId="5E9C026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8B351C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4156FF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C899C3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147A1C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6AAC113">
            <w:pPr>
              <w:widowControl/>
              <w:rPr>
                <w:rFonts w:hint="eastAsia" w:ascii="宋体" w:hAnsi="宋体" w:cs="宋体"/>
                <w:color w:val="auto"/>
                <w:kern w:val="0"/>
                <w:sz w:val="18"/>
                <w:szCs w:val="18"/>
                <w:highlight w:val="none"/>
              </w:rPr>
            </w:pPr>
          </w:p>
        </w:tc>
      </w:tr>
      <w:tr w14:paraId="173621F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DC9D7C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A09C83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CB9946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4C10CF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2998F8">
            <w:pPr>
              <w:widowControl/>
              <w:rPr>
                <w:rFonts w:hint="eastAsia" w:ascii="宋体" w:hAnsi="宋体" w:cs="宋体"/>
                <w:color w:val="auto"/>
                <w:kern w:val="0"/>
                <w:sz w:val="18"/>
                <w:szCs w:val="18"/>
                <w:highlight w:val="none"/>
              </w:rPr>
            </w:pPr>
          </w:p>
        </w:tc>
      </w:tr>
      <w:tr w14:paraId="368A38F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9E020A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778604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C041CC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9CB72A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2A644BF">
            <w:pPr>
              <w:widowControl/>
              <w:rPr>
                <w:rFonts w:hint="eastAsia" w:ascii="宋体" w:hAnsi="宋体" w:cs="宋体"/>
                <w:color w:val="auto"/>
                <w:kern w:val="0"/>
                <w:sz w:val="18"/>
                <w:szCs w:val="18"/>
                <w:highlight w:val="none"/>
              </w:rPr>
            </w:pPr>
          </w:p>
        </w:tc>
      </w:tr>
      <w:tr w14:paraId="2EE3BF3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88743D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91436B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A5BE93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D90313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885B3A">
            <w:pPr>
              <w:widowControl/>
              <w:rPr>
                <w:rFonts w:hint="eastAsia" w:ascii="宋体" w:hAnsi="宋体" w:cs="宋体"/>
                <w:color w:val="auto"/>
                <w:kern w:val="0"/>
                <w:sz w:val="18"/>
                <w:szCs w:val="18"/>
                <w:highlight w:val="none"/>
              </w:rPr>
            </w:pPr>
          </w:p>
        </w:tc>
      </w:tr>
      <w:tr w14:paraId="41F0AEE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6F03BB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EDDD00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8CC2B6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86C068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C21CD83">
            <w:pPr>
              <w:widowControl/>
              <w:rPr>
                <w:rFonts w:hint="eastAsia" w:ascii="宋体" w:hAnsi="宋体" w:cs="宋体"/>
                <w:color w:val="auto"/>
                <w:kern w:val="0"/>
                <w:sz w:val="18"/>
                <w:szCs w:val="18"/>
                <w:highlight w:val="none"/>
              </w:rPr>
            </w:pPr>
          </w:p>
        </w:tc>
      </w:tr>
      <w:tr w14:paraId="38796AE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36C08D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CA828A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AC0B26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1352A8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370A367">
            <w:pPr>
              <w:widowControl/>
              <w:rPr>
                <w:rFonts w:hint="eastAsia" w:ascii="宋体" w:hAnsi="宋体" w:cs="宋体"/>
                <w:color w:val="auto"/>
                <w:kern w:val="0"/>
                <w:sz w:val="18"/>
                <w:szCs w:val="18"/>
                <w:highlight w:val="none"/>
              </w:rPr>
            </w:pPr>
          </w:p>
        </w:tc>
      </w:tr>
      <w:tr w14:paraId="4ED5FBE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527563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4235FC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208680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6FB989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BFA209D">
            <w:pPr>
              <w:widowControl/>
              <w:rPr>
                <w:rFonts w:hint="eastAsia" w:ascii="宋体" w:hAnsi="宋体" w:cs="宋体"/>
                <w:color w:val="auto"/>
                <w:kern w:val="0"/>
                <w:sz w:val="18"/>
                <w:szCs w:val="18"/>
                <w:highlight w:val="none"/>
              </w:rPr>
            </w:pPr>
          </w:p>
        </w:tc>
      </w:tr>
      <w:tr w14:paraId="70EB697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15DC29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4944C9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89666A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CE5A41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C7F386F">
            <w:pPr>
              <w:widowControl/>
              <w:rPr>
                <w:rFonts w:hint="eastAsia" w:ascii="宋体" w:hAnsi="宋体" w:cs="宋体"/>
                <w:color w:val="auto"/>
                <w:kern w:val="0"/>
                <w:sz w:val="18"/>
                <w:szCs w:val="18"/>
                <w:highlight w:val="none"/>
              </w:rPr>
            </w:pPr>
          </w:p>
        </w:tc>
      </w:tr>
      <w:tr w14:paraId="0BBC592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9EF7B8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1FC529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D4906C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C30C19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5B3002E">
            <w:pPr>
              <w:widowControl/>
              <w:rPr>
                <w:rFonts w:hint="eastAsia" w:ascii="宋体" w:hAnsi="宋体" w:cs="宋体"/>
                <w:color w:val="auto"/>
                <w:kern w:val="0"/>
                <w:sz w:val="18"/>
                <w:szCs w:val="18"/>
                <w:highlight w:val="none"/>
              </w:rPr>
            </w:pPr>
          </w:p>
        </w:tc>
      </w:tr>
      <w:tr w14:paraId="038391B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44F871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B0EC38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88E75A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843F20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438F6ED">
            <w:pPr>
              <w:widowControl/>
              <w:rPr>
                <w:rFonts w:hint="eastAsia" w:ascii="宋体" w:hAnsi="宋体" w:cs="宋体"/>
                <w:color w:val="auto"/>
                <w:kern w:val="0"/>
                <w:sz w:val="18"/>
                <w:szCs w:val="18"/>
                <w:highlight w:val="none"/>
              </w:rPr>
            </w:pPr>
          </w:p>
        </w:tc>
      </w:tr>
      <w:tr w14:paraId="2AC0ABB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71ACA0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7DE6C5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37329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90EEFF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D5E5F08">
            <w:pPr>
              <w:widowControl/>
              <w:rPr>
                <w:rFonts w:hint="eastAsia" w:ascii="宋体" w:hAnsi="宋体" w:cs="宋体"/>
                <w:color w:val="auto"/>
                <w:kern w:val="0"/>
                <w:sz w:val="18"/>
                <w:szCs w:val="18"/>
                <w:highlight w:val="none"/>
              </w:rPr>
            </w:pPr>
          </w:p>
        </w:tc>
      </w:tr>
      <w:tr w14:paraId="0FAFD66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898705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23F49D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398408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1C617B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76EC489">
            <w:pPr>
              <w:widowControl/>
              <w:rPr>
                <w:rFonts w:hint="eastAsia" w:ascii="宋体" w:hAnsi="宋体" w:cs="宋体"/>
                <w:color w:val="auto"/>
                <w:kern w:val="0"/>
                <w:sz w:val="18"/>
                <w:szCs w:val="18"/>
                <w:highlight w:val="none"/>
              </w:rPr>
            </w:pPr>
          </w:p>
        </w:tc>
      </w:tr>
      <w:tr w14:paraId="5A415DD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80E182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8A8F7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B34A91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477925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A8F01C2">
            <w:pPr>
              <w:widowControl/>
              <w:rPr>
                <w:rFonts w:hint="eastAsia" w:ascii="宋体" w:hAnsi="宋体" w:cs="宋体"/>
                <w:color w:val="auto"/>
                <w:kern w:val="0"/>
                <w:sz w:val="18"/>
                <w:szCs w:val="18"/>
                <w:highlight w:val="none"/>
              </w:rPr>
            </w:pPr>
          </w:p>
        </w:tc>
      </w:tr>
      <w:tr w14:paraId="5E5E660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3F96BB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0A29DF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1F8698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ED8510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A0C2CBA">
            <w:pPr>
              <w:widowControl/>
              <w:rPr>
                <w:rFonts w:hint="eastAsia" w:ascii="宋体" w:hAnsi="宋体" w:cs="宋体"/>
                <w:color w:val="auto"/>
                <w:kern w:val="0"/>
                <w:sz w:val="18"/>
                <w:szCs w:val="18"/>
                <w:highlight w:val="none"/>
              </w:rPr>
            </w:pPr>
          </w:p>
        </w:tc>
      </w:tr>
      <w:tr w14:paraId="5D67BA6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874170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56CEBE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BA7316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DEBB7D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D6E3F29">
            <w:pPr>
              <w:widowControl/>
              <w:rPr>
                <w:rFonts w:hint="eastAsia" w:ascii="宋体" w:hAnsi="宋体" w:cs="宋体"/>
                <w:color w:val="auto"/>
                <w:kern w:val="0"/>
                <w:sz w:val="18"/>
                <w:szCs w:val="18"/>
                <w:highlight w:val="none"/>
              </w:rPr>
            </w:pPr>
          </w:p>
        </w:tc>
      </w:tr>
      <w:tr w14:paraId="0091C9A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19AA46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2DC663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EED1C3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1F761E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4867D00">
            <w:pPr>
              <w:widowControl/>
              <w:rPr>
                <w:rFonts w:hint="eastAsia" w:ascii="宋体" w:hAnsi="宋体" w:cs="宋体"/>
                <w:color w:val="auto"/>
                <w:kern w:val="0"/>
                <w:sz w:val="18"/>
                <w:szCs w:val="18"/>
                <w:highlight w:val="none"/>
              </w:rPr>
            </w:pPr>
          </w:p>
        </w:tc>
      </w:tr>
      <w:tr w14:paraId="2AE3DA8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FF4BFF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DB50AD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BB61FF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311145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41CEA98">
            <w:pPr>
              <w:widowControl/>
              <w:rPr>
                <w:rFonts w:hint="eastAsia" w:ascii="宋体" w:hAnsi="宋体" w:cs="宋体"/>
                <w:color w:val="auto"/>
                <w:kern w:val="0"/>
                <w:sz w:val="18"/>
                <w:szCs w:val="18"/>
                <w:highlight w:val="none"/>
              </w:rPr>
            </w:pPr>
          </w:p>
        </w:tc>
      </w:tr>
      <w:tr w14:paraId="601E256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D7A842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519442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AADE21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5BF5DC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3C5D754">
            <w:pPr>
              <w:widowControl/>
              <w:rPr>
                <w:rFonts w:hint="eastAsia" w:ascii="宋体" w:hAnsi="宋体" w:cs="宋体"/>
                <w:color w:val="auto"/>
                <w:kern w:val="0"/>
                <w:sz w:val="18"/>
                <w:szCs w:val="18"/>
                <w:highlight w:val="none"/>
              </w:rPr>
            </w:pPr>
          </w:p>
        </w:tc>
      </w:tr>
      <w:tr w14:paraId="697B692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5F0B15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77093D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8ED289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AD58C6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A8C8A5">
            <w:pPr>
              <w:widowControl/>
              <w:rPr>
                <w:rFonts w:hint="eastAsia" w:ascii="宋体" w:hAnsi="宋体" w:cs="宋体"/>
                <w:color w:val="auto"/>
                <w:kern w:val="0"/>
                <w:sz w:val="18"/>
                <w:szCs w:val="18"/>
                <w:highlight w:val="none"/>
              </w:rPr>
            </w:pPr>
          </w:p>
        </w:tc>
      </w:tr>
      <w:tr w14:paraId="7717DF7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17E594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698AB5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CE6460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2E01CF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4A1B747">
            <w:pPr>
              <w:widowControl/>
              <w:rPr>
                <w:rFonts w:hint="eastAsia" w:ascii="宋体" w:hAnsi="宋体" w:cs="宋体"/>
                <w:color w:val="auto"/>
                <w:kern w:val="0"/>
                <w:sz w:val="18"/>
                <w:szCs w:val="18"/>
                <w:highlight w:val="none"/>
              </w:rPr>
            </w:pPr>
          </w:p>
        </w:tc>
      </w:tr>
      <w:tr w14:paraId="00DE5DD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05E488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513277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3687C3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5A919A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804D775">
            <w:pPr>
              <w:widowControl/>
              <w:rPr>
                <w:rFonts w:hint="eastAsia" w:ascii="宋体" w:hAnsi="宋体" w:cs="宋体"/>
                <w:color w:val="auto"/>
                <w:kern w:val="0"/>
                <w:sz w:val="18"/>
                <w:szCs w:val="18"/>
                <w:highlight w:val="none"/>
              </w:rPr>
            </w:pPr>
          </w:p>
        </w:tc>
      </w:tr>
      <w:tr w14:paraId="7400B25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CD7813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7FFC33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912011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0C3BCB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DA132FF">
            <w:pPr>
              <w:widowControl/>
              <w:rPr>
                <w:rFonts w:hint="eastAsia" w:ascii="宋体" w:hAnsi="宋体" w:cs="宋体"/>
                <w:color w:val="auto"/>
                <w:kern w:val="0"/>
                <w:sz w:val="18"/>
                <w:szCs w:val="18"/>
                <w:highlight w:val="none"/>
              </w:rPr>
            </w:pPr>
          </w:p>
        </w:tc>
      </w:tr>
      <w:tr w14:paraId="3657E16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061378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ADC4A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4DA4ED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854CD4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44DFEF6">
            <w:pPr>
              <w:widowControl/>
              <w:rPr>
                <w:rFonts w:hint="eastAsia" w:ascii="宋体" w:hAnsi="宋体" w:cs="宋体"/>
                <w:color w:val="auto"/>
                <w:kern w:val="0"/>
                <w:sz w:val="18"/>
                <w:szCs w:val="18"/>
                <w:highlight w:val="none"/>
              </w:rPr>
            </w:pPr>
          </w:p>
        </w:tc>
      </w:tr>
      <w:tr w14:paraId="3964F12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11DDE1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0D2099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6E1144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FFE530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A4C9030">
            <w:pPr>
              <w:widowControl/>
              <w:rPr>
                <w:rFonts w:hint="eastAsia" w:ascii="宋体" w:hAnsi="宋体" w:cs="宋体"/>
                <w:color w:val="auto"/>
                <w:kern w:val="0"/>
                <w:sz w:val="18"/>
                <w:szCs w:val="18"/>
                <w:highlight w:val="none"/>
              </w:rPr>
            </w:pPr>
          </w:p>
        </w:tc>
      </w:tr>
      <w:tr w14:paraId="502A3AF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DC1412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F374FB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D52EDC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DB847C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86D5808">
            <w:pPr>
              <w:widowControl/>
              <w:rPr>
                <w:rFonts w:hint="eastAsia" w:ascii="宋体" w:hAnsi="宋体" w:cs="宋体"/>
                <w:color w:val="auto"/>
                <w:kern w:val="0"/>
                <w:sz w:val="18"/>
                <w:szCs w:val="18"/>
                <w:highlight w:val="none"/>
              </w:rPr>
            </w:pPr>
          </w:p>
        </w:tc>
      </w:tr>
      <w:tr w14:paraId="489A533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B8D05E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2CAB67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D56A3A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FE833B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1DD1505">
            <w:pPr>
              <w:widowControl/>
              <w:rPr>
                <w:rFonts w:hint="eastAsia" w:ascii="宋体" w:hAnsi="宋体" w:cs="宋体"/>
                <w:color w:val="auto"/>
                <w:kern w:val="0"/>
                <w:sz w:val="18"/>
                <w:szCs w:val="18"/>
                <w:highlight w:val="none"/>
              </w:rPr>
            </w:pPr>
          </w:p>
        </w:tc>
      </w:tr>
      <w:tr w14:paraId="48E5E09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0AE4C5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90D7FD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77B603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9320F4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E96E93F">
            <w:pPr>
              <w:widowControl/>
              <w:rPr>
                <w:rFonts w:hint="eastAsia" w:ascii="宋体" w:hAnsi="宋体" w:cs="宋体"/>
                <w:color w:val="auto"/>
                <w:kern w:val="0"/>
                <w:sz w:val="18"/>
                <w:szCs w:val="18"/>
                <w:highlight w:val="none"/>
              </w:rPr>
            </w:pPr>
          </w:p>
        </w:tc>
      </w:tr>
      <w:tr w14:paraId="46945F6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AF8ADB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F4F7C0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696461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3AED49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514C204">
            <w:pPr>
              <w:widowControl/>
              <w:rPr>
                <w:rFonts w:hint="eastAsia" w:ascii="宋体" w:hAnsi="宋体" w:cs="宋体"/>
                <w:color w:val="auto"/>
                <w:kern w:val="0"/>
                <w:sz w:val="18"/>
                <w:szCs w:val="18"/>
                <w:highlight w:val="none"/>
              </w:rPr>
            </w:pPr>
          </w:p>
        </w:tc>
      </w:tr>
      <w:tr w14:paraId="329E48B0">
        <w:tblPrEx>
          <w:tblCellMar>
            <w:top w:w="0" w:type="dxa"/>
            <w:left w:w="108" w:type="dxa"/>
            <w:bottom w:w="0" w:type="dxa"/>
            <w:right w:w="108" w:type="dxa"/>
          </w:tblCellMar>
        </w:tblPrEx>
        <w:trPr>
          <w:trHeight w:val="3000" w:hRule="atLeast"/>
        </w:trPr>
        <w:tc>
          <w:tcPr>
            <w:tcW w:w="418" w:type="pct"/>
            <w:vMerge w:val="continue"/>
            <w:tcBorders>
              <w:top w:val="nil"/>
              <w:left w:val="single" w:color="auto" w:sz="4" w:space="0"/>
              <w:bottom w:val="single" w:color="auto" w:sz="4" w:space="0"/>
              <w:right w:val="single" w:color="auto" w:sz="4" w:space="0"/>
            </w:tcBorders>
            <w:vAlign w:val="center"/>
          </w:tcPr>
          <w:p w14:paraId="3076B1E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980E98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108A86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C1B802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85003AF">
            <w:pPr>
              <w:widowControl/>
              <w:rPr>
                <w:rFonts w:hint="eastAsia" w:ascii="宋体" w:hAnsi="宋体" w:cs="宋体"/>
                <w:color w:val="auto"/>
                <w:kern w:val="0"/>
                <w:sz w:val="18"/>
                <w:szCs w:val="18"/>
                <w:highlight w:val="none"/>
              </w:rPr>
            </w:pPr>
          </w:p>
        </w:tc>
      </w:tr>
      <w:tr w14:paraId="4B0C7749">
        <w:tblPrEx>
          <w:tblCellMar>
            <w:top w:w="0" w:type="dxa"/>
            <w:left w:w="108" w:type="dxa"/>
            <w:bottom w:w="0" w:type="dxa"/>
            <w:right w:w="108" w:type="dxa"/>
          </w:tblCellMar>
        </w:tblPrEx>
        <w:trPr>
          <w:trHeight w:val="312"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7FD613A5">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3.3</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12FE04B4">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系统管理工作台</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2D3F62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1.服务监测:监测管理设备、服务的监控状态和数量。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(1)数据接入:实现日志采集和接入，包括Syslog日志、SNMP Trap日志、文本格式日志、数据库日志、WMI日志、Netflow日志、HTTP日志、Script日志等多种采集方式，同时提供日志转发与采集插件启停的功能。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(2)数据源管理:应对日志采集器、流量采集器和第三方采集器的数据处理策略进行配置。实现流量采集器</w:t>
            </w:r>
            <w:r>
              <w:rPr>
                <w:rFonts w:hint="eastAsia" w:ascii="宋体" w:hAnsi="宋体" w:cs="宋体"/>
                <w:color w:val="auto"/>
                <w:kern w:val="0"/>
                <w:sz w:val="18"/>
                <w:szCs w:val="18"/>
                <w:highlight w:val="none"/>
                <w:lang w:val="en-US" w:eastAsia="zh-CN"/>
              </w:rPr>
              <w:t>的</w:t>
            </w:r>
            <w:r>
              <w:rPr>
                <w:rFonts w:hint="eastAsia" w:ascii="宋体" w:hAnsi="宋体" w:cs="宋体"/>
                <w:color w:val="auto"/>
                <w:kern w:val="0"/>
                <w:sz w:val="18"/>
                <w:szCs w:val="18"/>
                <w:highlight w:val="none"/>
              </w:rPr>
              <w:t>配置，包括新增、启用、停用、删除、导入、导出、清除未解析日志、查看、最新未解析</w:t>
            </w:r>
            <w:r>
              <w:rPr>
                <w:rFonts w:hint="eastAsia" w:ascii="宋体" w:hAnsi="宋体" w:cs="宋体"/>
                <w:color w:val="auto"/>
                <w:kern w:val="0"/>
                <w:sz w:val="18"/>
                <w:szCs w:val="18"/>
                <w:highlight w:val="none"/>
                <w:lang w:val="en-US" w:eastAsia="zh-CN"/>
              </w:rPr>
              <w:t>日志</w:t>
            </w:r>
            <w:r>
              <w:rPr>
                <w:rFonts w:hint="eastAsia" w:ascii="宋体" w:hAnsi="宋体" w:cs="宋体"/>
                <w:color w:val="auto"/>
                <w:kern w:val="0"/>
                <w:sz w:val="18"/>
                <w:szCs w:val="18"/>
                <w:highlight w:val="none"/>
              </w:rPr>
              <w:t>等功能，同时能够针对采集器的离线条件进行自定义设置</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如数据源持续5分钟未收到数据认定数据源的状态为离线。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2.数据源状态监测:数据源状态监测，监测内容包括数据源名称、最后异常时间、最后接收数据时间、数据传输状态。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(1)数据采集:实现数据采集的监控，可查看数据源IP、采集器类型、最近24小时数据源状态、服务端最后收到数据时刻、发送条数、接收条数、发送接收率、发送接收差值率、查看任一数据源的采集趋势。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(2)数据处理:实现对数据处理详情的监控，查看数据源IP、接收条数、解析成功条数、过滤条数、未解析条数、数据处理总数、处理差、处理差值率、查看任一数据源的处理趋势。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(3)数据存储:实现对数据存储的详情进行监控，</w:t>
            </w:r>
            <w:r>
              <w:rPr>
                <w:rFonts w:hint="eastAsia" w:ascii="宋体" w:hAnsi="宋体" w:cs="宋体"/>
                <w:color w:val="auto"/>
                <w:kern w:val="0"/>
                <w:sz w:val="18"/>
                <w:szCs w:val="18"/>
                <w:highlight w:val="none"/>
                <w:lang w:val="en-US" w:eastAsia="zh-CN"/>
              </w:rPr>
              <w:t>包括但不限于</w:t>
            </w:r>
            <w:r>
              <w:rPr>
                <w:rFonts w:hint="eastAsia" w:ascii="宋体" w:hAnsi="宋体" w:cs="宋体"/>
                <w:color w:val="auto"/>
                <w:kern w:val="0"/>
                <w:sz w:val="18"/>
                <w:szCs w:val="18"/>
                <w:highlight w:val="none"/>
              </w:rPr>
              <w:t>查看日志库、原始告警库、归并告警库、资产发现库、知识库的趋势以及数据类型。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(4)数据积压:实现对数据积压情况进行监控，</w:t>
            </w:r>
            <w:r>
              <w:rPr>
                <w:rFonts w:hint="eastAsia" w:ascii="宋体" w:hAnsi="宋体" w:cs="宋体"/>
                <w:color w:val="auto"/>
                <w:kern w:val="0"/>
                <w:sz w:val="18"/>
                <w:szCs w:val="18"/>
                <w:highlight w:val="none"/>
                <w:lang w:val="en-US" w:eastAsia="zh-CN"/>
              </w:rPr>
              <w:t>包括但不限于</w:t>
            </w:r>
            <w:r>
              <w:rPr>
                <w:rFonts w:hint="eastAsia" w:ascii="宋体" w:hAnsi="宋体" w:cs="宋体"/>
                <w:color w:val="auto"/>
                <w:kern w:val="0"/>
                <w:sz w:val="18"/>
                <w:szCs w:val="18"/>
                <w:highlight w:val="none"/>
              </w:rPr>
              <w:t>查看Topic名称、优先级、当前存储量、未处理率。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3.集群状态监测:</w:t>
            </w:r>
            <w:r>
              <w:rPr>
                <w:rFonts w:hint="eastAsia" w:ascii="宋体" w:hAnsi="宋体" w:cs="宋体"/>
                <w:color w:val="auto"/>
                <w:kern w:val="0"/>
                <w:sz w:val="18"/>
                <w:szCs w:val="18"/>
                <w:highlight w:val="none"/>
                <w:lang w:val="en-US" w:eastAsia="zh-CN"/>
              </w:rPr>
              <w:t>实现</w:t>
            </w:r>
            <w:r>
              <w:rPr>
                <w:rFonts w:hint="eastAsia" w:ascii="宋体" w:hAnsi="宋体" w:cs="宋体"/>
                <w:color w:val="auto"/>
                <w:kern w:val="0"/>
                <w:sz w:val="18"/>
                <w:szCs w:val="18"/>
                <w:highlight w:val="none"/>
              </w:rPr>
              <w:t>对大数据平台集群健康状态和负载情况进行监测。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(1)运行状态监控:实现对集群或单机的运行状态进行监控。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(2)节点状态监控:应展示节点总数、运行节点数、维护节点数以及离线节点数。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(3)节点详细信息监控:查看节点的详细信息，包括节点名称、IP、节点状态、CPU使用率、内存使用率、磁盘使用率，并可查看任一节点的监控信息。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4.设备监测:监测除平台以外的设备，包括：linux 服务器、windows 服务器、流量传感器、网闸、工业防火墙、多层交换机、二层交换机、漏洞扫描设备、路由器、IPS、IDS、ddos 监测设备、</w:t>
            </w:r>
            <w:r>
              <w:rPr>
                <w:rFonts w:hint="eastAsia" w:ascii="宋体" w:hAnsi="宋体" w:cs="宋体"/>
                <w:color w:val="auto"/>
                <w:kern w:val="0"/>
                <w:sz w:val="18"/>
                <w:szCs w:val="18"/>
                <w:highlight w:val="none"/>
                <w:lang w:val="en-US" w:eastAsia="zh-CN"/>
              </w:rPr>
              <w:t>VPN</w:t>
            </w:r>
            <w:r>
              <w:rPr>
                <w:rFonts w:hint="eastAsia" w:ascii="宋体" w:hAnsi="宋体" w:cs="宋体"/>
                <w:color w:val="auto"/>
                <w:kern w:val="0"/>
                <w:sz w:val="18"/>
                <w:szCs w:val="18"/>
                <w:highlight w:val="none"/>
              </w:rPr>
              <w:t>设备等。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(1)主机状态监控:实现对平台主机运行状态的监控。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(2)主机信息展示:应展示主机名称、主机IP、节点名称、主机状态、CPU使用率、内存使用率、磁盘使用率。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(3)监控参数查看:实现主机详细的监控参数查看，包括但不限于运行时间、CPU核、分区使用率、连接数、整体总负载与整体平均CPU使用率、整体总内存与整体平均内存使用率、各分区可用空间等。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5.设备监控项:设备监控项包括：</w:t>
            </w:r>
            <w:r>
              <w:rPr>
                <w:rFonts w:hint="eastAsia" w:ascii="宋体" w:hAnsi="宋体" w:cs="宋体"/>
                <w:color w:val="auto"/>
                <w:kern w:val="0"/>
                <w:sz w:val="18"/>
                <w:szCs w:val="18"/>
                <w:highlight w:val="none"/>
                <w:lang w:val="en-US" w:eastAsia="zh-CN"/>
              </w:rPr>
              <w:t>CPU</w:t>
            </w:r>
            <w:r>
              <w:rPr>
                <w:rFonts w:hint="eastAsia" w:ascii="宋体" w:hAnsi="宋体" w:cs="宋体"/>
                <w:color w:val="auto"/>
                <w:kern w:val="0"/>
                <w:sz w:val="18"/>
                <w:szCs w:val="18"/>
                <w:highlight w:val="none"/>
              </w:rPr>
              <w:t>占用率、内存使用率、磁盘使用率，设备进程状态。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(1)监控对象:实现对服务器主机(windows、linux、unix)、网络设备（交换机、路由器）、安全设备(防火墙、入侵检测、入侵防御、运维审计、上网行为审计、漏洞扫描、防毒墙、VPN、网闸等)、数据库（Mysql、Oracle、SQL Server）、中间件（Tomcat、WebLogic）通用服务端口等对象的运行状态进行监控。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(2)监控协议:实现对网络设备CPU利用率、内存利用率、接口流量等指标进行监控。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(3)安全设备监控:实现对安全设备连通性、CPU利用率、内存利用率、接口流量等指标进行监控。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(4)数据库监控:实现对数据库连通性以及数据运行性能指标的监控。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(5)中间件监控:实现对中间件连通性、性能指标的监控。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(6)通用服务监控:实现对通用服务的连通性、响应时间等指标的监控。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6.服务组件监控:监控平台所用到的所有服务组件，包括启停组件操作以及对服务各指标的监测，服务指标包括：</w:t>
            </w:r>
            <w:r>
              <w:rPr>
                <w:rFonts w:hint="eastAsia" w:ascii="宋体" w:hAnsi="宋体" w:cs="宋体"/>
                <w:color w:val="auto"/>
                <w:kern w:val="0"/>
                <w:sz w:val="18"/>
                <w:szCs w:val="18"/>
                <w:highlight w:val="none"/>
                <w:lang w:val="en-US" w:eastAsia="zh-CN"/>
              </w:rPr>
              <w:t>CPU</w:t>
            </w:r>
            <w:r>
              <w:rPr>
                <w:rFonts w:hint="eastAsia" w:ascii="宋体" w:hAnsi="宋体" w:cs="宋体"/>
                <w:color w:val="auto"/>
                <w:kern w:val="0"/>
                <w:sz w:val="18"/>
                <w:szCs w:val="18"/>
                <w:highlight w:val="none"/>
              </w:rPr>
              <w:t>占用率、</w:t>
            </w:r>
            <w:r>
              <w:rPr>
                <w:rFonts w:hint="eastAsia" w:ascii="宋体" w:hAnsi="宋体" w:cs="宋体"/>
                <w:color w:val="auto"/>
                <w:kern w:val="0"/>
                <w:sz w:val="18"/>
                <w:szCs w:val="18"/>
                <w:highlight w:val="none"/>
                <w:lang w:val="en-US" w:eastAsia="zh-CN"/>
              </w:rPr>
              <w:t>内存</w:t>
            </w:r>
            <w:r>
              <w:rPr>
                <w:rFonts w:hint="eastAsia" w:ascii="宋体" w:hAnsi="宋体" w:cs="宋体"/>
                <w:color w:val="auto"/>
                <w:kern w:val="0"/>
                <w:sz w:val="18"/>
                <w:szCs w:val="18"/>
                <w:highlight w:val="none"/>
              </w:rPr>
              <w:t>使用率以及服务用到的组件。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(1)服务监控:实现对平台运行服务的监测，支持展示服务总数、运行服务数、异常服务数、未运行服务数。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(2)服务信息展示:应展示服务名称、状态、版本号、归属组件、实例数、部署节点数、运行节点数。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(3)服务信息查看:查看服务的详情以及监测的详情。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7.平台日志记录:记录平台操作日志、记录平台设备服务告警日志。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速率监控:实现数据采集、处理、入库的全流程速率监控，包括日志采集速率、日志采集发送速率、平台接收速率、平台处理速率、ES入库速率、HIVE入库速率等。并且能够根据“最近1小时、最近1天、最近7天”的EPS情况进行趋势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(2)EPS监控:对各类系统数据的采集方式的EPS进行监控，包括SYSLOG采集、SNMPTrap采集、文本格式采集、数据库采集、WMI采集、NetFlow采集、HTTP日志采集、script日志采集。</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23DBCAE7">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2251D498">
            <w:pPr>
              <w:widowControl/>
              <w:jc w:val="center"/>
              <w:rPr>
                <w:rFonts w:hint="eastAsia" w:ascii="宋体" w:hAnsi="宋体" w:cs="宋体"/>
                <w:color w:val="auto"/>
                <w:kern w:val="0"/>
                <w:sz w:val="18"/>
                <w:szCs w:val="18"/>
                <w:highlight w:val="none"/>
              </w:rPr>
            </w:pPr>
          </w:p>
        </w:tc>
      </w:tr>
      <w:tr w14:paraId="04D9191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D9CFEE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320997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CEA55C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7ACAE8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5B0675">
            <w:pPr>
              <w:widowControl/>
              <w:rPr>
                <w:rFonts w:hint="eastAsia" w:ascii="宋体" w:hAnsi="宋体" w:cs="宋体"/>
                <w:color w:val="auto"/>
                <w:kern w:val="0"/>
                <w:sz w:val="18"/>
                <w:szCs w:val="18"/>
                <w:highlight w:val="none"/>
              </w:rPr>
            </w:pPr>
          </w:p>
        </w:tc>
      </w:tr>
      <w:tr w14:paraId="59B655B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ABE585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F642DE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901D49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A5B1FE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57D5379">
            <w:pPr>
              <w:widowControl/>
              <w:rPr>
                <w:rFonts w:hint="eastAsia" w:ascii="宋体" w:hAnsi="宋体" w:cs="宋体"/>
                <w:color w:val="auto"/>
                <w:kern w:val="0"/>
                <w:sz w:val="18"/>
                <w:szCs w:val="18"/>
                <w:highlight w:val="none"/>
              </w:rPr>
            </w:pPr>
          </w:p>
        </w:tc>
      </w:tr>
      <w:tr w14:paraId="15D7EC6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972040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06BAB9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D4286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AEDBA4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FDBAEAE">
            <w:pPr>
              <w:widowControl/>
              <w:rPr>
                <w:rFonts w:hint="eastAsia" w:ascii="宋体" w:hAnsi="宋体" w:cs="宋体"/>
                <w:color w:val="auto"/>
                <w:kern w:val="0"/>
                <w:sz w:val="18"/>
                <w:szCs w:val="18"/>
                <w:highlight w:val="none"/>
              </w:rPr>
            </w:pPr>
          </w:p>
        </w:tc>
      </w:tr>
      <w:tr w14:paraId="4ADE619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7008C2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B8FC3C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092F9D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D5C095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3233238">
            <w:pPr>
              <w:widowControl/>
              <w:rPr>
                <w:rFonts w:hint="eastAsia" w:ascii="宋体" w:hAnsi="宋体" w:cs="宋体"/>
                <w:color w:val="auto"/>
                <w:kern w:val="0"/>
                <w:sz w:val="18"/>
                <w:szCs w:val="18"/>
                <w:highlight w:val="none"/>
              </w:rPr>
            </w:pPr>
          </w:p>
        </w:tc>
      </w:tr>
      <w:tr w14:paraId="6392BF7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CFDDF2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3A5BB0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A9528F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550E3D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B579E8F">
            <w:pPr>
              <w:widowControl/>
              <w:rPr>
                <w:rFonts w:hint="eastAsia" w:ascii="宋体" w:hAnsi="宋体" w:cs="宋体"/>
                <w:color w:val="auto"/>
                <w:kern w:val="0"/>
                <w:sz w:val="18"/>
                <w:szCs w:val="18"/>
                <w:highlight w:val="none"/>
              </w:rPr>
            </w:pPr>
          </w:p>
        </w:tc>
      </w:tr>
      <w:tr w14:paraId="415DE9A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960455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764E2C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9723DE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453E13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C7A0BF6">
            <w:pPr>
              <w:widowControl/>
              <w:rPr>
                <w:rFonts w:hint="eastAsia" w:ascii="宋体" w:hAnsi="宋体" w:cs="宋体"/>
                <w:color w:val="auto"/>
                <w:kern w:val="0"/>
                <w:sz w:val="18"/>
                <w:szCs w:val="18"/>
                <w:highlight w:val="none"/>
              </w:rPr>
            </w:pPr>
          </w:p>
        </w:tc>
      </w:tr>
      <w:tr w14:paraId="33BA73D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42A48B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16E5FB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7913AF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EE2444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F8EBAF7">
            <w:pPr>
              <w:widowControl/>
              <w:rPr>
                <w:rFonts w:hint="eastAsia" w:ascii="宋体" w:hAnsi="宋体" w:cs="宋体"/>
                <w:color w:val="auto"/>
                <w:kern w:val="0"/>
                <w:sz w:val="18"/>
                <w:szCs w:val="18"/>
                <w:highlight w:val="none"/>
              </w:rPr>
            </w:pPr>
          </w:p>
        </w:tc>
      </w:tr>
      <w:tr w14:paraId="4F42E14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867ADB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4AE933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5BF6A2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98768A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6689C29">
            <w:pPr>
              <w:widowControl/>
              <w:rPr>
                <w:rFonts w:hint="eastAsia" w:ascii="宋体" w:hAnsi="宋体" w:cs="宋体"/>
                <w:color w:val="auto"/>
                <w:kern w:val="0"/>
                <w:sz w:val="18"/>
                <w:szCs w:val="18"/>
                <w:highlight w:val="none"/>
              </w:rPr>
            </w:pPr>
          </w:p>
        </w:tc>
      </w:tr>
      <w:tr w14:paraId="2A27AFE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5E2E53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EF904A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D63DC3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529502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DD00B5B">
            <w:pPr>
              <w:widowControl/>
              <w:rPr>
                <w:rFonts w:hint="eastAsia" w:ascii="宋体" w:hAnsi="宋体" w:cs="宋体"/>
                <w:color w:val="auto"/>
                <w:kern w:val="0"/>
                <w:sz w:val="18"/>
                <w:szCs w:val="18"/>
                <w:highlight w:val="none"/>
              </w:rPr>
            </w:pPr>
          </w:p>
        </w:tc>
      </w:tr>
      <w:tr w14:paraId="3F08175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B1D14D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257BAE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978280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C9AA17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8F9C320">
            <w:pPr>
              <w:widowControl/>
              <w:rPr>
                <w:rFonts w:hint="eastAsia" w:ascii="宋体" w:hAnsi="宋体" w:cs="宋体"/>
                <w:color w:val="auto"/>
                <w:kern w:val="0"/>
                <w:sz w:val="18"/>
                <w:szCs w:val="18"/>
                <w:highlight w:val="none"/>
              </w:rPr>
            </w:pPr>
          </w:p>
        </w:tc>
      </w:tr>
      <w:tr w14:paraId="2534B35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9CB194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B7D5BB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44E02B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2AC56F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6EA81DD">
            <w:pPr>
              <w:widowControl/>
              <w:rPr>
                <w:rFonts w:hint="eastAsia" w:ascii="宋体" w:hAnsi="宋体" w:cs="宋体"/>
                <w:color w:val="auto"/>
                <w:kern w:val="0"/>
                <w:sz w:val="18"/>
                <w:szCs w:val="18"/>
                <w:highlight w:val="none"/>
              </w:rPr>
            </w:pPr>
          </w:p>
        </w:tc>
      </w:tr>
      <w:tr w14:paraId="57BC330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E2B7A6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DE5CBF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5FFB86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2E0319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4D8EE35">
            <w:pPr>
              <w:widowControl/>
              <w:rPr>
                <w:rFonts w:hint="eastAsia" w:ascii="宋体" w:hAnsi="宋体" w:cs="宋体"/>
                <w:color w:val="auto"/>
                <w:kern w:val="0"/>
                <w:sz w:val="18"/>
                <w:szCs w:val="18"/>
                <w:highlight w:val="none"/>
              </w:rPr>
            </w:pPr>
          </w:p>
        </w:tc>
      </w:tr>
      <w:tr w14:paraId="0084210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007600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F33F2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843769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32C948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AB0304F">
            <w:pPr>
              <w:widowControl/>
              <w:rPr>
                <w:rFonts w:hint="eastAsia" w:ascii="宋体" w:hAnsi="宋体" w:cs="宋体"/>
                <w:color w:val="auto"/>
                <w:kern w:val="0"/>
                <w:sz w:val="18"/>
                <w:szCs w:val="18"/>
                <w:highlight w:val="none"/>
              </w:rPr>
            </w:pPr>
          </w:p>
        </w:tc>
      </w:tr>
      <w:tr w14:paraId="1C08117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140FA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BCF5A3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671D2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9BDCC2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B31C504">
            <w:pPr>
              <w:widowControl/>
              <w:rPr>
                <w:rFonts w:hint="eastAsia" w:ascii="宋体" w:hAnsi="宋体" w:cs="宋体"/>
                <w:color w:val="auto"/>
                <w:kern w:val="0"/>
                <w:sz w:val="18"/>
                <w:szCs w:val="18"/>
                <w:highlight w:val="none"/>
              </w:rPr>
            </w:pPr>
          </w:p>
        </w:tc>
      </w:tr>
      <w:tr w14:paraId="45E6189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135200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CE5048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907E87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0E8DCF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57EC9AB">
            <w:pPr>
              <w:widowControl/>
              <w:rPr>
                <w:rFonts w:hint="eastAsia" w:ascii="宋体" w:hAnsi="宋体" w:cs="宋体"/>
                <w:color w:val="auto"/>
                <w:kern w:val="0"/>
                <w:sz w:val="18"/>
                <w:szCs w:val="18"/>
                <w:highlight w:val="none"/>
              </w:rPr>
            </w:pPr>
          </w:p>
        </w:tc>
      </w:tr>
      <w:tr w14:paraId="055C9DF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B656C7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04B831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4F882D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4450F6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9610575">
            <w:pPr>
              <w:widowControl/>
              <w:rPr>
                <w:rFonts w:hint="eastAsia" w:ascii="宋体" w:hAnsi="宋体" w:cs="宋体"/>
                <w:color w:val="auto"/>
                <w:kern w:val="0"/>
                <w:sz w:val="18"/>
                <w:szCs w:val="18"/>
                <w:highlight w:val="none"/>
              </w:rPr>
            </w:pPr>
          </w:p>
        </w:tc>
      </w:tr>
      <w:tr w14:paraId="67CFE07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13C76D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48CCB0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C560E6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EF4A77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0E473A0">
            <w:pPr>
              <w:widowControl/>
              <w:rPr>
                <w:rFonts w:hint="eastAsia" w:ascii="宋体" w:hAnsi="宋体" w:cs="宋体"/>
                <w:color w:val="auto"/>
                <w:kern w:val="0"/>
                <w:sz w:val="18"/>
                <w:szCs w:val="18"/>
                <w:highlight w:val="none"/>
              </w:rPr>
            </w:pPr>
          </w:p>
        </w:tc>
      </w:tr>
      <w:tr w14:paraId="45A9BD4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255EF2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69902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41F09F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465266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90BEA77">
            <w:pPr>
              <w:widowControl/>
              <w:rPr>
                <w:rFonts w:hint="eastAsia" w:ascii="宋体" w:hAnsi="宋体" w:cs="宋体"/>
                <w:color w:val="auto"/>
                <w:kern w:val="0"/>
                <w:sz w:val="18"/>
                <w:szCs w:val="18"/>
                <w:highlight w:val="none"/>
              </w:rPr>
            </w:pPr>
          </w:p>
        </w:tc>
      </w:tr>
      <w:tr w14:paraId="22F1679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1A85EC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E429B2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AC33D9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5278F0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77EE29">
            <w:pPr>
              <w:widowControl/>
              <w:rPr>
                <w:rFonts w:hint="eastAsia" w:ascii="宋体" w:hAnsi="宋体" w:cs="宋体"/>
                <w:color w:val="auto"/>
                <w:kern w:val="0"/>
                <w:sz w:val="18"/>
                <w:szCs w:val="18"/>
                <w:highlight w:val="none"/>
              </w:rPr>
            </w:pPr>
          </w:p>
        </w:tc>
      </w:tr>
      <w:tr w14:paraId="3265EB3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754198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4152A0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E1FC47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457264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D702DBB">
            <w:pPr>
              <w:widowControl/>
              <w:rPr>
                <w:rFonts w:hint="eastAsia" w:ascii="宋体" w:hAnsi="宋体" w:cs="宋体"/>
                <w:color w:val="auto"/>
                <w:kern w:val="0"/>
                <w:sz w:val="18"/>
                <w:szCs w:val="18"/>
                <w:highlight w:val="none"/>
              </w:rPr>
            </w:pPr>
          </w:p>
        </w:tc>
      </w:tr>
      <w:tr w14:paraId="3998923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F3C886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5FB1EC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EB3EFB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35A07A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EA11251">
            <w:pPr>
              <w:widowControl/>
              <w:rPr>
                <w:rFonts w:hint="eastAsia" w:ascii="宋体" w:hAnsi="宋体" w:cs="宋体"/>
                <w:color w:val="auto"/>
                <w:kern w:val="0"/>
                <w:sz w:val="18"/>
                <w:szCs w:val="18"/>
                <w:highlight w:val="none"/>
              </w:rPr>
            </w:pPr>
          </w:p>
        </w:tc>
      </w:tr>
      <w:tr w14:paraId="2FEF353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F1B7FD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1329E1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C976DC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8FF1E9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D85076C">
            <w:pPr>
              <w:widowControl/>
              <w:rPr>
                <w:rFonts w:hint="eastAsia" w:ascii="宋体" w:hAnsi="宋体" w:cs="宋体"/>
                <w:color w:val="auto"/>
                <w:kern w:val="0"/>
                <w:sz w:val="18"/>
                <w:szCs w:val="18"/>
                <w:highlight w:val="none"/>
              </w:rPr>
            </w:pPr>
          </w:p>
        </w:tc>
      </w:tr>
      <w:tr w14:paraId="78BEDD7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00B2BD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EE467A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8B8689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AA7BC4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756C617">
            <w:pPr>
              <w:widowControl/>
              <w:rPr>
                <w:rFonts w:hint="eastAsia" w:ascii="宋体" w:hAnsi="宋体" w:cs="宋体"/>
                <w:color w:val="auto"/>
                <w:kern w:val="0"/>
                <w:sz w:val="18"/>
                <w:szCs w:val="18"/>
                <w:highlight w:val="none"/>
              </w:rPr>
            </w:pPr>
          </w:p>
        </w:tc>
      </w:tr>
      <w:tr w14:paraId="7121E29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85469C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D7AB1C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74EF10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A9EE2C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70B6D3F">
            <w:pPr>
              <w:widowControl/>
              <w:rPr>
                <w:rFonts w:hint="eastAsia" w:ascii="宋体" w:hAnsi="宋体" w:cs="宋体"/>
                <w:color w:val="auto"/>
                <w:kern w:val="0"/>
                <w:sz w:val="18"/>
                <w:szCs w:val="18"/>
                <w:highlight w:val="none"/>
              </w:rPr>
            </w:pPr>
          </w:p>
        </w:tc>
      </w:tr>
      <w:tr w14:paraId="2149E5B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081CD1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9D66A9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AC51DC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A0ADF8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E55121D">
            <w:pPr>
              <w:widowControl/>
              <w:rPr>
                <w:rFonts w:hint="eastAsia" w:ascii="宋体" w:hAnsi="宋体" w:cs="宋体"/>
                <w:color w:val="auto"/>
                <w:kern w:val="0"/>
                <w:sz w:val="18"/>
                <w:szCs w:val="18"/>
                <w:highlight w:val="none"/>
              </w:rPr>
            </w:pPr>
          </w:p>
        </w:tc>
      </w:tr>
      <w:tr w14:paraId="5943FB3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85C4F8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7EC09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C48F40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66E7C5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EAB9417">
            <w:pPr>
              <w:widowControl/>
              <w:rPr>
                <w:rFonts w:hint="eastAsia" w:ascii="宋体" w:hAnsi="宋体" w:cs="宋体"/>
                <w:color w:val="auto"/>
                <w:kern w:val="0"/>
                <w:sz w:val="18"/>
                <w:szCs w:val="18"/>
                <w:highlight w:val="none"/>
              </w:rPr>
            </w:pPr>
          </w:p>
        </w:tc>
      </w:tr>
      <w:tr w14:paraId="2F31DE6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BEFD71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249AC0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56EA28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9503F6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73EA424">
            <w:pPr>
              <w:widowControl/>
              <w:rPr>
                <w:rFonts w:hint="eastAsia" w:ascii="宋体" w:hAnsi="宋体" w:cs="宋体"/>
                <w:color w:val="auto"/>
                <w:kern w:val="0"/>
                <w:sz w:val="18"/>
                <w:szCs w:val="18"/>
                <w:highlight w:val="none"/>
              </w:rPr>
            </w:pPr>
          </w:p>
        </w:tc>
      </w:tr>
      <w:tr w14:paraId="5728CA1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987197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A5C3ED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6E626F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B2B1BE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D202C8B">
            <w:pPr>
              <w:widowControl/>
              <w:rPr>
                <w:rFonts w:hint="eastAsia" w:ascii="宋体" w:hAnsi="宋体" w:cs="宋体"/>
                <w:color w:val="auto"/>
                <w:kern w:val="0"/>
                <w:sz w:val="18"/>
                <w:szCs w:val="18"/>
                <w:highlight w:val="none"/>
              </w:rPr>
            </w:pPr>
          </w:p>
        </w:tc>
      </w:tr>
      <w:tr w14:paraId="536797C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C9BDB9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8DAC74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12FEC6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619826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EEE029B">
            <w:pPr>
              <w:widowControl/>
              <w:rPr>
                <w:rFonts w:hint="eastAsia" w:ascii="宋体" w:hAnsi="宋体" w:cs="宋体"/>
                <w:color w:val="auto"/>
                <w:kern w:val="0"/>
                <w:sz w:val="18"/>
                <w:szCs w:val="18"/>
                <w:highlight w:val="none"/>
              </w:rPr>
            </w:pPr>
          </w:p>
        </w:tc>
      </w:tr>
      <w:tr w14:paraId="06239FAE">
        <w:tblPrEx>
          <w:tblCellMar>
            <w:top w:w="0" w:type="dxa"/>
            <w:left w:w="108" w:type="dxa"/>
            <w:bottom w:w="0" w:type="dxa"/>
            <w:right w:w="108" w:type="dxa"/>
          </w:tblCellMar>
        </w:tblPrEx>
        <w:trPr>
          <w:trHeight w:val="1540" w:hRule="atLeast"/>
        </w:trPr>
        <w:tc>
          <w:tcPr>
            <w:tcW w:w="418" w:type="pct"/>
            <w:vMerge w:val="continue"/>
            <w:tcBorders>
              <w:top w:val="nil"/>
              <w:left w:val="single" w:color="auto" w:sz="4" w:space="0"/>
              <w:bottom w:val="single" w:color="auto" w:sz="4" w:space="0"/>
              <w:right w:val="single" w:color="auto" w:sz="4" w:space="0"/>
            </w:tcBorders>
            <w:vAlign w:val="center"/>
          </w:tcPr>
          <w:p w14:paraId="3012AA5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47E3E7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FEBEBC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2FE8BC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A3B6EA0">
            <w:pPr>
              <w:widowControl/>
              <w:rPr>
                <w:rFonts w:hint="eastAsia" w:ascii="宋体" w:hAnsi="宋体" w:cs="宋体"/>
                <w:color w:val="auto"/>
                <w:kern w:val="0"/>
                <w:sz w:val="18"/>
                <w:szCs w:val="18"/>
                <w:highlight w:val="none"/>
              </w:rPr>
            </w:pPr>
          </w:p>
        </w:tc>
      </w:tr>
      <w:tr w14:paraId="283F7770">
        <w:tblPrEx>
          <w:tblCellMar>
            <w:top w:w="0" w:type="dxa"/>
            <w:left w:w="108" w:type="dxa"/>
            <w:bottom w:w="0" w:type="dxa"/>
            <w:right w:w="108" w:type="dxa"/>
          </w:tblCellMar>
        </w:tblPrEx>
        <w:trPr>
          <w:trHeight w:val="2686"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3465609D">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3.4</w:t>
            </w:r>
          </w:p>
        </w:tc>
        <w:tc>
          <w:tcPr>
            <w:tcW w:w="428" w:type="pct"/>
            <w:tcBorders>
              <w:top w:val="nil"/>
              <w:left w:val="nil"/>
              <w:bottom w:val="single" w:color="auto" w:sz="4" w:space="0"/>
              <w:right w:val="single" w:color="auto" w:sz="4" w:space="0"/>
            </w:tcBorders>
            <w:shd w:val="clear" w:color="auto" w:fill="auto"/>
            <w:vAlign w:val="center"/>
          </w:tcPr>
          <w:p w14:paraId="652DF3DF">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报告中心</w:t>
            </w:r>
          </w:p>
        </w:tc>
        <w:tc>
          <w:tcPr>
            <w:tcW w:w="3798" w:type="pct"/>
            <w:gridSpan w:val="2"/>
            <w:tcBorders>
              <w:top w:val="nil"/>
              <w:left w:val="nil"/>
              <w:bottom w:val="single" w:color="auto" w:sz="4" w:space="0"/>
              <w:right w:val="single" w:color="auto" w:sz="4" w:space="0"/>
            </w:tcBorders>
            <w:shd w:val="clear" w:color="auto" w:fill="auto"/>
            <w:vAlign w:val="center"/>
          </w:tcPr>
          <w:p w14:paraId="7356121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1.报告总览:</w:t>
            </w:r>
            <w:r>
              <w:rPr>
                <w:rFonts w:hint="eastAsia" w:ascii="宋体" w:hAnsi="宋体" w:cs="宋体"/>
                <w:color w:val="auto"/>
                <w:kern w:val="0"/>
                <w:sz w:val="18"/>
                <w:szCs w:val="18"/>
                <w:highlight w:val="none"/>
                <w:lang w:val="en-US" w:eastAsia="zh-CN"/>
              </w:rPr>
              <w:t>可</w:t>
            </w:r>
            <w:r>
              <w:rPr>
                <w:rFonts w:hint="eastAsia" w:ascii="宋体" w:hAnsi="宋体" w:cs="宋体"/>
                <w:color w:val="auto"/>
                <w:kern w:val="0"/>
                <w:sz w:val="18"/>
                <w:szCs w:val="18"/>
                <w:highlight w:val="none"/>
              </w:rPr>
              <w:t>查看系统中报告列表，包括名称、大小和时间。实现通过报告名称、报告类型对报告进行搜索查询，对指定报告的下载(word、pdf)和预览(pdf)，</w:t>
            </w:r>
            <w:r>
              <w:rPr>
                <w:rFonts w:hint="eastAsia" w:ascii="宋体" w:hAnsi="宋体" w:cs="宋体"/>
                <w:color w:val="auto"/>
                <w:kern w:val="0"/>
                <w:sz w:val="18"/>
                <w:szCs w:val="18"/>
                <w:highlight w:val="none"/>
                <w:lang w:val="en-US" w:eastAsia="zh-CN"/>
              </w:rPr>
              <w:t>并实现</w:t>
            </w:r>
            <w:r>
              <w:rPr>
                <w:rFonts w:hint="eastAsia" w:ascii="宋体" w:hAnsi="宋体" w:cs="宋体"/>
                <w:color w:val="auto"/>
                <w:kern w:val="0"/>
                <w:sz w:val="18"/>
                <w:szCs w:val="18"/>
                <w:highlight w:val="none"/>
              </w:rPr>
              <w:t>批量删除报告。</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(1)多视图组合分析:</w:t>
            </w:r>
            <w:r>
              <w:rPr>
                <w:rFonts w:hint="eastAsia" w:ascii="宋体" w:hAnsi="宋体" w:cs="宋体"/>
                <w:color w:val="auto"/>
                <w:kern w:val="0"/>
                <w:sz w:val="18"/>
                <w:szCs w:val="18"/>
                <w:highlight w:val="none"/>
                <w:lang w:val="en-US" w:eastAsia="zh-CN"/>
              </w:rPr>
              <w:t>可</w:t>
            </w:r>
            <w:r>
              <w:rPr>
                <w:rFonts w:hint="eastAsia" w:ascii="宋体" w:hAnsi="宋体" w:cs="宋体"/>
                <w:color w:val="auto"/>
                <w:kern w:val="0"/>
                <w:sz w:val="18"/>
                <w:szCs w:val="18"/>
                <w:highlight w:val="none"/>
              </w:rPr>
              <w:t>实现多视图组合分析，支持多区域、多维度、多级分析和可拖拽分析。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(2)过滤条件分析:能够对已有视图、复制仪表板内视图进行分析，实现日期选择、数值输入、数值范围、下拉列表、文本输入、级联选择等多种过滤分析模式。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(3)适应多终端查看:</w:t>
            </w:r>
            <w:r>
              <w:rPr>
                <w:rFonts w:hint="eastAsia" w:ascii="宋体" w:hAnsi="宋体" w:cs="宋体"/>
                <w:color w:val="auto"/>
                <w:kern w:val="0"/>
                <w:sz w:val="18"/>
                <w:szCs w:val="18"/>
                <w:highlight w:val="none"/>
                <w:lang w:val="en-US" w:eastAsia="zh-CN"/>
              </w:rPr>
              <w:t>可</w:t>
            </w:r>
            <w:r>
              <w:rPr>
                <w:rFonts w:hint="eastAsia" w:ascii="宋体" w:hAnsi="宋体" w:cs="宋体"/>
                <w:color w:val="auto"/>
                <w:kern w:val="0"/>
                <w:sz w:val="18"/>
                <w:szCs w:val="18"/>
                <w:highlight w:val="none"/>
              </w:rPr>
              <w:t>实现仪表板PC端、移动端分别设置画布布局，适应多终端查看，对仪表板进行授权或公开。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(4)多格式支持:实现仪表板的查看、预览和数据导出为PDF、图片、CSV、EXCEL文件。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2.创建报告:</w:t>
            </w:r>
            <w:r>
              <w:rPr>
                <w:rFonts w:hint="eastAsia" w:ascii="宋体" w:hAnsi="宋体" w:cs="宋体"/>
                <w:color w:val="auto"/>
                <w:kern w:val="0"/>
                <w:sz w:val="18"/>
                <w:szCs w:val="18"/>
                <w:highlight w:val="none"/>
                <w:lang w:val="en-US" w:eastAsia="zh-CN"/>
              </w:rPr>
              <w:t>可</w:t>
            </w:r>
            <w:r>
              <w:rPr>
                <w:rFonts w:hint="eastAsia" w:ascii="宋体" w:hAnsi="宋体" w:cs="宋体"/>
                <w:color w:val="auto"/>
                <w:kern w:val="0"/>
                <w:sz w:val="18"/>
                <w:szCs w:val="18"/>
                <w:highlight w:val="none"/>
              </w:rPr>
              <w:t>通过指定模板和周期快速创建报告，查看报告列表，列表可自定义表头查看项，实现报告列表基于各字段项的排序，报告搜索功能</w:t>
            </w:r>
            <w:r>
              <w:rPr>
                <w:rFonts w:hint="eastAsia" w:ascii="宋体" w:hAnsi="宋体" w:cs="宋体"/>
                <w:color w:val="auto"/>
                <w:kern w:val="0"/>
                <w:sz w:val="18"/>
                <w:szCs w:val="18"/>
                <w:highlight w:val="none"/>
                <w:lang w:val="en-US" w:eastAsia="zh-CN"/>
              </w:rPr>
              <w:t>和</w:t>
            </w:r>
            <w:r>
              <w:rPr>
                <w:rFonts w:hint="eastAsia" w:ascii="宋体" w:hAnsi="宋体" w:cs="宋体"/>
                <w:color w:val="auto"/>
                <w:kern w:val="0"/>
                <w:sz w:val="18"/>
                <w:szCs w:val="18"/>
                <w:highlight w:val="none"/>
              </w:rPr>
              <w:t>报告批量删除功能。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(1)任务编辑:实现新建目录、新建视图、复制视图、批量移动、编辑、删除重命名等操作。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(2)报告展现形式:实现构建交叉表、明细表、分组表，以及饼图、柱图、条形图、双轴图、指标卡、矩形树图、词云图等20类以上图形分析。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(3)报告数据分析形式:实现对数据进行同环比、百分比、累计值的计算，如去年同比、上月同比、上周同比、环比等。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(4)字段聚合运算:实现对字段进行聚合运算，包括求和、最大值、最小值、平均值、计数、计数（去重）等。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(5)指标参考线:实现指标设置参考线，包括最大值、最小值、平均值、指定值，前3个选项为自动计算，指定值需要手动输入对应的数值。</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创建调度任务:实现新增创建调度任务，包括任务名称、模板、周期、开始结束时间。周期支持日报、周报和月报；实现调度任务列表，以及列表的各字段排序，和自定义表头，包括任务名称、模板名称、创建人、调度周期、最近执行时间、下次执行时间、任务状态、多种操作等，操作包括任务的禁用、启用、编辑、查看详情、单个任务删除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(1)周期性报告:能够根据预定的时间及执行频率自动输出报告和分析结果，支持运行和启/停用周期报告和周期报告详情查看、执行记录查看。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(2)周期性报告授权:实现对周期报告进行授权或公开。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(3)报告统一管理:实现对周期报告的统一管理，包括名称、类型、报告周期、使用模板、更新时间、启停状态、最近运行时间、下次运行时间等。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(4)报告编辑操作:实现对周期报告的操作，包括新建目录、新建周期报告、授权、批量移动、删除、编辑、运行、停用、查看记录、公开等。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报告模板管理:实现模板列表，包括表项查询和自定义表头。列表包括：模板名称、来源、创建人、创建时间、最后编辑时间及查看详情、编辑模板操作；对模板列表中的指定模板进行编辑和查看详情。对模板进行自定义编辑。支持模板的批量删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(1)模板自定义:能够定义各类业务和平台报告的模板（Word和PPT格式）。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(2)在线编辑:实现模板的在线编辑，能够以所见即所得的方式编辑模板中的文本样式、字体、段落、标题等内容和在报告中插入各类视图中的图表。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(3)导出功能:支持报告的预览和导出功能。</w:t>
            </w:r>
          </w:p>
        </w:tc>
        <w:tc>
          <w:tcPr>
            <w:tcW w:w="145" w:type="pct"/>
            <w:tcBorders>
              <w:top w:val="nil"/>
              <w:left w:val="nil"/>
              <w:bottom w:val="single" w:color="auto" w:sz="4" w:space="0"/>
              <w:right w:val="single" w:color="auto" w:sz="4" w:space="0"/>
            </w:tcBorders>
            <w:shd w:val="clear" w:color="auto" w:fill="auto"/>
            <w:vAlign w:val="center"/>
          </w:tcPr>
          <w:p w14:paraId="5C1AA514">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74416275">
            <w:pPr>
              <w:widowControl/>
              <w:jc w:val="center"/>
              <w:rPr>
                <w:rFonts w:hint="eastAsia" w:ascii="宋体" w:hAnsi="宋体" w:cs="宋体"/>
                <w:color w:val="auto"/>
                <w:kern w:val="0"/>
                <w:sz w:val="18"/>
                <w:szCs w:val="18"/>
                <w:highlight w:val="none"/>
              </w:rPr>
            </w:pPr>
          </w:p>
        </w:tc>
      </w:tr>
      <w:tr w14:paraId="661CDA05">
        <w:tblPrEx>
          <w:tblCellMar>
            <w:top w:w="0" w:type="dxa"/>
            <w:left w:w="108" w:type="dxa"/>
            <w:bottom w:w="0" w:type="dxa"/>
            <w:right w:w="108" w:type="dxa"/>
          </w:tblCellMar>
        </w:tblPrEx>
        <w:trPr>
          <w:trHeight w:val="312"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6B8C7350">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3.5</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55CF5501">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工单管理</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1353E5B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1.工单创建与管理:系统应实现用户创建新的工单来记录安全事件或漏洞信息，包括详细描述、优先级、状态（如新建、待处理、处理中、已完成等）以及相关的附件上传。</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(1)工单创建:系统新建指令，创建表单和各环节执行方设置，能够根据指令类型、业务分类等生成不同类型的指令。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(2)工单执行方选择:选择指令的各环节执行方进行指令的执行，能够选择多个执行方。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(3)工单管理:实现对指令创建的暂存、提交、保存为模板等功能。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2.自动化工单分配:系统能够根据预设的规则或算法，自动将工单分配给相应的安全团队或成员，以提高响应速度。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(1)分配规则算法:可配置规则引擎，允许管理员定义工单分配的具体条件（如事件类型、严重等级、来源、关键词等）和分配算法（如轮询、负载均衡等）。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(2)操作接口:提供操作接口，允许授权人员查看分配逻辑、手动重新分配工单或接手工单。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(3)监控面板:建立监控面板，用于追踪自动分配的准确率、响应时间等关键指标。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3.工单通知与提醒:系统对接政府大脑IRS的通知系统，通过邮件、短信、移动应用推送等方式，及时通知相关用户有新的安全事件或漏洞工单，并提醒用户关注即将到期的工单。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(1)工单催办:通过邮件、短信、移动应用推送等方式对即将到期的工单进行催办提醒。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(2)评论反馈:评论反馈内容包括反馈时间、反馈附件和反馈信息。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(3)催办信息:催办信息包括催办策略、发送事件和催办信息。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4.工单状态跟踪:用户应能够实时查看工单的处理进度和状态，包括当前处理人、处理时间、处理结果等信息。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(1)进展信息:实现对指令流程的每一个环节的执行信息呈现，包括每一个指令流程环节的执行方、执行状态、执行时间、延期状态和操作等。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(2)操作记录:操作记录实现对指令流程过程中的操作日志信息进行记录，包括操作时间、角色、用户、访问IP、操作、操作结果和操作内容。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(3)处置进展:处置进展记录指令的状态流转操作，包括操作时间、角色、用户、操作、操作结果和操作内容。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(4)工单评论与协作:系统应实现团队成员在工单下添加评论，进行协作和讨论，确保所有相关人员对工单有清晰的了解。</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工单评论:提供事中工单的评价功能，可推动工单流程进度。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工单协作:通过工单评价，拉通不同操作人员直接的反馈建议，帮助当前操作者选择正确及高效的处理方式。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工单讨论:可提供事后工单的讨论功能，为后期工作的改进积累经验。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5.工单自定义字段与模板:为了满足不同安全事件或漏洞的记录需求，系统应支持用户自定义工单字段和模板，以提高工单信息的完整性和准确性。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(1)数据权限控制:可见范围配置，能够针对特定的场景中，某一个环节的执行方需要看到其他环节的执行情况，从而实现数据权限可见范围的灵活配置。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(2)工单字段配置:能够根据实际业务针对在指令流程中使用的数据字段，进行灵活的自定义扩展和定制化配置，包括单行文本输入、多行文本输入、数字输入、单选按钮、复选框、下拉单选和下拉多选等。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(3)表单管理:使用指令的预制字段、扩展字段等组成表单，从而在流程的各个环节引用，实现流程数据的灵活配置能力。</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6.工单报表与统计:系统应提供报表和统计功能，帮助用户分析安全事件或漏洞的类型、分布、处理时间等关键指标，以便优化安全策略。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工单指令详情:通过图形化方式呈现指令的整体流程和详情内容，使用不同状态进行标识指令流程中执行完的环节、正在执行中的环节和未执行的环节。实现指令流程图形化的呈现方式和具体流程的放大、缩小、居中和全屏等展示功能。同时能够了解指令环节的进展信息、反馈催办、操作记录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(2)工单指令类型管理:系统针对每一个指令流程的执行环节的执行时限、执行人范围、表单配置、可见范围、操作选型和消息模板进行灵活配置，从而实现不同的用户的操作权限和数据可见范围权限的配置管理。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我发出的:对用户发出的指令进行统一管理。新建指令能够根据选择不同的指令类型，动态生成不同类型的指令。新建指令时能够关联已有的指令或者任务。支持对指令创建的暂存、提交、保存为模板、删除、打标签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(4):系统对于指令的导出工作，能够指定相应的指令，从而执行导出任务进行指令的导出，实现对导出字段的自定义配置。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(5)我的待办:对于指令各环节的执行待办的指令管理，对于指令的执行工作，并能够根据不同的指令流程定义不同的执行方式，包括签收、审核等。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回收站:实现回收站对删除的指令进行管理，包括指令编号、指令标题、发送时间、指令类型、发送人等。系统支持对回收站指令的检索、恢复和状态统计等功能。对删除指令的恢复，能够对删除的指令进行恢复，恢复的指令支持继续执行删除前的处置流程。</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1970AAF6">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615D5964">
            <w:pPr>
              <w:widowControl/>
              <w:jc w:val="center"/>
              <w:rPr>
                <w:rFonts w:hint="eastAsia" w:ascii="宋体" w:hAnsi="宋体" w:cs="宋体"/>
                <w:color w:val="auto"/>
                <w:kern w:val="0"/>
                <w:sz w:val="18"/>
                <w:szCs w:val="18"/>
                <w:highlight w:val="none"/>
              </w:rPr>
            </w:pPr>
          </w:p>
        </w:tc>
      </w:tr>
      <w:tr w14:paraId="73E48E8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44CCAC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916DBE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33B0D8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4EE2EC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0387D8C">
            <w:pPr>
              <w:widowControl/>
              <w:rPr>
                <w:rFonts w:hint="eastAsia" w:ascii="宋体" w:hAnsi="宋体" w:cs="宋体"/>
                <w:color w:val="auto"/>
                <w:kern w:val="0"/>
                <w:sz w:val="18"/>
                <w:szCs w:val="18"/>
                <w:highlight w:val="none"/>
              </w:rPr>
            </w:pPr>
          </w:p>
        </w:tc>
      </w:tr>
      <w:tr w14:paraId="79C1EB8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1D5DD4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B55B5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70704D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B7ECD6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42EC732">
            <w:pPr>
              <w:widowControl/>
              <w:rPr>
                <w:rFonts w:hint="eastAsia" w:ascii="宋体" w:hAnsi="宋体" w:cs="宋体"/>
                <w:color w:val="auto"/>
                <w:kern w:val="0"/>
                <w:sz w:val="18"/>
                <w:szCs w:val="18"/>
                <w:highlight w:val="none"/>
              </w:rPr>
            </w:pPr>
          </w:p>
        </w:tc>
      </w:tr>
      <w:tr w14:paraId="28CD783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4B0A31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971531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7C45CA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7DB763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73761E8">
            <w:pPr>
              <w:widowControl/>
              <w:rPr>
                <w:rFonts w:hint="eastAsia" w:ascii="宋体" w:hAnsi="宋体" w:cs="宋体"/>
                <w:color w:val="auto"/>
                <w:kern w:val="0"/>
                <w:sz w:val="18"/>
                <w:szCs w:val="18"/>
                <w:highlight w:val="none"/>
              </w:rPr>
            </w:pPr>
          </w:p>
        </w:tc>
      </w:tr>
      <w:tr w14:paraId="2218A11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C24876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41EFE1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F84B57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85BC0A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1E5C927">
            <w:pPr>
              <w:widowControl/>
              <w:rPr>
                <w:rFonts w:hint="eastAsia" w:ascii="宋体" w:hAnsi="宋体" w:cs="宋体"/>
                <w:color w:val="auto"/>
                <w:kern w:val="0"/>
                <w:sz w:val="18"/>
                <w:szCs w:val="18"/>
                <w:highlight w:val="none"/>
              </w:rPr>
            </w:pPr>
          </w:p>
        </w:tc>
      </w:tr>
      <w:tr w14:paraId="6E2713C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B5E251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EA037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416E8D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FA1A20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C12B0E6">
            <w:pPr>
              <w:widowControl/>
              <w:rPr>
                <w:rFonts w:hint="eastAsia" w:ascii="宋体" w:hAnsi="宋体" w:cs="宋体"/>
                <w:color w:val="auto"/>
                <w:kern w:val="0"/>
                <w:sz w:val="18"/>
                <w:szCs w:val="18"/>
                <w:highlight w:val="none"/>
              </w:rPr>
            </w:pPr>
          </w:p>
        </w:tc>
      </w:tr>
      <w:tr w14:paraId="6300742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3E1750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82DD0A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B87C84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3E943B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AE86B1">
            <w:pPr>
              <w:widowControl/>
              <w:rPr>
                <w:rFonts w:hint="eastAsia" w:ascii="宋体" w:hAnsi="宋体" w:cs="宋体"/>
                <w:color w:val="auto"/>
                <w:kern w:val="0"/>
                <w:sz w:val="18"/>
                <w:szCs w:val="18"/>
                <w:highlight w:val="none"/>
              </w:rPr>
            </w:pPr>
          </w:p>
        </w:tc>
      </w:tr>
      <w:tr w14:paraId="5EEFCE7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3DC767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25280B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38233E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31D773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4886C2">
            <w:pPr>
              <w:widowControl/>
              <w:rPr>
                <w:rFonts w:hint="eastAsia" w:ascii="宋体" w:hAnsi="宋体" w:cs="宋体"/>
                <w:color w:val="auto"/>
                <w:kern w:val="0"/>
                <w:sz w:val="18"/>
                <w:szCs w:val="18"/>
                <w:highlight w:val="none"/>
              </w:rPr>
            </w:pPr>
          </w:p>
        </w:tc>
      </w:tr>
      <w:tr w14:paraId="4D8F075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F959E7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8F8BD3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9F5B76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0CB55C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6C9AF76">
            <w:pPr>
              <w:widowControl/>
              <w:rPr>
                <w:rFonts w:hint="eastAsia" w:ascii="宋体" w:hAnsi="宋体" w:cs="宋体"/>
                <w:color w:val="auto"/>
                <w:kern w:val="0"/>
                <w:sz w:val="18"/>
                <w:szCs w:val="18"/>
                <w:highlight w:val="none"/>
              </w:rPr>
            </w:pPr>
          </w:p>
        </w:tc>
      </w:tr>
      <w:tr w14:paraId="49522D9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41D5F7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461957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AB897C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7D5465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71D9AD">
            <w:pPr>
              <w:widowControl/>
              <w:rPr>
                <w:rFonts w:hint="eastAsia" w:ascii="宋体" w:hAnsi="宋体" w:cs="宋体"/>
                <w:color w:val="auto"/>
                <w:kern w:val="0"/>
                <w:sz w:val="18"/>
                <w:szCs w:val="18"/>
                <w:highlight w:val="none"/>
              </w:rPr>
            </w:pPr>
          </w:p>
        </w:tc>
      </w:tr>
      <w:tr w14:paraId="1D47A18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803BFC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BF246C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A4C769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A6FC1D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9E6B5F">
            <w:pPr>
              <w:widowControl/>
              <w:rPr>
                <w:rFonts w:hint="eastAsia" w:ascii="宋体" w:hAnsi="宋体" w:cs="宋体"/>
                <w:color w:val="auto"/>
                <w:kern w:val="0"/>
                <w:sz w:val="18"/>
                <w:szCs w:val="18"/>
                <w:highlight w:val="none"/>
              </w:rPr>
            </w:pPr>
          </w:p>
        </w:tc>
      </w:tr>
      <w:tr w14:paraId="283E121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A45545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A6785A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BE9DC6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69992A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47E7D21">
            <w:pPr>
              <w:widowControl/>
              <w:rPr>
                <w:rFonts w:hint="eastAsia" w:ascii="宋体" w:hAnsi="宋体" w:cs="宋体"/>
                <w:color w:val="auto"/>
                <w:kern w:val="0"/>
                <w:sz w:val="18"/>
                <w:szCs w:val="18"/>
                <w:highlight w:val="none"/>
              </w:rPr>
            </w:pPr>
          </w:p>
        </w:tc>
      </w:tr>
      <w:tr w14:paraId="7E8DDB3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D8F76D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8E547F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A2CB63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91F4E0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F1F15F2">
            <w:pPr>
              <w:widowControl/>
              <w:rPr>
                <w:rFonts w:hint="eastAsia" w:ascii="宋体" w:hAnsi="宋体" w:cs="宋体"/>
                <w:color w:val="auto"/>
                <w:kern w:val="0"/>
                <w:sz w:val="18"/>
                <w:szCs w:val="18"/>
                <w:highlight w:val="none"/>
              </w:rPr>
            </w:pPr>
          </w:p>
        </w:tc>
      </w:tr>
      <w:tr w14:paraId="12486F1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A0F6E8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831911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721085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DE165F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D4A7A1C">
            <w:pPr>
              <w:widowControl/>
              <w:rPr>
                <w:rFonts w:hint="eastAsia" w:ascii="宋体" w:hAnsi="宋体" w:cs="宋体"/>
                <w:color w:val="auto"/>
                <w:kern w:val="0"/>
                <w:sz w:val="18"/>
                <w:szCs w:val="18"/>
                <w:highlight w:val="none"/>
              </w:rPr>
            </w:pPr>
          </w:p>
        </w:tc>
      </w:tr>
      <w:tr w14:paraId="66D01EC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838E31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22596A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891058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FCE32B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64E71C">
            <w:pPr>
              <w:widowControl/>
              <w:rPr>
                <w:rFonts w:hint="eastAsia" w:ascii="宋体" w:hAnsi="宋体" w:cs="宋体"/>
                <w:color w:val="auto"/>
                <w:kern w:val="0"/>
                <w:sz w:val="18"/>
                <w:szCs w:val="18"/>
                <w:highlight w:val="none"/>
              </w:rPr>
            </w:pPr>
          </w:p>
        </w:tc>
      </w:tr>
      <w:tr w14:paraId="4DB770B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4AED32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CEF37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A4376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7907D1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3426FB9">
            <w:pPr>
              <w:widowControl/>
              <w:rPr>
                <w:rFonts w:hint="eastAsia" w:ascii="宋体" w:hAnsi="宋体" w:cs="宋体"/>
                <w:color w:val="auto"/>
                <w:kern w:val="0"/>
                <w:sz w:val="18"/>
                <w:szCs w:val="18"/>
                <w:highlight w:val="none"/>
              </w:rPr>
            </w:pPr>
          </w:p>
        </w:tc>
      </w:tr>
      <w:tr w14:paraId="1CB12F1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1F2CC7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CBC7B7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9E9EFC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6A7221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8FD9579">
            <w:pPr>
              <w:widowControl/>
              <w:rPr>
                <w:rFonts w:hint="eastAsia" w:ascii="宋体" w:hAnsi="宋体" w:cs="宋体"/>
                <w:color w:val="auto"/>
                <w:kern w:val="0"/>
                <w:sz w:val="18"/>
                <w:szCs w:val="18"/>
                <w:highlight w:val="none"/>
              </w:rPr>
            </w:pPr>
          </w:p>
        </w:tc>
      </w:tr>
      <w:tr w14:paraId="636CA46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315DF4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321CA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ED71B3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24E9C3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94F288B">
            <w:pPr>
              <w:widowControl/>
              <w:rPr>
                <w:rFonts w:hint="eastAsia" w:ascii="宋体" w:hAnsi="宋体" w:cs="宋体"/>
                <w:color w:val="auto"/>
                <w:kern w:val="0"/>
                <w:sz w:val="18"/>
                <w:szCs w:val="18"/>
                <w:highlight w:val="none"/>
              </w:rPr>
            </w:pPr>
          </w:p>
        </w:tc>
      </w:tr>
      <w:tr w14:paraId="2BE01F6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07C215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D00870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811F19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D17AE0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D90F158">
            <w:pPr>
              <w:widowControl/>
              <w:rPr>
                <w:rFonts w:hint="eastAsia" w:ascii="宋体" w:hAnsi="宋体" w:cs="宋体"/>
                <w:color w:val="auto"/>
                <w:kern w:val="0"/>
                <w:sz w:val="18"/>
                <w:szCs w:val="18"/>
                <w:highlight w:val="none"/>
              </w:rPr>
            </w:pPr>
          </w:p>
        </w:tc>
      </w:tr>
      <w:tr w14:paraId="4C61FAA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2D07C5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C0E27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758E1D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26F013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BCBBBAE">
            <w:pPr>
              <w:widowControl/>
              <w:rPr>
                <w:rFonts w:hint="eastAsia" w:ascii="宋体" w:hAnsi="宋体" w:cs="宋体"/>
                <w:color w:val="auto"/>
                <w:kern w:val="0"/>
                <w:sz w:val="18"/>
                <w:szCs w:val="18"/>
                <w:highlight w:val="none"/>
              </w:rPr>
            </w:pPr>
          </w:p>
        </w:tc>
      </w:tr>
      <w:tr w14:paraId="558CBD8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5A52BF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810EA4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9C5BE0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4D5998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C3BDD03">
            <w:pPr>
              <w:widowControl/>
              <w:rPr>
                <w:rFonts w:hint="eastAsia" w:ascii="宋体" w:hAnsi="宋体" w:cs="宋体"/>
                <w:color w:val="auto"/>
                <w:kern w:val="0"/>
                <w:sz w:val="18"/>
                <w:szCs w:val="18"/>
                <w:highlight w:val="none"/>
              </w:rPr>
            </w:pPr>
          </w:p>
        </w:tc>
      </w:tr>
      <w:tr w14:paraId="30CC818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7F9A1C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DA1B8A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77A90A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5FE3F1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104B47">
            <w:pPr>
              <w:widowControl/>
              <w:rPr>
                <w:rFonts w:hint="eastAsia" w:ascii="宋体" w:hAnsi="宋体" w:cs="宋体"/>
                <w:color w:val="auto"/>
                <w:kern w:val="0"/>
                <w:sz w:val="18"/>
                <w:szCs w:val="18"/>
                <w:highlight w:val="none"/>
              </w:rPr>
            </w:pPr>
          </w:p>
        </w:tc>
      </w:tr>
      <w:tr w14:paraId="01D1B23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483FD8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3C4D87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1EC35F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F791F7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0CFB85">
            <w:pPr>
              <w:widowControl/>
              <w:rPr>
                <w:rFonts w:hint="eastAsia" w:ascii="宋体" w:hAnsi="宋体" w:cs="宋体"/>
                <w:color w:val="auto"/>
                <w:kern w:val="0"/>
                <w:sz w:val="18"/>
                <w:szCs w:val="18"/>
                <w:highlight w:val="none"/>
              </w:rPr>
            </w:pPr>
          </w:p>
        </w:tc>
      </w:tr>
      <w:tr w14:paraId="1339162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228DE9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218716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295D67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FB2406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66F05D6">
            <w:pPr>
              <w:widowControl/>
              <w:rPr>
                <w:rFonts w:hint="eastAsia" w:ascii="宋体" w:hAnsi="宋体" w:cs="宋体"/>
                <w:color w:val="auto"/>
                <w:kern w:val="0"/>
                <w:sz w:val="18"/>
                <w:szCs w:val="18"/>
                <w:highlight w:val="none"/>
              </w:rPr>
            </w:pPr>
          </w:p>
        </w:tc>
      </w:tr>
      <w:tr w14:paraId="1DD7B41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BDF214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059FB3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281ECF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C6121C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D8E1EC4">
            <w:pPr>
              <w:widowControl/>
              <w:rPr>
                <w:rFonts w:hint="eastAsia" w:ascii="宋体" w:hAnsi="宋体" w:cs="宋体"/>
                <w:color w:val="auto"/>
                <w:kern w:val="0"/>
                <w:sz w:val="18"/>
                <w:szCs w:val="18"/>
                <w:highlight w:val="none"/>
              </w:rPr>
            </w:pPr>
          </w:p>
        </w:tc>
      </w:tr>
      <w:tr w14:paraId="264C4D1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FEA2D0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F115BF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411A35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EC5FB9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255111D">
            <w:pPr>
              <w:widowControl/>
              <w:rPr>
                <w:rFonts w:hint="eastAsia" w:ascii="宋体" w:hAnsi="宋体" w:cs="宋体"/>
                <w:color w:val="auto"/>
                <w:kern w:val="0"/>
                <w:sz w:val="18"/>
                <w:szCs w:val="18"/>
                <w:highlight w:val="none"/>
              </w:rPr>
            </w:pPr>
          </w:p>
        </w:tc>
      </w:tr>
      <w:tr w14:paraId="7FD3032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93B5FC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09F7A0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16A3A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367393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7568179">
            <w:pPr>
              <w:widowControl/>
              <w:rPr>
                <w:rFonts w:hint="eastAsia" w:ascii="宋体" w:hAnsi="宋体" w:cs="宋体"/>
                <w:color w:val="auto"/>
                <w:kern w:val="0"/>
                <w:sz w:val="18"/>
                <w:szCs w:val="18"/>
                <w:highlight w:val="none"/>
              </w:rPr>
            </w:pPr>
          </w:p>
        </w:tc>
      </w:tr>
      <w:tr w14:paraId="3014F0F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8DC0D1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4D70D2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8908F1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9E344D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A332480">
            <w:pPr>
              <w:widowControl/>
              <w:rPr>
                <w:rFonts w:hint="eastAsia" w:ascii="宋体" w:hAnsi="宋体" w:cs="宋体"/>
                <w:color w:val="auto"/>
                <w:kern w:val="0"/>
                <w:sz w:val="18"/>
                <w:szCs w:val="18"/>
                <w:highlight w:val="none"/>
              </w:rPr>
            </w:pPr>
          </w:p>
        </w:tc>
      </w:tr>
      <w:tr w14:paraId="22A4C4C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AFE4D8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954989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B28B02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1F6C97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E29DB4B">
            <w:pPr>
              <w:widowControl/>
              <w:rPr>
                <w:rFonts w:hint="eastAsia" w:ascii="宋体" w:hAnsi="宋体" w:cs="宋体"/>
                <w:color w:val="auto"/>
                <w:kern w:val="0"/>
                <w:sz w:val="18"/>
                <w:szCs w:val="18"/>
                <w:highlight w:val="none"/>
              </w:rPr>
            </w:pPr>
          </w:p>
        </w:tc>
      </w:tr>
      <w:tr w14:paraId="531702B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7DC198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834C68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50A453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E0A0ED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7347A2C">
            <w:pPr>
              <w:widowControl/>
              <w:rPr>
                <w:rFonts w:hint="eastAsia" w:ascii="宋体" w:hAnsi="宋体" w:cs="宋体"/>
                <w:color w:val="auto"/>
                <w:kern w:val="0"/>
                <w:sz w:val="18"/>
                <w:szCs w:val="18"/>
                <w:highlight w:val="none"/>
              </w:rPr>
            </w:pPr>
          </w:p>
        </w:tc>
      </w:tr>
      <w:tr w14:paraId="4A3A798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C5D843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A7C66C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8684D1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1ADBE1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E362BF9">
            <w:pPr>
              <w:widowControl/>
              <w:rPr>
                <w:rFonts w:hint="eastAsia" w:ascii="宋体" w:hAnsi="宋体" w:cs="宋体"/>
                <w:color w:val="auto"/>
                <w:kern w:val="0"/>
                <w:sz w:val="18"/>
                <w:szCs w:val="18"/>
                <w:highlight w:val="none"/>
              </w:rPr>
            </w:pPr>
          </w:p>
        </w:tc>
      </w:tr>
      <w:tr w14:paraId="77CB98E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EECCEE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8B0058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3A9F9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3CCE41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25A2443">
            <w:pPr>
              <w:widowControl/>
              <w:rPr>
                <w:rFonts w:hint="eastAsia" w:ascii="宋体" w:hAnsi="宋体" w:cs="宋体"/>
                <w:color w:val="auto"/>
                <w:kern w:val="0"/>
                <w:sz w:val="18"/>
                <w:szCs w:val="18"/>
                <w:highlight w:val="none"/>
              </w:rPr>
            </w:pPr>
          </w:p>
        </w:tc>
      </w:tr>
      <w:tr w14:paraId="1F94A372">
        <w:tblPrEx>
          <w:tblCellMar>
            <w:top w:w="0" w:type="dxa"/>
            <w:left w:w="108" w:type="dxa"/>
            <w:bottom w:w="0" w:type="dxa"/>
            <w:right w:w="108" w:type="dxa"/>
          </w:tblCellMar>
        </w:tblPrEx>
        <w:trPr>
          <w:trHeight w:val="1548"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6ABABEB4">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3.6</w:t>
            </w:r>
          </w:p>
        </w:tc>
        <w:tc>
          <w:tcPr>
            <w:tcW w:w="428" w:type="pct"/>
            <w:tcBorders>
              <w:top w:val="nil"/>
              <w:left w:val="nil"/>
              <w:bottom w:val="single" w:color="auto" w:sz="4" w:space="0"/>
              <w:right w:val="single" w:color="auto" w:sz="4" w:space="0"/>
            </w:tcBorders>
            <w:shd w:val="clear" w:color="auto" w:fill="auto"/>
            <w:vAlign w:val="center"/>
          </w:tcPr>
          <w:p w14:paraId="65FEDC23">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知识库管理</w:t>
            </w:r>
          </w:p>
        </w:tc>
        <w:tc>
          <w:tcPr>
            <w:tcW w:w="3798" w:type="pct"/>
            <w:gridSpan w:val="2"/>
            <w:tcBorders>
              <w:top w:val="nil"/>
              <w:left w:val="nil"/>
              <w:bottom w:val="single" w:color="auto" w:sz="4" w:space="0"/>
              <w:right w:val="single" w:color="auto" w:sz="4" w:space="0"/>
            </w:tcBorders>
            <w:shd w:val="clear" w:color="auto" w:fill="auto"/>
            <w:vAlign w:val="center"/>
          </w:tcPr>
          <w:p w14:paraId="1E3973C5">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1.知识库管理:主要包含栏目类别管理、分级授权管理、知识库模板管理等功能。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IP地址位置总数:应统计展示IP地址位置总数，云端IP地址位置数及版本，本地IP地址位置数。IP地址位置总数为本地IP地址位置数量+云端IP地址位置数量；云端IP地址位置为来源于威胁情报中心提供的IP地址位置数据；本地威胁情报为本地运营创建的IP地址位置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(2)IP检索:实现对IP地理位置名称、地址范围、网络标识、描述等维度进行检索。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(3)IP地理位置信息创建:手工创建IP地理位置信息，包括地理位置、IP地址、描述、网络标识维护；支持本地IP地理位置信息查看、添加、删除、编辑、导入、导出；支持查看导入历史。</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(4)预置IP地理位置库:预置80w+条世界IP地理位置库，支持检索和查看。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2.知识库维护:主要供知识库维护人员使用，主要包括知识新增、知识审核、知识维护。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(1)ATT&amp;CK知识库:对技术ID、技术名称、战术等维度进行检索。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查看ATT&amp;CK技术详细信息，包括中文技术名称、英文技术名称、技术ID、适用平台、父技术ID、技术描述、战术、战术ID、战术描述、防御绕过、可用数据源、技术详述、检测方法等维度信息。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根据父ID进行钻取查看。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预置500+条ATT&amp;CK技术知识。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(2)漏洞知识库详情查看:漏洞发布时间、漏洞名称、漏洞类型、危害等级、漏洞编号、CVE编号、CNNVD编号、CNVD编号、其他编号、漏洞来源、威胁类型等，能够查看漏洞的详情。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(3)漏洞库统计:实现漏洞库统计功能，包括公共漏洞库总量、今日新增数量、NOX认证漏洞库总量、NOX认证漏洞库今日新增数量、我的漏洞库总量和我的漏洞库今日新增数量等。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3.知识库应用:含知识检索、工单答复引用知识库功能、知识点评、知识热度排名、知识下架、知识提问、优秀工单生成知识等功能。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(1)ATT&amp;CK知识库管理:实现对人工维护的ATT&amp;CK知识库的新增、修改、删除、查看等基础管理功能。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(2)漏洞知识库管理:实现对人工维护的漏洞知识库的新增、修改、删除、查看等基础管理功能。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(3)漏洞影响面评估:实现对接入漏洞知识库数据与已纳管资产的管理、实现漏洞影响面的评估。</w:t>
            </w:r>
          </w:p>
        </w:tc>
        <w:tc>
          <w:tcPr>
            <w:tcW w:w="145" w:type="pct"/>
            <w:tcBorders>
              <w:top w:val="nil"/>
              <w:left w:val="nil"/>
              <w:bottom w:val="single" w:color="auto" w:sz="4" w:space="0"/>
              <w:right w:val="single" w:color="auto" w:sz="4" w:space="0"/>
            </w:tcBorders>
            <w:shd w:val="clear" w:color="auto" w:fill="auto"/>
            <w:vAlign w:val="center"/>
          </w:tcPr>
          <w:p w14:paraId="6E0C9149">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60F9D5E2">
            <w:pPr>
              <w:widowControl/>
              <w:jc w:val="center"/>
              <w:rPr>
                <w:rFonts w:hint="eastAsia" w:ascii="宋体" w:hAnsi="宋体" w:cs="宋体"/>
                <w:color w:val="auto"/>
                <w:kern w:val="0"/>
                <w:sz w:val="18"/>
                <w:szCs w:val="18"/>
                <w:highlight w:val="none"/>
              </w:rPr>
            </w:pPr>
          </w:p>
        </w:tc>
      </w:tr>
      <w:tr w14:paraId="1899EB12">
        <w:tblPrEx>
          <w:tblCellMar>
            <w:top w:w="0" w:type="dxa"/>
            <w:left w:w="108" w:type="dxa"/>
            <w:bottom w:w="0" w:type="dxa"/>
            <w:right w:w="108" w:type="dxa"/>
          </w:tblCellMar>
        </w:tblPrEx>
        <w:trPr>
          <w:trHeight w:val="312"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100B5113">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3.7</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7EAA4C88">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资产管理子模块</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816415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1.混合资产统一纳管:实现混合环境资产统一纳管，覆盖包括政务云、私有云、物理设备、IoT终端、业务系统在内的全类型资产，赋予唯一资产ID消除“影子IT”，形成全域资产数据底座。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(1)运营规则配置:实现对资产运营过程中的各类规则的配置和管理，包括归属规则、运营规则和忽略规则；系统根据已配置规则进行资产运营流程。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(2)归属规则管理:实现对资产运营中的归属规则进行查看、开启、关闭等基础管理；根据相应的归属规则进行资产归属单位的匹配。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(3)运营规则管理:实现对资产运营中的运营规则进行查看、开启、关闭等基础管理；根据配置的运营规则生成相应的运营结果。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(4)忽略规则管理:实现对资产运营中的忽略规则进行新增、修改、删除、查看等基础管理操作；根据忽略规则，</w:t>
            </w:r>
            <w:r>
              <w:rPr>
                <w:rFonts w:hint="eastAsia" w:ascii="宋体" w:hAnsi="宋体" w:cs="宋体"/>
                <w:color w:val="auto"/>
                <w:kern w:val="0"/>
                <w:sz w:val="18"/>
                <w:szCs w:val="18"/>
                <w:highlight w:val="none"/>
                <w:lang w:val="en-US" w:eastAsia="zh-CN"/>
              </w:rPr>
              <w:t>实现</w:t>
            </w:r>
            <w:r>
              <w:rPr>
                <w:rFonts w:hint="eastAsia" w:ascii="宋体" w:hAnsi="宋体" w:cs="宋体"/>
                <w:color w:val="auto"/>
                <w:kern w:val="0"/>
                <w:sz w:val="18"/>
                <w:szCs w:val="18"/>
                <w:highlight w:val="none"/>
              </w:rPr>
              <w:t>对命中忽略规则的数据标识为忽略状态。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重要资产管理、盘点和分类分级:针对核心业务关联的重要资产实施专项管控，建立定期与临时相结合的盘点机制，确保重要资产数量清晰、状态明确。同时按资产类型、所属部门、业务属性等维度进行分类，并依据政务安全规范实施分级管理，明确重要资产的管控优先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(1)重要资产管理:以列表视图方式展现重点资产信息，并支持检索、批量打标签、查看详情操作。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详情中显示重点资产的基础信息、关联资产、漏洞信息、变更记录。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实现列表数据的显示表头设置。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重要资产盘点:通过对自动发现的资产数据和已经纳管的资产数据进行匹配，匹配出相对于已纳管的数据有更新的资产数据；通过对自动发现的资产数据和已经纳管的资产数据进行匹配，匹配出相对于已纳管的数据为新增的资产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(3)资产分类分级:资产类型包括：单位、机房、云平台、系统、网站、设备、网络、数据库、软件、服务；资产分为一般资产和重点资产。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资产信息可视化拓扑与关联分析:提供资产信息可视化拓扑展示功能，以图形化方式直观呈现资产分布、网络连接关系及部署位置。同时支持资产关联分析，自动挖掘并展示IT资产与业务流程、数据资产、其他关联资产之间的链路关系，助力快速识别资产依赖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(1)可视化拓扑创建:能够针对不同的安全设备、服务设备、网络设备、终端设备和其他构建拓扑图。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(2)可视化拓扑绘制:能够通过拖拽</w:t>
            </w:r>
            <w:r>
              <w:rPr>
                <w:rFonts w:hint="eastAsia" w:ascii="宋体" w:hAnsi="宋体" w:cs="宋体"/>
                <w:color w:val="auto"/>
                <w:kern w:val="0"/>
                <w:sz w:val="18"/>
                <w:szCs w:val="18"/>
                <w:highlight w:val="none"/>
                <w:lang w:val="en-US" w:eastAsia="zh-CN"/>
              </w:rPr>
              <w:t>方法可视化地</w:t>
            </w:r>
            <w:r>
              <w:rPr>
                <w:rFonts w:hint="eastAsia" w:ascii="宋体" w:hAnsi="宋体" w:cs="宋体"/>
                <w:color w:val="auto"/>
                <w:kern w:val="0"/>
                <w:sz w:val="18"/>
                <w:szCs w:val="18"/>
                <w:highlight w:val="none"/>
              </w:rPr>
              <w:t>进行拓扑图的绘制，拓扑手段库，包括安全设备、服务设备、网络设备、终端设备和其他等类型。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(3)资产信息关联分析:在绘制拓扑时可以关联平台资产信息，实现拓扑图的缩略图显示，实现横向布局、纵向布局、放大、缩小、全屏显示和添加背景，能够同步资产最新数据。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(4)拓扑编辑:实现拓扑的新建、编辑、查看、绘制和删除等功能。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资产精细化画像:为每类资产构建精细化画像，整合资产全维度信息。基础信息涵盖型号、版本、采购时间、部署位置；安全属性包含漏洞状态、补丁更新情况、权限配置信息；业务属性涉及关联业务系统、数据流向、使用频率等，全面刻画资产特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(1)资产信息收集:从资产基础信息、资产安全状态、资产业务属性等维度</w:t>
            </w:r>
            <w:r>
              <w:rPr>
                <w:rFonts w:hint="eastAsia" w:ascii="宋体" w:hAnsi="宋体" w:cs="宋体"/>
                <w:color w:val="auto"/>
                <w:kern w:val="0"/>
                <w:sz w:val="18"/>
                <w:szCs w:val="18"/>
                <w:highlight w:val="none"/>
                <w:lang w:val="en-US" w:eastAsia="zh-CN"/>
              </w:rPr>
              <w:t>收集</w:t>
            </w:r>
            <w:r>
              <w:rPr>
                <w:rFonts w:hint="eastAsia" w:ascii="宋体" w:hAnsi="宋体" w:cs="宋体"/>
                <w:color w:val="auto"/>
                <w:kern w:val="0"/>
                <w:sz w:val="18"/>
                <w:szCs w:val="18"/>
                <w:highlight w:val="none"/>
              </w:rPr>
              <w:t>资产信息。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(2)资产画像:自动整合资产基础信息（域名、IP、类型等）、安全状态（漏洞、告警记录等）及关联配置信息（联系人绑定的域名 / IP 等），形成可视化资产档案，完成资产画像构建。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(3)资产风险评估:实现从重要性、防护能力、脆弱性、威胁性等多个维度进行资产风险评估。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资产全生命周期管理:覆盖资产从录入、变更、使用、折旧到注销的全生命周期流程。建立标准化流程节点，包含资产录入审核、变更审批、折旧核算、注销备案等环节，所有操作全程留痕，生成可追溯的操作日志，确保资产流转合规可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(1)资产纳管:实现资产更新、冲突、合并等运营场景，能够根据预置的规则自动将原始发现资产通过运营规则进入纳管，实现资产自动运营的归属规则的管理，能够对归属规则、运营规则和忽略规则进行配置。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资产归属规则管理:系统内置多种归属规则，包括基于探针序列号判断归属单位规则、基于IP判断归属单位规则、基于域名判断归属单位规则、自动富化归属信息规则、基于系统判断关联设备的归属单位规则、基于设备判断关联系统的归属单位规则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(3)资产审核:实现对资产发现的结果资产进行审核，通过人工审核将资产进行分类管理，包括待处理新增资产和待处理更新资产。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(4)资产人工分析:实现在资产发现审核过程中，经过人工分析后，忽略的资产进行管理。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人工添加资产信息:实现人工添加资产信息功能，适配无自动对接条件的特殊资产、老旧设备等场景。提供标准化录入表单，包含资产核心信息字段，附件上传补充证明材料，录入后自动纳入统一资产台账并完成校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(1)人工审核和运营:实现在手动纳管流程下，对资产进行人工审核和运营。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(2)人工资产纳管:实现手工进行资产纳管处理；手工进行批量资产纳管处理；对纳管结果进行预览。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(3)人工资产忽略处理:人工定义高置信度的资产数据；手工进行资产的忽略处理；对忽略数据的查看；对已忽略数据单条移出忽略态；对已忽略数据批量移出忽略态。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资产信息备份:应具备完善的资产信息备份能力，采用本地备份与异地备份相结合的策略。按设定周期自动备份资产台账、操作日志、画像数据等核心信息，同时提供手动紧急备份功能，确保极端情况下资产信息不丢失。</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(1)资产信息自动备份:提供资产信息定期自动备份功能。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(2)资产信息异地备份:资产信息除在平台双备份外，还可提供异地及下线加密备份，确保极端情况下资产信息不丢失。</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资产信息权限管控:基于零信任理念构建资产信息权限管控体系，按角色划分权限等级，包括系统管理员、部门资产管理员、普通查询人员等。实现资产信息访问、修改、删除等操作的细粒度权限控制，权限变更需经过审批并记录日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(1)资产信息权限分权分域:通过角色+用户授权控制的方式，针对不同类型和不同级别的用户，开通不同的访问、使用和操作权限。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(2)资产访问使用日志审计:可提供不同用户对资产访问、操作相关日志记录，有利于事后审计。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资产信息动态监控:对资产状态进行实时动态监控，跟踪资产上线、下线、配置变更、运行状态、漏洞修复进度等关键信息。当检测到资产异常变动、高危漏洞未修复、权限异常使用等情况时，自动触发预警并推送至相关负责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(1)资产数据源配置:资产发现对资产发现设备进行配置管理，包括数据源名称、数据源厂商、设备名称、设备IP、部署位置、连接状态等。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(2)资产入库记录:实现资产入库记录管理，对资产发现设备的扫描结果进行登记管理，记录编号、数据源名称、数据获取时间、厂商、获取方式、资产数量、导入状态等。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资产置信度配置:实现根据不同的数据源配置不同的数据置信度，当不同数据源的数据发生冲突时，将推荐保留高优先级的数据，从而保障资产发现的准确度，包括数据源厂商、数据源名称、设备IP、部署位置、获取方式（被动、主动、导入）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历史资产信息展示:留存资产全生命周期的历史信息，实现按资产标识、时间范围、操作类型等维度查询历史数据。以列表、时序图表等形式展示资产状态变化轨迹、操作记录、变更原因等内容，为资产审计、追溯及复盘提供数据支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资产概览:实现纳管资产的整体统计分析，包括单位、系统、服务、设备、网站、机房和软件的数量统计，以及资产运营统计、资产重要程度统计、硬件资产分布统计、软件资产分布统计、系统资产分布统计、资产单位分布和行业资产分布等。资产运营统计，实现对资产的归属情况进行管理，包括：资产归属管理，对未划分归属的设备资产、网站资产进行统计；对发现的资产进行审核，如待处理更新资产数据统计、被忽略发现数据统计、待处理新增资产数据统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资产检索:实现资产快捷模式检索，内置检索关键字维度包括：用户、系统、网站、云平台等。可将检索的结果按照单位、设备、软件、服务、系统、网站、机房、云平台、网络、数据库、用户等分类呈现。系统将格式正确的检索条件进行保存到常用检索中。用户可以直接在常用检索列表中找到检索条件并直接进行快捷筛选。用户对常用检索内容进行查看、选择、删除。对检索历史情况进行管理，能够查看历史检索的检索范围、事件范围、检索语句、过滤语句等。</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120FFB08">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6B07F50D">
            <w:pPr>
              <w:widowControl/>
              <w:jc w:val="center"/>
              <w:rPr>
                <w:rFonts w:hint="eastAsia" w:ascii="宋体" w:hAnsi="宋体" w:cs="宋体"/>
                <w:color w:val="auto"/>
                <w:kern w:val="0"/>
                <w:sz w:val="18"/>
                <w:szCs w:val="18"/>
                <w:highlight w:val="none"/>
              </w:rPr>
            </w:pPr>
          </w:p>
        </w:tc>
      </w:tr>
      <w:tr w14:paraId="2566A03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0AE48B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973C7B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4A08DB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5197E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0D52AE2">
            <w:pPr>
              <w:widowControl/>
              <w:rPr>
                <w:rFonts w:hint="eastAsia" w:ascii="宋体" w:hAnsi="宋体" w:cs="宋体"/>
                <w:color w:val="auto"/>
                <w:kern w:val="0"/>
                <w:sz w:val="18"/>
                <w:szCs w:val="18"/>
                <w:highlight w:val="none"/>
              </w:rPr>
            </w:pPr>
          </w:p>
        </w:tc>
      </w:tr>
      <w:tr w14:paraId="295D468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936AD4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24F818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77D6E6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4D8228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EEF44A4">
            <w:pPr>
              <w:widowControl/>
              <w:rPr>
                <w:rFonts w:hint="eastAsia" w:ascii="宋体" w:hAnsi="宋体" w:cs="宋体"/>
                <w:color w:val="auto"/>
                <w:kern w:val="0"/>
                <w:sz w:val="18"/>
                <w:szCs w:val="18"/>
                <w:highlight w:val="none"/>
              </w:rPr>
            </w:pPr>
          </w:p>
        </w:tc>
      </w:tr>
      <w:tr w14:paraId="153128B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CFD947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69610E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86F48B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721276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0B52D37">
            <w:pPr>
              <w:widowControl/>
              <w:rPr>
                <w:rFonts w:hint="eastAsia" w:ascii="宋体" w:hAnsi="宋体" w:cs="宋体"/>
                <w:color w:val="auto"/>
                <w:kern w:val="0"/>
                <w:sz w:val="18"/>
                <w:szCs w:val="18"/>
                <w:highlight w:val="none"/>
              </w:rPr>
            </w:pPr>
          </w:p>
        </w:tc>
      </w:tr>
      <w:tr w14:paraId="14F9B12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478620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ABE473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8042BA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CCC9DB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A2AAB43">
            <w:pPr>
              <w:widowControl/>
              <w:rPr>
                <w:rFonts w:hint="eastAsia" w:ascii="宋体" w:hAnsi="宋体" w:cs="宋体"/>
                <w:color w:val="auto"/>
                <w:kern w:val="0"/>
                <w:sz w:val="18"/>
                <w:szCs w:val="18"/>
                <w:highlight w:val="none"/>
              </w:rPr>
            </w:pPr>
          </w:p>
        </w:tc>
      </w:tr>
      <w:tr w14:paraId="28A1B11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7CA9BA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786275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32E1C8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364CC7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815E6A6">
            <w:pPr>
              <w:widowControl/>
              <w:rPr>
                <w:rFonts w:hint="eastAsia" w:ascii="宋体" w:hAnsi="宋体" w:cs="宋体"/>
                <w:color w:val="auto"/>
                <w:kern w:val="0"/>
                <w:sz w:val="18"/>
                <w:szCs w:val="18"/>
                <w:highlight w:val="none"/>
              </w:rPr>
            </w:pPr>
          </w:p>
        </w:tc>
      </w:tr>
      <w:tr w14:paraId="054CD77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FF3FEF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18CAC7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FAA001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2A36C1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6EFEFDB">
            <w:pPr>
              <w:widowControl/>
              <w:rPr>
                <w:rFonts w:hint="eastAsia" w:ascii="宋体" w:hAnsi="宋体" w:cs="宋体"/>
                <w:color w:val="auto"/>
                <w:kern w:val="0"/>
                <w:sz w:val="18"/>
                <w:szCs w:val="18"/>
                <w:highlight w:val="none"/>
              </w:rPr>
            </w:pPr>
          </w:p>
        </w:tc>
      </w:tr>
      <w:tr w14:paraId="6AE6175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41824A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1D9AE6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DC1F5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481976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89CEE0A">
            <w:pPr>
              <w:widowControl/>
              <w:rPr>
                <w:rFonts w:hint="eastAsia" w:ascii="宋体" w:hAnsi="宋体" w:cs="宋体"/>
                <w:color w:val="auto"/>
                <w:kern w:val="0"/>
                <w:sz w:val="18"/>
                <w:szCs w:val="18"/>
                <w:highlight w:val="none"/>
              </w:rPr>
            </w:pPr>
          </w:p>
        </w:tc>
      </w:tr>
      <w:tr w14:paraId="08BF424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075612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1D75EC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604DCD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99EC51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F298593">
            <w:pPr>
              <w:widowControl/>
              <w:rPr>
                <w:rFonts w:hint="eastAsia" w:ascii="宋体" w:hAnsi="宋体" w:cs="宋体"/>
                <w:color w:val="auto"/>
                <w:kern w:val="0"/>
                <w:sz w:val="18"/>
                <w:szCs w:val="18"/>
                <w:highlight w:val="none"/>
              </w:rPr>
            </w:pPr>
          </w:p>
        </w:tc>
      </w:tr>
      <w:tr w14:paraId="5B73D34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039275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FAE332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5630EC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63AE4C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D9BA021">
            <w:pPr>
              <w:widowControl/>
              <w:rPr>
                <w:rFonts w:hint="eastAsia" w:ascii="宋体" w:hAnsi="宋体" w:cs="宋体"/>
                <w:color w:val="auto"/>
                <w:kern w:val="0"/>
                <w:sz w:val="18"/>
                <w:szCs w:val="18"/>
                <w:highlight w:val="none"/>
              </w:rPr>
            </w:pPr>
          </w:p>
        </w:tc>
      </w:tr>
      <w:tr w14:paraId="0D701CB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E006B6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16A98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81CBF9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728566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B7DDCEC">
            <w:pPr>
              <w:widowControl/>
              <w:rPr>
                <w:rFonts w:hint="eastAsia" w:ascii="宋体" w:hAnsi="宋体" w:cs="宋体"/>
                <w:color w:val="auto"/>
                <w:kern w:val="0"/>
                <w:sz w:val="18"/>
                <w:szCs w:val="18"/>
                <w:highlight w:val="none"/>
              </w:rPr>
            </w:pPr>
          </w:p>
        </w:tc>
      </w:tr>
      <w:tr w14:paraId="0FC92CF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0EB8C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3E46D3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9C7F89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B4A052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DD06E5">
            <w:pPr>
              <w:widowControl/>
              <w:rPr>
                <w:rFonts w:hint="eastAsia" w:ascii="宋体" w:hAnsi="宋体" w:cs="宋体"/>
                <w:color w:val="auto"/>
                <w:kern w:val="0"/>
                <w:sz w:val="18"/>
                <w:szCs w:val="18"/>
                <w:highlight w:val="none"/>
              </w:rPr>
            </w:pPr>
          </w:p>
        </w:tc>
      </w:tr>
      <w:tr w14:paraId="12EB692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45D11E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B08C29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DF45A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A61134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724DC03">
            <w:pPr>
              <w:widowControl/>
              <w:rPr>
                <w:rFonts w:hint="eastAsia" w:ascii="宋体" w:hAnsi="宋体" w:cs="宋体"/>
                <w:color w:val="auto"/>
                <w:kern w:val="0"/>
                <w:sz w:val="18"/>
                <w:szCs w:val="18"/>
                <w:highlight w:val="none"/>
              </w:rPr>
            </w:pPr>
          </w:p>
        </w:tc>
      </w:tr>
      <w:tr w14:paraId="2BE6C19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7584C5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8B50C8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747F93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9103FE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B1990BF">
            <w:pPr>
              <w:widowControl/>
              <w:rPr>
                <w:rFonts w:hint="eastAsia" w:ascii="宋体" w:hAnsi="宋体" w:cs="宋体"/>
                <w:color w:val="auto"/>
                <w:kern w:val="0"/>
                <w:sz w:val="18"/>
                <w:szCs w:val="18"/>
                <w:highlight w:val="none"/>
              </w:rPr>
            </w:pPr>
          </w:p>
        </w:tc>
      </w:tr>
      <w:tr w14:paraId="5388D64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FFA8CA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8B9041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ED41E3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42005F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07B636E">
            <w:pPr>
              <w:widowControl/>
              <w:rPr>
                <w:rFonts w:hint="eastAsia" w:ascii="宋体" w:hAnsi="宋体" w:cs="宋体"/>
                <w:color w:val="auto"/>
                <w:kern w:val="0"/>
                <w:sz w:val="18"/>
                <w:szCs w:val="18"/>
                <w:highlight w:val="none"/>
              </w:rPr>
            </w:pPr>
          </w:p>
        </w:tc>
      </w:tr>
      <w:tr w14:paraId="3716758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198505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A94FDC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92CE04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50130D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BCD55B3">
            <w:pPr>
              <w:widowControl/>
              <w:rPr>
                <w:rFonts w:hint="eastAsia" w:ascii="宋体" w:hAnsi="宋体" w:cs="宋体"/>
                <w:color w:val="auto"/>
                <w:kern w:val="0"/>
                <w:sz w:val="18"/>
                <w:szCs w:val="18"/>
                <w:highlight w:val="none"/>
              </w:rPr>
            </w:pPr>
          </w:p>
        </w:tc>
      </w:tr>
      <w:tr w14:paraId="6FE3F81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6AEC32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49F3E2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56C2D2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71CA3D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B072FBE">
            <w:pPr>
              <w:widowControl/>
              <w:rPr>
                <w:rFonts w:hint="eastAsia" w:ascii="宋体" w:hAnsi="宋体" w:cs="宋体"/>
                <w:color w:val="auto"/>
                <w:kern w:val="0"/>
                <w:sz w:val="18"/>
                <w:szCs w:val="18"/>
                <w:highlight w:val="none"/>
              </w:rPr>
            </w:pPr>
          </w:p>
        </w:tc>
      </w:tr>
      <w:tr w14:paraId="2357C84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E14FF2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231544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04FC3C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1C924E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6DE8A3C">
            <w:pPr>
              <w:widowControl/>
              <w:rPr>
                <w:rFonts w:hint="eastAsia" w:ascii="宋体" w:hAnsi="宋体" w:cs="宋体"/>
                <w:color w:val="auto"/>
                <w:kern w:val="0"/>
                <w:sz w:val="18"/>
                <w:szCs w:val="18"/>
                <w:highlight w:val="none"/>
              </w:rPr>
            </w:pPr>
          </w:p>
        </w:tc>
      </w:tr>
      <w:tr w14:paraId="7EED1EF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51B6D2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1E6379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792E30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209894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40FF200">
            <w:pPr>
              <w:widowControl/>
              <w:rPr>
                <w:rFonts w:hint="eastAsia" w:ascii="宋体" w:hAnsi="宋体" w:cs="宋体"/>
                <w:color w:val="auto"/>
                <w:kern w:val="0"/>
                <w:sz w:val="18"/>
                <w:szCs w:val="18"/>
                <w:highlight w:val="none"/>
              </w:rPr>
            </w:pPr>
          </w:p>
        </w:tc>
      </w:tr>
      <w:tr w14:paraId="373DE49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DC1F92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6B03A3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AAF7D6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F1445A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1C468F3">
            <w:pPr>
              <w:widowControl/>
              <w:rPr>
                <w:rFonts w:hint="eastAsia" w:ascii="宋体" w:hAnsi="宋体" w:cs="宋体"/>
                <w:color w:val="auto"/>
                <w:kern w:val="0"/>
                <w:sz w:val="18"/>
                <w:szCs w:val="18"/>
                <w:highlight w:val="none"/>
              </w:rPr>
            </w:pPr>
          </w:p>
        </w:tc>
      </w:tr>
      <w:tr w14:paraId="3943FF3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300807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B9AA9C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CBA5A8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A0EE59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FAD985">
            <w:pPr>
              <w:widowControl/>
              <w:rPr>
                <w:rFonts w:hint="eastAsia" w:ascii="宋体" w:hAnsi="宋体" w:cs="宋体"/>
                <w:color w:val="auto"/>
                <w:kern w:val="0"/>
                <w:sz w:val="18"/>
                <w:szCs w:val="18"/>
                <w:highlight w:val="none"/>
              </w:rPr>
            </w:pPr>
          </w:p>
        </w:tc>
      </w:tr>
      <w:tr w14:paraId="38BF338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CC87D7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DC6509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7EE741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DC08BB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0BD318A">
            <w:pPr>
              <w:widowControl/>
              <w:rPr>
                <w:rFonts w:hint="eastAsia" w:ascii="宋体" w:hAnsi="宋体" w:cs="宋体"/>
                <w:color w:val="auto"/>
                <w:kern w:val="0"/>
                <w:sz w:val="18"/>
                <w:szCs w:val="18"/>
                <w:highlight w:val="none"/>
              </w:rPr>
            </w:pPr>
          </w:p>
        </w:tc>
      </w:tr>
      <w:tr w14:paraId="77B0EEB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8FECFB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B552B4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AC467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A058C1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1E52F4E">
            <w:pPr>
              <w:widowControl/>
              <w:rPr>
                <w:rFonts w:hint="eastAsia" w:ascii="宋体" w:hAnsi="宋体" w:cs="宋体"/>
                <w:color w:val="auto"/>
                <w:kern w:val="0"/>
                <w:sz w:val="18"/>
                <w:szCs w:val="18"/>
                <w:highlight w:val="none"/>
              </w:rPr>
            </w:pPr>
          </w:p>
        </w:tc>
      </w:tr>
      <w:tr w14:paraId="13ABEC2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3BF5D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542A3D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222A9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860B4C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628636">
            <w:pPr>
              <w:widowControl/>
              <w:rPr>
                <w:rFonts w:hint="eastAsia" w:ascii="宋体" w:hAnsi="宋体" w:cs="宋体"/>
                <w:color w:val="auto"/>
                <w:kern w:val="0"/>
                <w:sz w:val="18"/>
                <w:szCs w:val="18"/>
                <w:highlight w:val="none"/>
              </w:rPr>
            </w:pPr>
          </w:p>
        </w:tc>
      </w:tr>
      <w:tr w14:paraId="6E5F9F0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EB3C76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79790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B8A950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FA0317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124BAD">
            <w:pPr>
              <w:widowControl/>
              <w:rPr>
                <w:rFonts w:hint="eastAsia" w:ascii="宋体" w:hAnsi="宋体" w:cs="宋体"/>
                <w:color w:val="auto"/>
                <w:kern w:val="0"/>
                <w:sz w:val="18"/>
                <w:szCs w:val="18"/>
                <w:highlight w:val="none"/>
              </w:rPr>
            </w:pPr>
          </w:p>
        </w:tc>
      </w:tr>
      <w:tr w14:paraId="0D61351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953B8B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BC512B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DEEC4C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BCD50D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9195755">
            <w:pPr>
              <w:widowControl/>
              <w:rPr>
                <w:rFonts w:hint="eastAsia" w:ascii="宋体" w:hAnsi="宋体" w:cs="宋体"/>
                <w:color w:val="auto"/>
                <w:kern w:val="0"/>
                <w:sz w:val="18"/>
                <w:szCs w:val="18"/>
                <w:highlight w:val="none"/>
              </w:rPr>
            </w:pPr>
          </w:p>
        </w:tc>
      </w:tr>
      <w:tr w14:paraId="0B78850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F274A3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4DB081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7C8D92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AC7D67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86296F">
            <w:pPr>
              <w:widowControl/>
              <w:rPr>
                <w:rFonts w:hint="eastAsia" w:ascii="宋体" w:hAnsi="宋体" w:cs="宋体"/>
                <w:color w:val="auto"/>
                <w:kern w:val="0"/>
                <w:sz w:val="18"/>
                <w:szCs w:val="18"/>
                <w:highlight w:val="none"/>
              </w:rPr>
            </w:pPr>
          </w:p>
        </w:tc>
      </w:tr>
      <w:tr w14:paraId="567D5EE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591816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06C70E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B35096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2EA7EF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DEAEFB">
            <w:pPr>
              <w:widowControl/>
              <w:rPr>
                <w:rFonts w:hint="eastAsia" w:ascii="宋体" w:hAnsi="宋体" w:cs="宋体"/>
                <w:color w:val="auto"/>
                <w:kern w:val="0"/>
                <w:sz w:val="18"/>
                <w:szCs w:val="18"/>
                <w:highlight w:val="none"/>
              </w:rPr>
            </w:pPr>
          </w:p>
        </w:tc>
      </w:tr>
      <w:tr w14:paraId="1D3795F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8FD01C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4AF53D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710565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C591A5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CBD270D">
            <w:pPr>
              <w:widowControl/>
              <w:rPr>
                <w:rFonts w:hint="eastAsia" w:ascii="宋体" w:hAnsi="宋体" w:cs="宋体"/>
                <w:color w:val="auto"/>
                <w:kern w:val="0"/>
                <w:sz w:val="18"/>
                <w:szCs w:val="18"/>
                <w:highlight w:val="none"/>
              </w:rPr>
            </w:pPr>
          </w:p>
        </w:tc>
      </w:tr>
      <w:tr w14:paraId="38FD51F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BB484C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9ED60B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381049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288260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75D4D4D">
            <w:pPr>
              <w:widowControl/>
              <w:rPr>
                <w:rFonts w:hint="eastAsia" w:ascii="宋体" w:hAnsi="宋体" w:cs="宋体"/>
                <w:color w:val="auto"/>
                <w:kern w:val="0"/>
                <w:sz w:val="18"/>
                <w:szCs w:val="18"/>
                <w:highlight w:val="none"/>
              </w:rPr>
            </w:pPr>
          </w:p>
        </w:tc>
      </w:tr>
      <w:tr w14:paraId="7C54D80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1029B8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8FAEBB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D01F3E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124E3A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E238631">
            <w:pPr>
              <w:widowControl/>
              <w:rPr>
                <w:rFonts w:hint="eastAsia" w:ascii="宋体" w:hAnsi="宋体" w:cs="宋体"/>
                <w:color w:val="auto"/>
                <w:kern w:val="0"/>
                <w:sz w:val="18"/>
                <w:szCs w:val="18"/>
                <w:highlight w:val="none"/>
              </w:rPr>
            </w:pPr>
          </w:p>
        </w:tc>
      </w:tr>
      <w:tr w14:paraId="4F988B6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CB0CDF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3B0A27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199F1A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BFCC5D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35BB35">
            <w:pPr>
              <w:widowControl/>
              <w:rPr>
                <w:rFonts w:hint="eastAsia" w:ascii="宋体" w:hAnsi="宋体" w:cs="宋体"/>
                <w:color w:val="auto"/>
                <w:kern w:val="0"/>
                <w:sz w:val="18"/>
                <w:szCs w:val="18"/>
                <w:highlight w:val="none"/>
              </w:rPr>
            </w:pPr>
          </w:p>
        </w:tc>
      </w:tr>
      <w:tr w14:paraId="5226749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47A82F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C476B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6E0E1D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BB27FC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F7030A0">
            <w:pPr>
              <w:widowControl/>
              <w:rPr>
                <w:rFonts w:hint="eastAsia" w:ascii="宋体" w:hAnsi="宋体" w:cs="宋体"/>
                <w:color w:val="auto"/>
                <w:kern w:val="0"/>
                <w:sz w:val="18"/>
                <w:szCs w:val="18"/>
                <w:highlight w:val="none"/>
              </w:rPr>
            </w:pPr>
          </w:p>
        </w:tc>
      </w:tr>
      <w:tr w14:paraId="7A4CFF9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2A88A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84BFA9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D89A9D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930F89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61466B7">
            <w:pPr>
              <w:widowControl/>
              <w:rPr>
                <w:rFonts w:hint="eastAsia" w:ascii="宋体" w:hAnsi="宋体" w:cs="宋体"/>
                <w:color w:val="auto"/>
                <w:kern w:val="0"/>
                <w:sz w:val="18"/>
                <w:szCs w:val="18"/>
                <w:highlight w:val="none"/>
              </w:rPr>
            </w:pPr>
          </w:p>
        </w:tc>
      </w:tr>
      <w:tr w14:paraId="0F63383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DE7E0B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DE8BB7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CC1C83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C650BC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F499E71">
            <w:pPr>
              <w:widowControl/>
              <w:rPr>
                <w:rFonts w:hint="eastAsia" w:ascii="宋体" w:hAnsi="宋体" w:cs="宋体"/>
                <w:color w:val="auto"/>
                <w:kern w:val="0"/>
                <w:sz w:val="18"/>
                <w:szCs w:val="18"/>
                <w:highlight w:val="none"/>
              </w:rPr>
            </w:pPr>
          </w:p>
        </w:tc>
      </w:tr>
      <w:tr w14:paraId="6D94491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B5DD45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397B47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6C96C0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A78788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65FA463">
            <w:pPr>
              <w:widowControl/>
              <w:rPr>
                <w:rFonts w:hint="eastAsia" w:ascii="宋体" w:hAnsi="宋体" w:cs="宋体"/>
                <w:color w:val="auto"/>
                <w:kern w:val="0"/>
                <w:sz w:val="18"/>
                <w:szCs w:val="18"/>
                <w:highlight w:val="none"/>
              </w:rPr>
            </w:pPr>
          </w:p>
        </w:tc>
      </w:tr>
      <w:tr w14:paraId="3B0141B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0C489D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E26D03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17F25B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113E4B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7FBCD1F">
            <w:pPr>
              <w:widowControl/>
              <w:rPr>
                <w:rFonts w:hint="eastAsia" w:ascii="宋体" w:hAnsi="宋体" w:cs="宋体"/>
                <w:color w:val="auto"/>
                <w:kern w:val="0"/>
                <w:sz w:val="18"/>
                <w:szCs w:val="18"/>
                <w:highlight w:val="none"/>
              </w:rPr>
            </w:pPr>
          </w:p>
        </w:tc>
      </w:tr>
      <w:tr w14:paraId="5E9BDFF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439DD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23904E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92C773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2FDFD2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0FFE4C7">
            <w:pPr>
              <w:widowControl/>
              <w:rPr>
                <w:rFonts w:hint="eastAsia" w:ascii="宋体" w:hAnsi="宋体" w:cs="宋体"/>
                <w:color w:val="auto"/>
                <w:kern w:val="0"/>
                <w:sz w:val="18"/>
                <w:szCs w:val="18"/>
                <w:highlight w:val="none"/>
              </w:rPr>
            </w:pPr>
          </w:p>
        </w:tc>
      </w:tr>
      <w:tr w14:paraId="4C26280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026BF3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6AA65D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3DFDB0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5C8A16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91251A4">
            <w:pPr>
              <w:widowControl/>
              <w:rPr>
                <w:rFonts w:hint="eastAsia" w:ascii="宋体" w:hAnsi="宋体" w:cs="宋体"/>
                <w:color w:val="auto"/>
                <w:kern w:val="0"/>
                <w:sz w:val="18"/>
                <w:szCs w:val="18"/>
                <w:highlight w:val="none"/>
              </w:rPr>
            </w:pPr>
          </w:p>
        </w:tc>
      </w:tr>
      <w:tr w14:paraId="24BA84C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FF5302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4199C8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6D44B5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F6C0A6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CDA4262">
            <w:pPr>
              <w:widowControl/>
              <w:rPr>
                <w:rFonts w:hint="eastAsia" w:ascii="宋体" w:hAnsi="宋体" w:cs="宋体"/>
                <w:color w:val="auto"/>
                <w:kern w:val="0"/>
                <w:sz w:val="18"/>
                <w:szCs w:val="18"/>
                <w:highlight w:val="none"/>
              </w:rPr>
            </w:pPr>
          </w:p>
        </w:tc>
      </w:tr>
      <w:tr w14:paraId="6D596EF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6E1C28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0A0A08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FF8F6B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8A72B5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47690E">
            <w:pPr>
              <w:widowControl/>
              <w:rPr>
                <w:rFonts w:hint="eastAsia" w:ascii="宋体" w:hAnsi="宋体" w:cs="宋体"/>
                <w:color w:val="auto"/>
                <w:kern w:val="0"/>
                <w:sz w:val="18"/>
                <w:szCs w:val="18"/>
                <w:highlight w:val="none"/>
              </w:rPr>
            </w:pPr>
          </w:p>
        </w:tc>
      </w:tr>
      <w:tr w14:paraId="36CBCDF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5DE8F1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10D8E4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2D355F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1CFDBC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BB08F88">
            <w:pPr>
              <w:widowControl/>
              <w:rPr>
                <w:rFonts w:hint="eastAsia" w:ascii="宋体" w:hAnsi="宋体" w:cs="宋体"/>
                <w:color w:val="auto"/>
                <w:kern w:val="0"/>
                <w:sz w:val="18"/>
                <w:szCs w:val="18"/>
                <w:highlight w:val="none"/>
              </w:rPr>
            </w:pPr>
          </w:p>
        </w:tc>
      </w:tr>
      <w:tr w14:paraId="093CE1A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A208BF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B9F80D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2A5C13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B135A3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312FE65">
            <w:pPr>
              <w:widowControl/>
              <w:rPr>
                <w:rFonts w:hint="eastAsia" w:ascii="宋体" w:hAnsi="宋体" w:cs="宋体"/>
                <w:color w:val="auto"/>
                <w:kern w:val="0"/>
                <w:sz w:val="18"/>
                <w:szCs w:val="18"/>
                <w:highlight w:val="none"/>
              </w:rPr>
            </w:pPr>
          </w:p>
        </w:tc>
      </w:tr>
      <w:tr w14:paraId="79E052E1">
        <w:tblPrEx>
          <w:tblCellMar>
            <w:top w:w="0" w:type="dxa"/>
            <w:left w:w="108" w:type="dxa"/>
            <w:bottom w:w="0" w:type="dxa"/>
            <w:right w:w="108" w:type="dxa"/>
          </w:tblCellMar>
        </w:tblPrEx>
        <w:trPr>
          <w:trHeight w:val="312"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79D983F4">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3.8</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1D9D49F3">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组织架构管理</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150AB6A">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1.组织架构管理:应对单位组织架构进行管理，实现多层级组织架构权限细粒度分配，实现各级组织架构数据分权分域管理。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(1)单位管理:应对单位信息的统一管理，包括单位名称、装备数量、手段数量、单位类型、标签等，实现业务与单位进行关联，压实单位的主体责任。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(2)单位信息同步:实现将该单位信息同步至系统配置中的组织机构和资产中心的资产管理中。</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2.岗位角色管理:支持岗位角色管理，可以为不同角色赋予不同系统功能模块的读写权限，未赋予此模块读写权限的用户，将无此功能模块的显示或配置的权限。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(1)数据权限配置:角色权限配置支持按照功能权限和数据权限进行配置。数据权限按照组织进行分配。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(2)分权分域角色类型:实现分配分权分域角色类型。角色配置功能只能分配分权分域功能。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(3)角色关联:一个账户可以关联不同角色，同一个账户对不同的组织的数据分配不同管理操作权限。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(4)角色权限共享:具有相同角色的权限的账户可以共享账户创建的统计视图、报表模板。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3.组织架构调整:新增、修改、删除部门信息、行业信息、人员信息、角色信息，灵活调整组织架构。</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(1)组织架构管理:实现对用户的组织架构的管理，应进行树状结构进行管理。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(2)本级组织调整:实现对本级组织进行添加、修改、删除、查看。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(3)组织信息内容:实现管理组织信息内容，包括组织的基本信息、组织所在平台信息和组织管理的数据划分配置。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4.组织架构记录:记录组织架构的变更历史，确保有据可查，以树形展示组织架构，对组织架构数据进行统计分析，提供决策支持。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5.组织架构删除备份:实现组织架构删除功能，定期备份组织架构数据，防止数据丢失。</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6.租户管理:将租户的相应运维团队编入安全运营架构。</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(1)人员管理:实现对人员的统一管理，包括人员名称、所属单位、岗位、装备数量、手段数量、人员类型标签等，能够摸清相关人员的基本信息，方便具体业务与人员进行关联，压实人员的主体责任。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(2)人员详情:实现人员基本信息管理，基本信息包括姓名、所属单位、人员类型、标签、职位、岗位、出生日期、身份证号、联系电话、手机号码、邮箱、专长等。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(3)装备管理:实现对装备物资的统一管理，通过摸清装备的基本信息，方便具体业务与装备进行关联。实现装备信息的导入、导出、批量删除、删除等操作。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(4)装备详情:装备详情包括该装备的基本信息、参数配置、手段列表等。其中装备基本信息包括装备名称、装备厂商、装备类型、所属单位、装备版本、标识、装备描述等。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(5)手段管理:实现对技术手段统一管理，包括手段名称、所属装备、手段类型、标签、创建时间、描述等。可提供添加手段、批量删除、删除等操作，提供按手段名称、手段类型等维度的查询功能。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(6)手段详情:实现对手段的基本信息、配置信息、输入参数和输出样例等进行管理。根据不同的手段类型，手段详情内容各有不同，如JS脚本或Python脚本进行配置。</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477924D9">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2930C604">
            <w:pPr>
              <w:widowControl/>
              <w:jc w:val="center"/>
              <w:rPr>
                <w:rFonts w:hint="eastAsia" w:ascii="宋体" w:hAnsi="宋体" w:cs="宋体"/>
                <w:color w:val="auto"/>
                <w:kern w:val="0"/>
                <w:sz w:val="18"/>
                <w:szCs w:val="18"/>
                <w:highlight w:val="none"/>
              </w:rPr>
            </w:pPr>
          </w:p>
        </w:tc>
      </w:tr>
      <w:tr w14:paraId="3FBB647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F1856E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C0AF93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1B687A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DDA21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10B7F46">
            <w:pPr>
              <w:widowControl/>
              <w:rPr>
                <w:rFonts w:hint="eastAsia" w:ascii="宋体" w:hAnsi="宋体" w:cs="宋体"/>
                <w:color w:val="auto"/>
                <w:kern w:val="0"/>
                <w:sz w:val="18"/>
                <w:szCs w:val="18"/>
                <w:highlight w:val="none"/>
              </w:rPr>
            </w:pPr>
          </w:p>
        </w:tc>
      </w:tr>
      <w:tr w14:paraId="55B531A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565891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591E0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1C4E2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94FD9C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15D9D9D">
            <w:pPr>
              <w:widowControl/>
              <w:rPr>
                <w:rFonts w:hint="eastAsia" w:ascii="宋体" w:hAnsi="宋体" w:cs="宋体"/>
                <w:color w:val="auto"/>
                <w:kern w:val="0"/>
                <w:sz w:val="18"/>
                <w:szCs w:val="18"/>
                <w:highlight w:val="none"/>
              </w:rPr>
            </w:pPr>
          </w:p>
        </w:tc>
      </w:tr>
      <w:tr w14:paraId="0312A77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172D22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3ACA5F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5C0748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E60EC3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23E0BBD">
            <w:pPr>
              <w:widowControl/>
              <w:rPr>
                <w:rFonts w:hint="eastAsia" w:ascii="宋体" w:hAnsi="宋体" w:cs="宋体"/>
                <w:color w:val="auto"/>
                <w:kern w:val="0"/>
                <w:sz w:val="18"/>
                <w:szCs w:val="18"/>
                <w:highlight w:val="none"/>
              </w:rPr>
            </w:pPr>
          </w:p>
        </w:tc>
      </w:tr>
      <w:tr w14:paraId="40EAE51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3A93A4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4A3463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92A08E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4680BF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DEEFE17">
            <w:pPr>
              <w:widowControl/>
              <w:rPr>
                <w:rFonts w:hint="eastAsia" w:ascii="宋体" w:hAnsi="宋体" w:cs="宋体"/>
                <w:color w:val="auto"/>
                <w:kern w:val="0"/>
                <w:sz w:val="18"/>
                <w:szCs w:val="18"/>
                <w:highlight w:val="none"/>
              </w:rPr>
            </w:pPr>
          </w:p>
        </w:tc>
      </w:tr>
      <w:tr w14:paraId="571D3B7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4BF411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1B02F1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413F16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D5BB53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D7DFF72">
            <w:pPr>
              <w:widowControl/>
              <w:rPr>
                <w:rFonts w:hint="eastAsia" w:ascii="宋体" w:hAnsi="宋体" w:cs="宋体"/>
                <w:color w:val="auto"/>
                <w:kern w:val="0"/>
                <w:sz w:val="18"/>
                <w:szCs w:val="18"/>
                <w:highlight w:val="none"/>
              </w:rPr>
            </w:pPr>
          </w:p>
        </w:tc>
      </w:tr>
      <w:tr w14:paraId="7F1D8DF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D60E55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9D5BDB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5BBCD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7B02C7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EDD248F">
            <w:pPr>
              <w:widowControl/>
              <w:rPr>
                <w:rFonts w:hint="eastAsia" w:ascii="宋体" w:hAnsi="宋体" w:cs="宋体"/>
                <w:color w:val="auto"/>
                <w:kern w:val="0"/>
                <w:sz w:val="18"/>
                <w:szCs w:val="18"/>
                <w:highlight w:val="none"/>
              </w:rPr>
            </w:pPr>
          </w:p>
        </w:tc>
      </w:tr>
      <w:tr w14:paraId="42A3CE5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C0775D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DCB49A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413534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3AB878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A4DD8D9">
            <w:pPr>
              <w:widowControl/>
              <w:rPr>
                <w:rFonts w:hint="eastAsia" w:ascii="宋体" w:hAnsi="宋体" w:cs="宋体"/>
                <w:color w:val="auto"/>
                <w:kern w:val="0"/>
                <w:sz w:val="18"/>
                <w:szCs w:val="18"/>
                <w:highlight w:val="none"/>
              </w:rPr>
            </w:pPr>
          </w:p>
        </w:tc>
      </w:tr>
      <w:tr w14:paraId="3D5F864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54E3D4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9234CE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06BCB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2F9A73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9B254AB">
            <w:pPr>
              <w:widowControl/>
              <w:rPr>
                <w:rFonts w:hint="eastAsia" w:ascii="宋体" w:hAnsi="宋体" w:cs="宋体"/>
                <w:color w:val="auto"/>
                <w:kern w:val="0"/>
                <w:sz w:val="18"/>
                <w:szCs w:val="18"/>
                <w:highlight w:val="none"/>
              </w:rPr>
            </w:pPr>
          </w:p>
        </w:tc>
      </w:tr>
      <w:tr w14:paraId="78E1167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BE86FC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68C4C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D74300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45D133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8197387">
            <w:pPr>
              <w:widowControl/>
              <w:rPr>
                <w:rFonts w:hint="eastAsia" w:ascii="宋体" w:hAnsi="宋体" w:cs="宋体"/>
                <w:color w:val="auto"/>
                <w:kern w:val="0"/>
                <w:sz w:val="18"/>
                <w:szCs w:val="18"/>
                <w:highlight w:val="none"/>
              </w:rPr>
            </w:pPr>
          </w:p>
        </w:tc>
      </w:tr>
      <w:tr w14:paraId="0A71DAA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A44F1F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5135A2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BD370B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EAB654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3EDFCA0">
            <w:pPr>
              <w:widowControl/>
              <w:rPr>
                <w:rFonts w:hint="eastAsia" w:ascii="宋体" w:hAnsi="宋体" w:cs="宋体"/>
                <w:color w:val="auto"/>
                <w:kern w:val="0"/>
                <w:sz w:val="18"/>
                <w:szCs w:val="18"/>
                <w:highlight w:val="none"/>
              </w:rPr>
            </w:pPr>
          </w:p>
        </w:tc>
      </w:tr>
      <w:tr w14:paraId="75D40E8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8020C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642DEA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695C1B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DB7C70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A6629A">
            <w:pPr>
              <w:widowControl/>
              <w:rPr>
                <w:rFonts w:hint="eastAsia" w:ascii="宋体" w:hAnsi="宋体" w:cs="宋体"/>
                <w:color w:val="auto"/>
                <w:kern w:val="0"/>
                <w:sz w:val="18"/>
                <w:szCs w:val="18"/>
                <w:highlight w:val="none"/>
              </w:rPr>
            </w:pPr>
          </w:p>
        </w:tc>
      </w:tr>
      <w:tr w14:paraId="7DF96A7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CE0742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3DEDDC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C6D98E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A11FC4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0A80EB5">
            <w:pPr>
              <w:widowControl/>
              <w:rPr>
                <w:rFonts w:hint="eastAsia" w:ascii="宋体" w:hAnsi="宋体" w:cs="宋体"/>
                <w:color w:val="auto"/>
                <w:kern w:val="0"/>
                <w:sz w:val="18"/>
                <w:szCs w:val="18"/>
                <w:highlight w:val="none"/>
              </w:rPr>
            </w:pPr>
          </w:p>
        </w:tc>
      </w:tr>
      <w:tr w14:paraId="58131D3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05FF9E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11B532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B2D53F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C5D8FA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26362BA">
            <w:pPr>
              <w:widowControl/>
              <w:rPr>
                <w:rFonts w:hint="eastAsia" w:ascii="宋体" w:hAnsi="宋体" w:cs="宋体"/>
                <w:color w:val="auto"/>
                <w:kern w:val="0"/>
                <w:sz w:val="18"/>
                <w:szCs w:val="18"/>
                <w:highlight w:val="none"/>
              </w:rPr>
            </w:pPr>
          </w:p>
        </w:tc>
      </w:tr>
      <w:tr w14:paraId="5C24524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B009BA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F3FA2C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ADF7D3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F011CA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C7D612B">
            <w:pPr>
              <w:widowControl/>
              <w:rPr>
                <w:rFonts w:hint="eastAsia" w:ascii="宋体" w:hAnsi="宋体" w:cs="宋体"/>
                <w:color w:val="auto"/>
                <w:kern w:val="0"/>
                <w:sz w:val="18"/>
                <w:szCs w:val="18"/>
                <w:highlight w:val="none"/>
              </w:rPr>
            </w:pPr>
          </w:p>
        </w:tc>
      </w:tr>
      <w:tr w14:paraId="76BEED0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DA8255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437DA5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7D02C4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3DAADE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BBC9023">
            <w:pPr>
              <w:widowControl/>
              <w:rPr>
                <w:rFonts w:hint="eastAsia" w:ascii="宋体" w:hAnsi="宋体" w:cs="宋体"/>
                <w:color w:val="auto"/>
                <w:kern w:val="0"/>
                <w:sz w:val="18"/>
                <w:szCs w:val="18"/>
                <w:highlight w:val="none"/>
              </w:rPr>
            </w:pPr>
          </w:p>
        </w:tc>
      </w:tr>
      <w:tr w14:paraId="2FB8C45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6CDD75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14B1A4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24FF5E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33836D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F0A68F6">
            <w:pPr>
              <w:widowControl/>
              <w:rPr>
                <w:rFonts w:hint="eastAsia" w:ascii="宋体" w:hAnsi="宋体" w:cs="宋体"/>
                <w:color w:val="auto"/>
                <w:kern w:val="0"/>
                <w:sz w:val="18"/>
                <w:szCs w:val="18"/>
                <w:highlight w:val="none"/>
              </w:rPr>
            </w:pPr>
          </w:p>
        </w:tc>
      </w:tr>
      <w:tr w14:paraId="3856184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75FB77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0784B9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806B86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4CBC54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FEAD7CD">
            <w:pPr>
              <w:widowControl/>
              <w:rPr>
                <w:rFonts w:hint="eastAsia" w:ascii="宋体" w:hAnsi="宋体" w:cs="宋体"/>
                <w:color w:val="auto"/>
                <w:kern w:val="0"/>
                <w:sz w:val="18"/>
                <w:szCs w:val="18"/>
                <w:highlight w:val="none"/>
              </w:rPr>
            </w:pPr>
          </w:p>
        </w:tc>
      </w:tr>
      <w:tr w14:paraId="22DD37B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49295B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020ACE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CB32A2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1FB536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BE7F6F5">
            <w:pPr>
              <w:widowControl/>
              <w:rPr>
                <w:rFonts w:hint="eastAsia" w:ascii="宋体" w:hAnsi="宋体" w:cs="宋体"/>
                <w:color w:val="auto"/>
                <w:kern w:val="0"/>
                <w:sz w:val="18"/>
                <w:szCs w:val="18"/>
                <w:highlight w:val="none"/>
              </w:rPr>
            </w:pPr>
          </w:p>
        </w:tc>
      </w:tr>
      <w:tr w14:paraId="5F1D24D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108F31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60F923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CB0C5C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9CA44D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FD2004C">
            <w:pPr>
              <w:widowControl/>
              <w:rPr>
                <w:rFonts w:hint="eastAsia" w:ascii="宋体" w:hAnsi="宋体" w:cs="宋体"/>
                <w:color w:val="auto"/>
                <w:kern w:val="0"/>
                <w:sz w:val="18"/>
                <w:szCs w:val="18"/>
                <w:highlight w:val="none"/>
              </w:rPr>
            </w:pPr>
          </w:p>
        </w:tc>
      </w:tr>
      <w:tr w14:paraId="454393D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D910FC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FC83BB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228AAE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EFD02C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53F4232">
            <w:pPr>
              <w:widowControl/>
              <w:rPr>
                <w:rFonts w:hint="eastAsia" w:ascii="宋体" w:hAnsi="宋体" w:cs="宋体"/>
                <w:color w:val="auto"/>
                <w:kern w:val="0"/>
                <w:sz w:val="18"/>
                <w:szCs w:val="18"/>
                <w:highlight w:val="none"/>
              </w:rPr>
            </w:pPr>
          </w:p>
        </w:tc>
      </w:tr>
      <w:tr w14:paraId="2086CC1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4E26ED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564E95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C24B52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71CA1A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7AD48BB">
            <w:pPr>
              <w:widowControl/>
              <w:rPr>
                <w:rFonts w:hint="eastAsia" w:ascii="宋体" w:hAnsi="宋体" w:cs="宋体"/>
                <w:color w:val="auto"/>
                <w:kern w:val="0"/>
                <w:sz w:val="18"/>
                <w:szCs w:val="18"/>
                <w:highlight w:val="none"/>
              </w:rPr>
            </w:pPr>
          </w:p>
        </w:tc>
      </w:tr>
      <w:tr w14:paraId="120B1538">
        <w:tblPrEx>
          <w:tblCellMar>
            <w:top w:w="0" w:type="dxa"/>
            <w:left w:w="108" w:type="dxa"/>
            <w:bottom w:w="0" w:type="dxa"/>
            <w:right w:w="108" w:type="dxa"/>
          </w:tblCellMar>
        </w:tblPrEx>
        <w:trPr>
          <w:trHeight w:val="312"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4B67428A">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3.9</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674111D3">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脆弱性管理</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D4CB783">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1.漏洞扫描任务管理:定期使用专业的漏洞扫描工具，对系统和网络进行全面扫描，及时发现其中存在的各类安全漏洞，包括软件漏洞、配置漏洞等，为后续的安全加固提供依据。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(1)漏洞扫描开启:可提供自动扫描、人工开启扫描、针对特定IP/IP段的扫描。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关联:实现网络资产信息与漏洞信息之间的关联；提供自动关联和人工关联两种资产漏洞关联方式，默认进行资产漏洞信息自动关联，经自动关联后形成的结果应提供人工确认操作界面，运营人员对关联结果进行查看、修正、补充完善等操作。实现对资产漏洞关联结果进行可视化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(3)漏洞扫描任务管理:实现对关联策略的查看、管理及更新等操作。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2.威胁情报收集:通过多种渠道，如安全厂商、行业组织、开源社区等，收集和整合最新的威胁情报信息，包括新型漏洞、攻击手段、恶意 IP 地址等，以便提前做好防范准备。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(1)情报管理:通过人工创建的方式创建本地情报信息，包括情报名称、威胁类型、风险等级、置信度、标签、参考链接、描述以及指示器指标等，实现可视化拓扑展示情报信息。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(2)情报检索:实现针对全部情报和本地情报两个范围进行情报信息的检索，能够对威胁情报总数、云端威胁情报数及版本号、本地威胁情报数及生效情报数进行总览。需能够按照IP、DOMAIN、 URL、MD5、SHA1、SHA256、情报名称等条件进行全部搜索，同时支持本地情报搜索按照创建时间、风险等级、情报置信度、情报状态、情报名称、检测指标等条件。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(3)指示器:指示器作为平台情报的知识库，提供威胁关联分析适用的IOC基础信息。从指示器种类、检测指标、是否IOC、描述等情况管理指示器信息。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3.终端安全基线核查:终端安全基线规范管理，如密码策略、防火墙设置、系统更新等，确保终端设备的安全性，防止因配置不当导致安全问题。</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(1)终端安全基线:根据终端安全基线管理规范，密码策略、防火墙设置、系统更新等安全基线进行检查。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(2)终端安全防护:对检查出的安全问题提出修复建议，督促整改。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4.渗透测试任务管理:渗透测试任务管理，提交渗透测试报告。模拟攻击者的行为和思维方式，对系统进行深入的渗透测试，尝试发现系统潜在的安全漏洞和薄弱环节，评估系统的防御能力，为安全加固提供方向。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(1)渗透测试:安全人员模拟攻击者的行为和思维方式，对系统进行深入的渗透测试，尝试发现系统潜在的安全漏洞和薄弱环节。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(2)渗透测试报告:针对渗透测试过程中发现的问题，提供渗透测试报告，指出当前存在的问题风险，并给出修复建议。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5.漏洞库管理:建立和维护一个全面的漏洞库，记录已知漏洞的详细信息，包括漏洞描述、影响范围、利用方式、修复建议等，方便快速查询和处理漏洞。</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资产漏洞管理:资产潜在漏洞管理，通过关联纳管的资产数据与漏洞知识库生成资产潜在漏洞数据，实现对资产潜在漏洞情况的管理。系统支持纳管资产和漏洞知识库数据的关联，支持通过资产视角查看资产的潜在漏洞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主机漏洞:对主机漏洞进行统计分析，包括受影响主机TOP5、漏洞类型TOP5、漏洞危害等级等维度进行统计分析。系统支持对主机漏洞状态变更，包括未修复、已修复、误报和不修复等，支持针对主机漏洞转工单处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WEB漏洞:实现WEB相关漏洞进行管理、统计、分析。系统对WEB漏洞进行管理，包括网站地址、网站名称、最近发现来源、漏洞名称、漏洞类型、漏洞危害等级、漏洞描述、发现次数、首次发现时间、最近发现时间、修复状态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弱口令:实现弱口令进行统计分析，包括受影响主机TOP5、服务名称TOP5、漏洞端口号TOP5等维度进行统计分析，系统查看弱口令漏洞的详情信息，包括漏洞概况、发现记录和变更记录等。其中漏洞概况包括：基本信息、影响资产信息和弱口令信息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(5)配置核查:资产进行不同核查点进行核查发现配置漏洞进行管理、统计、分析，包括受影响主机TOP5、核查点TOP5、漏洞危害等级TOP5等维度进行统计分析。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6.漏洞评估管理:对发现的漏洞进行深入分析和评估，确定其危害程度和可能造成的影响，如是否会导致数据泄露、系统瘫痪、权限提升等，为漏洞优先级排序提供依据。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(1)第三方漏洞报告:能够导入其他厂商的漏洞扫描报告管理，包括报告名称、报告类型、脆弱性数量、报告文件格式、解析模板、导入时间等，并支持报告的下载。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(2)导入报告:导入报告的类型包括主机漏洞、配置核查、WEB漏洞、弱口令等、报告文件支持excel和xml。</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7.漏洞优先级排序:根据漏洞的危害程度、影响范围、利用难度等因素，对漏洞进行优先级排序，确保优先处理高风险漏洞，合理分配安全资源，提高漏洞修复效率。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(1)漏洞信息管理:实现从单位、漏洞等级、漏洞类型、漏洞来源等多个维度对漏洞信息进行管理，提供漏洞信息的增、删、改、查等操作，实现单条操作和批量操作。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(2)漏洞信息查询:实现从单位、漏洞等级、漏洞类型、漏洞来源等多个维度对漏洞信息进行统计分析、查询及导出等功能。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8.漏洞修复建议:针对发现的漏洞，提出具体的修复建议和措施，包括软件更新、配置调整、代码修改等，同时考虑修复的可行性和对系统的影响，确保漏洞能够得到有效修复。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(1)漏洞风险等级:漏洞风险等级划分（如高危、中危、低危），明确漏洞处置优先级。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(2)漏洞修复方案:针对性修复方案，如补丁更新、配置优化、权限调整、代码整改等具体操作步骤</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9.漏洞验证管理:实现漏洞验证任务管理，在漏洞修复后，通过专业的测试工具和方法，对漏洞修复效果进行验证，确保漏洞已被彻底修复，防止漏洞再次被利用，保障系统的安全性。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(1)漏洞复测验证:复现测试：重复漏洞发现时的操作步骤，验证漏洞是否已无法复现。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(2)工具扫描验证:工具扫描验证：使用漏洞扫描工具（如 Nessus、AWVS 等）对修复后的资产重新扫描，确认漏洞条目已清除。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(3)配置核查:配置核查：核对修复方案中的关键配置项（如权限设置、补丁版本、安全策略等），确认已按要求调整到位。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(4)日志分析:日志分析：查看资产相关安全日志、操作日志，验证无漏洞相关的异常行为或攻击尝试记录。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(5)渗透测试验证:渗透测试验证：针对高危漏洞，通过模拟攻击的渗透测试方式，验证修复措施的有效性和资产安全性。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10.漏洞预警:在漏洞发现环节，及时进行风险预警，通知相关人员采取相应的防护措施，如临时关闭受影响的服务、加强访问控制等，降低漏洞被利用的风险。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(1)风险预警管理:风险预警针对潜在的威胁事件，公开发布的预警性信息，包括近期国内或本地严重的网络或系统漏洞等与网络有关的安全防范信息及防范策略、注意事项等，进行提前预警。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(2)风险预警分类:实现预警信息的管理，包括我收到的、我发出的和公开预警等。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(3)风险预警详情:风险预警详情呈现预警的流程和具体内容信息，实现添加评论反馈和催办信息。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11.漏洞报告生成:生成详细的漏洞分析和修复报告，包括漏洞的基本信息、评估结果、修复建议、验证情况等，为安全管理人员提供决策依据，同时也便于后续的审计和追溯。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(1)报告格式:实现生成漏洞分析报告，并且实现对报告进行导出，导出格式包括word、PDF等。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(2)报告管理:导入第三方的漏洞扫描报告进行管理，包括报告名称、报告类型、脆弱性数量、报告文件格式、解析模板、导入时间等，并实现报告的下载。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报告类型:导入报告的类型包括但不限于主机漏洞、配置隐患核查、WEB漏洞、弱口令等，导入的报告文件类型应包括excel和xml等。基于导入的资产漏洞报告数据，与平台内部的资产库进行关联分析，发现资产脆弱性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12.漏洞生命周期闭环管理:管理漏洞从发现到修复的整个生命周期，包括漏洞的发现、评估、修复、验证、报告等环节，确保每个环节都得到有效执行，形成一个完整的闭环管理流程，提高漏洞管理的效率和效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(1)漏洞发现:漏洞发现：通过平台扫描、告警监测等方式精准识别漏洞，同步关联资产画像信息。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(2)漏洞评估:漏洞评估：结合漏洞风险等级标准，划分高危 / 中危 / 低危等级，明确处置优先级。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(3)漏洞修复:修复实施：提供针对性漏洞修复建议，指导租户完成修复操作。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(4)漏洞验证:修复验证：通过复现测试、工具扫描、配置核查等多种方法，验证漏洞是否修复到位。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(5)漏洞报告:漏洞报告：修复验证通过后，完成漏洞信息归档，形成分析报告。</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13.漏洞情报共享:与内部团队成员、外部合作伙伴、行业组织等共享漏洞情报信息，促进信息交流和合作，共同应对安全威胁，提高整体的安全防护水平。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14.补丁测试管理:管理补丁测试任务，在安装补丁前，对补丁进行充分的测试，包括功能测试、兼容性测试、稳定性测试等，确保补丁能够有效修复漏洞，且不会对系统造成负面影响，降低补丁安装的风险。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(1)测试任务管理:平台依据漏洞修复、补丁测试等运营需求自动生成测试任务，明确任务目标（如漏洞修复验证、补丁兼容性测试）、测试范围及完成时限。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(2)补丁测试有效性:通过复现测试、工具扫描等方式，确认补丁是否彻底修复目标漏洞，无漏洞残留或衍生漏洞；验证补丁部署后对业务运行效率、稳定性无负面影响，符合业务连续性要求。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15.安全策略定制:根据组织的业务需求和安全风险状况，制定和实施相应的安全策略，包括访问控制策略、数据保护策略、网络隔离策略等，减少漏洞风险，保障系统的安全性和稳定性。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(1)访问控制策略:制定合适的访问控制策略，包括最小权限原则、身份认证适配等。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(2)数据保护策略:制定合适的数据保护策略，包括数据分类分级、访问控制、加密传输等。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(3)网络隔离策略:制定合适的网络控制策略，包括明确隔离目标与范围，精准制定隔离规则，选择合适实现技术，结合威胁数据动态优化，验证与运维。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16.漏洞响应计划管理:制定漏洞响应计划，明确在发现漏洞后的响应流程和措施，包括漏洞评估、修复、验证、报告等环节的责任分工和时间要求，确保能够快速、有效地应对漏洞事件，降低安全风险。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(1)漏洞响应流程:制定漏洞评估、修复、验证、报告等环节的操作流程，明确责任分工和时间要求。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(2)漏洞响应措施:针对不同的漏洞给出修复建议及处置时间要求。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17.安全事项管理:记录和管理因漏洞引发的安全事项，包括安全事件的详细信息、处理过程、结果等，便于后续的分析和总结，同时为安全策略的调整和优化提供依据。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(1)钻石模型分析:基于“钻石模型”的方式，将事件相关的攻击者、基础设施、受害者和能力维度进行关联、提炼和总结，从而便于安全人员有针对性</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进行研判分析。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(2)攻击者信息:对攻击者信息进行新增、分析并给出结论，包括攻击者类型、攻击者名称、攻击者标签、攻击者技能等级、攻击者国家、攻击者描述等。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(3)受害者信息:对受害者信息进行新增、分析并给出结论，能够对IP、域名、URL分别选择系统内的受害者。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18.漏洞趋势分析:对漏洞的发生趋势和变化情况进行分析，了解漏洞的分布规律、增长趋势、类型变化等，为安全防护策略的制定和调整提供数据支持，提前做好应对准备。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(1)漏洞时间趋势分析:从时间维度对漏洞的发生趋势和变化情况进行分析，了解漏洞的分布规律、增长趋势、类型变化等，为安全防护策略的制定和调整提供数据支持，提前做好应对准备。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(2)漏洞行业趋势分析:从行业维度对漏洞的发生趋势和变化情况进行分析，了解漏洞的分布规律、增长趋势、类型变化等，为安全防护策略的制定和调整提供数据支持，提前做好应对准备。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(3)漏洞区域趋势分析:从区域维度对漏洞的发生趋势和变化情况进行分析，了解漏洞的分布规律、增长趋势、类型变化等，为安全防护策略的制定和调整提供数据支持，提前做好应对准备。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19.安全配置管理:管理系统和网络设备的安全配置，确保配置的合理性和安全性，防止因配置不当导致安全漏洞，同时对配置的变更进行严格控制和管理，及时发现和纠正配置偏差。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(1)安全配置检查:管理系统和网络设备的安全配置，确保配置的合理性和安全性，防止因配置不当导致安全漏洞。</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(2)安全配置纠偏:对配置的变更进行严格控制和管理，及时发现和纠正配置偏差。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20.漏洞溯源管理:漏洞溯源任务管理，追踪漏洞的来源和传播途径，了解漏洞是如何产生的、如何传播的，以便采取针对性的防范措施，阻止漏洞的进一步扩散，同时也为漏洞的责任追究和安全策略的改进提供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(1)漏洞溯源任务管理:漏洞溯源任务管理，追踪漏洞的来源和传播途径，了解漏洞是如何产生的、如何传播的。</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(2)漏洞防范:对不同级别或者种类的漏洞，给出针对性的防范措施，阻止漏洞的进一步扩散，同时也为漏洞的责任追究和安全策略的改进提供依据。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21.漏洞补救措施管理:管理和跟踪漏洞补救措施的实施情况，确保补救措施得到有效执行，及时解决漏洞问题，同时对补救措施的效果进行评估，为后续的安全防护提供参考。</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(1)补救措施有效性:针对漏洞类型（如代码漏洞、配置漏洞、权限漏洞）制定精准补救方案，同时兼顾业务连续性，避免补救措施影响正常业务运行。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(2)补救方案制定:“措施实施 - 效果验证 - 复盘归档” 全流程，与漏洞生命周期闭环管理深度衔接，确保补救无遗漏。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22.安全意识培训管理:具备安全意识培训模块，通过开展各种形式的安全培训活动，如讲座、培训课程、模拟演练等，</w:t>
            </w:r>
            <w:r>
              <w:rPr>
                <w:rFonts w:hint="eastAsia" w:ascii="宋体" w:hAnsi="宋体" w:cs="宋体"/>
                <w:color w:val="auto"/>
                <w:kern w:val="0"/>
                <w:sz w:val="18"/>
                <w:szCs w:val="18"/>
                <w:highlight w:val="none"/>
                <w:lang w:val="en-US" w:eastAsia="zh-CN"/>
              </w:rPr>
              <w:t>增强</w:t>
            </w:r>
            <w:r>
              <w:rPr>
                <w:rFonts w:hint="eastAsia" w:ascii="宋体" w:hAnsi="宋体" w:cs="宋体"/>
                <w:color w:val="auto"/>
                <w:kern w:val="0"/>
                <w:sz w:val="18"/>
                <w:szCs w:val="18"/>
                <w:highlight w:val="none"/>
              </w:rPr>
              <w:t>员工的安全防范意识和技能，减少因人为因素导致的安全漏洞和风险。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(1)培训过程管理:主要用于记录和管理培训活动的各个环节，包括培训计划的制定、培训过程的记录、培训材料的管理以及培训结果的评估。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(2)培训课程管理:培训课程管理模块主要用于管理和共享培训课程及相关资料，确保课程内容的完整性和可访问性。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(3)培训统计分析:对培训课程的相关数据进行统计分析，帮助管理方了解培训课程效果，统计信息包括但不限于应参与人数、实际参与人数、完成率、反馈意见数量等。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23.安全基线检查管理:检查系统和网络设备的安全基线配置，确保其符合组织的安全策略和行业标准，对不符合基线要求的配置进行及时调整和优化，保障系统的安全性和稳定性。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(1)安全基线检查任务管理:结合安全基线标准及资产画像（含关联域名 / IP），明确检查范围、周期（如每周 / 每月）及目标，在自服务界面创建针对性检查任务。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(2)安全基线检查问题整改:对检查发现的基线偏离问题，自动关联漏洞补救措施管理流程，明确整改责任人、时限，跟踪整改进度直至闭环。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24.漏洞通报机制管理:建立漏洞通报机制，及时将漏洞信息通报给相关人员，包括安全团队成员、系统管理员、开发人员等，确保他们能够及时了解漏洞情况，采取相应的防护措施，同时对通报过程进行记录和管理，保证信息的准确性和及时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(1)漏洞通报流程:对漏洞通报流程的每一个环节的执行信息进行呈现，明确指令环节的具体进度，包括每一个流程环节的执行方、执行状态、执行时间、延期状态。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(2)操作记录:操作记录实现对漏洞通报处置过程中的操作日志信息进行记录，包括操作时间、角色、用户、访问IP、操作、操作结果和操作内容等。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25.安全漏洞监控管理:持续监控系统和网络中的安全漏洞，通过部署专业的监控工具和系统，实时收集和分析漏洞相关信息，及时发现新的漏洞和漏洞变化情况，为安全防护提供及时的预警和决策支持。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(1)监控任务管理:结合资产画像（含关联域名 / IP）及安全基线标准，明确监控范围（如核心资产、关键业务系统）、监控指标（如漏洞新增、漏洞修复进度）及监控频率（实时 / 定时），在自服务界面创建定制化监控任务。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监控结果分析:实时收集和分析漏洞相关信息，及时发现新的漏洞和漏洞变化情况，分析漏洞产生根源，如是否因安全策略疏漏（如网络隔离不彻底）、基线配置偏离、人员操作不当等，为安全防护提供及时的预警和决策支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26.漏洞情报分析管理:分析收集到的漏洞情报信息，提取有价值的情报内容，如漏洞的分布趋势、高危漏洞的特点、攻击者利用漏洞的手段等，为安全策略的制定和调整提供数据支持，提高安全防护的针对性和有效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(1)漏洞情报分析方法:结合自身资产画像（如域名 / IP、部署系统、应用组件），分析情报中漏洞的影响范围，判断与自身资产的适配性，识别潜在风险漏洞。</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(2)漏洞情报分析结果:分析收集到的漏洞情报信息，提取有价值的情报内容，如漏洞的分布趋势、高危漏洞的特点、攻击者利用漏洞的手段等，为安全策略的制定和调整提供数据支持。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27.漏洞知识库管理:建立和维护漏洞知识库，记录漏洞的相关信息和处理经验，包括漏洞描述、影响范围、修复方法、预防措施等，方便安全人员快速查询和参考，提高漏洞处理的效率和质量，同时也为安全培训和知识传承提供资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(1)漏洞库统计:系统实现漏洞库统计功能，包括公共漏洞库总量、今日新增数量、NOX认证漏洞库总量、NOX认证漏洞库今日新增数量、我的漏洞库总量和我的漏洞库今日新增数量等。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库管理:实现漏洞库管理，包括漏洞发布时间、漏洞名称、漏洞类型、危害等级、漏洞编号、CVE编号、CNNVD编号、CNVD编号、其他编号、漏洞来源、威胁类型等，能够查看漏洞的详情。实现漏洞影响面评估功能，通过影响面评估，可对漏洞库基本信息、影响产品信息、漏洞影响面进行评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28.漏洞检测规则管理:管理漏洞检测规则和策略，根据漏洞的特点和检测需求，制定和优化检测规则，确保能够准确、及时地发现漏洞，同时对规则进行定期更新和维护，适应不断变化的安全威胁和检测技术。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(1)漏洞检测规则制定:结合自身资产特性、安全需求、威胁态势及合规要求制定漏洞检测规则。</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(2)漏洞检测规则更新:结合威胁态势变化、资产迭代及合规要求调整，确保规则始终具备精准性与时效性。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29.安全事件响应管理:及时响应和处理因漏洞引发的安全事件，建立快速、有效的安全事件响应机制，明确事件响应的流程和责任分工，确保在最短时间内采取措施控制事件影响，恢复系统正常运行，同时对事件进行调查和总结，防止类似事件再次发生。</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(1)安全事件响应流程:对安全事件响应流程的每一个环节的执行信息进行呈现，明确指令环节的具体进度，包括每一个流程环节的执行方、执行状态、执行时间、延期状态。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(2)响应流程操作记录:操作记录实现对安全事件响应流程中的操作日志信息进行记录，包括操作时间、角色、用户、访问IP、操作、操作结果和操作内容等。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30.风险评估管理:评估漏洞带来的安全风险，综合考虑漏洞的危害程度、影响范围、利用难度、资产价值等因素，确定风险等级，为安全决策提供依据，合理分配安全资源，优先处理高风险漏洞，降低安全风险。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(1)评估模型管理:实现各类设备、单位、系统和机房等80个评估模型，对风险评估所有模型进行统一管理，包括更新时间、模型名称、计算公式、模型来源、关联模型、评估对象类型等。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(2)评估模型:实现重要性、防护能力、脆弱性、威胁性四个维度进行评估，提供预置的模型配平参数和计算算法说明，并实现具体指标参数配置。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(3):重要性至少实现本征重要性、敏感性、可用性等维度评估。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(4):防护能力至少实现技术防护能力和管理防护能力维度进行评估；脆弱性至少实现漏洞维度，漏洞维度实现对漏洞自身关注度、易用性、危害程度、修复状态等维度的评估。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(5):威胁性实现告警、事件维度的评估，对告警评估范围、告警次数、威胁等级、关注度、处置状态、攻击结果严重程度、告警发现时间段衰减的评估。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(6)评估指标管理:预置单位、机房、系统、设备等对象的评估指标，包括但不限于重要性指标、防护能力指标、脆弱性指标、威胁性指标，并且能够根据数据源自动计算评分。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(7)评估任务管理:对评估任务的管理和监测功能，能够查看各种评估模型计算任务运行的结果。模型任务名称可通过“包含”“等于”“不等于”“不包含”等筛选条件配置。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(8)评估配置管理:实现评估的各类指标计算数据源的计算方式的配置，包括漏洞数据、事件数据、告警数据、失陷情报计算周期的配置。同时，指定不同的区域范围（区域或行业范围）进行自定义配置。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31.漏洞利用预防管理:采取措施预防漏洞的利用，如加强安全防护措施、及时修复漏洞、设置入侵检测规则等，阻止攻击者利用漏洞进行攻击，降低安全风险，保障系统的安全性和稳定性。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(1)预防任务管理:通过“任务规划、分配执行、监控追踪、复盘优化”的闭环管控，确保各项预防措施高效落地，提升漏洞利用风险防控的系统性与实效性。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预防结果管理:对漏洞利用预防各项工作产出成果的集中管控环节，通过“结果收集、分析评估、应用优化、归档追溯”的闭环管理，全面掌握预防工作成效，为后续防护策略调整与资源调配提供决策依据，持续提升漏洞利用风险防控能力。</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32.安全日志管理:记录和分析系统和网络的安全日志，确保日志的完整性、准确性和可用性，对日志进行定期备份和归档，方便后续的审计和追溯，同时通过日志分析发现潜在的安全问题和威胁，及时采取措施进行处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(1)安全日志记录:通过对系统、应用、网络等层面的操作与事件进行全面、准确、及时</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记录，为安全事件溯源、威胁分析、合规审计等提供关键依据。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(2)安全日志分析:从安全日志中挖掘有价值信息、识别安全威胁与异常行为的关键环节，通过“日志预处理、特征提取、威胁检测、事件溯源、报告输出”的全流程操作，为安全决策与响应提供依据。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33.漏洞修复工具管理:管理和使用漏洞修复工具，确保工具的有效性和可靠性，对工具进行定期更新和维护，根据漏洞类型和修复需求选择合适的工具，同时对修复过程进行监控和管理，保证漏洞能够得到及时、有效</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修复。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(1)漏洞修复工具管理维护:管理和使用漏洞修复工具，确保工具的有效性和可靠性，对工具进行定期更新和维护，根据漏洞类型和修复需求选择合适的工具。</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(2)漏洞修复过程监控:对工具修复漏洞过程进行监控和管理，保证漏洞能够得到及时、有效</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修复。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34.数据备份管理:管理和实施数据备份措施，定期对安全运营服务系统重要数据进行备份，确保在数据丢失或损坏时能够及时恢复，备份数据存储在安全的位置，采用可靠的备份技术和策略，同时对备份数据进行定期验证和测试，保证其可用性和完整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(1)数据备份策略管理:管理和实施数据备份措施，定期对安全运营服务系统重要数据进行备份，确保在数据丢失或损坏时能够及时恢复，备份数据存储在安全的位置，采用可靠的备份技术和策略。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(2)数据备份有效性验证:对备份数据进行定期验证和测试，保证其可用性和完整性。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35.安全测试计划制定管理:制定和实施系统和网络的安全测试计划，明确测试的目标、范围、方法、步骤、时间安排等，确保安全测试工作的全面性和有效性，对测试过程进行监控和管理，及时发现和解决测试中出现的问题，为系统的安全上线和运行提供保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(1)安全测试计划制定:制定和实施系统和网络的安全测试计划，明确测试的目标、范围、方法、步骤、时间安排等，确保安全测试工作的全面性和有效性。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(2)测试过程监控:对测试过程进行监控和管理，及时发现和解决测试中出现的问题，为系统的安全上线和运行提供保障。</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7C07C605">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001FF3B5">
            <w:pPr>
              <w:widowControl/>
              <w:jc w:val="center"/>
              <w:rPr>
                <w:rFonts w:hint="eastAsia" w:ascii="宋体" w:hAnsi="宋体" w:cs="宋体"/>
                <w:color w:val="auto"/>
                <w:kern w:val="0"/>
                <w:sz w:val="18"/>
                <w:szCs w:val="18"/>
                <w:highlight w:val="none"/>
              </w:rPr>
            </w:pPr>
          </w:p>
        </w:tc>
      </w:tr>
      <w:tr w14:paraId="28A621C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1A6521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306BCA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18DB82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401B8B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868212">
            <w:pPr>
              <w:widowControl/>
              <w:rPr>
                <w:rFonts w:hint="eastAsia" w:ascii="宋体" w:hAnsi="宋体" w:cs="宋体"/>
                <w:color w:val="auto"/>
                <w:kern w:val="0"/>
                <w:sz w:val="18"/>
                <w:szCs w:val="18"/>
                <w:highlight w:val="none"/>
              </w:rPr>
            </w:pPr>
          </w:p>
        </w:tc>
      </w:tr>
      <w:tr w14:paraId="2440762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F88D16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BBD843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6936DA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0FB90A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ACA280">
            <w:pPr>
              <w:widowControl/>
              <w:rPr>
                <w:rFonts w:hint="eastAsia" w:ascii="宋体" w:hAnsi="宋体" w:cs="宋体"/>
                <w:color w:val="auto"/>
                <w:kern w:val="0"/>
                <w:sz w:val="18"/>
                <w:szCs w:val="18"/>
                <w:highlight w:val="none"/>
              </w:rPr>
            </w:pPr>
          </w:p>
        </w:tc>
      </w:tr>
      <w:tr w14:paraId="10F5A12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8391D2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A3C7C5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65C552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3CA17F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C0BCF27">
            <w:pPr>
              <w:widowControl/>
              <w:rPr>
                <w:rFonts w:hint="eastAsia" w:ascii="宋体" w:hAnsi="宋体" w:cs="宋体"/>
                <w:color w:val="auto"/>
                <w:kern w:val="0"/>
                <w:sz w:val="18"/>
                <w:szCs w:val="18"/>
                <w:highlight w:val="none"/>
              </w:rPr>
            </w:pPr>
          </w:p>
        </w:tc>
      </w:tr>
      <w:tr w14:paraId="4BE3784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FD7C69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D1BCFC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323FDC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B26186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167E27D">
            <w:pPr>
              <w:widowControl/>
              <w:rPr>
                <w:rFonts w:hint="eastAsia" w:ascii="宋体" w:hAnsi="宋体" w:cs="宋体"/>
                <w:color w:val="auto"/>
                <w:kern w:val="0"/>
                <w:sz w:val="18"/>
                <w:szCs w:val="18"/>
                <w:highlight w:val="none"/>
              </w:rPr>
            </w:pPr>
          </w:p>
        </w:tc>
      </w:tr>
      <w:tr w14:paraId="4963DAD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55BB22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215565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8D026A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DCCA76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6387A38">
            <w:pPr>
              <w:widowControl/>
              <w:rPr>
                <w:rFonts w:hint="eastAsia" w:ascii="宋体" w:hAnsi="宋体" w:cs="宋体"/>
                <w:color w:val="auto"/>
                <w:kern w:val="0"/>
                <w:sz w:val="18"/>
                <w:szCs w:val="18"/>
                <w:highlight w:val="none"/>
              </w:rPr>
            </w:pPr>
          </w:p>
        </w:tc>
      </w:tr>
      <w:tr w14:paraId="17D7C0A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412758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2E2FD0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2D6C8A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3407D1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64DA7C8">
            <w:pPr>
              <w:widowControl/>
              <w:rPr>
                <w:rFonts w:hint="eastAsia" w:ascii="宋体" w:hAnsi="宋体" w:cs="宋体"/>
                <w:color w:val="auto"/>
                <w:kern w:val="0"/>
                <w:sz w:val="18"/>
                <w:szCs w:val="18"/>
                <w:highlight w:val="none"/>
              </w:rPr>
            </w:pPr>
          </w:p>
        </w:tc>
      </w:tr>
      <w:tr w14:paraId="69E7AB6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9B32B7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E5D84C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3BDA19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256465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8C022C8">
            <w:pPr>
              <w:widowControl/>
              <w:rPr>
                <w:rFonts w:hint="eastAsia" w:ascii="宋体" w:hAnsi="宋体" w:cs="宋体"/>
                <w:color w:val="auto"/>
                <w:kern w:val="0"/>
                <w:sz w:val="18"/>
                <w:szCs w:val="18"/>
                <w:highlight w:val="none"/>
              </w:rPr>
            </w:pPr>
          </w:p>
        </w:tc>
      </w:tr>
      <w:tr w14:paraId="3F1AB38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40A099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A2F738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C6DDE9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DCCCA9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57B960D">
            <w:pPr>
              <w:widowControl/>
              <w:rPr>
                <w:rFonts w:hint="eastAsia" w:ascii="宋体" w:hAnsi="宋体" w:cs="宋体"/>
                <w:color w:val="auto"/>
                <w:kern w:val="0"/>
                <w:sz w:val="18"/>
                <w:szCs w:val="18"/>
                <w:highlight w:val="none"/>
              </w:rPr>
            </w:pPr>
          </w:p>
        </w:tc>
      </w:tr>
      <w:tr w14:paraId="0A5E243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F418C4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5C43D5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C4AFD8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2BC3B3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B268BDD">
            <w:pPr>
              <w:widowControl/>
              <w:rPr>
                <w:rFonts w:hint="eastAsia" w:ascii="宋体" w:hAnsi="宋体" w:cs="宋体"/>
                <w:color w:val="auto"/>
                <w:kern w:val="0"/>
                <w:sz w:val="18"/>
                <w:szCs w:val="18"/>
                <w:highlight w:val="none"/>
              </w:rPr>
            </w:pPr>
          </w:p>
        </w:tc>
      </w:tr>
      <w:tr w14:paraId="475A043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845DCA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5B6FFF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13A9C3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79C108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98AFF2">
            <w:pPr>
              <w:widowControl/>
              <w:rPr>
                <w:rFonts w:hint="eastAsia" w:ascii="宋体" w:hAnsi="宋体" w:cs="宋体"/>
                <w:color w:val="auto"/>
                <w:kern w:val="0"/>
                <w:sz w:val="18"/>
                <w:szCs w:val="18"/>
                <w:highlight w:val="none"/>
              </w:rPr>
            </w:pPr>
          </w:p>
        </w:tc>
      </w:tr>
      <w:tr w14:paraId="250726D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ADA493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144586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7C8275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8ED26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7B83C7F">
            <w:pPr>
              <w:widowControl/>
              <w:rPr>
                <w:rFonts w:hint="eastAsia" w:ascii="宋体" w:hAnsi="宋体" w:cs="宋体"/>
                <w:color w:val="auto"/>
                <w:kern w:val="0"/>
                <w:sz w:val="18"/>
                <w:szCs w:val="18"/>
                <w:highlight w:val="none"/>
              </w:rPr>
            </w:pPr>
          </w:p>
        </w:tc>
      </w:tr>
      <w:tr w14:paraId="59A6965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441A9B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7A59A4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0ECCBA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31A6B2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477E95C">
            <w:pPr>
              <w:widowControl/>
              <w:rPr>
                <w:rFonts w:hint="eastAsia" w:ascii="宋体" w:hAnsi="宋体" w:cs="宋体"/>
                <w:color w:val="auto"/>
                <w:kern w:val="0"/>
                <w:sz w:val="18"/>
                <w:szCs w:val="18"/>
                <w:highlight w:val="none"/>
              </w:rPr>
            </w:pPr>
          </w:p>
        </w:tc>
      </w:tr>
      <w:tr w14:paraId="7E324B3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869B04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CE9AC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517968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01339A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328085">
            <w:pPr>
              <w:widowControl/>
              <w:rPr>
                <w:rFonts w:hint="eastAsia" w:ascii="宋体" w:hAnsi="宋体" w:cs="宋体"/>
                <w:color w:val="auto"/>
                <w:kern w:val="0"/>
                <w:sz w:val="18"/>
                <w:szCs w:val="18"/>
                <w:highlight w:val="none"/>
              </w:rPr>
            </w:pPr>
          </w:p>
        </w:tc>
      </w:tr>
      <w:tr w14:paraId="6466DC1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A8306D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FA428D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937A22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3A0927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54898C">
            <w:pPr>
              <w:widowControl/>
              <w:rPr>
                <w:rFonts w:hint="eastAsia" w:ascii="宋体" w:hAnsi="宋体" w:cs="宋体"/>
                <w:color w:val="auto"/>
                <w:kern w:val="0"/>
                <w:sz w:val="18"/>
                <w:szCs w:val="18"/>
                <w:highlight w:val="none"/>
              </w:rPr>
            </w:pPr>
          </w:p>
        </w:tc>
      </w:tr>
      <w:tr w14:paraId="219B2CE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3BF909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75ECBD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00D46C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CD5B89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0840AF1">
            <w:pPr>
              <w:widowControl/>
              <w:rPr>
                <w:rFonts w:hint="eastAsia" w:ascii="宋体" w:hAnsi="宋体" w:cs="宋体"/>
                <w:color w:val="auto"/>
                <w:kern w:val="0"/>
                <w:sz w:val="18"/>
                <w:szCs w:val="18"/>
                <w:highlight w:val="none"/>
              </w:rPr>
            </w:pPr>
          </w:p>
        </w:tc>
      </w:tr>
      <w:tr w14:paraId="5504396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89C00D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2633FA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BDDC54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EADEDB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48BCD4D">
            <w:pPr>
              <w:widowControl/>
              <w:rPr>
                <w:rFonts w:hint="eastAsia" w:ascii="宋体" w:hAnsi="宋体" w:cs="宋体"/>
                <w:color w:val="auto"/>
                <w:kern w:val="0"/>
                <w:sz w:val="18"/>
                <w:szCs w:val="18"/>
                <w:highlight w:val="none"/>
              </w:rPr>
            </w:pPr>
          </w:p>
        </w:tc>
      </w:tr>
      <w:tr w14:paraId="0BC310B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518DC8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94C1F3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7B075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8E5321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CB6954B">
            <w:pPr>
              <w:widowControl/>
              <w:rPr>
                <w:rFonts w:hint="eastAsia" w:ascii="宋体" w:hAnsi="宋体" w:cs="宋体"/>
                <w:color w:val="auto"/>
                <w:kern w:val="0"/>
                <w:sz w:val="18"/>
                <w:szCs w:val="18"/>
                <w:highlight w:val="none"/>
              </w:rPr>
            </w:pPr>
          </w:p>
        </w:tc>
      </w:tr>
      <w:tr w14:paraId="016C747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D7D341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972ED6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CE2B9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35DEF9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A25D558">
            <w:pPr>
              <w:widowControl/>
              <w:rPr>
                <w:rFonts w:hint="eastAsia" w:ascii="宋体" w:hAnsi="宋体" w:cs="宋体"/>
                <w:color w:val="auto"/>
                <w:kern w:val="0"/>
                <w:sz w:val="18"/>
                <w:szCs w:val="18"/>
                <w:highlight w:val="none"/>
              </w:rPr>
            </w:pPr>
          </w:p>
        </w:tc>
      </w:tr>
      <w:tr w14:paraId="32A7106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F13034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35AFB1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ED28C0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6409AB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DDAEC82">
            <w:pPr>
              <w:widowControl/>
              <w:rPr>
                <w:rFonts w:hint="eastAsia" w:ascii="宋体" w:hAnsi="宋体" w:cs="宋体"/>
                <w:color w:val="auto"/>
                <w:kern w:val="0"/>
                <w:sz w:val="18"/>
                <w:szCs w:val="18"/>
                <w:highlight w:val="none"/>
              </w:rPr>
            </w:pPr>
          </w:p>
        </w:tc>
      </w:tr>
      <w:tr w14:paraId="025ACDD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F4B208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85C6CF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3319A4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43D0D8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EC0BB37">
            <w:pPr>
              <w:widowControl/>
              <w:rPr>
                <w:rFonts w:hint="eastAsia" w:ascii="宋体" w:hAnsi="宋体" w:cs="宋体"/>
                <w:color w:val="auto"/>
                <w:kern w:val="0"/>
                <w:sz w:val="18"/>
                <w:szCs w:val="18"/>
                <w:highlight w:val="none"/>
              </w:rPr>
            </w:pPr>
          </w:p>
        </w:tc>
      </w:tr>
      <w:tr w14:paraId="31A860D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28622E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EA2FB1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D9D827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03CAC8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37EE532">
            <w:pPr>
              <w:widowControl/>
              <w:rPr>
                <w:rFonts w:hint="eastAsia" w:ascii="宋体" w:hAnsi="宋体" w:cs="宋体"/>
                <w:color w:val="auto"/>
                <w:kern w:val="0"/>
                <w:sz w:val="18"/>
                <w:szCs w:val="18"/>
                <w:highlight w:val="none"/>
              </w:rPr>
            </w:pPr>
          </w:p>
        </w:tc>
      </w:tr>
      <w:tr w14:paraId="17554FA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118687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3C268E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CA1265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F3F8FC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CCDFFF3">
            <w:pPr>
              <w:widowControl/>
              <w:rPr>
                <w:rFonts w:hint="eastAsia" w:ascii="宋体" w:hAnsi="宋体" w:cs="宋体"/>
                <w:color w:val="auto"/>
                <w:kern w:val="0"/>
                <w:sz w:val="18"/>
                <w:szCs w:val="18"/>
                <w:highlight w:val="none"/>
              </w:rPr>
            </w:pPr>
          </w:p>
        </w:tc>
      </w:tr>
      <w:tr w14:paraId="2445677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BF0877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D3111B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B1B6AB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55D3E6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23E5223">
            <w:pPr>
              <w:widowControl/>
              <w:rPr>
                <w:rFonts w:hint="eastAsia" w:ascii="宋体" w:hAnsi="宋体" w:cs="宋体"/>
                <w:color w:val="auto"/>
                <w:kern w:val="0"/>
                <w:sz w:val="18"/>
                <w:szCs w:val="18"/>
                <w:highlight w:val="none"/>
              </w:rPr>
            </w:pPr>
          </w:p>
        </w:tc>
      </w:tr>
      <w:tr w14:paraId="5071381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6EC7D0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81E916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B1FEFB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1DA5C5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7B5C695">
            <w:pPr>
              <w:widowControl/>
              <w:rPr>
                <w:rFonts w:hint="eastAsia" w:ascii="宋体" w:hAnsi="宋体" w:cs="宋体"/>
                <w:color w:val="auto"/>
                <w:kern w:val="0"/>
                <w:sz w:val="18"/>
                <w:szCs w:val="18"/>
                <w:highlight w:val="none"/>
              </w:rPr>
            </w:pPr>
          </w:p>
        </w:tc>
      </w:tr>
      <w:tr w14:paraId="62AD0DA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E68F5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7583A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C47B7C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B1F05C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ABE11F6">
            <w:pPr>
              <w:widowControl/>
              <w:rPr>
                <w:rFonts w:hint="eastAsia" w:ascii="宋体" w:hAnsi="宋体" w:cs="宋体"/>
                <w:color w:val="auto"/>
                <w:kern w:val="0"/>
                <w:sz w:val="18"/>
                <w:szCs w:val="18"/>
                <w:highlight w:val="none"/>
              </w:rPr>
            </w:pPr>
          </w:p>
        </w:tc>
      </w:tr>
      <w:tr w14:paraId="3543860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3761D0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86B844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3FC92B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C549E7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F12DE43">
            <w:pPr>
              <w:widowControl/>
              <w:rPr>
                <w:rFonts w:hint="eastAsia" w:ascii="宋体" w:hAnsi="宋体" w:cs="宋体"/>
                <w:color w:val="auto"/>
                <w:kern w:val="0"/>
                <w:sz w:val="18"/>
                <w:szCs w:val="18"/>
                <w:highlight w:val="none"/>
              </w:rPr>
            </w:pPr>
          </w:p>
        </w:tc>
      </w:tr>
      <w:tr w14:paraId="49731BD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395D80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E96C44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074B22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6B41AF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5739ECA">
            <w:pPr>
              <w:widowControl/>
              <w:rPr>
                <w:rFonts w:hint="eastAsia" w:ascii="宋体" w:hAnsi="宋体" w:cs="宋体"/>
                <w:color w:val="auto"/>
                <w:kern w:val="0"/>
                <w:sz w:val="18"/>
                <w:szCs w:val="18"/>
                <w:highlight w:val="none"/>
              </w:rPr>
            </w:pPr>
          </w:p>
        </w:tc>
      </w:tr>
      <w:tr w14:paraId="6BAB4C4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7813AE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271A01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5F46E8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BC0B9A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FD4B203">
            <w:pPr>
              <w:widowControl/>
              <w:rPr>
                <w:rFonts w:hint="eastAsia" w:ascii="宋体" w:hAnsi="宋体" w:cs="宋体"/>
                <w:color w:val="auto"/>
                <w:kern w:val="0"/>
                <w:sz w:val="18"/>
                <w:szCs w:val="18"/>
                <w:highlight w:val="none"/>
              </w:rPr>
            </w:pPr>
          </w:p>
        </w:tc>
      </w:tr>
      <w:tr w14:paraId="2C9F045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8F4B4C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1C1B3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20A999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405C1F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9806299">
            <w:pPr>
              <w:widowControl/>
              <w:rPr>
                <w:rFonts w:hint="eastAsia" w:ascii="宋体" w:hAnsi="宋体" w:cs="宋体"/>
                <w:color w:val="auto"/>
                <w:kern w:val="0"/>
                <w:sz w:val="18"/>
                <w:szCs w:val="18"/>
                <w:highlight w:val="none"/>
              </w:rPr>
            </w:pPr>
          </w:p>
        </w:tc>
      </w:tr>
      <w:tr w14:paraId="7867938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BBD38D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BFB188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C49419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7EAC22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BC52A2">
            <w:pPr>
              <w:widowControl/>
              <w:rPr>
                <w:rFonts w:hint="eastAsia" w:ascii="宋体" w:hAnsi="宋体" w:cs="宋体"/>
                <w:color w:val="auto"/>
                <w:kern w:val="0"/>
                <w:sz w:val="18"/>
                <w:szCs w:val="18"/>
                <w:highlight w:val="none"/>
              </w:rPr>
            </w:pPr>
          </w:p>
        </w:tc>
      </w:tr>
      <w:tr w14:paraId="5DE5432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9E9ACB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7B3F1F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FE01E6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0815F4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D473472">
            <w:pPr>
              <w:widowControl/>
              <w:rPr>
                <w:rFonts w:hint="eastAsia" w:ascii="宋体" w:hAnsi="宋体" w:cs="宋体"/>
                <w:color w:val="auto"/>
                <w:kern w:val="0"/>
                <w:sz w:val="18"/>
                <w:szCs w:val="18"/>
                <w:highlight w:val="none"/>
              </w:rPr>
            </w:pPr>
          </w:p>
        </w:tc>
      </w:tr>
      <w:tr w14:paraId="2D02C2D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180F67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EB2107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2FD29A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8A614B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0513CDF">
            <w:pPr>
              <w:widowControl/>
              <w:rPr>
                <w:rFonts w:hint="eastAsia" w:ascii="宋体" w:hAnsi="宋体" w:cs="宋体"/>
                <w:color w:val="auto"/>
                <w:kern w:val="0"/>
                <w:sz w:val="18"/>
                <w:szCs w:val="18"/>
                <w:highlight w:val="none"/>
              </w:rPr>
            </w:pPr>
          </w:p>
        </w:tc>
      </w:tr>
      <w:tr w14:paraId="0D77119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28808B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16BA58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D04AEE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45CE6A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6062945">
            <w:pPr>
              <w:widowControl/>
              <w:rPr>
                <w:rFonts w:hint="eastAsia" w:ascii="宋体" w:hAnsi="宋体" w:cs="宋体"/>
                <w:color w:val="auto"/>
                <w:kern w:val="0"/>
                <w:sz w:val="18"/>
                <w:szCs w:val="18"/>
                <w:highlight w:val="none"/>
              </w:rPr>
            </w:pPr>
          </w:p>
        </w:tc>
      </w:tr>
      <w:tr w14:paraId="2EB88B8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57BDC6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C37413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67CD4C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347CDF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60FF095">
            <w:pPr>
              <w:widowControl/>
              <w:rPr>
                <w:rFonts w:hint="eastAsia" w:ascii="宋体" w:hAnsi="宋体" w:cs="宋体"/>
                <w:color w:val="auto"/>
                <w:kern w:val="0"/>
                <w:sz w:val="18"/>
                <w:szCs w:val="18"/>
                <w:highlight w:val="none"/>
              </w:rPr>
            </w:pPr>
          </w:p>
        </w:tc>
      </w:tr>
      <w:tr w14:paraId="143609E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090E8E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8FEA02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133B57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4DD406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088C289">
            <w:pPr>
              <w:widowControl/>
              <w:rPr>
                <w:rFonts w:hint="eastAsia" w:ascii="宋体" w:hAnsi="宋体" w:cs="宋体"/>
                <w:color w:val="auto"/>
                <w:kern w:val="0"/>
                <w:sz w:val="18"/>
                <w:szCs w:val="18"/>
                <w:highlight w:val="none"/>
              </w:rPr>
            </w:pPr>
          </w:p>
        </w:tc>
      </w:tr>
      <w:tr w14:paraId="69D8C1E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6E611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70F613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64D852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2C8DBF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C8C0105">
            <w:pPr>
              <w:widowControl/>
              <w:rPr>
                <w:rFonts w:hint="eastAsia" w:ascii="宋体" w:hAnsi="宋体" w:cs="宋体"/>
                <w:color w:val="auto"/>
                <w:kern w:val="0"/>
                <w:sz w:val="18"/>
                <w:szCs w:val="18"/>
                <w:highlight w:val="none"/>
              </w:rPr>
            </w:pPr>
          </w:p>
        </w:tc>
      </w:tr>
      <w:tr w14:paraId="6097212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C2E4B4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935489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5A5E97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98BA5F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4183627">
            <w:pPr>
              <w:widowControl/>
              <w:rPr>
                <w:rFonts w:hint="eastAsia" w:ascii="宋体" w:hAnsi="宋体" w:cs="宋体"/>
                <w:color w:val="auto"/>
                <w:kern w:val="0"/>
                <w:sz w:val="18"/>
                <w:szCs w:val="18"/>
                <w:highlight w:val="none"/>
              </w:rPr>
            </w:pPr>
          </w:p>
        </w:tc>
      </w:tr>
      <w:tr w14:paraId="6F81A85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16B9B9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CC2495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4028B2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BA5DC9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EB6F325">
            <w:pPr>
              <w:widowControl/>
              <w:rPr>
                <w:rFonts w:hint="eastAsia" w:ascii="宋体" w:hAnsi="宋体" w:cs="宋体"/>
                <w:color w:val="auto"/>
                <w:kern w:val="0"/>
                <w:sz w:val="18"/>
                <w:szCs w:val="18"/>
                <w:highlight w:val="none"/>
              </w:rPr>
            </w:pPr>
          </w:p>
        </w:tc>
      </w:tr>
      <w:tr w14:paraId="4B81364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816F4E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F139C2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4BAC8F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CF2505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D18F7B0">
            <w:pPr>
              <w:widowControl/>
              <w:rPr>
                <w:rFonts w:hint="eastAsia" w:ascii="宋体" w:hAnsi="宋体" w:cs="宋体"/>
                <w:color w:val="auto"/>
                <w:kern w:val="0"/>
                <w:sz w:val="18"/>
                <w:szCs w:val="18"/>
                <w:highlight w:val="none"/>
              </w:rPr>
            </w:pPr>
          </w:p>
        </w:tc>
      </w:tr>
      <w:tr w14:paraId="26C5687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AA4D6E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E70ED3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1452A6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53C699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4A74BDC">
            <w:pPr>
              <w:widowControl/>
              <w:rPr>
                <w:rFonts w:hint="eastAsia" w:ascii="宋体" w:hAnsi="宋体" w:cs="宋体"/>
                <w:color w:val="auto"/>
                <w:kern w:val="0"/>
                <w:sz w:val="18"/>
                <w:szCs w:val="18"/>
                <w:highlight w:val="none"/>
              </w:rPr>
            </w:pPr>
          </w:p>
        </w:tc>
      </w:tr>
      <w:tr w14:paraId="4DCBEA3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71EC70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310729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19204D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D27C4F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5A8FB2">
            <w:pPr>
              <w:widowControl/>
              <w:rPr>
                <w:rFonts w:hint="eastAsia" w:ascii="宋体" w:hAnsi="宋体" w:cs="宋体"/>
                <w:color w:val="auto"/>
                <w:kern w:val="0"/>
                <w:sz w:val="18"/>
                <w:szCs w:val="18"/>
                <w:highlight w:val="none"/>
              </w:rPr>
            </w:pPr>
          </w:p>
        </w:tc>
      </w:tr>
      <w:tr w14:paraId="513E6E4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D5A4AE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D6BC24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7B7924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8C2329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A1CA2C">
            <w:pPr>
              <w:widowControl/>
              <w:rPr>
                <w:rFonts w:hint="eastAsia" w:ascii="宋体" w:hAnsi="宋体" w:cs="宋体"/>
                <w:color w:val="auto"/>
                <w:kern w:val="0"/>
                <w:sz w:val="18"/>
                <w:szCs w:val="18"/>
                <w:highlight w:val="none"/>
              </w:rPr>
            </w:pPr>
          </w:p>
        </w:tc>
      </w:tr>
      <w:tr w14:paraId="4718870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9CE920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F9BC2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AEB3AE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BC65ED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4DFBC44">
            <w:pPr>
              <w:widowControl/>
              <w:rPr>
                <w:rFonts w:hint="eastAsia" w:ascii="宋体" w:hAnsi="宋体" w:cs="宋体"/>
                <w:color w:val="auto"/>
                <w:kern w:val="0"/>
                <w:sz w:val="18"/>
                <w:szCs w:val="18"/>
                <w:highlight w:val="none"/>
              </w:rPr>
            </w:pPr>
          </w:p>
        </w:tc>
      </w:tr>
      <w:tr w14:paraId="18F7C4D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270509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E9122E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3EA34E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3F8A13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B7488F8">
            <w:pPr>
              <w:widowControl/>
              <w:rPr>
                <w:rFonts w:hint="eastAsia" w:ascii="宋体" w:hAnsi="宋体" w:cs="宋体"/>
                <w:color w:val="auto"/>
                <w:kern w:val="0"/>
                <w:sz w:val="18"/>
                <w:szCs w:val="18"/>
                <w:highlight w:val="none"/>
              </w:rPr>
            </w:pPr>
          </w:p>
        </w:tc>
      </w:tr>
      <w:tr w14:paraId="56AF8F1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36608C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931FA2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25D168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C7B95A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A397926">
            <w:pPr>
              <w:widowControl/>
              <w:rPr>
                <w:rFonts w:hint="eastAsia" w:ascii="宋体" w:hAnsi="宋体" w:cs="宋体"/>
                <w:color w:val="auto"/>
                <w:kern w:val="0"/>
                <w:sz w:val="18"/>
                <w:szCs w:val="18"/>
                <w:highlight w:val="none"/>
              </w:rPr>
            </w:pPr>
          </w:p>
        </w:tc>
      </w:tr>
      <w:tr w14:paraId="2759D61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0D48E9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3B856D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54535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AFBFBF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D509B71">
            <w:pPr>
              <w:widowControl/>
              <w:rPr>
                <w:rFonts w:hint="eastAsia" w:ascii="宋体" w:hAnsi="宋体" w:cs="宋体"/>
                <w:color w:val="auto"/>
                <w:kern w:val="0"/>
                <w:sz w:val="18"/>
                <w:szCs w:val="18"/>
                <w:highlight w:val="none"/>
              </w:rPr>
            </w:pPr>
          </w:p>
        </w:tc>
      </w:tr>
      <w:tr w14:paraId="05A88C8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F7BA31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ECC83B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D4D300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DB12E1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365D4FE">
            <w:pPr>
              <w:widowControl/>
              <w:rPr>
                <w:rFonts w:hint="eastAsia" w:ascii="宋体" w:hAnsi="宋体" w:cs="宋体"/>
                <w:color w:val="auto"/>
                <w:kern w:val="0"/>
                <w:sz w:val="18"/>
                <w:szCs w:val="18"/>
                <w:highlight w:val="none"/>
              </w:rPr>
            </w:pPr>
          </w:p>
        </w:tc>
      </w:tr>
      <w:tr w14:paraId="643E828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D1456F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A201BB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7A7F00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7B3492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A14F694">
            <w:pPr>
              <w:widowControl/>
              <w:rPr>
                <w:rFonts w:hint="eastAsia" w:ascii="宋体" w:hAnsi="宋体" w:cs="宋体"/>
                <w:color w:val="auto"/>
                <w:kern w:val="0"/>
                <w:sz w:val="18"/>
                <w:szCs w:val="18"/>
                <w:highlight w:val="none"/>
              </w:rPr>
            </w:pPr>
          </w:p>
        </w:tc>
      </w:tr>
      <w:tr w14:paraId="73A1481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02D3A2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4D74BD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F50870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081897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AB5360C">
            <w:pPr>
              <w:widowControl/>
              <w:rPr>
                <w:rFonts w:hint="eastAsia" w:ascii="宋体" w:hAnsi="宋体" w:cs="宋体"/>
                <w:color w:val="auto"/>
                <w:kern w:val="0"/>
                <w:sz w:val="18"/>
                <w:szCs w:val="18"/>
                <w:highlight w:val="none"/>
              </w:rPr>
            </w:pPr>
          </w:p>
        </w:tc>
      </w:tr>
      <w:tr w14:paraId="59A855A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2BB28F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A78E7F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F323AC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FD816D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B1C1616">
            <w:pPr>
              <w:widowControl/>
              <w:rPr>
                <w:rFonts w:hint="eastAsia" w:ascii="宋体" w:hAnsi="宋体" w:cs="宋体"/>
                <w:color w:val="auto"/>
                <w:kern w:val="0"/>
                <w:sz w:val="18"/>
                <w:szCs w:val="18"/>
                <w:highlight w:val="none"/>
              </w:rPr>
            </w:pPr>
          </w:p>
        </w:tc>
      </w:tr>
      <w:tr w14:paraId="2F4A244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43295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2B900C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BC7CF9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F19FB7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2E8AA42">
            <w:pPr>
              <w:widowControl/>
              <w:rPr>
                <w:rFonts w:hint="eastAsia" w:ascii="宋体" w:hAnsi="宋体" w:cs="宋体"/>
                <w:color w:val="auto"/>
                <w:kern w:val="0"/>
                <w:sz w:val="18"/>
                <w:szCs w:val="18"/>
                <w:highlight w:val="none"/>
              </w:rPr>
            </w:pPr>
          </w:p>
        </w:tc>
      </w:tr>
      <w:tr w14:paraId="42F90D5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0654C1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7365B5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C00850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D6B7A3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6B9CADC">
            <w:pPr>
              <w:widowControl/>
              <w:rPr>
                <w:rFonts w:hint="eastAsia" w:ascii="宋体" w:hAnsi="宋体" w:cs="宋体"/>
                <w:color w:val="auto"/>
                <w:kern w:val="0"/>
                <w:sz w:val="18"/>
                <w:szCs w:val="18"/>
                <w:highlight w:val="none"/>
              </w:rPr>
            </w:pPr>
          </w:p>
        </w:tc>
      </w:tr>
      <w:tr w14:paraId="0954E2B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637443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E6E857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7B3733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AE08C3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442166">
            <w:pPr>
              <w:widowControl/>
              <w:rPr>
                <w:rFonts w:hint="eastAsia" w:ascii="宋体" w:hAnsi="宋体" w:cs="宋体"/>
                <w:color w:val="auto"/>
                <w:kern w:val="0"/>
                <w:sz w:val="18"/>
                <w:szCs w:val="18"/>
                <w:highlight w:val="none"/>
              </w:rPr>
            </w:pPr>
          </w:p>
        </w:tc>
      </w:tr>
      <w:tr w14:paraId="5A02FD6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395AE2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9B7851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BF290B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B482DD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C79CE0">
            <w:pPr>
              <w:widowControl/>
              <w:rPr>
                <w:rFonts w:hint="eastAsia" w:ascii="宋体" w:hAnsi="宋体" w:cs="宋体"/>
                <w:color w:val="auto"/>
                <w:kern w:val="0"/>
                <w:sz w:val="18"/>
                <w:szCs w:val="18"/>
                <w:highlight w:val="none"/>
              </w:rPr>
            </w:pPr>
          </w:p>
        </w:tc>
      </w:tr>
      <w:tr w14:paraId="03060E0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A4E6BD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F46FEC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E07F2C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3FB929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A6D46B">
            <w:pPr>
              <w:widowControl/>
              <w:rPr>
                <w:rFonts w:hint="eastAsia" w:ascii="宋体" w:hAnsi="宋体" w:cs="宋体"/>
                <w:color w:val="auto"/>
                <w:kern w:val="0"/>
                <w:sz w:val="18"/>
                <w:szCs w:val="18"/>
                <w:highlight w:val="none"/>
              </w:rPr>
            </w:pPr>
          </w:p>
        </w:tc>
      </w:tr>
      <w:tr w14:paraId="3D4D782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0E14E7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783D7D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213D7E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A80272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145FE81">
            <w:pPr>
              <w:widowControl/>
              <w:rPr>
                <w:rFonts w:hint="eastAsia" w:ascii="宋体" w:hAnsi="宋体" w:cs="宋体"/>
                <w:color w:val="auto"/>
                <w:kern w:val="0"/>
                <w:sz w:val="18"/>
                <w:szCs w:val="18"/>
                <w:highlight w:val="none"/>
              </w:rPr>
            </w:pPr>
          </w:p>
        </w:tc>
      </w:tr>
      <w:tr w14:paraId="49E89C0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F0B3AD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3A1ED0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0BED5D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49C01E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1D19779">
            <w:pPr>
              <w:widowControl/>
              <w:rPr>
                <w:rFonts w:hint="eastAsia" w:ascii="宋体" w:hAnsi="宋体" w:cs="宋体"/>
                <w:color w:val="auto"/>
                <w:kern w:val="0"/>
                <w:sz w:val="18"/>
                <w:szCs w:val="18"/>
                <w:highlight w:val="none"/>
              </w:rPr>
            </w:pPr>
          </w:p>
        </w:tc>
      </w:tr>
      <w:tr w14:paraId="40115B6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6CBD5D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79B3BD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1AAEA9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D46BF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93E02E">
            <w:pPr>
              <w:widowControl/>
              <w:rPr>
                <w:rFonts w:hint="eastAsia" w:ascii="宋体" w:hAnsi="宋体" w:cs="宋体"/>
                <w:color w:val="auto"/>
                <w:kern w:val="0"/>
                <w:sz w:val="18"/>
                <w:szCs w:val="18"/>
                <w:highlight w:val="none"/>
              </w:rPr>
            </w:pPr>
          </w:p>
        </w:tc>
      </w:tr>
      <w:tr w14:paraId="5E82220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F6CE4F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E33922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55F544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BA46B2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5C0C2AF">
            <w:pPr>
              <w:widowControl/>
              <w:rPr>
                <w:rFonts w:hint="eastAsia" w:ascii="宋体" w:hAnsi="宋体" w:cs="宋体"/>
                <w:color w:val="auto"/>
                <w:kern w:val="0"/>
                <w:sz w:val="18"/>
                <w:szCs w:val="18"/>
                <w:highlight w:val="none"/>
              </w:rPr>
            </w:pPr>
          </w:p>
        </w:tc>
      </w:tr>
      <w:tr w14:paraId="567B826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5BBF0D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5B8C1D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340828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1A6B48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6989000">
            <w:pPr>
              <w:widowControl/>
              <w:rPr>
                <w:rFonts w:hint="eastAsia" w:ascii="宋体" w:hAnsi="宋体" w:cs="宋体"/>
                <w:color w:val="auto"/>
                <w:kern w:val="0"/>
                <w:sz w:val="18"/>
                <w:szCs w:val="18"/>
                <w:highlight w:val="none"/>
              </w:rPr>
            </w:pPr>
          </w:p>
        </w:tc>
      </w:tr>
      <w:tr w14:paraId="2E93EE6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DA0784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0102F3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366E9D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28FADB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D08ACA6">
            <w:pPr>
              <w:widowControl/>
              <w:rPr>
                <w:rFonts w:hint="eastAsia" w:ascii="宋体" w:hAnsi="宋体" w:cs="宋体"/>
                <w:color w:val="auto"/>
                <w:kern w:val="0"/>
                <w:sz w:val="18"/>
                <w:szCs w:val="18"/>
                <w:highlight w:val="none"/>
              </w:rPr>
            </w:pPr>
          </w:p>
        </w:tc>
      </w:tr>
      <w:tr w14:paraId="03096DA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312883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D0AA32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3244B4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07742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190BF61">
            <w:pPr>
              <w:widowControl/>
              <w:rPr>
                <w:rFonts w:hint="eastAsia" w:ascii="宋体" w:hAnsi="宋体" w:cs="宋体"/>
                <w:color w:val="auto"/>
                <w:kern w:val="0"/>
                <w:sz w:val="18"/>
                <w:szCs w:val="18"/>
                <w:highlight w:val="none"/>
              </w:rPr>
            </w:pPr>
          </w:p>
        </w:tc>
      </w:tr>
      <w:tr w14:paraId="51F6C1B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D1D343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8BD7FD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6B8AC3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03A305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8473C9E">
            <w:pPr>
              <w:widowControl/>
              <w:rPr>
                <w:rFonts w:hint="eastAsia" w:ascii="宋体" w:hAnsi="宋体" w:cs="宋体"/>
                <w:color w:val="auto"/>
                <w:kern w:val="0"/>
                <w:sz w:val="18"/>
                <w:szCs w:val="18"/>
                <w:highlight w:val="none"/>
              </w:rPr>
            </w:pPr>
          </w:p>
        </w:tc>
      </w:tr>
      <w:tr w14:paraId="44FB644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CFCFC7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300EA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AE591B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42E9F2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3F53150">
            <w:pPr>
              <w:widowControl/>
              <w:rPr>
                <w:rFonts w:hint="eastAsia" w:ascii="宋体" w:hAnsi="宋体" w:cs="宋体"/>
                <w:color w:val="auto"/>
                <w:kern w:val="0"/>
                <w:sz w:val="18"/>
                <w:szCs w:val="18"/>
                <w:highlight w:val="none"/>
              </w:rPr>
            </w:pPr>
          </w:p>
        </w:tc>
      </w:tr>
      <w:tr w14:paraId="615826A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6EFA68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8A0E05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E9FFB2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668F1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E57A1BA">
            <w:pPr>
              <w:widowControl/>
              <w:rPr>
                <w:rFonts w:hint="eastAsia" w:ascii="宋体" w:hAnsi="宋体" w:cs="宋体"/>
                <w:color w:val="auto"/>
                <w:kern w:val="0"/>
                <w:sz w:val="18"/>
                <w:szCs w:val="18"/>
                <w:highlight w:val="none"/>
              </w:rPr>
            </w:pPr>
          </w:p>
        </w:tc>
      </w:tr>
      <w:tr w14:paraId="11934F2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5B056B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B03880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A5E985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2C4AF7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D62A946">
            <w:pPr>
              <w:widowControl/>
              <w:rPr>
                <w:rFonts w:hint="eastAsia" w:ascii="宋体" w:hAnsi="宋体" w:cs="宋体"/>
                <w:color w:val="auto"/>
                <w:kern w:val="0"/>
                <w:sz w:val="18"/>
                <w:szCs w:val="18"/>
                <w:highlight w:val="none"/>
              </w:rPr>
            </w:pPr>
          </w:p>
        </w:tc>
      </w:tr>
      <w:tr w14:paraId="20D00FC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9947AB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F8884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79FAE4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020DD9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63E8DC4">
            <w:pPr>
              <w:widowControl/>
              <w:rPr>
                <w:rFonts w:hint="eastAsia" w:ascii="宋体" w:hAnsi="宋体" w:cs="宋体"/>
                <w:color w:val="auto"/>
                <w:kern w:val="0"/>
                <w:sz w:val="18"/>
                <w:szCs w:val="18"/>
                <w:highlight w:val="none"/>
              </w:rPr>
            </w:pPr>
          </w:p>
        </w:tc>
      </w:tr>
      <w:tr w14:paraId="543014D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4515B3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D49D1D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CDE681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11B72D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D434FC1">
            <w:pPr>
              <w:widowControl/>
              <w:rPr>
                <w:rFonts w:hint="eastAsia" w:ascii="宋体" w:hAnsi="宋体" w:cs="宋体"/>
                <w:color w:val="auto"/>
                <w:kern w:val="0"/>
                <w:sz w:val="18"/>
                <w:szCs w:val="18"/>
                <w:highlight w:val="none"/>
              </w:rPr>
            </w:pPr>
          </w:p>
        </w:tc>
      </w:tr>
      <w:tr w14:paraId="2EC7634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CB0BF5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0D46E4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0F11A2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BE2E9F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06F8F69">
            <w:pPr>
              <w:widowControl/>
              <w:rPr>
                <w:rFonts w:hint="eastAsia" w:ascii="宋体" w:hAnsi="宋体" w:cs="宋体"/>
                <w:color w:val="auto"/>
                <w:kern w:val="0"/>
                <w:sz w:val="18"/>
                <w:szCs w:val="18"/>
                <w:highlight w:val="none"/>
              </w:rPr>
            </w:pPr>
          </w:p>
        </w:tc>
      </w:tr>
      <w:tr w14:paraId="7C942D4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9DBAA7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DBBB55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AB25D2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A2BC71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5830AA4">
            <w:pPr>
              <w:widowControl/>
              <w:rPr>
                <w:rFonts w:hint="eastAsia" w:ascii="宋体" w:hAnsi="宋体" w:cs="宋体"/>
                <w:color w:val="auto"/>
                <w:kern w:val="0"/>
                <w:sz w:val="18"/>
                <w:szCs w:val="18"/>
                <w:highlight w:val="none"/>
              </w:rPr>
            </w:pPr>
          </w:p>
        </w:tc>
      </w:tr>
      <w:tr w14:paraId="7FBC45B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FCD138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6FB535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D2BF3A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C5C1E6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BB9B8B0">
            <w:pPr>
              <w:widowControl/>
              <w:rPr>
                <w:rFonts w:hint="eastAsia" w:ascii="宋体" w:hAnsi="宋体" w:cs="宋体"/>
                <w:color w:val="auto"/>
                <w:kern w:val="0"/>
                <w:sz w:val="18"/>
                <w:szCs w:val="18"/>
                <w:highlight w:val="none"/>
              </w:rPr>
            </w:pPr>
          </w:p>
        </w:tc>
      </w:tr>
      <w:tr w14:paraId="2133502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BFB8F8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01C656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F6E980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4E8B4D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925F09E">
            <w:pPr>
              <w:widowControl/>
              <w:rPr>
                <w:rFonts w:hint="eastAsia" w:ascii="宋体" w:hAnsi="宋体" w:cs="宋体"/>
                <w:color w:val="auto"/>
                <w:kern w:val="0"/>
                <w:sz w:val="18"/>
                <w:szCs w:val="18"/>
                <w:highlight w:val="none"/>
              </w:rPr>
            </w:pPr>
          </w:p>
        </w:tc>
      </w:tr>
      <w:tr w14:paraId="54CF817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1622E8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E0B962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5ED4AB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02CAAC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25601E0">
            <w:pPr>
              <w:widowControl/>
              <w:rPr>
                <w:rFonts w:hint="eastAsia" w:ascii="宋体" w:hAnsi="宋体" w:cs="宋体"/>
                <w:color w:val="auto"/>
                <w:kern w:val="0"/>
                <w:sz w:val="18"/>
                <w:szCs w:val="18"/>
                <w:highlight w:val="none"/>
              </w:rPr>
            </w:pPr>
          </w:p>
        </w:tc>
      </w:tr>
      <w:tr w14:paraId="0AE4CA6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F9928F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296755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DE3C03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83E38E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00205BC">
            <w:pPr>
              <w:widowControl/>
              <w:rPr>
                <w:rFonts w:hint="eastAsia" w:ascii="宋体" w:hAnsi="宋体" w:cs="宋体"/>
                <w:color w:val="auto"/>
                <w:kern w:val="0"/>
                <w:sz w:val="18"/>
                <w:szCs w:val="18"/>
                <w:highlight w:val="none"/>
              </w:rPr>
            </w:pPr>
          </w:p>
        </w:tc>
      </w:tr>
      <w:tr w14:paraId="79FAB6C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358CE1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8D4F83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BF7340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26700D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EB61103">
            <w:pPr>
              <w:widowControl/>
              <w:rPr>
                <w:rFonts w:hint="eastAsia" w:ascii="宋体" w:hAnsi="宋体" w:cs="宋体"/>
                <w:color w:val="auto"/>
                <w:kern w:val="0"/>
                <w:sz w:val="18"/>
                <w:szCs w:val="18"/>
                <w:highlight w:val="none"/>
              </w:rPr>
            </w:pPr>
          </w:p>
        </w:tc>
      </w:tr>
      <w:tr w14:paraId="1476BB4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B34EFC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7BAFFA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F37CDE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928E6E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BA20CCD">
            <w:pPr>
              <w:widowControl/>
              <w:rPr>
                <w:rFonts w:hint="eastAsia" w:ascii="宋体" w:hAnsi="宋体" w:cs="宋体"/>
                <w:color w:val="auto"/>
                <w:kern w:val="0"/>
                <w:sz w:val="18"/>
                <w:szCs w:val="18"/>
                <w:highlight w:val="none"/>
              </w:rPr>
            </w:pPr>
          </w:p>
        </w:tc>
      </w:tr>
      <w:tr w14:paraId="5C8EB8D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F5944C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E5A7A8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032C0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ECCDA0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CF4B1FB">
            <w:pPr>
              <w:widowControl/>
              <w:rPr>
                <w:rFonts w:hint="eastAsia" w:ascii="宋体" w:hAnsi="宋体" w:cs="宋体"/>
                <w:color w:val="auto"/>
                <w:kern w:val="0"/>
                <w:sz w:val="18"/>
                <w:szCs w:val="18"/>
                <w:highlight w:val="none"/>
              </w:rPr>
            </w:pPr>
          </w:p>
        </w:tc>
      </w:tr>
      <w:tr w14:paraId="36E204B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1141AC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1B00E6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D20497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EA5DAB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7D95614">
            <w:pPr>
              <w:widowControl/>
              <w:rPr>
                <w:rFonts w:hint="eastAsia" w:ascii="宋体" w:hAnsi="宋体" w:cs="宋体"/>
                <w:color w:val="auto"/>
                <w:kern w:val="0"/>
                <w:sz w:val="18"/>
                <w:szCs w:val="18"/>
                <w:highlight w:val="none"/>
              </w:rPr>
            </w:pPr>
          </w:p>
        </w:tc>
      </w:tr>
      <w:tr w14:paraId="02C6851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578991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F1D3A6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53937F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72C5E2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0915A9E">
            <w:pPr>
              <w:widowControl/>
              <w:rPr>
                <w:rFonts w:hint="eastAsia" w:ascii="宋体" w:hAnsi="宋体" w:cs="宋体"/>
                <w:color w:val="auto"/>
                <w:kern w:val="0"/>
                <w:sz w:val="18"/>
                <w:szCs w:val="18"/>
                <w:highlight w:val="none"/>
              </w:rPr>
            </w:pPr>
          </w:p>
        </w:tc>
      </w:tr>
      <w:tr w14:paraId="762CE9A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7168CF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82B476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E3ACB4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F0AD78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BBC6B8E">
            <w:pPr>
              <w:widowControl/>
              <w:rPr>
                <w:rFonts w:hint="eastAsia" w:ascii="宋体" w:hAnsi="宋体" w:cs="宋体"/>
                <w:color w:val="auto"/>
                <w:kern w:val="0"/>
                <w:sz w:val="18"/>
                <w:szCs w:val="18"/>
                <w:highlight w:val="none"/>
              </w:rPr>
            </w:pPr>
          </w:p>
        </w:tc>
      </w:tr>
      <w:tr w14:paraId="5D64F0C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CB9E6B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E0C325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FCF82B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41F41A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57FA86C">
            <w:pPr>
              <w:widowControl/>
              <w:rPr>
                <w:rFonts w:hint="eastAsia" w:ascii="宋体" w:hAnsi="宋体" w:cs="宋体"/>
                <w:color w:val="auto"/>
                <w:kern w:val="0"/>
                <w:sz w:val="18"/>
                <w:szCs w:val="18"/>
                <w:highlight w:val="none"/>
              </w:rPr>
            </w:pPr>
          </w:p>
        </w:tc>
      </w:tr>
      <w:tr w14:paraId="1C7239E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B0940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D40DD3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B267E2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51B31A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6FA6EF">
            <w:pPr>
              <w:widowControl/>
              <w:rPr>
                <w:rFonts w:hint="eastAsia" w:ascii="宋体" w:hAnsi="宋体" w:cs="宋体"/>
                <w:color w:val="auto"/>
                <w:kern w:val="0"/>
                <w:sz w:val="18"/>
                <w:szCs w:val="18"/>
                <w:highlight w:val="none"/>
              </w:rPr>
            </w:pPr>
          </w:p>
        </w:tc>
      </w:tr>
      <w:tr w14:paraId="4C83BDA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3D44FD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24D7AC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1CEFB0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338ACF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AEF7880">
            <w:pPr>
              <w:widowControl/>
              <w:rPr>
                <w:rFonts w:hint="eastAsia" w:ascii="宋体" w:hAnsi="宋体" w:cs="宋体"/>
                <w:color w:val="auto"/>
                <w:kern w:val="0"/>
                <w:sz w:val="18"/>
                <w:szCs w:val="18"/>
                <w:highlight w:val="none"/>
              </w:rPr>
            </w:pPr>
          </w:p>
        </w:tc>
      </w:tr>
      <w:tr w14:paraId="6EA7BB5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32A768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30344E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CA4425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7E879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F6F354A">
            <w:pPr>
              <w:widowControl/>
              <w:rPr>
                <w:rFonts w:hint="eastAsia" w:ascii="宋体" w:hAnsi="宋体" w:cs="宋体"/>
                <w:color w:val="auto"/>
                <w:kern w:val="0"/>
                <w:sz w:val="18"/>
                <w:szCs w:val="18"/>
                <w:highlight w:val="none"/>
              </w:rPr>
            </w:pPr>
          </w:p>
        </w:tc>
      </w:tr>
      <w:tr w14:paraId="36B410F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D63D78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943F07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58FC25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479400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88D5944">
            <w:pPr>
              <w:widowControl/>
              <w:rPr>
                <w:rFonts w:hint="eastAsia" w:ascii="宋体" w:hAnsi="宋体" w:cs="宋体"/>
                <w:color w:val="auto"/>
                <w:kern w:val="0"/>
                <w:sz w:val="18"/>
                <w:szCs w:val="18"/>
                <w:highlight w:val="none"/>
              </w:rPr>
            </w:pPr>
          </w:p>
        </w:tc>
      </w:tr>
      <w:tr w14:paraId="4F81FA5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70D9F7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3EAE1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85ED8A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51E336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82CFAB1">
            <w:pPr>
              <w:widowControl/>
              <w:rPr>
                <w:rFonts w:hint="eastAsia" w:ascii="宋体" w:hAnsi="宋体" w:cs="宋体"/>
                <w:color w:val="auto"/>
                <w:kern w:val="0"/>
                <w:sz w:val="18"/>
                <w:szCs w:val="18"/>
                <w:highlight w:val="none"/>
              </w:rPr>
            </w:pPr>
          </w:p>
        </w:tc>
      </w:tr>
      <w:tr w14:paraId="6F4F61A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0460BC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7955D4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7F827A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859C7C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06FC806">
            <w:pPr>
              <w:widowControl/>
              <w:rPr>
                <w:rFonts w:hint="eastAsia" w:ascii="宋体" w:hAnsi="宋体" w:cs="宋体"/>
                <w:color w:val="auto"/>
                <w:kern w:val="0"/>
                <w:sz w:val="18"/>
                <w:szCs w:val="18"/>
                <w:highlight w:val="none"/>
              </w:rPr>
            </w:pPr>
          </w:p>
        </w:tc>
      </w:tr>
      <w:tr w14:paraId="70DC6C6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D5CE2D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19CA7B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6E70FA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3E295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8D5764E">
            <w:pPr>
              <w:widowControl/>
              <w:rPr>
                <w:rFonts w:hint="eastAsia" w:ascii="宋体" w:hAnsi="宋体" w:cs="宋体"/>
                <w:color w:val="auto"/>
                <w:kern w:val="0"/>
                <w:sz w:val="18"/>
                <w:szCs w:val="18"/>
                <w:highlight w:val="none"/>
              </w:rPr>
            </w:pPr>
          </w:p>
        </w:tc>
      </w:tr>
      <w:tr w14:paraId="70640DF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F60B83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80AB28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310D3B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5A88D2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A9B0900">
            <w:pPr>
              <w:widowControl/>
              <w:rPr>
                <w:rFonts w:hint="eastAsia" w:ascii="宋体" w:hAnsi="宋体" w:cs="宋体"/>
                <w:color w:val="auto"/>
                <w:kern w:val="0"/>
                <w:sz w:val="18"/>
                <w:szCs w:val="18"/>
                <w:highlight w:val="none"/>
              </w:rPr>
            </w:pPr>
          </w:p>
        </w:tc>
      </w:tr>
      <w:tr w14:paraId="7031D58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BC4FE5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5FD117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399ED5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0B09F0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7F046FC">
            <w:pPr>
              <w:widowControl/>
              <w:rPr>
                <w:rFonts w:hint="eastAsia" w:ascii="宋体" w:hAnsi="宋体" w:cs="宋体"/>
                <w:color w:val="auto"/>
                <w:kern w:val="0"/>
                <w:sz w:val="18"/>
                <w:szCs w:val="18"/>
                <w:highlight w:val="none"/>
              </w:rPr>
            </w:pPr>
          </w:p>
        </w:tc>
      </w:tr>
      <w:tr w14:paraId="1D9808D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AFA380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1C5EFC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DD714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B5E9C0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05B7914">
            <w:pPr>
              <w:widowControl/>
              <w:rPr>
                <w:rFonts w:hint="eastAsia" w:ascii="宋体" w:hAnsi="宋体" w:cs="宋体"/>
                <w:color w:val="auto"/>
                <w:kern w:val="0"/>
                <w:sz w:val="18"/>
                <w:szCs w:val="18"/>
                <w:highlight w:val="none"/>
              </w:rPr>
            </w:pPr>
          </w:p>
        </w:tc>
      </w:tr>
      <w:tr w14:paraId="74BAE8F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6ECD19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19FF71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302A5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EDEAC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6C6A261">
            <w:pPr>
              <w:widowControl/>
              <w:rPr>
                <w:rFonts w:hint="eastAsia" w:ascii="宋体" w:hAnsi="宋体" w:cs="宋体"/>
                <w:color w:val="auto"/>
                <w:kern w:val="0"/>
                <w:sz w:val="18"/>
                <w:szCs w:val="18"/>
                <w:highlight w:val="none"/>
              </w:rPr>
            </w:pPr>
          </w:p>
        </w:tc>
      </w:tr>
      <w:tr w14:paraId="5EDFA37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4DA684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FDABAA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EF01F6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323520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93BA84D">
            <w:pPr>
              <w:widowControl/>
              <w:rPr>
                <w:rFonts w:hint="eastAsia" w:ascii="宋体" w:hAnsi="宋体" w:cs="宋体"/>
                <w:color w:val="auto"/>
                <w:kern w:val="0"/>
                <w:sz w:val="18"/>
                <w:szCs w:val="18"/>
                <w:highlight w:val="none"/>
              </w:rPr>
            </w:pPr>
          </w:p>
        </w:tc>
      </w:tr>
      <w:tr w14:paraId="7C73C50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99784D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64651C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22DCA4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1FC3B2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99EAD13">
            <w:pPr>
              <w:widowControl/>
              <w:rPr>
                <w:rFonts w:hint="eastAsia" w:ascii="宋体" w:hAnsi="宋体" w:cs="宋体"/>
                <w:color w:val="auto"/>
                <w:kern w:val="0"/>
                <w:sz w:val="18"/>
                <w:szCs w:val="18"/>
                <w:highlight w:val="none"/>
              </w:rPr>
            </w:pPr>
          </w:p>
        </w:tc>
      </w:tr>
      <w:tr w14:paraId="68E0AC5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FEF97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4BB229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482FF4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BF33D1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C2FAC6D">
            <w:pPr>
              <w:widowControl/>
              <w:rPr>
                <w:rFonts w:hint="eastAsia" w:ascii="宋体" w:hAnsi="宋体" w:cs="宋体"/>
                <w:color w:val="auto"/>
                <w:kern w:val="0"/>
                <w:sz w:val="18"/>
                <w:szCs w:val="18"/>
                <w:highlight w:val="none"/>
              </w:rPr>
            </w:pPr>
          </w:p>
        </w:tc>
      </w:tr>
      <w:tr w14:paraId="7E78353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5A0FA3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60CCAC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9C2ABA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6D6CB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3462170">
            <w:pPr>
              <w:widowControl/>
              <w:rPr>
                <w:rFonts w:hint="eastAsia" w:ascii="宋体" w:hAnsi="宋体" w:cs="宋体"/>
                <w:color w:val="auto"/>
                <w:kern w:val="0"/>
                <w:sz w:val="18"/>
                <w:szCs w:val="18"/>
                <w:highlight w:val="none"/>
              </w:rPr>
            </w:pPr>
          </w:p>
        </w:tc>
      </w:tr>
      <w:tr w14:paraId="5EF6E8D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12AAAA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892496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81851C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F152C7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C080CF">
            <w:pPr>
              <w:widowControl/>
              <w:rPr>
                <w:rFonts w:hint="eastAsia" w:ascii="宋体" w:hAnsi="宋体" w:cs="宋体"/>
                <w:color w:val="auto"/>
                <w:kern w:val="0"/>
                <w:sz w:val="18"/>
                <w:szCs w:val="18"/>
                <w:highlight w:val="none"/>
              </w:rPr>
            </w:pPr>
          </w:p>
        </w:tc>
      </w:tr>
      <w:tr w14:paraId="2348752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8446AA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FF86CD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16F779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FD9838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F7E268F">
            <w:pPr>
              <w:widowControl/>
              <w:rPr>
                <w:rFonts w:hint="eastAsia" w:ascii="宋体" w:hAnsi="宋体" w:cs="宋体"/>
                <w:color w:val="auto"/>
                <w:kern w:val="0"/>
                <w:sz w:val="18"/>
                <w:szCs w:val="18"/>
                <w:highlight w:val="none"/>
              </w:rPr>
            </w:pPr>
          </w:p>
        </w:tc>
      </w:tr>
      <w:tr w14:paraId="65DE27C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5CE7B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155F52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646BCC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03E80F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BBF8266">
            <w:pPr>
              <w:widowControl/>
              <w:rPr>
                <w:rFonts w:hint="eastAsia" w:ascii="宋体" w:hAnsi="宋体" w:cs="宋体"/>
                <w:color w:val="auto"/>
                <w:kern w:val="0"/>
                <w:sz w:val="18"/>
                <w:szCs w:val="18"/>
                <w:highlight w:val="none"/>
              </w:rPr>
            </w:pPr>
          </w:p>
        </w:tc>
      </w:tr>
      <w:tr w14:paraId="7F87924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6A08C4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3D3A92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D7AD21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C1E87F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C79FE99">
            <w:pPr>
              <w:widowControl/>
              <w:rPr>
                <w:rFonts w:hint="eastAsia" w:ascii="宋体" w:hAnsi="宋体" w:cs="宋体"/>
                <w:color w:val="auto"/>
                <w:kern w:val="0"/>
                <w:sz w:val="18"/>
                <w:szCs w:val="18"/>
                <w:highlight w:val="none"/>
              </w:rPr>
            </w:pPr>
          </w:p>
        </w:tc>
      </w:tr>
      <w:tr w14:paraId="1F34976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32FAD1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7EDED0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0078B9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4BD789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3D0AA1F">
            <w:pPr>
              <w:widowControl/>
              <w:rPr>
                <w:rFonts w:hint="eastAsia" w:ascii="宋体" w:hAnsi="宋体" w:cs="宋体"/>
                <w:color w:val="auto"/>
                <w:kern w:val="0"/>
                <w:sz w:val="18"/>
                <w:szCs w:val="18"/>
                <w:highlight w:val="none"/>
              </w:rPr>
            </w:pPr>
          </w:p>
        </w:tc>
      </w:tr>
      <w:tr w14:paraId="69F0705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285774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53EC39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2E7C7F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0276A8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EC5F388">
            <w:pPr>
              <w:widowControl/>
              <w:rPr>
                <w:rFonts w:hint="eastAsia" w:ascii="宋体" w:hAnsi="宋体" w:cs="宋体"/>
                <w:color w:val="auto"/>
                <w:kern w:val="0"/>
                <w:sz w:val="18"/>
                <w:szCs w:val="18"/>
                <w:highlight w:val="none"/>
              </w:rPr>
            </w:pPr>
          </w:p>
        </w:tc>
      </w:tr>
      <w:tr w14:paraId="2219594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8E7DAE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B786F8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299C74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F81581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65C2E0B">
            <w:pPr>
              <w:widowControl/>
              <w:rPr>
                <w:rFonts w:hint="eastAsia" w:ascii="宋体" w:hAnsi="宋体" w:cs="宋体"/>
                <w:color w:val="auto"/>
                <w:kern w:val="0"/>
                <w:sz w:val="18"/>
                <w:szCs w:val="18"/>
                <w:highlight w:val="none"/>
              </w:rPr>
            </w:pPr>
          </w:p>
        </w:tc>
      </w:tr>
      <w:tr w14:paraId="7DEDC53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20E3AD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81AEAC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F46172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C5F2DA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B73BF48">
            <w:pPr>
              <w:widowControl/>
              <w:rPr>
                <w:rFonts w:hint="eastAsia" w:ascii="宋体" w:hAnsi="宋体" w:cs="宋体"/>
                <w:color w:val="auto"/>
                <w:kern w:val="0"/>
                <w:sz w:val="18"/>
                <w:szCs w:val="18"/>
                <w:highlight w:val="none"/>
              </w:rPr>
            </w:pPr>
          </w:p>
        </w:tc>
      </w:tr>
      <w:tr w14:paraId="79F6AA6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9F581E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C69AB4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9C0D74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D96DAC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39FD07">
            <w:pPr>
              <w:widowControl/>
              <w:rPr>
                <w:rFonts w:hint="eastAsia" w:ascii="宋体" w:hAnsi="宋体" w:cs="宋体"/>
                <w:color w:val="auto"/>
                <w:kern w:val="0"/>
                <w:sz w:val="18"/>
                <w:szCs w:val="18"/>
                <w:highlight w:val="none"/>
              </w:rPr>
            </w:pPr>
          </w:p>
        </w:tc>
      </w:tr>
      <w:tr w14:paraId="3AB47E2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07E32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FEF6FE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D8040C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1A545C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4C29EE7">
            <w:pPr>
              <w:widowControl/>
              <w:rPr>
                <w:rFonts w:hint="eastAsia" w:ascii="宋体" w:hAnsi="宋体" w:cs="宋体"/>
                <w:color w:val="auto"/>
                <w:kern w:val="0"/>
                <w:sz w:val="18"/>
                <w:szCs w:val="18"/>
                <w:highlight w:val="none"/>
              </w:rPr>
            </w:pPr>
          </w:p>
        </w:tc>
      </w:tr>
      <w:tr w14:paraId="313D7D5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350791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055CFA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7C13D6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D387C2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E8468D9">
            <w:pPr>
              <w:widowControl/>
              <w:rPr>
                <w:rFonts w:hint="eastAsia" w:ascii="宋体" w:hAnsi="宋体" w:cs="宋体"/>
                <w:color w:val="auto"/>
                <w:kern w:val="0"/>
                <w:sz w:val="18"/>
                <w:szCs w:val="18"/>
                <w:highlight w:val="none"/>
              </w:rPr>
            </w:pPr>
          </w:p>
        </w:tc>
      </w:tr>
      <w:tr w14:paraId="5BAB978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B5EDBC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6975F3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69B950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9513B5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8FD4BF">
            <w:pPr>
              <w:widowControl/>
              <w:rPr>
                <w:rFonts w:hint="eastAsia" w:ascii="宋体" w:hAnsi="宋体" w:cs="宋体"/>
                <w:color w:val="auto"/>
                <w:kern w:val="0"/>
                <w:sz w:val="18"/>
                <w:szCs w:val="18"/>
                <w:highlight w:val="none"/>
              </w:rPr>
            </w:pPr>
          </w:p>
        </w:tc>
      </w:tr>
      <w:tr w14:paraId="795FF42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833F17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339E32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46158D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E57BC2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F542585">
            <w:pPr>
              <w:widowControl/>
              <w:rPr>
                <w:rFonts w:hint="eastAsia" w:ascii="宋体" w:hAnsi="宋体" w:cs="宋体"/>
                <w:color w:val="auto"/>
                <w:kern w:val="0"/>
                <w:sz w:val="18"/>
                <w:szCs w:val="18"/>
                <w:highlight w:val="none"/>
              </w:rPr>
            </w:pPr>
          </w:p>
        </w:tc>
      </w:tr>
      <w:tr w14:paraId="041E6BA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EA3C5F9">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B175C0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A7077B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4A2470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8019586">
            <w:pPr>
              <w:widowControl/>
              <w:rPr>
                <w:rFonts w:hint="eastAsia" w:ascii="宋体" w:hAnsi="宋体" w:cs="宋体"/>
                <w:color w:val="auto"/>
                <w:kern w:val="0"/>
                <w:sz w:val="18"/>
                <w:szCs w:val="18"/>
                <w:highlight w:val="none"/>
              </w:rPr>
            </w:pPr>
          </w:p>
        </w:tc>
      </w:tr>
      <w:tr w14:paraId="4A73FB8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3FA246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E187E6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313E18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9033FA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A5F8ABA">
            <w:pPr>
              <w:widowControl/>
              <w:rPr>
                <w:rFonts w:hint="eastAsia" w:ascii="宋体" w:hAnsi="宋体" w:cs="宋体"/>
                <w:color w:val="auto"/>
                <w:kern w:val="0"/>
                <w:sz w:val="18"/>
                <w:szCs w:val="18"/>
                <w:highlight w:val="none"/>
              </w:rPr>
            </w:pPr>
          </w:p>
        </w:tc>
      </w:tr>
      <w:tr w14:paraId="109BA0A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671FF01">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E70835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61C50F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E266B8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535AB95">
            <w:pPr>
              <w:widowControl/>
              <w:rPr>
                <w:rFonts w:hint="eastAsia" w:ascii="宋体" w:hAnsi="宋体" w:cs="宋体"/>
                <w:color w:val="auto"/>
                <w:kern w:val="0"/>
                <w:sz w:val="18"/>
                <w:szCs w:val="18"/>
                <w:highlight w:val="none"/>
              </w:rPr>
            </w:pPr>
          </w:p>
        </w:tc>
      </w:tr>
      <w:tr w14:paraId="07AD053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E4B66A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1F05D2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7F7107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A50011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95DCFC">
            <w:pPr>
              <w:widowControl/>
              <w:rPr>
                <w:rFonts w:hint="eastAsia" w:ascii="宋体" w:hAnsi="宋体" w:cs="宋体"/>
                <w:color w:val="auto"/>
                <w:kern w:val="0"/>
                <w:sz w:val="18"/>
                <w:szCs w:val="18"/>
                <w:highlight w:val="none"/>
              </w:rPr>
            </w:pPr>
          </w:p>
        </w:tc>
      </w:tr>
      <w:tr w14:paraId="178A1E5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43F7BC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94EF55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913895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62A3B3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321C8FE">
            <w:pPr>
              <w:widowControl/>
              <w:rPr>
                <w:rFonts w:hint="eastAsia" w:ascii="宋体" w:hAnsi="宋体" w:cs="宋体"/>
                <w:color w:val="auto"/>
                <w:kern w:val="0"/>
                <w:sz w:val="18"/>
                <w:szCs w:val="18"/>
                <w:highlight w:val="none"/>
              </w:rPr>
            </w:pPr>
          </w:p>
        </w:tc>
      </w:tr>
      <w:tr w14:paraId="7A9300D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EE4C01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B2C0B8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7323C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4426E8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B224273">
            <w:pPr>
              <w:widowControl/>
              <w:rPr>
                <w:rFonts w:hint="eastAsia" w:ascii="宋体" w:hAnsi="宋体" w:cs="宋体"/>
                <w:color w:val="auto"/>
                <w:kern w:val="0"/>
                <w:sz w:val="18"/>
                <w:szCs w:val="18"/>
                <w:highlight w:val="none"/>
              </w:rPr>
            </w:pPr>
          </w:p>
        </w:tc>
      </w:tr>
      <w:tr w14:paraId="7BC49DC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7B81D2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B63A75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CBCF47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34D1A3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05AB7B5">
            <w:pPr>
              <w:widowControl/>
              <w:rPr>
                <w:rFonts w:hint="eastAsia" w:ascii="宋体" w:hAnsi="宋体" w:cs="宋体"/>
                <w:color w:val="auto"/>
                <w:kern w:val="0"/>
                <w:sz w:val="18"/>
                <w:szCs w:val="18"/>
                <w:highlight w:val="none"/>
              </w:rPr>
            </w:pPr>
          </w:p>
        </w:tc>
      </w:tr>
      <w:tr w14:paraId="5FF8610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66303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4DF5F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C6600C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A1B6DE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554AC32">
            <w:pPr>
              <w:widowControl/>
              <w:rPr>
                <w:rFonts w:hint="eastAsia" w:ascii="宋体" w:hAnsi="宋体" w:cs="宋体"/>
                <w:color w:val="auto"/>
                <w:kern w:val="0"/>
                <w:sz w:val="18"/>
                <w:szCs w:val="18"/>
                <w:highlight w:val="none"/>
              </w:rPr>
            </w:pPr>
          </w:p>
        </w:tc>
      </w:tr>
      <w:tr w14:paraId="58DB7CA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082A30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0D7044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0AB0D5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693D7B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6406F57">
            <w:pPr>
              <w:widowControl/>
              <w:rPr>
                <w:rFonts w:hint="eastAsia" w:ascii="宋体" w:hAnsi="宋体" w:cs="宋体"/>
                <w:color w:val="auto"/>
                <w:kern w:val="0"/>
                <w:sz w:val="18"/>
                <w:szCs w:val="18"/>
                <w:highlight w:val="none"/>
              </w:rPr>
            </w:pPr>
          </w:p>
        </w:tc>
      </w:tr>
      <w:tr w14:paraId="6EF1837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D047B9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87730C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8FFB85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4446B8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3D5C009">
            <w:pPr>
              <w:widowControl/>
              <w:rPr>
                <w:rFonts w:hint="eastAsia" w:ascii="宋体" w:hAnsi="宋体" w:cs="宋体"/>
                <w:color w:val="auto"/>
                <w:kern w:val="0"/>
                <w:sz w:val="18"/>
                <w:szCs w:val="18"/>
                <w:highlight w:val="none"/>
              </w:rPr>
            </w:pPr>
          </w:p>
        </w:tc>
      </w:tr>
      <w:tr w14:paraId="4E63EA7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4BF857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E75FFC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351079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04119D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AA30DA">
            <w:pPr>
              <w:widowControl/>
              <w:rPr>
                <w:rFonts w:hint="eastAsia" w:ascii="宋体" w:hAnsi="宋体" w:cs="宋体"/>
                <w:color w:val="auto"/>
                <w:kern w:val="0"/>
                <w:sz w:val="18"/>
                <w:szCs w:val="18"/>
                <w:highlight w:val="none"/>
              </w:rPr>
            </w:pPr>
          </w:p>
        </w:tc>
      </w:tr>
      <w:tr w14:paraId="3735D12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5044A9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F6DB8A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A0BFA1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02A0DC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17603E6">
            <w:pPr>
              <w:widowControl/>
              <w:rPr>
                <w:rFonts w:hint="eastAsia" w:ascii="宋体" w:hAnsi="宋体" w:cs="宋体"/>
                <w:color w:val="auto"/>
                <w:kern w:val="0"/>
                <w:sz w:val="18"/>
                <w:szCs w:val="18"/>
                <w:highlight w:val="none"/>
              </w:rPr>
            </w:pPr>
          </w:p>
        </w:tc>
      </w:tr>
      <w:tr w14:paraId="2C9E8FC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CC7297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36766F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B0DCA6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D89F13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184C992">
            <w:pPr>
              <w:widowControl/>
              <w:rPr>
                <w:rFonts w:hint="eastAsia" w:ascii="宋体" w:hAnsi="宋体" w:cs="宋体"/>
                <w:color w:val="auto"/>
                <w:kern w:val="0"/>
                <w:sz w:val="18"/>
                <w:szCs w:val="18"/>
                <w:highlight w:val="none"/>
              </w:rPr>
            </w:pPr>
          </w:p>
        </w:tc>
      </w:tr>
      <w:tr w14:paraId="451AF4F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EF2765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052421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314DBA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150FE4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22B89D6">
            <w:pPr>
              <w:widowControl/>
              <w:rPr>
                <w:rFonts w:hint="eastAsia" w:ascii="宋体" w:hAnsi="宋体" w:cs="宋体"/>
                <w:color w:val="auto"/>
                <w:kern w:val="0"/>
                <w:sz w:val="18"/>
                <w:szCs w:val="18"/>
                <w:highlight w:val="none"/>
              </w:rPr>
            </w:pPr>
          </w:p>
        </w:tc>
      </w:tr>
      <w:tr w14:paraId="5000387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07FA8DB">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0D75F2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2BABD8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A765D8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40100FA">
            <w:pPr>
              <w:widowControl/>
              <w:rPr>
                <w:rFonts w:hint="eastAsia" w:ascii="宋体" w:hAnsi="宋体" w:cs="宋体"/>
                <w:color w:val="auto"/>
                <w:kern w:val="0"/>
                <w:sz w:val="18"/>
                <w:szCs w:val="18"/>
                <w:highlight w:val="none"/>
              </w:rPr>
            </w:pPr>
          </w:p>
        </w:tc>
      </w:tr>
      <w:tr w14:paraId="4EF63D0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99B6A1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AD5246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F2C95C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A97CCE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27F4E90">
            <w:pPr>
              <w:widowControl/>
              <w:rPr>
                <w:rFonts w:hint="eastAsia" w:ascii="宋体" w:hAnsi="宋体" w:cs="宋体"/>
                <w:color w:val="auto"/>
                <w:kern w:val="0"/>
                <w:sz w:val="18"/>
                <w:szCs w:val="18"/>
                <w:highlight w:val="none"/>
              </w:rPr>
            </w:pPr>
          </w:p>
        </w:tc>
      </w:tr>
      <w:tr w14:paraId="2EF31235">
        <w:tblPrEx>
          <w:tblCellMar>
            <w:top w:w="0" w:type="dxa"/>
            <w:left w:w="108" w:type="dxa"/>
            <w:bottom w:w="0" w:type="dxa"/>
            <w:right w:w="108" w:type="dxa"/>
          </w:tblCellMar>
        </w:tblPrEx>
        <w:trPr>
          <w:trHeight w:val="2355" w:hRule="atLeast"/>
        </w:trPr>
        <w:tc>
          <w:tcPr>
            <w:tcW w:w="418" w:type="pct"/>
            <w:vMerge w:val="continue"/>
            <w:tcBorders>
              <w:top w:val="nil"/>
              <w:left w:val="single" w:color="auto" w:sz="4" w:space="0"/>
              <w:bottom w:val="single" w:color="auto" w:sz="4" w:space="0"/>
              <w:right w:val="single" w:color="auto" w:sz="4" w:space="0"/>
            </w:tcBorders>
            <w:vAlign w:val="center"/>
          </w:tcPr>
          <w:p w14:paraId="3414D817">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1A9D23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9BE708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B52420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3F837CD">
            <w:pPr>
              <w:widowControl/>
              <w:rPr>
                <w:rFonts w:hint="eastAsia" w:ascii="宋体" w:hAnsi="宋体" w:cs="宋体"/>
                <w:color w:val="auto"/>
                <w:kern w:val="0"/>
                <w:sz w:val="18"/>
                <w:szCs w:val="18"/>
                <w:highlight w:val="none"/>
              </w:rPr>
            </w:pPr>
          </w:p>
        </w:tc>
      </w:tr>
      <w:tr w14:paraId="3DD6E3A4">
        <w:tblPrEx>
          <w:tblCellMar>
            <w:top w:w="0" w:type="dxa"/>
            <w:left w:w="108" w:type="dxa"/>
            <w:bottom w:w="0" w:type="dxa"/>
            <w:right w:w="108" w:type="dxa"/>
          </w:tblCellMar>
        </w:tblPrEx>
        <w:trPr>
          <w:trHeight w:val="312"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1E6C70A0">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3.10</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2BE1690C">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合规管理</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532CF5DB">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1.等保和密</w:t>
            </w:r>
            <w:r>
              <w:rPr>
                <w:rFonts w:hint="eastAsia" w:ascii="宋体" w:hAnsi="宋体" w:cs="宋体"/>
                <w:color w:val="auto"/>
                <w:kern w:val="0"/>
                <w:sz w:val="18"/>
                <w:szCs w:val="18"/>
                <w:highlight w:val="none"/>
                <w:lang w:val="en-US" w:eastAsia="zh-CN"/>
              </w:rPr>
              <w:t>码</w:t>
            </w:r>
            <w:r>
              <w:rPr>
                <w:rFonts w:hint="eastAsia" w:ascii="宋体" w:hAnsi="宋体" w:cs="宋体"/>
                <w:color w:val="auto"/>
                <w:kern w:val="0"/>
                <w:sz w:val="18"/>
                <w:szCs w:val="18"/>
                <w:highlight w:val="none"/>
              </w:rPr>
              <w:t>测评文档管理:负责存档等保三级系统的等保和密</w:t>
            </w:r>
            <w:r>
              <w:rPr>
                <w:rFonts w:hint="eastAsia" w:ascii="宋体" w:hAnsi="宋体" w:cs="宋体"/>
                <w:color w:val="auto"/>
                <w:kern w:val="0"/>
                <w:sz w:val="18"/>
                <w:szCs w:val="18"/>
                <w:highlight w:val="none"/>
                <w:lang w:val="en-US" w:eastAsia="zh-CN"/>
              </w:rPr>
              <w:t>码</w:t>
            </w:r>
            <w:r>
              <w:rPr>
                <w:rFonts w:hint="eastAsia" w:ascii="宋体" w:hAnsi="宋体" w:cs="宋体"/>
                <w:color w:val="auto"/>
                <w:kern w:val="0"/>
                <w:sz w:val="18"/>
                <w:szCs w:val="18"/>
                <w:highlight w:val="none"/>
              </w:rPr>
              <w:t>测评文档，确保所有相关文档得到有序管理和存储，方便随时查阅和使用，满足监管要求和内部管理需求。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(1)文档管理:构建一个安全、专属的电子文档库，用于存储等保三级系统的所有测评相关文档。实现文档的上传、下载、在线预览、版本控制和加密存储。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(2)权限管理:设置严格的权限管理体系，确保文档的保密性、完整性和可用性。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2.等保和密</w:t>
            </w:r>
            <w:r>
              <w:rPr>
                <w:rFonts w:hint="eastAsia" w:ascii="宋体" w:hAnsi="宋体" w:cs="宋体"/>
                <w:color w:val="auto"/>
                <w:kern w:val="0"/>
                <w:sz w:val="18"/>
                <w:szCs w:val="18"/>
                <w:highlight w:val="none"/>
                <w:lang w:val="en-US" w:eastAsia="zh-CN"/>
              </w:rPr>
              <w:t>码</w:t>
            </w:r>
            <w:r>
              <w:rPr>
                <w:rFonts w:hint="eastAsia" w:ascii="宋体" w:hAnsi="宋体" w:cs="宋体"/>
                <w:color w:val="auto"/>
                <w:kern w:val="0"/>
                <w:sz w:val="18"/>
                <w:szCs w:val="18"/>
                <w:highlight w:val="none"/>
              </w:rPr>
              <w:t>测评复测提醒:提供定时提醒功能，根据等保和密</w:t>
            </w:r>
            <w:r>
              <w:rPr>
                <w:rFonts w:hint="eastAsia" w:ascii="宋体" w:hAnsi="宋体" w:cs="宋体"/>
                <w:color w:val="auto"/>
                <w:kern w:val="0"/>
                <w:sz w:val="18"/>
                <w:szCs w:val="18"/>
                <w:highlight w:val="none"/>
                <w:lang w:val="en-US" w:eastAsia="zh-CN"/>
              </w:rPr>
              <w:t>码</w:t>
            </w:r>
            <w:r>
              <w:rPr>
                <w:rFonts w:hint="eastAsia" w:ascii="宋体" w:hAnsi="宋体" w:cs="宋体"/>
                <w:color w:val="auto"/>
                <w:kern w:val="0"/>
                <w:sz w:val="18"/>
                <w:szCs w:val="18"/>
                <w:highlight w:val="none"/>
              </w:rPr>
              <w:t>测评的相关规定和要求，确保每年按时进行等保和密</w:t>
            </w:r>
            <w:r>
              <w:rPr>
                <w:rFonts w:hint="eastAsia" w:ascii="宋体" w:hAnsi="宋体" w:cs="宋体"/>
                <w:color w:val="auto"/>
                <w:kern w:val="0"/>
                <w:sz w:val="18"/>
                <w:szCs w:val="18"/>
                <w:highlight w:val="none"/>
                <w:lang w:val="en-US" w:eastAsia="zh-CN"/>
              </w:rPr>
              <w:t>码</w:t>
            </w:r>
            <w:r>
              <w:rPr>
                <w:rFonts w:hint="eastAsia" w:ascii="宋体" w:hAnsi="宋体" w:cs="宋体"/>
                <w:color w:val="auto"/>
                <w:kern w:val="0"/>
                <w:sz w:val="18"/>
                <w:szCs w:val="18"/>
                <w:highlight w:val="none"/>
              </w:rPr>
              <w:t>测评复测，避免因遗忘或疏忽导致的合规风险，保障系统的安全性和合规性。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(1)提醒规则:配置基于上次测评日期、测评周期（如每年）的复杂提醒规则。引擎自动计算下一次复测的窗口期，并在到期前设置多级（如提前90天）预警，通过多种渠道触发提醒。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(2)复测提醒:将复测提醒与任务管理深度整合。一旦触发提醒，可创建复测任务工单，明确责任人与时间节点。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3.安全检查文档管理:负责存档定期安全检查的文档，包括检查报告、检查记录、整改计划等，确保文档的完整性和可追溯性，满足监管检查的要求，为安全管理工作提供有力支持。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4.安全检查复测提醒:提供安全检查复测提醒功能，根据安全检查的周期和要求，及时提醒相关人员进行复测，确保安全检查工作的连续性和有效性，及时发现和解决安全隐患。</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5.合规文档归档管理:对所有合规相关的文档进行分类归档和管理，按照文档的类型、日期、部门等进行分类存储，建立完善的文档索引和检索系统，便于用户快速检索和使用文档，提高工作效率。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6.合规状态监控:实时监控系统的合规状态，通过部署专业的监控工具和系统，对系统的各项合规指标进行实时监测，及时发现和预警不合规情况，确保系统始终处于合规运行状态。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7.合规风险评估:对系统的合规风险进行全面评估，识别潜在的合规风险点，分析风险的可能性和影响程度，制定相应的风险控制措施，为合规管理提供科学依据，降低合规风险。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8.合规报告生成:自动生成合规报告，根据监管部门的要求和标准，整合系统的合规数据和信息，生成符合要求的合规报告，包括合规状态、风险评估结果、整改措施等内容，确保报告的准确性和完整性。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9.合规事件记录:记录合规事件及处理过程，详细记录合规事件的发生时间、事件描述、处理措施、处理结果等信息，确保合规事件有据可查，为后续的合规审计和改进提供参考。</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10.合规培训记录:记录相关人员的合规培训情况，包括培训时间、培训内容、培训方式、参与人员等信息，确保人员具备合规意识和知识，为合规管理提供有力支持，同时满足监管部门的检查要求。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11.合规审计支持:实现合规审计工作，提供所需的文档和数据，包括合规文档、合规报告、合规事件记录等，协助审计人员完成审计工作，确保审计过程顺利进行，提高审计效率和质量。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12.合规政策更新提醒:提醒相关人员及时更新合规政策和程序，根据法律法规的变化和监管要求的更新，及时通知相关人员进行政策和程序的更新，确保系统的合规性，避免因政策滞后导致的合规风险。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13.合规文档版本管理:管理合规文档的不同版本，对合规文档进行版本控制，记录每个版本的更新内容和更新时间，确保用户使用的是最新版本的文档，避免因使用过期文档导致的合规问题。</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14.合规问题追踪:跟踪合规问题的处理进度，对发现的合规问题进行全程跟踪，记录问题的处理状态、处理措施、处理结果等信息，确保问题得到及时解决，避免问题的拖延和恶化。</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15.合规沟通管理:管理合规相关的内部和外部沟通，建立有效的沟通渠道和机制，确保合规信息在内部各部门之间以及与外部监管机构之间的准确传递，及时解决沟通中的问题，提高合规管理的协同效率。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16.合规资源配置:配置和管理合规所需的资源，包括人力、物力、财力等，根据合规工作的需求，合理分配资源，确保合规工作顺利开展，提高资源的利用效率，为合规管理提供有力保障。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17.合规咨询服务:提供合规咨询服务，解答相关人员在合规工作中遇到的问题，提供专业的合规建议和解决方案，帮助人员更好地理解和执行合规要求，提高合规工作的质量和效果。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18.合规工作计划:制定和执行合规工作计划，根据合规管理的目标和要求，制定详细的合规工作计划，明确各项任务的内容、责任人、时间安排等，确保合规工作按时完成，提高合规管理的计划性和执行力。</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19.合规绩效评估:评估合规工作的绩效，建立科学的绩效评估指标体系，对合规工作的各项指标进行评估，分析合规工作的成效和不足，找出改进点，为合规管理的持续改进提供依据。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20.合规流程优化:优化合规工作流程，对现有的合规流程进行全面梳理和分析，找出存在的问题和瓶颈，提出优化方案，简化流程，提高工作效率，确保合规工作的高效开展。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21.合规通知管理:管理合规相关的通知和通告，及时发布合规通知和通告，确保相关信息准确传达到位，记录通知的发布情况和接收情况，便于后续的查询和追溯，提高合规信息的传递效率。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22.合规检查清单:提供合规检查清单，根据合规要求和标准，制定详细的合规检查清单，包括检查项目、检查标准、检查方法等内容，指导相关人员进行自查和检查，确保合规检查工作的全面性和规范性。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23.合规事件预警:提前预警潜在的合规风险，通过建立合规风险预警机制，对可能引发合规事件的风险因素进行实时监测和分析，及时发出预警信号，提醒相关人员采取措施，避免合规事件的发生，降低合规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24.合规记录存档:长期存档合规记录，确保合规记录的完整性和可追溯性，对合规记录进行分类存储和管理，建立完善的存档机制，便于后续的查询和审计，为合规管理提供可靠的数据支持。</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11EB97D6">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3EC84C47">
            <w:pPr>
              <w:widowControl/>
              <w:jc w:val="center"/>
              <w:rPr>
                <w:rFonts w:hint="eastAsia" w:ascii="宋体" w:hAnsi="宋体" w:cs="宋体"/>
                <w:color w:val="auto"/>
                <w:kern w:val="0"/>
                <w:sz w:val="18"/>
                <w:szCs w:val="18"/>
                <w:highlight w:val="none"/>
              </w:rPr>
            </w:pPr>
          </w:p>
        </w:tc>
      </w:tr>
      <w:tr w14:paraId="2152B3B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436B89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8B978A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B5C00C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F04AB1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736013">
            <w:pPr>
              <w:widowControl/>
              <w:rPr>
                <w:rFonts w:hint="eastAsia" w:ascii="宋体" w:hAnsi="宋体" w:cs="宋体"/>
                <w:color w:val="auto"/>
                <w:kern w:val="0"/>
                <w:sz w:val="18"/>
                <w:szCs w:val="18"/>
                <w:highlight w:val="none"/>
              </w:rPr>
            </w:pPr>
          </w:p>
        </w:tc>
      </w:tr>
      <w:tr w14:paraId="6ECF505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CBFB45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20F280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F292AB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890EE2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77BCBB4">
            <w:pPr>
              <w:widowControl/>
              <w:rPr>
                <w:rFonts w:hint="eastAsia" w:ascii="宋体" w:hAnsi="宋体" w:cs="宋体"/>
                <w:color w:val="auto"/>
                <w:kern w:val="0"/>
                <w:sz w:val="18"/>
                <w:szCs w:val="18"/>
                <w:highlight w:val="none"/>
              </w:rPr>
            </w:pPr>
          </w:p>
        </w:tc>
      </w:tr>
      <w:tr w14:paraId="6472F2B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00647D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E5244F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D527CF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F60ABD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E0CF0BF">
            <w:pPr>
              <w:widowControl/>
              <w:rPr>
                <w:rFonts w:hint="eastAsia" w:ascii="宋体" w:hAnsi="宋体" w:cs="宋体"/>
                <w:color w:val="auto"/>
                <w:kern w:val="0"/>
                <w:sz w:val="18"/>
                <w:szCs w:val="18"/>
                <w:highlight w:val="none"/>
              </w:rPr>
            </w:pPr>
          </w:p>
        </w:tc>
      </w:tr>
      <w:tr w14:paraId="1B077A7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DCF290A">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10CE20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ABAABF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2DCBA7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A1BFA7E">
            <w:pPr>
              <w:widowControl/>
              <w:rPr>
                <w:rFonts w:hint="eastAsia" w:ascii="宋体" w:hAnsi="宋体" w:cs="宋体"/>
                <w:color w:val="auto"/>
                <w:kern w:val="0"/>
                <w:sz w:val="18"/>
                <w:szCs w:val="18"/>
                <w:highlight w:val="none"/>
              </w:rPr>
            </w:pPr>
          </w:p>
        </w:tc>
      </w:tr>
      <w:tr w14:paraId="1E5EB6F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33F9DC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D52B0D2">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C516B3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2BF6D8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80B42F9">
            <w:pPr>
              <w:widowControl/>
              <w:rPr>
                <w:rFonts w:hint="eastAsia" w:ascii="宋体" w:hAnsi="宋体" w:cs="宋体"/>
                <w:color w:val="auto"/>
                <w:kern w:val="0"/>
                <w:sz w:val="18"/>
                <w:szCs w:val="18"/>
                <w:highlight w:val="none"/>
              </w:rPr>
            </w:pPr>
          </w:p>
        </w:tc>
      </w:tr>
      <w:tr w14:paraId="27100D0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4BE34C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C4FCB2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E69245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3590FF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A4804B8">
            <w:pPr>
              <w:widowControl/>
              <w:rPr>
                <w:rFonts w:hint="eastAsia" w:ascii="宋体" w:hAnsi="宋体" w:cs="宋体"/>
                <w:color w:val="auto"/>
                <w:kern w:val="0"/>
                <w:sz w:val="18"/>
                <w:szCs w:val="18"/>
                <w:highlight w:val="none"/>
              </w:rPr>
            </w:pPr>
          </w:p>
        </w:tc>
      </w:tr>
      <w:tr w14:paraId="65D201B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84CAB8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6EC34F0">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9FFD22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375F66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6E1A68A">
            <w:pPr>
              <w:widowControl/>
              <w:rPr>
                <w:rFonts w:hint="eastAsia" w:ascii="宋体" w:hAnsi="宋体" w:cs="宋体"/>
                <w:color w:val="auto"/>
                <w:kern w:val="0"/>
                <w:sz w:val="18"/>
                <w:szCs w:val="18"/>
                <w:highlight w:val="none"/>
              </w:rPr>
            </w:pPr>
          </w:p>
        </w:tc>
      </w:tr>
      <w:tr w14:paraId="7CE0A3E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4E49E1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FCF09C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002AC3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57F25F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459293">
            <w:pPr>
              <w:widowControl/>
              <w:rPr>
                <w:rFonts w:hint="eastAsia" w:ascii="宋体" w:hAnsi="宋体" w:cs="宋体"/>
                <w:color w:val="auto"/>
                <w:kern w:val="0"/>
                <w:sz w:val="18"/>
                <w:szCs w:val="18"/>
                <w:highlight w:val="none"/>
              </w:rPr>
            </w:pPr>
          </w:p>
        </w:tc>
      </w:tr>
      <w:tr w14:paraId="336E5FF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2D64C70">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E26F34D">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11FFAC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3F7182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FC9CE4">
            <w:pPr>
              <w:widowControl/>
              <w:rPr>
                <w:rFonts w:hint="eastAsia" w:ascii="宋体" w:hAnsi="宋体" w:cs="宋体"/>
                <w:color w:val="auto"/>
                <w:kern w:val="0"/>
                <w:sz w:val="18"/>
                <w:szCs w:val="18"/>
                <w:highlight w:val="none"/>
              </w:rPr>
            </w:pPr>
          </w:p>
        </w:tc>
      </w:tr>
      <w:tr w14:paraId="283F2F4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44C16E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995EDB5">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695E8E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426427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23F2FDA">
            <w:pPr>
              <w:widowControl/>
              <w:rPr>
                <w:rFonts w:hint="eastAsia" w:ascii="宋体" w:hAnsi="宋体" w:cs="宋体"/>
                <w:color w:val="auto"/>
                <w:kern w:val="0"/>
                <w:sz w:val="18"/>
                <w:szCs w:val="18"/>
                <w:highlight w:val="none"/>
              </w:rPr>
            </w:pPr>
          </w:p>
        </w:tc>
      </w:tr>
      <w:tr w14:paraId="4C4FFD5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B723B6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647A58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9E1FF8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6FE189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32C3109">
            <w:pPr>
              <w:widowControl/>
              <w:rPr>
                <w:rFonts w:hint="eastAsia" w:ascii="宋体" w:hAnsi="宋体" w:cs="宋体"/>
                <w:color w:val="auto"/>
                <w:kern w:val="0"/>
                <w:sz w:val="18"/>
                <w:szCs w:val="18"/>
                <w:highlight w:val="none"/>
              </w:rPr>
            </w:pPr>
          </w:p>
        </w:tc>
      </w:tr>
      <w:tr w14:paraId="62028F6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6E8F2E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C2E645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2F297A9">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7CA24E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E3E807B">
            <w:pPr>
              <w:widowControl/>
              <w:rPr>
                <w:rFonts w:hint="eastAsia" w:ascii="宋体" w:hAnsi="宋体" w:cs="宋体"/>
                <w:color w:val="auto"/>
                <w:kern w:val="0"/>
                <w:sz w:val="18"/>
                <w:szCs w:val="18"/>
                <w:highlight w:val="none"/>
              </w:rPr>
            </w:pPr>
          </w:p>
        </w:tc>
      </w:tr>
      <w:tr w14:paraId="20453BE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D3F38A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99F6B3C">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E837A8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22942A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447C4A6">
            <w:pPr>
              <w:widowControl/>
              <w:rPr>
                <w:rFonts w:hint="eastAsia" w:ascii="宋体" w:hAnsi="宋体" w:cs="宋体"/>
                <w:color w:val="auto"/>
                <w:kern w:val="0"/>
                <w:sz w:val="18"/>
                <w:szCs w:val="18"/>
                <w:highlight w:val="none"/>
              </w:rPr>
            </w:pPr>
          </w:p>
        </w:tc>
      </w:tr>
      <w:tr w14:paraId="1EB3D58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CDA21F2">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2C7B9C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0E73C5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919130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7CB1F7A">
            <w:pPr>
              <w:widowControl/>
              <w:rPr>
                <w:rFonts w:hint="eastAsia" w:ascii="宋体" w:hAnsi="宋体" w:cs="宋体"/>
                <w:color w:val="auto"/>
                <w:kern w:val="0"/>
                <w:sz w:val="18"/>
                <w:szCs w:val="18"/>
                <w:highlight w:val="none"/>
              </w:rPr>
            </w:pPr>
          </w:p>
        </w:tc>
      </w:tr>
      <w:tr w14:paraId="51F4A79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9407C0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1BCC556">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0DDF1A">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C4A97E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04BF81">
            <w:pPr>
              <w:widowControl/>
              <w:rPr>
                <w:rFonts w:hint="eastAsia" w:ascii="宋体" w:hAnsi="宋体" w:cs="宋体"/>
                <w:color w:val="auto"/>
                <w:kern w:val="0"/>
                <w:sz w:val="18"/>
                <w:szCs w:val="18"/>
                <w:highlight w:val="none"/>
              </w:rPr>
            </w:pPr>
          </w:p>
        </w:tc>
      </w:tr>
      <w:tr w14:paraId="687704F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A164345">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1337638">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538C4D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C64512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CAAC5A6">
            <w:pPr>
              <w:widowControl/>
              <w:rPr>
                <w:rFonts w:hint="eastAsia" w:ascii="宋体" w:hAnsi="宋体" w:cs="宋体"/>
                <w:color w:val="auto"/>
                <w:kern w:val="0"/>
                <w:sz w:val="18"/>
                <w:szCs w:val="18"/>
                <w:highlight w:val="none"/>
              </w:rPr>
            </w:pPr>
          </w:p>
        </w:tc>
      </w:tr>
      <w:tr w14:paraId="044F09A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3C1670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03A0DF">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220091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F0C001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2FC5A29">
            <w:pPr>
              <w:widowControl/>
              <w:rPr>
                <w:rFonts w:hint="eastAsia" w:ascii="宋体" w:hAnsi="宋体" w:cs="宋体"/>
                <w:color w:val="auto"/>
                <w:kern w:val="0"/>
                <w:sz w:val="18"/>
                <w:szCs w:val="18"/>
                <w:highlight w:val="none"/>
              </w:rPr>
            </w:pPr>
          </w:p>
        </w:tc>
      </w:tr>
      <w:tr w14:paraId="25A6F95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D71902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2ACD911">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11F020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8A8A86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DDDA9AF">
            <w:pPr>
              <w:widowControl/>
              <w:rPr>
                <w:rFonts w:hint="eastAsia" w:ascii="宋体" w:hAnsi="宋体" w:cs="宋体"/>
                <w:color w:val="auto"/>
                <w:kern w:val="0"/>
                <w:sz w:val="18"/>
                <w:szCs w:val="18"/>
                <w:highlight w:val="none"/>
              </w:rPr>
            </w:pPr>
          </w:p>
        </w:tc>
      </w:tr>
      <w:tr w14:paraId="722DF61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A5FC43C">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45D14A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F625FB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55F135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BF56ADD">
            <w:pPr>
              <w:widowControl/>
              <w:rPr>
                <w:rFonts w:hint="eastAsia" w:ascii="宋体" w:hAnsi="宋体" w:cs="宋体"/>
                <w:color w:val="auto"/>
                <w:kern w:val="0"/>
                <w:sz w:val="18"/>
                <w:szCs w:val="18"/>
                <w:highlight w:val="none"/>
              </w:rPr>
            </w:pPr>
          </w:p>
        </w:tc>
      </w:tr>
      <w:tr w14:paraId="7AA2DAD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459D9E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00857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AE0540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D7981C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E807DA8">
            <w:pPr>
              <w:widowControl/>
              <w:rPr>
                <w:rFonts w:hint="eastAsia" w:ascii="宋体" w:hAnsi="宋体" w:cs="宋体"/>
                <w:color w:val="auto"/>
                <w:kern w:val="0"/>
                <w:sz w:val="18"/>
                <w:szCs w:val="18"/>
                <w:highlight w:val="none"/>
              </w:rPr>
            </w:pPr>
          </w:p>
        </w:tc>
      </w:tr>
      <w:tr w14:paraId="1AB0F7A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699A48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EEB45D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22818F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FC304B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9150769">
            <w:pPr>
              <w:widowControl/>
              <w:rPr>
                <w:rFonts w:hint="eastAsia" w:ascii="宋体" w:hAnsi="宋体" w:cs="宋体"/>
                <w:color w:val="auto"/>
                <w:kern w:val="0"/>
                <w:sz w:val="18"/>
                <w:szCs w:val="18"/>
                <w:highlight w:val="none"/>
              </w:rPr>
            </w:pPr>
          </w:p>
        </w:tc>
      </w:tr>
      <w:tr w14:paraId="7191E50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9C8C066">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B5698AE">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6C4C9B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8AB7C5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CB62AB">
            <w:pPr>
              <w:widowControl/>
              <w:rPr>
                <w:rFonts w:hint="eastAsia" w:ascii="宋体" w:hAnsi="宋体" w:cs="宋体"/>
                <w:color w:val="auto"/>
                <w:kern w:val="0"/>
                <w:sz w:val="18"/>
                <w:szCs w:val="18"/>
                <w:highlight w:val="none"/>
              </w:rPr>
            </w:pPr>
          </w:p>
        </w:tc>
      </w:tr>
      <w:tr w14:paraId="079BAA5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1E8F57E">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78DA329">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CE8BBB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539079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33CDE20">
            <w:pPr>
              <w:widowControl/>
              <w:rPr>
                <w:rFonts w:hint="eastAsia" w:ascii="宋体" w:hAnsi="宋体" w:cs="宋体"/>
                <w:color w:val="auto"/>
                <w:kern w:val="0"/>
                <w:sz w:val="18"/>
                <w:szCs w:val="18"/>
                <w:highlight w:val="none"/>
              </w:rPr>
            </w:pPr>
          </w:p>
        </w:tc>
      </w:tr>
      <w:tr w14:paraId="644D0FD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30A0373">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470C083">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2EDF72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E8583A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B017867">
            <w:pPr>
              <w:widowControl/>
              <w:rPr>
                <w:rFonts w:hint="eastAsia" w:ascii="宋体" w:hAnsi="宋体" w:cs="宋体"/>
                <w:color w:val="auto"/>
                <w:kern w:val="0"/>
                <w:sz w:val="18"/>
                <w:szCs w:val="18"/>
                <w:highlight w:val="none"/>
              </w:rPr>
            </w:pPr>
          </w:p>
        </w:tc>
      </w:tr>
      <w:tr w14:paraId="2D0E85E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1D22718">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DEAC2EB">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52D25A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ED4DD6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C8BF4BE">
            <w:pPr>
              <w:widowControl/>
              <w:rPr>
                <w:rFonts w:hint="eastAsia" w:ascii="宋体" w:hAnsi="宋体" w:cs="宋体"/>
                <w:color w:val="auto"/>
                <w:kern w:val="0"/>
                <w:sz w:val="18"/>
                <w:szCs w:val="18"/>
                <w:highlight w:val="none"/>
              </w:rPr>
            </w:pPr>
          </w:p>
        </w:tc>
      </w:tr>
      <w:tr w14:paraId="111A5BA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DBFADDF">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8B1E1D4">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686EE7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AD0CF6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33DDA34">
            <w:pPr>
              <w:widowControl/>
              <w:rPr>
                <w:rFonts w:hint="eastAsia" w:ascii="宋体" w:hAnsi="宋体" w:cs="宋体"/>
                <w:color w:val="auto"/>
                <w:kern w:val="0"/>
                <w:sz w:val="18"/>
                <w:szCs w:val="18"/>
                <w:highlight w:val="none"/>
              </w:rPr>
            </w:pPr>
          </w:p>
        </w:tc>
      </w:tr>
      <w:tr w14:paraId="3C04C84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637882D">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AFC6127">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4AF224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0FFDFC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385B3E2">
            <w:pPr>
              <w:widowControl/>
              <w:rPr>
                <w:rFonts w:hint="eastAsia" w:ascii="宋体" w:hAnsi="宋体" w:cs="宋体"/>
                <w:color w:val="auto"/>
                <w:kern w:val="0"/>
                <w:sz w:val="18"/>
                <w:szCs w:val="18"/>
                <w:highlight w:val="none"/>
              </w:rPr>
            </w:pPr>
          </w:p>
        </w:tc>
      </w:tr>
      <w:tr w14:paraId="79FC2AF2">
        <w:tblPrEx>
          <w:tblCellMar>
            <w:top w:w="0" w:type="dxa"/>
            <w:left w:w="108" w:type="dxa"/>
            <w:bottom w:w="0" w:type="dxa"/>
            <w:right w:w="108" w:type="dxa"/>
          </w:tblCellMar>
        </w:tblPrEx>
        <w:trPr>
          <w:trHeight w:val="1620" w:hRule="atLeast"/>
        </w:trPr>
        <w:tc>
          <w:tcPr>
            <w:tcW w:w="418" w:type="pct"/>
            <w:vMerge w:val="continue"/>
            <w:tcBorders>
              <w:top w:val="nil"/>
              <w:left w:val="single" w:color="auto" w:sz="4" w:space="0"/>
              <w:bottom w:val="single" w:color="auto" w:sz="4" w:space="0"/>
              <w:right w:val="single" w:color="auto" w:sz="4" w:space="0"/>
            </w:tcBorders>
            <w:vAlign w:val="center"/>
          </w:tcPr>
          <w:p w14:paraId="3BF759F4">
            <w:pPr>
              <w:widowControl/>
              <w:rPr>
                <w:rFonts w:hint="eastAsia" w:ascii="宋体" w:hAnsi="宋体" w:cs="宋体"/>
                <w:b w:val="0"/>
                <w:bCs w:val="0"/>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BAE3EEA">
            <w:pPr>
              <w:widowControl/>
              <w:rPr>
                <w:rFonts w:hint="eastAsia" w:ascii="宋体" w:hAnsi="宋体" w:cs="宋体"/>
                <w:b w:val="0"/>
                <w:bCs w:val="0"/>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A8D739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B9B882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ABE2D3D">
            <w:pPr>
              <w:widowControl/>
              <w:rPr>
                <w:rFonts w:hint="eastAsia" w:ascii="宋体" w:hAnsi="宋体" w:cs="宋体"/>
                <w:color w:val="auto"/>
                <w:kern w:val="0"/>
                <w:sz w:val="18"/>
                <w:szCs w:val="18"/>
                <w:highlight w:val="none"/>
              </w:rPr>
            </w:pPr>
          </w:p>
        </w:tc>
      </w:tr>
      <w:tr w14:paraId="77014B73">
        <w:tblPrEx>
          <w:tblCellMar>
            <w:top w:w="0" w:type="dxa"/>
            <w:left w:w="108" w:type="dxa"/>
            <w:bottom w:w="0" w:type="dxa"/>
            <w:right w:w="108" w:type="dxa"/>
          </w:tblCellMar>
        </w:tblPrEx>
        <w:trPr>
          <w:trHeight w:val="312" w:hRule="atLeast"/>
        </w:trPr>
        <w:tc>
          <w:tcPr>
            <w:tcW w:w="418" w:type="pct"/>
            <w:vMerge w:val="restart"/>
            <w:tcBorders>
              <w:top w:val="nil"/>
              <w:left w:val="single" w:color="auto" w:sz="4" w:space="0"/>
              <w:bottom w:val="single" w:color="auto" w:sz="4" w:space="0"/>
              <w:right w:val="single" w:color="auto" w:sz="4" w:space="0"/>
            </w:tcBorders>
            <w:shd w:val="clear" w:color="auto" w:fill="auto"/>
            <w:vAlign w:val="center"/>
          </w:tcPr>
          <w:p w14:paraId="38BD0072">
            <w:pPr>
              <w:widowControl/>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3.11</w:t>
            </w:r>
          </w:p>
        </w:tc>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7D8BFE67">
            <w:pPr>
              <w:widowControl/>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安全事件管理</w:t>
            </w:r>
          </w:p>
        </w:tc>
        <w:tc>
          <w:tcPr>
            <w:tcW w:w="3798"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372D2F4D">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1.事件多维分析:对当前和历史安全事件进行分析时提供多维度安全事件信息展现。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(1)时间维度分析:提供事件随时间变化的视图，包括发生频率、峰值时段和趋势，帮助识别周期性模式和历史对比，以支持预测和响应策略制定。</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(2)来源维度分析:识别事件来源，如内部人员、外部攻击者或第三方服务，通过IP地址、用户行为等数据追踪根源，加强访问控制和威胁溯源。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来源分类:综合利用IP地址信誉库、内部用户身份信息、行为基线等数据，对事件来源进行自动化识别与分类（如内部误操作、外部攻击、第三方风险）。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来源信息:基于识别出的来源信息，展示相关登录日志、操作记录等上下文。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(3)类型维度分析:分类事件类型，例如DDoS攻击、数据泄露或恶意软件感染，便于针对性分析响应措施，并优化安全策略和资源分配。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安全事件分类与特征库:建立和完善基于行业标准（如ATT&amp;CK）的安全事件分类体系与特征库，开发事件自动分类引擎，根据告警特征、攻击载荷等信息，将原始告警归类到如DDoS、数据泄露、恶意软件等具体事件类型中。</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响应措施库:构建对应的标准化响应措施知识库。在进行类型维度分析时，系统能自动关联展示该类事件的典型处置流程。于各类事件的频发程度和处置效果，生成安全策略（如规则库、巡检重点）的优化调整建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(4)影响维度分析:评估事件对业务的影响程度，包括数据损失、系统停机时间或财务损失，优先处理高风险事件并制定恢复计划。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(5)地理位置维度:显示事件的地理分布，通过地图可视化识别攻击热点区域和跨国威胁，辅助全球安全态势感知和区域防御部署。</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(6)资产关联分析:关联事件与受影响的资产，如服务器、应用程序或网络设备，分析漏洞和依赖关系，提升资产保护优先级和风险管理。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(7)趋势预测分析:基于历史数据预测未来事件趋势，使用统计模型和机器学习识别潜在威胁，实现主动安全策略和资源规划。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(8)多维报告生成:自动生成综合报告，整合时间、来源、类型等多维度数据，提供可视化图表和摘要，便于决策者快速掌握安全状况。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报告模板及时间范围:可生成日报、周报、月报季报、年报；实现报表模板的引用，应能够自定义报表时间范围。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报告下载:实现PDF、Word、HTML三种格式的报表下载。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报告通知:实现通过邮件、短信、消息中心等通知指定责任人。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2.日志关联聚合:从攻击链和威胁场景等角度自动聚合和关联各安全产品的安全告警日志和相关上下文信息展示攻击过程、安全风险。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(1)多源日志归一化:从防火墙、IDS、EDR等各类安全产品采集原始日志，进行解析、清洗和字段标准化，转换为统一的数据模型，为后续关联分析奠定基础。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日志解析:提供信息预处理功能，可以通过简捷配置相关解析规则、过滤规则、富化规则，来达到归一化、过滤、丰富、分类日志信息的目的。</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解析插件:提供解析插件，可供解析规则引用，来进行日志格式范式化，为复杂场景下，日志解析归一化提供了解决方案。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(2)安全事件关联引擎:基于预定义的规则、攻击模式（如MITRE ATT&amp;CK）或统计学方法，将离散的告警日志进行关联，识别出属于同一攻击活动的事件序列。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(3)攻击链视角可视化:将关联后的事件序列映射到诸如Kill Chain或MITRE ATT&amp;CK等攻击链框架上，以时间线或攻击阶段图的形式直观展示攻击者的完整战术路径。</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攻击链分析结果呈现:攻击链分析的结果按照侦察、入侵、命令控制、横向渗透、数据外泄、痕迹清理等攻击阶段，分别展示每个阶段所对应的全量告警数据，并提供阶段模式查看详细的告警详情，能够对告警重新定义所属攻击链阶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分析引擎管理:实现在线和离线的分析规则，规则类型包括但不限于穿透、威胁情报、关联统计、序列、灵活配置、基线-日志统计、基线-行为统计等。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规则管理:实现对分析规则模型的统一管理，内置800+个不同类型的规则，实现规则分类管理，包括但不限于：有害程序、攻击利用、信息破坏、内容安全、拒绝服务、异常活动、信息收集、安全隐患、可用性、后渗透行为等规则分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策略管理:实现规则设计和运行中，基于统一的告警数据标准，进行标准化的告警生成、告警归并、告警后续动作和统计的策略模板配置和管理能力。系统能够自定义策略模板功能，包括告警生成策略模板、告警归并策略模板、后置配置模板、规则统计策略模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资源管理:实现对规则设计和运行时引用资源（IP地址、端口、时间、字符串、本地表等）进行自定义配置，从而实现告警的过滤降噪能力。设置资源的有效时间范围，包括永久有效、在此时间之前有效、自第一次出现起、自最近一次出现起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运行管理:实现对分析模型的运行状态监控和管理，包括任务的启动、批量启动、任务停止、任务删除、批量删除等。对于当前分析任务的统计分析，包括任务总数、运行中、运行失败、运行结束等任务数量的统计。基于系统时间周期（当天、最近7天、最近14天、最近30天）内分析引擎产生的命中告警、生成告警和归并告警的统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(4)威胁场景剧本化:预置针对不同威胁场景（如勒索软件、横向移动、数据泄露）的分析剧本，自动匹配并聚合符合该场景特征的告警，快速定位特定类型风险。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网络攻击分析场景:实现网络攻击预测、HTTP Flood、UDP Flood、HTTPS Flood、ACK Flood、ICMP Flood攻击威胁检测和呈现，以及针对网络攻击威胁趋势发展情况进行呈现。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异常访问分析场景:本场景实现检测发现网络和应用稳定性不足或者违规访问产生的异常访问行为，主要有违规访问，网络爬虫、代理、隧道等行为。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敏感数据分析场景:本场景实现针对各监测设备敏感数据类告警日志，发现异常的数据下载数据外发传输等疑似数据异常行为；以及可以直接造成敏感数据泄露的漏洞，包括任意文件读取、任意文件下载、任意文件操作、网站文件遍历、敏感页面信息泄露、敏感接口信息泄露。</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(5)安全实体行为分析:聚焦于用户、主机、IP等关键安全实体，聚合其相关的所有安全事件，分析其异常行为轨迹，从而识别出潜在的内部威胁或已失陷主机。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黑IP库:通过高危IP研判后到数据自动同步或人工同步到黑IP库中进行记录留存，对同一IP进行碰撞分析，对IP发现时间、数据来源、IP信息、历史处置状态、历史出现的场景、历史出现的工作任务、标签进行留存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高危IP管理:高危IP画像信息富化，包括IP基本信息、详细信息、IP告警信息、多源情报信息、攻击者画像信息；通过时间、IP、场景、是否富化等条件进行检索。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(6)上下文信息关联:自动为安全告警附加丰富的上下文信息，如资产关键性、漏洞信息、威胁情报（IoC），帮助分析师快速评估事件的影响范围和严重等级。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告警归并:能够查看告警具体的生成规则、归并规则和归并前的原始告警的具体内容，能够针对归并前告警的攻击频率统计和基于时间序列进行分析。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告警内容展示:分析的各阶段的告警具体内容展示，包括告警分析、告警标注、详情查看、告警删除等操作。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攻击结果展示:呈现攻击过程中分析出的相关结果，展示内容包括：首次发现时间、最近发生时间、威胁名称、受害IP、攻击IP、威胁级别、确信度、攻击结果和分析结果。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(7)安全事件聚合去噪:将来自同一源头、在短时间内重复触发的大量相同告警聚合为一个“事件组”，有效降低告警数量，避免告警疲劳，突出显示真正的威胁。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白名单过滤:通过人工排查可信赖的白名单设备，从而排除更多的白名单IP相关告警，以管理视角来排除研判噪声。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单条可信IP:添加单条可信IP方式来去噪声，输入单位名称、区域、IP地址、场景、备注信息来生成一条IP相关的去噪声信息。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批量去噪声:通过系统提供的下载模板，填写模板，再将信息通过上传导入的方式进行批量导入去噪声的IP</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(8)根因分析与影响面评估:通过分析事件间的因果关系，定位攻击的起始点和根本原因，并自动分析确定受此攻击影响的所有相关资产与数据，辅助制定遏制方案。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事件管理:事件管理是基于各类告警进行分析确认后形成的安全事件进行管理，平台符合中央网信办的安全事件标准和工作流程，实现安全事件的统一管理、灵活的检索和配置能力。</w:t>
            </w:r>
            <w:r>
              <w:rPr>
                <w:rFonts w:hint="eastAsia" w:ascii="宋体" w:hAnsi="宋体" w:cs="宋体"/>
                <w:color w:val="auto"/>
                <w:kern w:val="0"/>
                <w:sz w:val="18"/>
                <w:szCs w:val="18"/>
                <w:highlight w:val="none"/>
                <w:lang w:val="en-US" w:eastAsia="zh-CN"/>
              </w:rPr>
              <w:t>对</w:t>
            </w:r>
            <w:r>
              <w:rPr>
                <w:rFonts w:hint="eastAsia" w:ascii="宋体" w:hAnsi="宋体" w:cs="宋体"/>
                <w:color w:val="auto"/>
                <w:kern w:val="0"/>
                <w:sz w:val="18"/>
                <w:szCs w:val="18"/>
                <w:highlight w:val="none"/>
              </w:rPr>
              <w:t>事件内容和排版进行自定义配置，满足不同场景的需求。能够展示安全事件的详细信息。并启动相应的处置动作，同时具备快速的上报事件和自定义上报字段等能力。</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事件审核:实现对事件进行审核。包括“通过、不通过、无需处置”以及相应的审核结论。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事件处置:实现事件进行后续处置，包括认领、分配、启动通报、启动应急和关联应急等。实现记录事件处置进展（包括时间日期、用户、操作、事件状态和事件状态描述等）和事件的操作动作记录（包括用户、访问IP、操作动作、操作内容、操作结果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事件退回:事件是审核后事件被退回的流程操作，被退回的事件可编辑修改，以及再次发起重新上报或删除操作。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事件详情:实现查看事件的详情进行分析，包括事件的基本信息、关联信息、举证信息、要素信息、处置进展、操作记录、补充信息等。事件基本信息包括：事件标题、事件一级分类、事件二级分类、事件标签列表、事件等级、上报单位、事件描述、发现时间、事发单位及系统功能描述、事态发展概述及初判原因、响应处置要求、处置建议等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事件回收站:事件管理过程中对已经删除的事件进行管理，删除的事件信息会自动进入到事件回收站中，进行存留。删除的事件可以通过结合业务实际情况和业务实际场景对删除的事件进行核实具体情况，可以进行详情查看、恢复，或者彻底删除等相关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事件配置管理:系统能够对事件相关的字段进行自定义配置，将事件详情字段进行维护</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包括</w:t>
            </w:r>
            <w:r>
              <w:rPr>
                <w:rFonts w:hint="eastAsia" w:ascii="宋体" w:hAnsi="宋体" w:cs="宋体"/>
                <w:color w:val="auto"/>
                <w:kern w:val="0"/>
                <w:sz w:val="18"/>
                <w:szCs w:val="18"/>
                <w:highlight w:val="none"/>
                <w:lang w:val="en-US" w:eastAsia="zh-CN"/>
              </w:rPr>
              <w:t>但</w:t>
            </w:r>
            <w:r>
              <w:rPr>
                <w:rFonts w:hint="eastAsia" w:ascii="宋体" w:hAnsi="宋体" w:cs="宋体"/>
                <w:color w:val="auto"/>
                <w:kern w:val="0"/>
                <w:sz w:val="18"/>
                <w:szCs w:val="18"/>
                <w:highlight w:val="none"/>
              </w:rPr>
              <w:t>不限于：新增、变更、删除等操作。包括中文名称、中文别名、英文名称、字段类型、字段描述和是否为检索字段等。支持通过事件详情内容的字段进行位置排版、字段的维护名称新增、变更、废弃等进行维护处理。支持对事件页面的页签进行配置，包括新增页签、显示文字、是否显示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3.安全事件列表展示:以发生时间顺序展现安全事件列表，可查看事件相应事件研判人员能够以可视化方式分析安全事件发生过程。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(1)事件编辑:实现以数据列表的方式呈现安全事件信息，并实现添加事件、查询、复制、提交、审核、重新上报、删除、查看详情、导入、导出、批量审核、批量删除操作。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(2)事件详情:数据列表显示数据包括事件标题、一级分类、二级分类、创建人、发现时间、上报单位、事件描述、事件影响范围、攻击者相关信息、受害者相关信息等信息。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(3)事件处置流程状态:数据列表根据事件处置流程状态分类显示，包括待提交、待研判、被退回、待处置、处置中、已处置以及全部。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(4)事件信息维护:针对事件添加和编辑操作时，可对事件的创建时间、创建人、上报单位、发现时间、事件分类、事件标题、事件描述、举证信息、要素信息、补充信息进行运营维护。；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4.安全事件通知:支持安全事件通知功能。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(1)通报信息统计:实现以通报发送者视角，集中展示和统计发出的通报，统计信息通报包括全部数量、待提交数量、被退回数量、已提交数量；支持查询、批量删除、批量打标签、查看详情等操作。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(2)通报列表展示:根据当前用户发送的通报，以列表形式进行展示，列表字段包含：指令编号、指令标题、创建时间、状态、执行方、操作，操作支持查看详情。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(3)通报指令标签:实现对指令批量打标签，标签支持自定义。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(4)通报接收信息查看:实现以通报接收方视角，集中展示收到的通报信息，并支持查看详情、执行操作。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5.事件工单联动:联动工单模块可根据事件属性通知不同人员进行处置。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6.事件一键封堵指令生成:对安全事件的攻击IP生成并下发一键封堵指令，实现自动封堵SOAR功能，支持政务云现有所有安全设备。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7.事件处置跟踪闭环:通过事件状态跟踪事件处置时效和情况，形成事件处置闭环。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事件填报:实现事件的填报，填报符合国家事件上报标准，包括事件标题、事件一级分类、事件二级分类、事件标签列表、事件等级、上报单位、事件描述、发现时间、事发单位及系统功能描述、事态发展概述及初判原因、响应处置要求、处置建议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(2)事件审核:实现对事件进行审核。包括“通过、不通过、无需处置”以及相应的审核结论。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事件处置:实现进行事件后续处置，包括认领、分配、启动通报、启动应急和关联应急等。支持记录事件处置进展（包括时间日期、用户、操作、事件状态和事件状态描述等）和事件的操作动作记录（包括用户、访问IP、操作动作、操作内容、操作结果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(4)事件退回:事件是审核后事件被退回的流程操作，被退回的事件支持应能够编辑修改，以及再次发起重新上报或删除操作。</w:t>
            </w:r>
          </w:p>
        </w:tc>
        <w:tc>
          <w:tcPr>
            <w:tcW w:w="145" w:type="pct"/>
            <w:vMerge w:val="restart"/>
            <w:tcBorders>
              <w:top w:val="nil"/>
              <w:left w:val="single" w:color="auto" w:sz="4" w:space="0"/>
              <w:bottom w:val="single" w:color="auto" w:sz="4" w:space="0"/>
              <w:right w:val="single" w:color="auto" w:sz="4" w:space="0"/>
            </w:tcBorders>
            <w:shd w:val="clear" w:color="auto" w:fill="auto"/>
            <w:vAlign w:val="center"/>
          </w:tcPr>
          <w:p w14:paraId="7BA5AD17">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auto" w:sz="4" w:space="0"/>
              <w:right w:val="single" w:color="auto" w:sz="4" w:space="0"/>
            </w:tcBorders>
            <w:shd w:val="clear" w:color="auto" w:fill="auto"/>
            <w:vAlign w:val="center"/>
          </w:tcPr>
          <w:p w14:paraId="5743328D">
            <w:pPr>
              <w:widowControl/>
              <w:jc w:val="center"/>
              <w:rPr>
                <w:rFonts w:hint="eastAsia" w:ascii="宋体" w:hAnsi="宋体" w:cs="宋体"/>
                <w:color w:val="auto"/>
                <w:kern w:val="0"/>
                <w:sz w:val="18"/>
                <w:szCs w:val="18"/>
                <w:highlight w:val="none"/>
              </w:rPr>
            </w:pPr>
          </w:p>
        </w:tc>
      </w:tr>
      <w:tr w14:paraId="30D8BF0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E631795">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0E83758">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65D671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3B84CC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C225F89">
            <w:pPr>
              <w:widowControl/>
              <w:rPr>
                <w:rFonts w:hint="eastAsia" w:ascii="宋体" w:hAnsi="宋体" w:cs="宋体"/>
                <w:color w:val="auto"/>
                <w:kern w:val="0"/>
                <w:sz w:val="18"/>
                <w:szCs w:val="18"/>
                <w:highlight w:val="none"/>
              </w:rPr>
            </w:pPr>
          </w:p>
        </w:tc>
      </w:tr>
      <w:tr w14:paraId="332122F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1CB9C65">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B4EB711">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A996DF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E7DB12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34724C">
            <w:pPr>
              <w:widowControl/>
              <w:rPr>
                <w:rFonts w:hint="eastAsia" w:ascii="宋体" w:hAnsi="宋体" w:cs="宋体"/>
                <w:color w:val="auto"/>
                <w:kern w:val="0"/>
                <w:sz w:val="18"/>
                <w:szCs w:val="18"/>
                <w:highlight w:val="none"/>
              </w:rPr>
            </w:pPr>
          </w:p>
        </w:tc>
      </w:tr>
      <w:tr w14:paraId="752D3F9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1F454F0">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DFC387C">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B1BB73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AB1048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BD93E22">
            <w:pPr>
              <w:widowControl/>
              <w:rPr>
                <w:rFonts w:hint="eastAsia" w:ascii="宋体" w:hAnsi="宋体" w:cs="宋体"/>
                <w:color w:val="auto"/>
                <w:kern w:val="0"/>
                <w:sz w:val="18"/>
                <w:szCs w:val="18"/>
                <w:highlight w:val="none"/>
              </w:rPr>
            </w:pPr>
          </w:p>
        </w:tc>
      </w:tr>
      <w:tr w14:paraId="47523AC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2AD25DF">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7DBB622">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84CA56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332459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704068B">
            <w:pPr>
              <w:widowControl/>
              <w:rPr>
                <w:rFonts w:hint="eastAsia" w:ascii="宋体" w:hAnsi="宋体" w:cs="宋体"/>
                <w:color w:val="auto"/>
                <w:kern w:val="0"/>
                <w:sz w:val="18"/>
                <w:szCs w:val="18"/>
                <w:highlight w:val="none"/>
              </w:rPr>
            </w:pPr>
          </w:p>
        </w:tc>
      </w:tr>
      <w:tr w14:paraId="457C440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D6A5706">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65AE15E">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56E6F6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7B6B13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480F5A9">
            <w:pPr>
              <w:widowControl/>
              <w:rPr>
                <w:rFonts w:hint="eastAsia" w:ascii="宋体" w:hAnsi="宋体" w:cs="宋体"/>
                <w:color w:val="auto"/>
                <w:kern w:val="0"/>
                <w:sz w:val="18"/>
                <w:szCs w:val="18"/>
                <w:highlight w:val="none"/>
              </w:rPr>
            </w:pPr>
          </w:p>
        </w:tc>
      </w:tr>
      <w:tr w14:paraId="2C2ADF2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27AA95B">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4D7147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D14065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ED7BAD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16EF9F6">
            <w:pPr>
              <w:widowControl/>
              <w:rPr>
                <w:rFonts w:hint="eastAsia" w:ascii="宋体" w:hAnsi="宋体" w:cs="宋体"/>
                <w:color w:val="auto"/>
                <w:kern w:val="0"/>
                <w:sz w:val="18"/>
                <w:szCs w:val="18"/>
                <w:highlight w:val="none"/>
              </w:rPr>
            </w:pPr>
          </w:p>
        </w:tc>
      </w:tr>
      <w:tr w14:paraId="01EF109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C29E9A">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3809583">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94E527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A1661F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05FB35D">
            <w:pPr>
              <w:widowControl/>
              <w:rPr>
                <w:rFonts w:hint="eastAsia" w:ascii="宋体" w:hAnsi="宋体" w:cs="宋体"/>
                <w:color w:val="auto"/>
                <w:kern w:val="0"/>
                <w:sz w:val="18"/>
                <w:szCs w:val="18"/>
                <w:highlight w:val="none"/>
              </w:rPr>
            </w:pPr>
          </w:p>
        </w:tc>
      </w:tr>
      <w:tr w14:paraId="6D20890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AF6B91B">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65F768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BD3584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122517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624B7CB">
            <w:pPr>
              <w:widowControl/>
              <w:rPr>
                <w:rFonts w:hint="eastAsia" w:ascii="宋体" w:hAnsi="宋体" w:cs="宋体"/>
                <w:color w:val="auto"/>
                <w:kern w:val="0"/>
                <w:sz w:val="18"/>
                <w:szCs w:val="18"/>
                <w:highlight w:val="none"/>
              </w:rPr>
            </w:pPr>
          </w:p>
        </w:tc>
      </w:tr>
      <w:tr w14:paraId="641C47C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0030A14">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81D9426">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AB6AEB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4E9C3F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5CBAAE8">
            <w:pPr>
              <w:widowControl/>
              <w:rPr>
                <w:rFonts w:hint="eastAsia" w:ascii="宋体" w:hAnsi="宋体" w:cs="宋体"/>
                <w:color w:val="auto"/>
                <w:kern w:val="0"/>
                <w:sz w:val="18"/>
                <w:szCs w:val="18"/>
                <w:highlight w:val="none"/>
              </w:rPr>
            </w:pPr>
          </w:p>
        </w:tc>
      </w:tr>
      <w:tr w14:paraId="1BB3124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F1EC15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C7B7340">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8BF4E3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4D31DA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6ECB4A4">
            <w:pPr>
              <w:widowControl/>
              <w:rPr>
                <w:rFonts w:hint="eastAsia" w:ascii="宋体" w:hAnsi="宋体" w:cs="宋体"/>
                <w:color w:val="auto"/>
                <w:kern w:val="0"/>
                <w:sz w:val="18"/>
                <w:szCs w:val="18"/>
                <w:highlight w:val="none"/>
              </w:rPr>
            </w:pPr>
          </w:p>
        </w:tc>
      </w:tr>
      <w:tr w14:paraId="44A45CC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E9BD4A5">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22FD80D">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D3D97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894280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1744342">
            <w:pPr>
              <w:widowControl/>
              <w:rPr>
                <w:rFonts w:hint="eastAsia" w:ascii="宋体" w:hAnsi="宋体" w:cs="宋体"/>
                <w:color w:val="auto"/>
                <w:kern w:val="0"/>
                <w:sz w:val="18"/>
                <w:szCs w:val="18"/>
                <w:highlight w:val="none"/>
              </w:rPr>
            </w:pPr>
          </w:p>
        </w:tc>
      </w:tr>
      <w:tr w14:paraId="4BBDCC3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7A5DE5D">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6EEDBAB">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B12018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2BA429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378FD4D">
            <w:pPr>
              <w:widowControl/>
              <w:rPr>
                <w:rFonts w:hint="eastAsia" w:ascii="宋体" w:hAnsi="宋体" w:cs="宋体"/>
                <w:color w:val="auto"/>
                <w:kern w:val="0"/>
                <w:sz w:val="18"/>
                <w:szCs w:val="18"/>
                <w:highlight w:val="none"/>
              </w:rPr>
            </w:pPr>
          </w:p>
        </w:tc>
      </w:tr>
      <w:tr w14:paraId="539D14D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2F3CC98">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F91ED6C">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66B16C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4737E7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00D6DF">
            <w:pPr>
              <w:widowControl/>
              <w:rPr>
                <w:rFonts w:hint="eastAsia" w:ascii="宋体" w:hAnsi="宋体" w:cs="宋体"/>
                <w:color w:val="auto"/>
                <w:kern w:val="0"/>
                <w:sz w:val="18"/>
                <w:szCs w:val="18"/>
                <w:highlight w:val="none"/>
              </w:rPr>
            </w:pPr>
          </w:p>
        </w:tc>
      </w:tr>
      <w:tr w14:paraId="04F8029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D1242B">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0A4B83B">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E44D56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686181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7256708">
            <w:pPr>
              <w:widowControl/>
              <w:rPr>
                <w:rFonts w:hint="eastAsia" w:ascii="宋体" w:hAnsi="宋体" w:cs="宋体"/>
                <w:color w:val="auto"/>
                <w:kern w:val="0"/>
                <w:sz w:val="18"/>
                <w:szCs w:val="18"/>
                <w:highlight w:val="none"/>
              </w:rPr>
            </w:pPr>
          </w:p>
        </w:tc>
      </w:tr>
      <w:tr w14:paraId="10A74D6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6B4D5B0">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74B16D1">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BD9D2A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B32181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0E3FAC4">
            <w:pPr>
              <w:widowControl/>
              <w:rPr>
                <w:rFonts w:hint="eastAsia" w:ascii="宋体" w:hAnsi="宋体" w:cs="宋体"/>
                <w:color w:val="auto"/>
                <w:kern w:val="0"/>
                <w:sz w:val="18"/>
                <w:szCs w:val="18"/>
                <w:highlight w:val="none"/>
              </w:rPr>
            </w:pPr>
          </w:p>
        </w:tc>
      </w:tr>
      <w:tr w14:paraId="39FB8309">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F41C21B">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19E32D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F28412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DF18C7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EBDCC52">
            <w:pPr>
              <w:widowControl/>
              <w:rPr>
                <w:rFonts w:hint="eastAsia" w:ascii="宋体" w:hAnsi="宋体" w:cs="宋体"/>
                <w:color w:val="auto"/>
                <w:kern w:val="0"/>
                <w:sz w:val="18"/>
                <w:szCs w:val="18"/>
                <w:highlight w:val="none"/>
              </w:rPr>
            </w:pPr>
          </w:p>
        </w:tc>
      </w:tr>
      <w:tr w14:paraId="18B71C2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2FDF72F">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D7BA6F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E40C1C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D231AE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6B0C2B7">
            <w:pPr>
              <w:widowControl/>
              <w:rPr>
                <w:rFonts w:hint="eastAsia" w:ascii="宋体" w:hAnsi="宋体" w:cs="宋体"/>
                <w:color w:val="auto"/>
                <w:kern w:val="0"/>
                <w:sz w:val="18"/>
                <w:szCs w:val="18"/>
                <w:highlight w:val="none"/>
              </w:rPr>
            </w:pPr>
          </w:p>
        </w:tc>
      </w:tr>
      <w:tr w14:paraId="547E749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B1A5FE8">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5EA68B0">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A78B04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E62923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96FF5CA">
            <w:pPr>
              <w:widowControl/>
              <w:rPr>
                <w:rFonts w:hint="eastAsia" w:ascii="宋体" w:hAnsi="宋体" w:cs="宋体"/>
                <w:color w:val="auto"/>
                <w:kern w:val="0"/>
                <w:sz w:val="18"/>
                <w:szCs w:val="18"/>
                <w:highlight w:val="none"/>
              </w:rPr>
            </w:pPr>
          </w:p>
        </w:tc>
      </w:tr>
      <w:tr w14:paraId="03E107C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8852AF7">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4EF1779">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07FB38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48F3D6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6F8E0A2">
            <w:pPr>
              <w:widowControl/>
              <w:rPr>
                <w:rFonts w:hint="eastAsia" w:ascii="宋体" w:hAnsi="宋体" w:cs="宋体"/>
                <w:color w:val="auto"/>
                <w:kern w:val="0"/>
                <w:sz w:val="18"/>
                <w:szCs w:val="18"/>
                <w:highlight w:val="none"/>
              </w:rPr>
            </w:pPr>
          </w:p>
        </w:tc>
      </w:tr>
      <w:tr w14:paraId="14166F0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C0267DE">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F6AAD8C">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035E34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49A9C1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11BFD09">
            <w:pPr>
              <w:widowControl/>
              <w:rPr>
                <w:rFonts w:hint="eastAsia" w:ascii="宋体" w:hAnsi="宋体" w:cs="宋体"/>
                <w:color w:val="auto"/>
                <w:kern w:val="0"/>
                <w:sz w:val="18"/>
                <w:szCs w:val="18"/>
                <w:highlight w:val="none"/>
              </w:rPr>
            </w:pPr>
          </w:p>
        </w:tc>
      </w:tr>
      <w:tr w14:paraId="0AD99E7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49DD7B7">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D1581EA">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E85EEA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A6CF61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1643D2F">
            <w:pPr>
              <w:widowControl/>
              <w:rPr>
                <w:rFonts w:hint="eastAsia" w:ascii="宋体" w:hAnsi="宋体" w:cs="宋体"/>
                <w:color w:val="auto"/>
                <w:kern w:val="0"/>
                <w:sz w:val="18"/>
                <w:szCs w:val="18"/>
                <w:highlight w:val="none"/>
              </w:rPr>
            </w:pPr>
          </w:p>
        </w:tc>
      </w:tr>
      <w:tr w14:paraId="0CAA4BC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46F19CC">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2AD0F29">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0C21DA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990EBC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FED3D8E">
            <w:pPr>
              <w:widowControl/>
              <w:rPr>
                <w:rFonts w:hint="eastAsia" w:ascii="宋体" w:hAnsi="宋体" w:cs="宋体"/>
                <w:color w:val="auto"/>
                <w:kern w:val="0"/>
                <w:sz w:val="18"/>
                <w:szCs w:val="18"/>
                <w:highlight w:val="none"/>
              </w:rPr>
            </w:pPr>
          </w:p>
        </w:tc>
      </w:tr>
      <w:tr w14:paraId="03042DF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2412147">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C16F888">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885982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E78F6A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F9AB0B8">
            <w:pPr>
              <w:widowControl/>
              <w:rPr>
                <w:rFonts w:hint="eastAsia" w:ascii="宋体" w:hAnsi="宋体" w:cs="宋体"/>
                <w:color w:val="auto"/>
                <w:kern w:val="0"/>
                <w:sz w:val="18"/>
                <w:szCs w:val="18"/>
                <w:highlight w:val="none"/>
              </w:rPr>
            </w:pPr>
          </w:p>
        </w:tc>
      </w:tr>
      <w:tr w14:paraId="604C536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243413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B7F4EA9">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30B7CC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9A6FBA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BD74A0F">
            <w:pPr>
              <w:widowControl/>
              <w:rPr>
                <w:rFonts w:hint="eastAsia" w:ascii="宋体" w:hAnsi="宋体" w:cs="宋体"/>
                <w:color w:val="auto"/>
                <w:kern w:val="0"/>
                <w:sz w:val="18"/>
                <w:szCs w:val="18"/>
                <w:highlight w:val="none"/>
              </w:rPr>
            </w:pPr>
          </w:p>
        </w:tc>
      </w:tr>
      <w:tr w14:paraId="560C09E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C079467">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6C1E7D1">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C00077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318C66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9B0B033">
            <w:pPr>
              <w:widowControl/>
              <w:rPr>
                <w:rFonts w:hint="eastAsia" w:ascii="宋体" w:hAnsi="宋体" w:cs="宋体"/>
                <w:color w:val="auto"/>
                <w:kern w:val="0"/>
                <w:sz w:val="18"/>
                <w:szCs w:val="18"/>
                <w:highlight w:val="none"/>
              </w:rPr>
            </w:pPr>
          </w:p>
        </w:tc>
      </w:tr>
      <w:tr w14:paraId="4247324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B1D0DD5">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D684DE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16002E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B87929C">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907FE1E">
            <w:pPr>
              <w:widowControl/>
              <w:rPr>
                <w:rFonts w:hint="eastAsia" w:ascii="宋体" w:hAnsi="宋体" w:cs="宋体"/>
                <w:color w:val="auto"/>
                <w:kern w:val="0"/>
                <w:sz w:val="18"/>
                <w:szCs w:val="18"/>
                <w:highlight w:val="none"/>
              </w:rPr>
            </w:pPr>
          </w:p>
        </w:tc>
      </w:tr>
      <w:tr w14:paraId="5E49299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1F07BB0">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BB18355">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A24D0A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319F36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1C143FE">
            <w:pPr>
              <w:widowControl/>
              <w:rPr>
                <w:rFonts w:hint="eastAsia" w:ascii="宋体" w:hAnsi="宋体" w:cs="宋体"/>
                <w:color w:val="auto"/>
                <w:kern w:val="0"/>
                <w:sz w:val="18"/>
                <w:szCs w:val="18"/>
                <w:highlight w:val="none"/>
              </w:rPr>
            </w:pPr>
          </w:p>
        </w:tc>
      </w:tr>
      <w:tr w14:paraId="26A23C2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4A9BF8C">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86A398C">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59C34E7">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7FB755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9728963">
            <w:pPr>
              <w:widowControl/>
              <w:rPr>
                <w:rFonts w:hint="eastAsia" w:ascii="宋体" w:hAnsi="宋体" w:cs="宋体"/>
                <w:color w:val="auto"/>
                <w:kern w:val="0"/>
                <w:sz w:val="18"/>
                <w:szCs w:val="18"/>
                <w:highlight w:val="none"/>
              </w:rPr>
            </w:pPr>
          </w:p>
        </w:tc>
      </w:tr>
      <w:tr w14:paraId="48FDD5A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AF90088">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CCB038A">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2D8014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29DD0C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60D5D03">
            <w:pPr>
              <w:widowControl/>
              <w:rPr>
                <w:rFonts w:hint="eastAsia" w:ascii="宋体" w:hAnsi="宋体" w:cs="宋体"/>
                <w:color w:val="auto"/>
                <w:kern w:val="0"/>
                <w:sz w:val="18"/>
                <w:szCs w:val="18"/>
                <w:highlight w:val="none"/>
              </w:rPr>
            </w:pPr>
          </w:p>
        </w:tc>
      </w:tr>
      <w:tr w14:paraId="56AE989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B292603">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E70F357">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07C60D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89963F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4409B9D">
            <w:pPr>
              <w:widowControl/>
              <w:rPr>
                <w:rFonts w:hint="eastAsia" w:ascii="宋体" w:hAnsi="宋体" w:cs="宋体"/>
                <w:color w:val="auto"/>
                <w:kern w:val="0"/>
                <w:sz w:val="18"/>
                <w:szCs w:val="18"/>
                <w:highlight w:val="none"/>
              </w:rPr>
            </w:pPr>
          </w:p>
        </w:tc>
      </w:tr>
      <w:tr w14:paraId="35DBBAA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618DE60">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596B0A6">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21DF46D">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D210F5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942C44">
            <w:pPr>
              <w:widowControl/>
              <w:rPr>
                <w:rFonts w:hint="eastAsia" w:ascii="宋体" w:hAnsi="宋体" w:cs="宋体"/>
                <w:color w:val="auto"/>
                <w:kern w:val="0"/>
                <w:sz w:val="18"/>
                <w:szCs w:val="18"/>
                <w:highlight w:val="none"/>
              </w:rPr>
            </w:pPr>
          </w:p>
        </w:tc>
      </w:tr>
      <w:tr w14:paraId="2A42F6F2">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7BC7122">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6632B05">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A96D36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931397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E9CAFF0">
            <w:pPr>
              <w:widowControl/>
              <w:rPr>
                <w:rFonts w:hint="eastAsia" w:ascii="宋体" w:hAnsi="宋体" w:cs="宋体"/>
                <w:color w:val="auto"/>
                <w:kern w:val="0"/>
                <w:sz w:val="18"/>
                <w:szCs w:val="18"/>
                <w:highlight w:val="none"/>
              </w:rPr>
            </w:pPr>
          </w:p>
        </w:tc>
      </w:tr>
      <w:tr w14:paraId="25DCA66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98ABEFE">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2FE462F">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7083D6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363318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6B3C74B">
            <w:pPr>
              <w:widowControl/>
              <w:rPr>
                <w:rFonts w:hint="eastAsia" w:ascii="宋体" w:hAnsi="宋体" w:cs="宋体"/>
                <w:color w:val="auto"/>
                <w:kern w:val="0"/>
                <w:sz w:val="18"/>
                <w:szCs w:val="18"/>
                <w:highlight w:val="none"/>
              </w:rPr>
            </w:pPr>
          </w:p>
        </w:tc>
      </w:tr>
      <w:tr w14:paraId="6C503D5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C8782F2">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AA948F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716E13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236EF2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37C21B6">
            <w:pPr>
              <w:widowControl/>
              <w:rPr>
                <w:rFonts w:hint="eastAsia" w:ascii="宋体" w:hAnsi="宋体" w:cs="宋体"/>
                <w:color w:val="auto"/>
                <w:kern w:val="0"/>
                <w:sz w:val="18"/>
                <w:szCs w:val="18"/>
                <w:highlight w:val="none"/>
              </w:rPr>
            </w:pPr>
          </w:p>
        </w:tc>
      </w:tr>
      <w:tr w14:paraId="6454B17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B536B0C">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BF8B82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2CC044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DDFD83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17E8E39">
            <w:pPr>
              <w:widowControl/>
              <w:rPr>
                <w:rFonts w:hint="eastAsia" w:ascii="宋体" w:hAnsi="宋体" w:cs="宋体"/>
                <w:color w:val="auto"/>
                <w:kern w:val="0"/>
                <w:sz w:val="18"/>
                <w:szCs w:val="18"/>
                <w:highlight w:val="none"/>
              </w:rPr>
            </w:pPr>
          </w:p>
        </w:tc>
      </w:tr>
      <w:tr w14:paraId="7A43620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1CC2F9D">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5F4BBB8">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48EF73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D3CFBA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03F6E55">
            <w:pPr>
              <w:widowControl/>
              <w:rPr>
                <w:rFonts w:hint="eastAsia" w:ascii="宋体" w:hAnsi="宋体" w:cs="宋体"/>
                <w:color w:val="auto"/>
                <w:kern w:val="0"/>
                <w:sz w:val="18"/>
                <w:szCs w:val="18"/>
                <w:highlight w:val="none"/>
              </w:rPr>
            </w:pPr>
          </w:p>
        </w:tc>
      </w:tr>
      <w:tr w14:paraId="77FF16B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F4AF111">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932FC8B">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4BCE65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F53A3A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831ABC2">
            <w:pPr>
              <w:widowControl/>
              <w:rPr>
                <w:rFonts w:hint="eastAsia" w:ascii="宋体" w:hAnsi="宋体" w:cs="宋体"/>
                <w:color w:val="auto"/>
                <w:kern w:val="0"/>
                <w:sz w:val="18"/>
                <w:szCs w:val="18"/>
                <w:highlight w:val="none"/>
              </w:rPr>
            </w:pPr>
          </w:p>
        </w:tc>
      </w:tr>
      <w:tr w14:paraId="1879954C">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E8906DB">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9AFEB77">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20825FC">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C920F0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35AF0A8">
            <w:pPr>
              <w:widowControl/>
              <w:rPr>
                <w:rFonts w:hint="eastAsia" w:ascii="宋体" w:hAnsi="宋体" w:cs="宋体"/>
                <w:color w:val="auto"/>
                <w:kern w:val="0"/>
                <w:sz w:val="18"/>
                <w:szCs w:val="18"/>
                <w:highlight w:val="none"/>
              </w:rPr>
            </w:pPr>
          </w:p>
        </w:tc>
      </w:tr>
      <w:tr w14:paraId="5EB9A28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EE639C1">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59F7D5A">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E2A84F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A0C7FE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B4E6452">
            <w:pPr>
              <w:widowControl/>
              <w:rPr>
                <w:rFonts w:hint="eastAsia" w:ascii="宋体" w:hAnsi="宋体" w:cs="宋体"/>
                <w:color w:val="auto"/>
                <w:kern w:val="0"/>
                <w:sz w:val="18"/>
                <w:szCs w:val="18"/>
                <w:highlight w:val="none"/>
              </w:rPr>
            </w:pPr>
          </w:p>
        </w:tc>
      </w:tr>
      <w:tr w14:paraId="511A93D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5EFFE2A">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46840A3">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6C2987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B5EE92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BD51B2D">
            <w:pPr>
              <w:widowControl/>
              <w:rPr>
                <w:rFonts w:hint="eastAsia" w:ascii="宋体" w:hAnsi="宋体" w:cs="宋体"/>
                <w:color w:val="auto"/>
                <w:kern w:val="0"/>
                <w:sz w:val="18"/>
                <w:szCs w:val="18"/>
                <w:highlight w:val="none"/>
              </w:rPr>
            </w:pPr>
          </w:p>
        </w:tc>
      </w:tr>
      <w:tr w14:paraId="0D3E2F9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26CCF72">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B708AD8">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960F38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F886F2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BCFDEF4">
            <w:pPr>
              <w:widowControl/>
              <w:rPr>
                <w:rFonts w:hint="eastAsia" w:ascii="宋体" w:hAnsi="宋体" w:cs="宋体"/>
                <w:color w:val="auto"/>
                <w:kern w:val="0"/>
                <w:sz w:val="18"/>
                <w:szCs w:val="18"/>
                <w:highlight w:val="none"/>
              </w:rPr>
            </w:pPr>
          </w:p>
        </w:tc>
      </w:tr>
      <w:tr w14:paraId="0233121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ED29CFD">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6C2432F">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8518772">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F4E70D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E9C91CE">
            <w:pPr>
              <w:widowControl/>
              <w:rPr>
                <w:rFonts w:hint="eastAsia" w:ascii="宋体" w:hAnsi="宋体" w:cs="宋体"/>
                <w:color w:val="auto"/>
                <w:kern w:val="0"/>
                <w:sz w:val="18"/>
                <w:szCs w:val="18"/>
                <w:highlight w:val="none"/>
              </w:rPr>
            </w:pPr>
          </w:p>
        </w:tc>
      </w:tr>
      <w:tr w14:paraId="1FC27110">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D004185">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00DED83">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DD3C64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0395377">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4FA1758">
            <w:pPr>
              <w:widowControl/>
              <w:rPr>
                <w:rFonts w:hint="eastAsia" w:ascii="宋体" w:hAnsi="宋体" w:cs="宋体"/>
                <w:color w:val="auto"/>
                <w:kern w:val="0"/>
                <w:sz w:val="18"/>
                <w:szCs w:val="18"/>
                <w:highlight w:val="none"/>
              </w:rPr>
            </w:pPr>
          </w:p>
        </w:tc>
      </w:tr>
      <w:tr w14:paraId="001F11C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5A1D85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C916F33">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81A7C2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8025A5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32A1071">
            <w:pPr>
              <w:widowControl/>
              <w:rPr>
                <w:rFonts w:hint="eastAsia" w:ascii="宋体" w:hAnsi="宋体" w:cs="宋体"/>
                <w:color w:val="auto"/>
                <w:kern w:val="0"/>
                <w:sz w:val="18"/>
                <w:szCs w:val="18"/>
                <w:highlight w:val="none"/>
              </w:rPr>
            </w:pPr>
          </w:p>
        </w:tc>
      </w:tr>
      <w:tr w14:paraId="7A82C1C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F251B1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6CB5E97">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82853B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7DE617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A05A568">
            <w:pPr>
              <w:widowControl/>
              <w:rPr>
                <w:rFonts w:hint="eastAsia" w:ascii="宋体" w:hAnsi="宋体" w:cs="宋体"/>
                <w:color w:val="auto"/>
                <w:kern w:val="0"/>
                <w:sz w:val="18"/>
                <w:szCs w:val="18"/>
                <w:highlight w:val="none"/>
              </w:rPr>
            </w:pPr>
          </w:p>
        </w:tc>
      </w:tr>
      <w:tr w14:paraId="3374C25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1B28A4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83B5E81">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1B3EBB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F364588">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331AFD7">
            <w:pPr>
              <w:widowControl/>
              <w:rPr>
                <w:rFonts w:hint="eastAsia" w:ascii="宋体" w:hAnsi="宋体" w:cs="宋体"/>
                <w:color w:val="auto"/>
                <w:kern w:val="0"/>
                <w:sz w:val="18"/>
                <w:szCs w:val="18"/>
                <w:highlight w:val="none"/>
              </w:rPr>
            </w:pPr>
          </w:p>
        </w:tc>
      </w:tr>
      <w:tr w14:paraId="6F9A0FF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719A606F">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7FFCA32">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4B1013E">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39724F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79DA245">
            <w:pPr>
              <w:widowControl/>
              <w:rPr>
                <w:rFonts w:hint="eastAsia" w:ascii="宋体" w:hAnsi="宋体" w:cs="宋体"/>
                <w:color w:val="auto"/>
                <w:kern w:val="0"/>
                <w:sz w:val="18"/>
                <w:szCs w:val="18"/>
                <w:highlight w:val="none"/>
              </w:rPr>
            </w:pPr>
          </w:p>
        </w:tc>
      </w:tr>
      <w:tr w14:paraId="3C2EDD14">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F793B75">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078C25D">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5C2F18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7CED0B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54837571">
            <w:pPr>
              <w:widowControl/>
              <w:rPr>
                <w:rFonts w:hint="eastAsia" w:ascii="宋体" w:hAnsi="宋体" w:cs="宋体"/>
                <w:color w:val="auto"/>
                <w:kern w:val="0"/>
                <w:sz w:val="18"/>
                <w:szCs w:val="18"/>
                <w:highlight w:val="none"/>
              </w:rPr>
            </w:pPr>
          </w:p>
        </w:tc>
      </w:tr>
      <w:tr w14:paraId="01E133F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2C312DB">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00C9711">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88BF97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CA58BD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C49143A">
            <w:pPr>
              <w:widowControl/>
              <w:rPr>
                <w:rFonts w:hint="eastAsia" w:ascii="宋体" w:hAnsi="宋体" w:cs="宋体"/>
                <w:color w:val="auto"/>
                <w:kern w:val="0"/>
                <w:sz w:val="18"/>
                <w:szCs w:val="18"/>
                <w:highlight w:val="none"/>
              </w:rPr>
            </w:pPr>
          </w:p>
        </w:tc>
      </w:tr>
      <w:tr w14:paraId="4AF5888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4AD86306">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B3E1220">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52BEED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3BA308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5A75E87">
            <w:pPr>
              <w:widowControl/>
              <w:rPr>
                <w:rFonts w:hint="eastAsia" w:ascii="宋体" w:hAnsi="宋体" w:cs="宋体"/>
                <w:color w:val="auto"/>
                <w:kern w:val="0"/>
                <w:sz w:val="18"/>
                <w:szCs w:val="18"/>
                <w:highlight w:val="none"/>
              </w:rPr>
            </w:pPr>
          </w:p>
        </w:tc>
      </w:tr>
      <w:tr w14:paraId="678DA55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A2993E7">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E5BEA89">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51BC163">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78889D9">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C99D7AF">
            <w:pPr>
              <w:widowControl/>
              <w:rPr>
                <w:rFonts w:hint="eastAsia" w:ascii="宋体" w:hAnsi="宋体" w:cs="宋体"/>
                <w:color w:val="auto"/>
                <w:kern w:val="0"/>
                <w:sz w:val="18"/>
                <w:szCs w:val="18"/>
                <w:highlight w:val="none"/>
              </w:rPr>
            </w:pPr>
          </w:p>
        </w:tc>
      </w:tr>
      <w:tr w14:paraId="1BEE3FD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3FF5ACF">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C2067EE">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AFFB27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76250FD6">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52C2459">
            <w:pPr>
              <w:widowControl/>
              <w:rPr>
                <w:rFonts w:hint="eastAsia" w:ascii="宋体" w:hAnsi="宋体" w:cs="宋体"/>
                <w:color w:val="auto"/>
                <w:kern w:val="0"/>
                <w:sz w:val="18"/>
                <w:szCs w:val="18"/>
                <w:highlight w:val="none"/>
              </w:rPr>
            </w:pPr>
          </w:p>
        </w:tc>
      </w:tr>
      <w:tr w14:paraId="21D6F74E">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0306C27">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043DD0">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98549A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0FE9261">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B3CB1D2">
            <w:pPr>
              <w:widowControl/>
              <w:rPr>
                <w:rFonts w:hint="eastAsia" w:ascii="宋体" w:hAnsi="宋体" w:cs="宋体"/>
                <w:color w:val="auto"/>
                <w:kern w:val="0"/>
                <w:sz w:val="18"/>
                <w:szCs w:val="18"/>
                <w:highlight w:val="none"/>
              </w:rPr>
            </w:pPr>
          </w:p>
        </w:tc>
      </w:tr>
      <w:tr w14:paraId="5762661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63C2057B">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8373373">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21277B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65DB90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162618F">
            <w:pPr>
              <w:widowControl/>
              <w:rPr>
                <w:rFonts w:hint="eastAsia" w:ascii="宋体" w:hAnsi="宋体" w:cs="宋体"/>
                <w:color w:val="auto"/>
                <w:kern w:val="0"/>
                <w:sz w:val="18"/>
                <w:szCs w:val="18"/>
                <w:highlight w:val="none"/>
              </w:rPr>
            </w:pPr>
          </w:p>
        </w:tc>
      </w:tr>
      <w:tr w14:paraId="655F53C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F8B700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4C8B41F">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B3C187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E2E400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B895312">
            <w:pPr>
              <w:widowControl/>
              <w:rPr>
                <w:rFonts w:hint="eastAsia" w:ascii="宋体" w:hAnsi="宋体" w:cs="宋体"/>
                <w:color w:val="auto"/>
                <w:kern w:val="0"/>
                <w:sz w:val="18"/>
                <w:szCs w:val="18"/>
                <w:highlight w:val="none"/>
              </w:rPr>
            </w:pPr>
          </w:p>
        </w:tc>
      </w:tr>
      <w:tr w14:paraId="649F995B">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D83B907">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047F2BF">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081F176">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68E3599B">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C533CCB">
            <w:pPr>
              <w:widowControl/>
              <w:rPr>
                <w:rFonts w:hint="eastAsia" w:ascii="宋体" w:hAnsi="宋体" w:cs="宋体"/>
                <w:color w:val="auto"/>
                <w:kern w:val="0"/>
                <w:sz w:val="18"/>
                <w:szCs w:val="18"/>
                <w:highlight w:val="none"/>
              </w:rPr>
            </w:pPr>
          </w:p>
        </w:tc>
      </w:tr>
      <w:tr w14:paraId="4ABFBF51">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37B103C">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F2BE6D2">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609A114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7A0DA7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55BD0E2">
            <w:pPr>
              <w:widowControl/>
              <w:rPr>
                <w:rFonts w:hint="eastAsia" w:ascii="宋体" w:hAnsi="宋体" w:cs="宋体"/>
                <w:color w:val="auto"/>
                <w:kern w:val="0"/>
                <w:sz w:val="18"/>
                <w:szCs w:val="18"/>
                <w:highlight w:val="none"/>
              </w:rPr>
            </w:pPr>
          </w:p>
        </w:tc>
      </w:tr>
      <w:tr w14:paraId="5001715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E9BBAC1">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D30A36">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E8F97B5">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29A30D8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56DC494">
            <w:pPr>
              <w:widowControl/>
              <w:rPr>
                <w:rFonts w:hint="eastAsia" w:ascii="宋体" w:hAnsi="宋体" w:cs="宋体"/>
                <w:color w:val="auto"/>
                <w:kern w:val="0"/>
                <w:sz w:val="18"/>
                <w:szCs w:val="18"/>
                <w:highlight w:val="none"/>
              </w:rPr>
            </w:pPr>
          </w:p>
        </w:tc>
      </w:tr>
      <w:tr w14:paraId="6FECDD78">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3CB631F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BD2949D">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4176C304">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0584C49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A07723B">
            <w:pPr>
              <w:widowControl/>
              <w:rPr>
                <w:rFonts w:hint="eastAsia" w:ascii="宋体" w:hAnsi="宋体" w:cs="宋体"/>
                <w:color w:val="auto"/>
                <w:kern w:val="0"/>
                <w:sz w:val="18"/>
                <w:szCs w:val="18"/>
                <w:highlight w:val="none"/>
              </w:rPr>
            </w:pPr>
          </w:p>
        </w:tc>
      </w:tr>
      <w:tr w14:paraId="5C3FE07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B5E7CD2">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68E4191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5D2277B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222AB15">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4BFBE38B">
            <w:pPr>
              <w:widowControl/>
              <w:rPr>
                <w:rFonts w:hint="eastAsia" w:ascii="宋体" w:hAnsi="宋体" w:cs="宋体"/>
                <w:color w:val="auto"/>
                <w:kern w:val="0"/>
                <w:sz w:val="18"/>
                <w:szCs w:val="18"/>
                <w:highlight w:val="none"/>
              </w:rPr>
            </w:pPr>
          </w:p>
        </w:tc>
      </w:tr>
      <w:tr w14:paraId="53693F4A">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505D4F33">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360707E2">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46F9DB0">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458643DA">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4BD2534">
            <w:pPr>
              <w:widowControl/>
              <w:rPr>
                <w:rFonts w:hint="eastAsia" w:ascii="宋体" w:hAnsi="宋体" w:cs="宋体"/>
                <w:color w:val="auto"/>
                <w:kern w:val="0"/>
                <w:sz w:val="18"/>
                <w:szCs w:val="18"/>
                <w:highlight w:val="none"/>
              </w:rPr>
            </w:pPr>
          </w:p>
        </w:tc>
      </w:tr>
      <w:tr w14:paraId="426A2A8F">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1F5CEB6">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10CFBD5B">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291A114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FEC2F6D">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201F061E">
            <w:pPr>
              <w:widowControl/>
              <w:rPr>
                <w:rFonts w:hint="eastAsia" w:ascii="宋体" w:hAnsi="宋体" w:cs="宋体"/>
                <w:color w:val="auto"/>
                <w:kern w:val="0"/>
                <w:sz w:val="18"/>
                <w:szCs w:val="18"/>
                <w:highlight w:val="none"/>
              </w:rPr>
            </w:pPr>
          </w:p>
        </w:tc>
      </w:tr>
      <w:tr w14:paraId="787B55D5">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6722F8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06A279F7">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B869E2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1C750C13">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307E1E97">
            <w:pPr>
              <w:widowControl/>
              <w:rPr>
                <w:rFonts w:hint="eastAsia" w:ascii="宋体" w:hAnsi="宋体" w:cs="宋体"/>
                <w:color w:val="auto"/>
                <w:kern w:val="0"/>
                <w:sz w:val="18"/>
                <w:szCs w:val="18"/>
                <w:highlight w:val="none"/>
              </w:rPr>
            </w:pPr>
          </w:p>
        </w:tc>
      </w:tr>
      <w:tr w14:paraId="6E167C63">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02744D19">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59EE1E3F">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B6A5DAF">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C9B2040">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1068DC44">
            <w:pPr>
              <w:widowControl/>
              <w:rPr>
                <w:rFonts w:hint="eastAsia" w:ascii="宋体" w:hAnsi="宋体" w:cs="宋体"/>
                <w:color w:val="auto"/>
                <w:kern w:val="0"/>
                <w:sz w:val="18"/>
                <w:szCs w:val="18"/>
                <w:highlight w:val="none"/>
              </w:rPr>
            </w:pPr>
          </w:p>
        </w:tc>
      </w:tr>
      <w:tr w14:paraId="6AFD65A7">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11629AD5">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4DBB162D">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7519FAAB">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21465D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EB30A94">
            <w:pPr>
              <w:widowControl/>
              <w:rPr>
                <w:rFonts w:hint="eastAsia" w:ascii="宋体" w:hAnsi="宋体" w:cs="宋体"/>
                <w:color w:val="auto"/>
                <w:kern w:val="0"/>
                <w:sz w:val="18"/>
                <w:szCs w:val="18"/>
                <w:highlight w:val="none"/>
              </w:rPr>
            </w:pPr>
          </w:p>
        </w:tc>
      </w:tr>
      <w:tr w14:paraId="19F42116">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FC6343D">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401912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19422E78">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3A370034">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676332DC">
            <w:pPr>
              <w:widowControl/>
              <w:rPr>
                <w:rFonts w:hint="eastAsia" w:ascii="宋体" w:hAnsi="宋体" w:cs="宋体"/>
                <w:color w:val="auto"/>
                <w:kern w:val="0"/>
                <w:sz w:val="18"/>
                <w:szCs w:val="18"/>
                <w:highlight w:val="none"/>
              </w:rPr>
            </w:pPr>
          </w:p>
        </w:tc>
      </w:tr>
      <w:tr w14:paraId="4EB4350D">
        <w:tblPrEx>
          <w:tblCellMar>
            <w:top w:w="0" w:type="dxa"/>
            <w:left w:w="108" w:type="dxa"/>
            <w:bottom w:w="0" w:type="dxa"/>
            <w:right w:w="108" w:type="dxa"/>
          </w:tblCellMar>
        </w:tblPrEx>
        <w:trPr>
          <w:trHeight w:val="312" w:hRule="atLeast"/>
        </w:trPr>
        <w:tc>
          <w:tcPr>
            <w:tcW w:w="418" w:type="pct"/>
            <w:vMerge w:val="continue"/>
            <w:tcBorders>
              <w:top w:val="nil"/>
              <w:left w:val="single" w:color="auto" w:sz="4" w:space="0"/>
              <w:bottom w:val="single" w:color="auto" w:sz="4" w:space="0"/>
              <w:right w:val="single" w:color="auto" w:sz="4" w:space="0"/>
            </w:tcBorders>
            <w:vAlign w:val="center"/>
          </w:tcPr>
          <w:p w14:paraId="2DFC9B9B">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23EC01A3">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013DBE9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FA56E82">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00D0D325">
            <w:pPr>
              <w:widowControl/>
              <w:rPr>
                <w:rFonts w:hint="eastAsia" w:ascii="宋体" w:hAnsi="宋体" w:cs="宋体"/>
                <w:color w:val="auto"/>
                <w:kern w:val="0"/>
                <w:sz w:val="18"/>
                <w:szCs w:val="18"/>
                <w:highlight w:val="none"/>
              </w:rPr>
            </w:pPr>
          </w:p>
        </w:tc>
      </w:tr>
      <w:tr w14:paraId="5AC4C380">
        <w:tblPrEx>
          <w:tblCellMar>
            <w:top w:w="0" w:type="dxa"/>
            <w:left w:w="108" w:type="dxa"/>
            <w:bottom w:w="0" w:type="dxa"/>
            <w:right w:w="108" w:type="dxa"/>
          </w:tblCellMar>
        </w:tblPrEx>
        <w:trPr>
          <w:trHeight w:val="2920" w:hRule="atLeast"/>
        </w:trPr>
        <w:tc>
          <w:tcPr>
            <w:tcW w:w="418" w:type="pct"/>
            <w:vMerge w:val="continue"/>
            <w:tcBorders>
              <w:top w:val="nil"/>
              <w:left w:val="single" w:color="auto" w:sz="4" w:space="0"/>
              <w:bottom w:val="single" w:color="auto" w:sz="4" w:space="0"/>
              <w:right w:val="single" w:color="auto" w:sz="4" w:space="0"/>
            </w:tcBorders>
            <w:vAlign w:val="center"/>
          </w:tcPr>
          <w:p w14:paraId="6CE71F37">
            <w:pPr>
              <w:widowControl/>
              <w:rPr>
                <w:rFonts w:hint="eastAsia" w:ascii="宋体" w:hAnsi="宋体" w:cs="宋体"/>
                <w:b/>
                <w:bCs/>
                <w:color w:val="auto"/>
                <w:kern w:val="0"/>
                <w:sz w:val="18"/>
                <w:szCs w:val="18"/>
                <w:highlight w:val="none"/>
              </w:rPr>
            </w:pPr>
          </w:p>
        </w:tc>
        <w:tc>
          <w:tcPr>
            <w:tcW w:w="428" w:type="pct"/>
            <w:vMerge w:val="continue"/>
            <w:tcBorders>
              <w:top w:val="nil"/>
              <w:left w:val="single" w:color="auto" w:sz="4" w:space="0"/>
              <w:bottom w:val="single" w:color="auto" w:sz="4" w:space="0"/>
              <w:right w:val="single" w:color="auto" w:sz="4" w:space="0"/>
            </w:tcBorders>
            <w:vAlign w:val="center"/>
          </w:tcPr>
          <w:p w14:paraId="7AE73D54">
            <w:pPr>
              <w:widowControl/>
              <w:rPr>
                <w:rFonts w:hint="eastAsia" w:ascii="宋体" w:hAnsi="宋体" w:cs="宋体"/>
                <w:b/>
                <w:bCs/>
                <w:color w:val="auto"/>
                <w:kern w:val="0"/>
                <w:sz w:val="18"/>
                <w:szCs w:val="18"/>
                <w:highlight w:val="none"/>
              </w:rPr>
            </w:pPr>
          </w:p>
        </w:tc>
        <w:tc>
          <w:tcPr>
            <w:tcW w:w="3798" w:type="pct"/>
            <w:gridSpan w:val="2"/>
            <w:vMerge w:val="continue"/>
            <w:tcBorders>
              <w:top w:val="nil"/>
              <w:left w:val="single" w:color="auto" w:sz="4" w:space="0"/>
              <w:bottom w:val="single" w:color="auto" w:sz="4" w:space="0"/>
              <w:right w:val="single" w:color="auto" w:sz="4" w:space="0"/>
            </w:tcBorders>
            <w:vAlign w:val="center"/>
          </w:tcPr>
          <w:p w14:paraId="3DD86461">
            <w:pPr>
              <w:widowControl/>
              <w:rPr>
                <w:rFonts w:hint="eastAsia" w:ascii="宋体" w:hAnsi="宋体" w:cs="宋体"/>
                <w:color w:val="auto"/>
                <w:kern w:val="0"/>
                <w:sz w:val="18"/>
                <w:szCs w:val="18"/>
                <w:highlight w:val="none"/>
              </w:rPr>
            </w:pPr>
          </w:p>
        </w:tc>
        <w:tc>
          <w:tcPr>
            <w:tcW w:w="145" w:type="pct"/>
            <w:vMerge w:val="continue"/>
            <w:tcBorders>
              <w:top w:val="nil"/>
              <w:left w:val="single" w:color="auto" w:sz="4" w:space="0"/>
              <w:bottom w:val="single" w:color="auto" w:sz="4" w:space="0"/>
              <w:right w:val="single" w:color="auto" w:sz="4" w:space="0"/>
            </w:tcBorders>
            <w:vAlign w:val="center"/>
          </w:tcPr>
          <w:p w14:paraId="52E5186F">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auto" w:sz="4" w:space="0"/>
              <w:right w:val="single" w:color="auto" w:sz="4" w:space="0"/>
            </w:tcBorders>
            <w:vAlign w:val="center"/>
          </w:tcPr>
          <w:p w14:paraId="764B1B62">
            <w:pPr>
              <w:widowControl/>
              <w:rPr>
                <w:rFonts w:hint="eastAsia" w:ascii="宋体" w:hAnsi="宋体" w:cs="宋体"/>
                <w:color w:val="auto"/>
                <w:kern w:val="0"/>
                <w:sz w:val="18"/>
                <w:szCs w:val="18"/>
                <w:highlight w:val="none"/>
              </w:rPr>
            </w:pPr>
          </w:p>
        </w:tc>
      </w:tr>
      <w:tr w14:paraId="2ADBD8D2">
        <w:tblPrEx>
          <w:tblCellMar>
            <w:top w:w="0" w:type="dxa"/>
            <w:left w:w="108" w:type="dxa"/>
            <w:bottom w:w="0" w:type="dxa"/>
            <w:right w:w="108" w:type="dxa"/>
          </w:tblCellMar>
        </w:tblPrEx>
        <w:trPr>
          <w:trHeight w:val="2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28E57C4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（四）</w:t>
            </w:r>
          </w:p>
        </w:tc>
        <w:tc>
          <w:tcPr>
            <w:tcW w:w="428" w:type="pct"/>
            <w:tcBorders>
              <w:top w:val="nil"/>
              <w:left w:val="nil"/>
              <w:bottom w:val="single" w:color="auto" w:sz="4" w:space="0"/>
              <w:right w:val="single" w:color="auto" w:sz="4" w:space="0"/>
            </w:tcBorders>
            <w:shd w:val="clear" w:color="auto" w:fill="auto"/>
            <w:vAlign w:val="center"/>
          </w:tcPr>
          <w:p w14:paraId="66E8C1A1">
            <w:pPr>
              <w:widowControl/>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协同共享模块</w:t>
            </w:r>
          </w:p>
        </w:tc>
        <w:tc>
          <w:tcPr>
            <w:tcW w:w="3798" w:type="pct"/>
            <w:gridSpan w:val="2"/>
            <w:tcBorders>
              <w:top w:val="nil"/>
              <w:left w:val="nil"/>
              <w:bottom w:val="single" w:color="auto" w:sz="4" w:space="0"/>
              <w:right w:val="single" w:color="auto" w:sz="4" w:space="0"/>
            </w:tcBorders>
            <w:shd w:val="clear" w:color="auto" w:fill="auto"/>
            <w:vAlign w:val="center"/>
          </w:tcPr>
          <w:p w14:paraId="6DBB9C0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协同共享系统将各种资源数据按照统一标准进行采集、汇总、处理、加工，通过资源目标的方式提供信息资源服务，为安全运营平台提供跨系统、跨层级、跨部门的对接集成与数据互通能力。</w:t>
            </w:r>
            <w:r>
              <w:rPr>
                <w:rFonts w:hint="eastAsia" w:ascii="宋体" w:hAnsi="宋体" w:cs="宋体"/>
                <w:color w:val="auto"/>
                <w:kern w:val="0"/>
                <w:sz w:val="18"/>
                <w:szCs w:val="18"/>
                <w:highlight w:val="none"/>
                <w:lang w:val="en-US" w:eastAsia="zh-CN"/>
              </w:rPr>
              <w:t>具体技术功能点如下：</w:t>
            </w:r>
          </w:p>
        </w:tc>
        <w:tc>
          <w:tcPr>
            <w:tcW w:w="145" w:type="pct"/>
            <w:tcBorders>
              <w:top w:val="nil"/>
              <w:left w:val="nil"/>
              <w:bottom w:val="single" w:color="auto" w:sz="4" w:space="0"/>
              <w:right w:val="single" w:color="auto" w:sz="4" w:space="0"/>
            </w:tcBorders>
            <w:shd w:val="clear" w:color="auto" w:fill="auto"/>
            <w:vAlign w:val="center"/>
          </w:tcPr>
          <w:p w14:paraId="02C1DCAC">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shd w:val="clear" w:color="auto" w:fill="auto"/>
            <w:vAlign w:val="center"/>
          </w:tcPr>
          <w:p w14:paraId="4A7C8287">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r>
      <w:tr w14:paraId="7ACF86B1">
        <w:tblPrEx>
          <w:tblCellMar>
            <w:top w:w="0" w:type="dxa"/>
            <w:left w:w="108" w:type="dxa"/>
            <w:bottom w:w="0" w:type="dxa"/>
            <w:right w:w="108" w:type="dxa"/>
          </w:tblCellMar>
        </w:tblPrEx>
        <w:trPr>
          <w:trHeight w:val="2660" w:hRule="atLeast"/>
        </w:trPr>
        <w:tc>
          <w:tcPr>
            <w:tcW w:w="418" w:type="pct"/>
            <w:vMerge w:val="restart"/>
            <w:tcBorders>
              <w:top w:val="nil"/>
              <w:left w:val="single" w:color="auto" w:sz="4" w:space="0"/>
              <w:bottom w:val="single" w:color="000000" w:sz="4" w:space="0"/>
              <w:right w:val="single" w:color="auto" w:sz="4" w:space="0"/>
            </w:tcBorders>
            <w:shd w:val="clear" w:color="auto" w:fill="auto"/>
            <w:vAlign w:val="center"/>
          </w:tcPr>
          <w:p w14:paraId="3EAC50D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4.1</w:t>
            </w:r>
          </w:p>
        </w:tc>
        <w:tc>
          <w:tcPr>
            <w:tcW w:w="428" w:type="pct"/>
            <w:vMerge w:val="restart"/>
            <w:tcBorders>
              <w:top w:val="nil"/>
              <w:left w:val="single" w:color="auto" w:sz="4" w:space="0"/>
              <w:bottom w:val="single" w:color="000000" w:sz="4" w:space="0"/>
              <w:right w:val="single" w:color="auto" w:sz="4" w:space="0"/>
            </w:tcBorders>
            <w:shd w:val="clear" w:color="auto" w:fill="auto"/>
            <w:vAlign w:val="center"/>
          </w:tcPr>
          <w:p w14:paraId="5B6350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统一公共开放接口</w:t>
            </w:r>
          </w:p>
        </w:tc>
        <w:tc>
          <w:tcPr>
            <w:tcW w:w="3798"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57A7B3DE">
            <w:pPr>
              <w:widowControl/>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本项目采用统一的对接接口设计，通过API网关与消息队列等技术，基于标准接口实现与系统内部子平台、自治区级其他政务系统平台、国家级平台对接。</w:t>
            </w:r>
          </w:p>
          <w:p w14:paraId="6B55E09D">
            <w:pPr>
              <w:widowControl/>
              <w:rPr>
                <w:rFonts w:hint="eastAsia" w:ascii="宋体" w:hAnsi="宋体" w:cs="宋体"/>
                <w:color w:val="auto"/>
                <w:kern w:val="0"/>
                <w:sz w:val="18"/>
                <w:szCs w:val="18"/>
                <w:highlight w:val="none"/>
              </w:rPr>
            </w:pPr>
            <w:r>
              <w:rPr>
                <w:rFonts w:hint="eastAsia" w:ascii="宋体" w:hAnsi="宋体" w:cs="宋体"/>
                <w:b/>
                <w:bCs/>
                <w:color w:val="auto"/>
                <w:kern w:val="0"/>
                <w:sz w:val="18"/>
                <w:szCs w:val="18"/>
                <w:highlight w:val="none"/>
              </w:rPr>
              <w:t>1、与系统内部子系统平台对接：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(1)与数据安全监测平台对接：实现与数据安全监测平台对接，对接内容为汇聚各类安全数据至安全运营服务平台上，包括但不限于漏洞、事件、资产、日志、消息、元数据等数据。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(2)与数据安全监测平台数据对接:实现与数据安全监测平台数据对接，包括但不限于漏洞、事件、资产、日志、消息、元数据等数据。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(3)与数据安全监测平台指令对接:实现与数据安全监测平台指令对接，包括但不限于指令接收、转发、通报等。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(4)与密码监测平台对接:对接密码监测平台，汇聚密码监测平台传回各类数据，包括但不限于事件、资产、日志、消息、元数据，并支持指令信息交互，下发指令到密码监测平台或接</w:t>
            </w:r>
            <w:r>
              <w:rPr>
                <w:rFonts w:hint="eastAsia" w:ascii="宋体" w:hAnsi="宋体" w:cs="宋体"/>
                <w:color w:val="auto"/>
                <w:kern w:val="0"/>
                <w:sz w:val="18"/>
                <w:szCs w:val="18"/>
                <w:highlight w:val="none"/>
                <w:lang w:val="en-US" w:eastAsia="zh-CN"/>
              </w:rPr>
              <w:t>收</w:t>
            </w:r>
            <w:r>
              <w:rPr>
                <w:rFonts w:hint="eastAsia" w:ascii="宋体" w:hAnsi="宋体" w:cs="宋体"/>
                <w:color w:val="auto"/>
                <w:kern w:val="0"/>
                <w:sz w:val="18"/>
                <w:szCs w:val="18"/>
                <w:highlight w:val="none"/>
              </w:rPr>
              <w:t>密码监测平台指令，实现信息交互。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(5)与溯源分析平台对接:对接溯源分析平台，汇聚溯源分析平台传回各类数据，包括但不限于事件、资产、日志、消息、元数据，并支持指令信息交互，下发指令到溯源分析平台或接</w:t>
            </w:r>
            <w:r>
              <w:rPr>
                <w:rFonts w:hint="eastAsia" w:ascii="宋体" w:hAnsi="宋体" w:cs="宋体"/>
                <w:color w:val="auto"/>
                <w:kern w:val="0"/>
                <w:sz w:val="18"/>
                <w:szCs w:val="18"/>
                <w:highlight w:val="none"/>
                <w:lang w:val="en-US" w:eastAsia="zh-CN"/>
              </w:rPr>
              <w:t>收</w:t>
            </w:r>
            <w:r>
              <w:rPr>
                <w:rFonts w:hint="eastAsia" w:ascii="宋体" w:hAnsi="宋体" w:cs="宋体"/>
                <w:color w:val="auto"/>
                <w:kern w:val="0"/>
                <w:sz w:val="18"/>
                <w:szCs w:val="18"/>
                <w:highlight w:val="none"/>
              </w:rPr>
              <w:t>溯源分析平台指令，实现信息交互。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与数据安全防护能力平台对接:对接数据安全防护能力平台，汇聚数据安全防护能力平台传回各类数据，包括事件、资产、日志、消息、元数据，并支持指令信息交互，下发指令到数据安全防护能力平台或接受数据安全防护能力平台指令，实现信息交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(7)与外部工单系统对接，实现与外部工单系统等对接，导入外部工单系统数据。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(8)实现记录数据推送情况，可以以多种视图（包括子平台、事件、漏洞、资产等维度）实时查看子平台数据推送情况，数据推送发生异常时，进行消息提醒。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br w:type="textWrapping"/>
            </w:r>
            <w:r>
              <w:rPr>
                <w:rFonts w:hint="eastAsia" w:ascii="宋体" w:hAnsi="宋体" w:cs="宋体"/>
                <w:b/>
                <w:bCs/>
                <w:color w:val="auto"/>
                <w:kern w:val="0"/>
                <w:sz w:val="18"/>
                <w:szCs w:val="18"/>
                <w:highlight w:val="none"/>
              </w:rPr>
              <w:t>2、与自治区级其他政务系统平台对接：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与一体化智能化公共服务平台对接：遵循一体化智能化公共服务平台（一体化数字资源系统，IRS）接口规范，与IRS或多云共治平台对接，对接同步各类用户信息、云网资产信息、工单信息、设备信息、应用信息、组件信息等信息，实现将各类事件、通知和消息推送至IRS，并通过IRS实现电话、短信、APP等应用通知，避免多头通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(2)与政府大脑统一身份认证系统对接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实现与政府大脑对接，对接内容为统一身份认证系统对接，实现登录认证，可单点登录到安全运营平台。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(3)与数字广西协同调度指挥中心系统对接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与数字广西协同调度指挥中心对接，提供对接接口，实现安全态势在数字广西协同调度指挥中心的展示。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)桂融会视频会议系统对接：对接桂融会视频会议系统，将桂融会视频会议系统相关功能映射到安全运营服务系统，实现调用相关视频会议功能。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br w:type="textWrapping"/>
            </w:r>
            <w:r>
              <w:rPr>
                <w:rFonts w:hint="eastAsia" w:ascii="宋体" w:hAnsi="宋体" w:cs="宋体"/>
                <w:b/>
                <w:bCs/>
                <w:color w:val="auto"/>
                <w:kern w:val="0"/>
                <w:sz w:val="18"/>
                <w:szCs w:val="18"/>
                <w:highlight w:val="none"/>
              </w:rPr>
              <w:t>3、与国家级平台对接：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与国家级协同指挥平台对接和信息共享：替代现有国家电子政务外网协同指挥平台省级节点，实现与国家电子政务外网协同指挥平台中央级平台对接。将国家协同指挥平台下发的事件通报、风险预警和情报共享信息等信息对接至运营平台，在平台上即可处理国家协同指挥平台下发的各类信息，并将处置结果和各类数据（包括但不限于事件、风险、情报、消息、元数据）反馈至国家电子政务外网协同指挥平台中央级平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与国家协同指挥平台数据对接:按国家信息中心发布的《网络安全风险信息报送接口规范》与国家电子政务外网协同指挥平台中央级平台对接，实现网络安全风险信息报送，包括通用型漏洞、事件型漏洞、扬言攻击威胁、木马病毒恶意软件传播扩散风险、网络重大风险预警等类别。报送网络安全风险详细情况信息包括风险名称、报送单位名称、报送人名称、初判风险类型、初判风险等级、风险描述等信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与国家协同指挥平台指令对接:按国家信息中心发布的《网络安全事件信息报送接口规范》与国家电子政务外网协同指挥平台中央级平台对接，实现网络安全事件信息报送。包括恶意程序事件、网络攻击事件、网络数据安全事件、信息内容安全事件、设备设施故障、不可抗力事件、违规操作事件、安全隐患 事件、异常行为事件、综合型事件、其他事件共11个基本分类。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网络安全威胁情报信息报送:按国家信息中心发布的《网络安全威胁情报信息报送内容格式规范》与国家电子政务外网协同指挥平台中央级平台对接，实现网络安全威胁情报信息，为网络安全威胁情报数据信息报送提供支撑。上报形式为协同指挥平台调用威胁情报平台接口，查询情报数据，涉及分别为IP情报和域名URL情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网络安全指令交互对接:①按国家信息中心发布的《网络安全指令交互接口规范》与国家电子政务外网协同指挥平台中央级平台对接，实现网络安全指令交互对接。支撑指挥平台开展重保期间及日常工作期间的网络安全保障和协同指挥工作，实现对事件、风险、资讯信息的处置。处理指令信息流程涉及四个阶段：指令信息签收阶段、指令信息执行阶段、指令信息验证阶段、指令信息归档阶段。指令信息属性分指令、信息两类。②指令主要用于管理单位对被管理单位进行命令和任务下发，要求接收方进行执行，并限时反馈的业务场景，例如安全事件监测结果反馈、事件处置执行、流量证据采集提供，IP封禁等，包含通用指令、风险通报指令、事件通报指令。消息主要用于信息告知和同步的业务场景，包含通用消息、风险提示消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与国家协同指挥平台对接一键封堵处置：实现与国家协同指挥平台对接，遵循国家协同指挥平台的对接标准，对接内容为一键封堵处置，可接收国家平台的一键封堵指令并下发封堵命令至指定的访问控制类安全设备执行，对封堵指令进行记录，以便根据记录进行解封，并支持将执行结果反馈至国家平台。</w:t>
            </w:r>
          </w:p>
          <w:p w14:paraId="5E8FB677">
            <w:pPr>
              <w:pStyle w:val="32"/>
              <w:rPr>
                <w:rFonts w:hint="eastAsia"/>
                <w:color w:val="auto"/>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rPr>
              <w:t>)协同监控:协同监控实现对数据报送等协同任务情况的监控，包括任务名称、任务类型、任务状态、开始时间、发送方、接收方、接口调用时长等。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漏洞协同管理:漏洞协同管理汇聚下级单位或其他平台报送的漏洞信息，并根据漏洞的特性，将漏洞分为通用型漏洞和事件型漏洞：通用型漏洞是指通用产品或服务的漏洞；事件型漏洞是指针对具体网络资产的漏洞事件信息。实现对漏洞的新增、删除、编辑等功能，能够查看漏洞信息的详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8</w:t>
            </w:r>
            <w:r>
              <w:rPr>
                <w:rFonts w:hint="eastAsia" w:ascii="宋体" w:hAnsi="宋体" w:cs="宋体"/>
                <w:color w:val="auto"/>
                <w:kern w:val="0"/>
                <w:sz w:val="18"/>
                <w:szCs w:val="18"/>
                <w:highlight w:val="none"/>
              </w:rPr>
              <w:t>)恶意代码管理:恶意代码管理实现恶意代码数据信息的管理，能够向上级平台报送恶意代码信息，从而满足数据报送的需求。实现对恶意代码信息进行新增、编辑、查询、删除等操作。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查看恶意代码的详情，包括恶意代码基本信息、静态信息、样本来源信息、本地行为信息、网络行为信息等，特别包括恶意样本的首次发现时间、首次发现被攻击单位、攻击活动次数、最近七天传播量、目标IP、传播源URL、传播源IP、传播源域名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9</w:t>
            </w:r>
            <w:r>
              <w:rPr>
                <w:rFonts w:hint="eastAsia" w:ascii="宋体" w:hAnsi="宋体" w:cs="宋体"/>
                <w:color w:val="auto"/>
                <w:kern w:val="0"/>
                <w:sz w:val="18"/>
                <w:szCs w:val="18"/>
                <w:highlight w:val="none"/>
              </w:rPr>
              <w:t>)资产信息报送管理:资产报送信息管理实现资产信息的主动上报，包括单位、系统和网站等，不同的用户仅能够上报本单位及本单位下级单位的资产信息。实现查看资产信息的变更记录和详情，发现资产的更新和变化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平台通过审核上报的资产信息将在平台进行统一的纳管。如果上报的资产信息不存在平台原有系统中，则作为新增资产进行纳管。如果上报资产与原有资产有信息更新，则明确更新字段内容，并进行审核。审核未通过则退回重新进行上报。纳管成功后，资产进行归档，并同步资产至资产中心。</w:t>
            </w:r>
          </w:p>
        </w:tc>
        <w:tc>
          <w:tcPr>
            <w:tcW w:w="145" w:type="pct"/>
            <w:vMerge w:val="restart"/>
            <w:tcBorders>
              <w:top w:val="nil"/>
              <w:left w:val="single" w:color="auto" w:sz="4" w:space="0"/>
              <w:bottom w:val="single" w:color="000000" w:sz="4" w:space="0"/>
              <w:right w:val="single" w:color="auto" w:sz="4" w:space="0"/>
            </w:tcBorders>
            <w:shd w:val="clear" w:color="auto" w:fill="auto"/>
            <w:vAlign w:val="center"/>
          </w:tcPr>
          <w:p w14:paraId="01160FEA">
            <w:pPr>
              <w:widowControl/>
              <w:jc w:val="center"/>
              <w:rPr>
                <w:rFonts w:hint="eastAsia" w:ascii="宋体" w:hAnsi="宋体" w:cs="宋体"/>
                <w:color w:val="auto"/>
                <w:kern w:val="0"/>
                <w:sz w:val="18"/>
                <w:szCs w:val="18"/>
                <w:highlight w:val="none"/>
              </w:rPr>
            </w:pPr>
          </w:p>
        </w:tc>
        <w:tc>
          <w:tcPr>
            <w:tcW w:w="208" w:type="pct"/>
            <w:vMerge w:val="restart"/>
            <w:tcBorders>
              <w:top w:val="nil"/>
              <w:left w:val="single" w:color="auto" w:sz="4" w:space="0"/>
              <w:bottom w:val="single" w:color="000000" w:sz="4" w:space="0"/>
              <w:right w:val="single" w:color="auto" w:sz="4" w:space="0"/>
            </w:tcBorders>
            <w:shd w:val="clear" w:color="auto" w:fill="auto"/>
            <w:vAlign w:val="center"/>
          </w:tcPr>
          <w:p w14:paraId="621E55DA">
            <w:pPr>
              <w:widowControl/>
              <w:jc w:val="center"/>
              <w:rPr>
                <w:rFonts w:hint="eastAsia" w:ascii="宋体" w:hAnsi="宋体" w:cs="宋体"/>
                <w:color w:val="auto"/>
                <w:kern w:val="0"/>
                <w:sz w:val="18"/>
                <w:szCs w:val="18"/>
                <w:highlight w:val="none"/>
              </w:rPr>
            </w:pPr>
          </w:p>
        </w:tc>
      </w:tr>
      <w:tr w14:paraId="3064BDD9">
        <w:tblPrEx>
          <w:tblCellMar>
            <w:top w:w="0" w:type="dxa"/>
            <w:left w:w="108" w:type="dxa"/>
            <w:bottom w:w="0" w:type="dxa"/>
            <w:right w:w="108" w:type="dxa"/>
          </w:tblCellMar>
        </w:tblPrEx>
        <w:trPr>
          <w:trHeight w:val="3383" w:hRule="atLeast"/>
        </w:trPr>
        <w:tc>
          <w:tcPr>
            <w:tcW w:w="418" w:type="pct"/>
            <w:vMerge w:val="continue"/>
            <w:tcBorders>
              <w:top w:val="nil"/>
              <w:left w:val="single" w:color="auto" w:sz="4" w:space="0"/>
              <w:bottom w:val="single" w:color="000000" w:sz="4" w:space="0"/>
              <w:right w:val="single" w:color="auto" w:sz="4" w:space="0"/>
            </w:tcBorders>
            <w:vAlign w:val="center"/>
          </w:tcPr>
          <w:p w14:paraId="556031A2">
            <w:pPr>
              <w:widowControl/>
              <w:rPr>
                <w:rFonts w:hint="eastAsia" w:ascii="宋体" w:hAnsi="宋体" w:cs="宋体"/>
                <w:color w:val="auto"/>
                <w:kern w:val="0"/>
                <w:sz w:val="18"/>
                <w:szCs w:val="18"/>
                <w:highlight w:val="none"/>
              </w:rPr>
            </w:pPr>
          </w:p>
        </w:tc>
        <w:tc>
          <w:tcPr>
            <w:tcW w:w="428" w:type="pct"/>
            <w:vMerge w:val="continue"/>
            <w:tcBorders>
              <w:top w:val="nil"/>
              <w:left w:val="single" w:color="auto" w:sz="4" w:space="0"/>
              <w:bottom w:val="single" w:color="000000" w:sz="4" w:space="0"/>
              <w:right w:val="single" w:color="auto" w:sz="4" w:space="0"/>
            </w:tcBorders>
            <w:vAlign w:val="center"/>
          </w:tcPr>
          <w:p w14:paraId="245887EE">
            <w:pPr>
              <w:widowControl/>
              <w:rPr>
                <w:rFonts w:hint="eastAsia" w:ascii="宋体" w:hAnsi="宋体" w:cs="宋体"/>
                <w:color w:val="auto"/>
                <w:kern w:val="0"/>
                <w:sz w:val="18"/>
                <w:szCs w:val="18"/>
                <w:highlight w:val="none"/>
              </w:rPr>
            </w:pPr>
          </w:p>
        </w:tc>
        <w:tc>
          <w:tcPr>
            <w:tcW w:w="3798" w:type="pct"/>
            <w:gridSpan w:val="2"/>
            <w:vMerge w:val="continue"/>
            <w:tcBorders>
              <w:top w:val="nil"/>
              <w:left w:val="single" w:color="auto" w:sz="4" w:space="0"/>
              <w:bottom w:val="single" w:color="000000" w:sz="4" w:space="0"/>
              <w:right w:val="single" w:color="auto" w:sz="4" w:space="0"/>
            </w:tcBorders>
            <w:vAlign w:val="center"/>
          </w:tcPr>
          <w:p w14:paraId="53089970">
            <w:pPr>
              <w:widowControl/>
              <w:rPr>
                <w:rFonts w:hint="eastAsia" w:ascii="宋体" w:hAnsi="宋体" w:cs="宋体"/>
                <w:b/>
                <w:bCs/>
                <w:color w:val="auto"/>
                <w:kern w:val="0"/>
                <w:sz w:val="18"/>
                <w:szCs w:val="18"/>
                <w:highlight w:val="none"/>
              </w:rPr>
            </w:pPr>
          </w:p>
        </w:tc>
        <w:tc>
          <w:tcPr>
            <w:tcW w:w="145" w:type="pct"/>
            <w:vMerge w:val="continue"/>
            <w:tcBorders>
              <w:top w:val="nil"/>
              <w:left w:val="single" w:color="auto" w:sz="4" w:space="0"/>
              <w:bottom w:val="single" w:color="000000" w:sz="4" w:space="0"/>
              <w:right w:val="single" w:color="auto" w:sz="4" w:space="0"/>
            </w:tcBorders>
            <w:vAlign w:val="center"/>
          </w:tcPr>
          <w:p w14:paraId="47D9ADCE">
            <w:pPr>
              <w:widowControl/>
              <w:rPr>
                <w:rFonts w:hint="eastAsia" w:ascii="宋体" w:hAnsi="宋体" w:cs="宋体"/>
                <w:color w:val="auto"/>
                <w:kern w:val="0"/>
                <w:sz w:val="18"/>
                <w:szCs w:val="18"/>
                <w:highlight w:val="none"/>
              </w:rPr>
            </w:pPr>
          </w:p>
        </w:tc>
        <w:tc>
          <w:tcPr>
            <w:tcW w:w="208" w:type="pct"/>
            <w:vMerge w:val="continue"/>
            <w:tcBorders>
              <w:top w:val="nil"/>
              <w:left w:val="single" w:color="auto" w:sz="4" w:space="0"/>
              <w:bottom w:val="single" w:color="000000" w:sz="4" w:space="0"/>
              <w:right w:val="single" w:color="auto" w:sz="4" w:space="0"/>
            </w:tcBorders>
            <w:vAlign w:val="center"/>
          </w:tcPr>
          <w:p w14:paraId="7F2B76A8">
            <w:pPr>
              <w:widowControl/>
              <w:rPr>
                <w:rFonts w:hint="eastAsia" w:ascii="宋体" w:hAnsi="宋体" w:cs="宋体"/>
                <w:color w:val="auto"/>
                <w:kern w:val="0"/>
                <w:sz w:val="18"/>
                <w:szCs w:val="18"/>
                <w:highlight w:val="none"/>
              </w:rPr>
            </w:pPr>
          </w:p>
        </w:tc>
      </w:tr>
      <w:tr w14:paraId="6FF15002">
        <w:tblPrEx>
          <w:tblCellMar>
            <w:top w:w="0" w:type="dxa"/>
            <w:left w:w="108" w:type="dxa"/>
            <w:bottom w:w="0" w:type="dxa"/>
            <w:right w:w="108" w:type="dxa"/>
          </w:tblCellMar>
        </w:tblPrEx>
        <w:trPr>
          <w:trHeight w:val="312"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09884D0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4.2</w:t>
            </w:r>
          </w:p>
        </w:tc>
        <w:tc>
          <w:tcPr>
            <w:tcW w:w="428" w:type="pct"/>
            <w:tcBorders>
              <w:top w:val="nil"/>
              <w:left w:val="single" w:color="auto" w:sz="4" w:space="0"/>
              <w:bottom w:val="single" w:color="auto" w:sz="4" w:space="0"/>
              <w:right w:val="single" w:color="auto" w:sz="4" w:space="0"/>
            </w:tcBorders>
            <w:shd w:val="clear" w:color="auto" w:fill="auto"/>
            <w:vAlign w:val="center"/>
          </w:tcPr>
          <w:p w14:paraId="38E19F0A">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协同共享</w:t>
            </w:r>
          </w:p>
        </w:tc>
        <w:tc>
          <w:tcPr>
            <w:tcW w:w="3798" w:type="pct"/>
            <w:gridSpan w:val="2"/>
            <w:tcBorders>
              <w:top w:val="nil"/>
              <w:left w:val="single" w:color="auto" w:sz="4" w:space="0"/>
              <w:bottom w:val="single" w:color="auto" w:sz="4" w:space="0"/>
              <w:right w:val="single" w:color="auto" w:sz="4" w:space="0"/>
            </w:tcBorders>
            <w:shd w:val="clear" w:color="auto" w:fill="auto"/>
            <w:vAlign w:val="center"/>
          </w:tcPr>
          <w:p w14:paraId="63C6A2E5">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1.信息配置:实现共享信息配置。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2.信息推送:实现进行信息推送。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3.数据共享:数据监控接口级别数据共享。</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(1)数据外发查询:实现按照策略名称、发送类型、发送方式进行单条件检索或组合检索。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(2)数据外发策略编辑:实现数据外发策略新增、编辑、删除、查看操作。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发送数据类型:实现策略名称、插件名称、数据类型、数据类型分类、数据筛选条件、发送类型、外发方式、接口地址、接口方式、数据请求头、执行脚本、描述、上报单位维护；数据类型包括但不限于资产信息、告警信息、事件信息、漏洞信息、恶意代码信息、审计日志信息等；发送类型支持单次发送和周期发送；周期发送支持按分、时、天、周、月、年进行配置；数据筛选条件支持简单筛选和高级筛选模式，简单模式支持选择数据中的字段，通过等于、包含在范围内、数据存在等条件筛选数据，高级模式支持全文检索和复杂条件查询；外发方式支持HTTP、SYSLOG、KAFKA、SFTP等方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4.统一接口规范:可制定与监管单位之间统一的数据接口规范，实现资产数据、通报处置数据、安全分析结果数据等数据共享。</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5.共享类别:共享类别包括重大突发事件共享、安全事件共享、应急处置案例共享和政策法规共享等。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6.共享内容:共享内容包括情报数据、告警数据、安全事件数据等。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7.与涉网监</w:t>
            </w:r>
            <w:r>
              <w:rPr>
                <w:rFonts w:hint="eastAsia" w:ascii="宋体" w:hAnsi="宋体" w:cs="宋体"/>
                <w:color w:val="auto"/>
                <w:kern w:val="0"/>
                <w:sz w:val="18"/>
                <w:szCs w:val="18"/>
                <w:highlight w:val="none"/>
                <w:lang w:val="en-US" w:eastAsia="zh-CN"/>
              </w:rPr>
              <w:t>管</w:t>
            </w:r>
            <w:r>
              <w:rPr>
                <w:rFonts w:hint="eastAsia" w:ascii="宋体" w:hAnsi="宋体" w:cs="宋体"/>
                <w:color w:val="auto"/>
                <w:kern w:val="0"/>
                <w:sz w:val="18"/>
                <w:szCs w:val="18"/>
                <w:highlight w:val="none"/>
              </w:rPr>
              <w:t>单位:实现与公安、国家、网信及其他涉网监管单位的共享数据。</w:t>
            </w:r>
          </w:p>
        </w:tc>
        <w:tc>
          <w:tcPr>
            <w:tcW w:w="145" w:type="pct"/>
            <w:tcBorders>
              <w:top w:val="nil"/>
              <w:left w:val="single" w:color="auto" w:sz="4" w:space="0"/>
              <w:bottom w:val="single" w:color="auto" w:sz="4" w:space="0"/>
              <w:right w:val="single" w:color="auto" w:sz="4" w:space="0"/>
            </w:tcBorders>
            <w:shd w:val="clear" w:color="auto" w:fill="auto"/>
            <w:vAlign w:val="center"/>
          </w:tcPr>
          <w:p w14:paraId="7C497EDD">
            <w:pPr>
              <w:widowControl/>
              <w:jc w:val="center"/>
              <w:rPr>
                <w:rFonts w:hint="eastAsia" w:ascii="宋体" w:hAnsi="宋体" w:cs="宋体"/>
                <w:color w:val="auto"/>
                <w:kern w:val="0"/>
                <w:sz w:val="18"/>
                <w:szCs w:val="18"/>
                <w:highlight w:val="none"/>
              </w:rPr>
            </w:pPr>
          </w:p>
        </w:tc>
        <w:tc>
          <w:tcPr>
            <w:tcW w:w="208" w:type="pct"/>
            <w:tcBorders>
              <w:top w:val="nil"/>
              <w:left w:val="single" w:color="auto" w:sz="4" w:space="0"/>
              <w:bottom w:val="single" w:color="auto" w:sz="4" w:space="0"/>
              <w:right w:val="single" w:color="auto" w:sz="4" w:space="0"/>
            </w:tcBorders>
            <w:shd w:val="clear" w:color="auto" w:fill="auto"/>
            <w:vAlign w:val="center"/>
          </w:tcPr>
          <w:p w14:paraId="0123C799">
            <w:pPr>
              <w:widowControl/>
              <w:jc w:val="center"/>
              <w:rPr>
                <w:rFonts w:hint="eastAsia" w:ascii="宋体" w:hAnsi="宋体" w:cs="宋体"/>
                <w:color w:val="auto"/>
                <w:kern w:val="0"/>
                <w:sz w:val="18"/>
                <w:szCs w:val="18"/>
                <w:highlight w:val="none"/>
              </w:rPr>
            </w:pPr>
          </w:p>
        </w:tc>
      </w:tr>
      <w:tr w14:paraId="1838977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6EDD925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（五）</w:t>
            </w:r>
          </w:p>
        </w:tc>
        <w:tc>
          <w:tcPr>
            <w:tcW w:w="428" w:type="pct"/>
            <w:tcBorders>
              <w:top w:val="nil"/>
              <w:left w:val="nil"/>
              <w:bottom w:val="single" w:color="auto" w:sz="4" w:space="0"/>
              <w:right w:val="single" w:color="auto" w:sz="4" w:space="0"/>
            </w:tcBorders>
            <w:shd w:val="clear" w:color="auto" w:fill="auto"/>
            <w:vAlign w:val="center"/>
          </w:tcPr>
          <w:p w14:paraId="7F275469">
            <w:pPr>
              <w:widowControl/>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人工智能赋能安全运</w:t>
            </w:r>
            <w:r>
              <w:rPr>
                <w:rFonts w:hint="eastAsia" w:ascii="宋体" w:hAnsi="宋体" w:cs="宋体"/>
                <w:b/>
                <w:bCs/>
                <w:color w:val="auto"/>
                <w:kern w:val="0"/>
                <w:sz w:val="18"/>
                <w:szCs w:val="18"/>
                <w:highlight w:val="none"/>
                <w:lang w:val="en-US" w:eastAsia="zh-CN"/>
              </w:rPr>
              <w:t>营模块</w:t>
            </w:r>
          </w:p>
        </w:tc>
        <w:tc>
          <w:tcPr>
            <w:tcW w:w="3798" w:type="pct"/>
            <w:gridSpan w:val="2"/>
            <w:tcBorders>
              <w:top w:val="nil"/>
              <w:left w:val="nil"/>
              <w:bottom w:val="single" w:color="auto" w:sz="4" w:space="0"/>
              <w:right w:val="single" w:color="auto" w:sz="4" w:space="0"/>
            </w:tcBorders>
            <w:shd w:val="clear" w:color="auto" w:fill="auto"/>
            <w:vAlign w:val="center"/>
          </w:tcPr>
          <w:p w14:paraId="7E5B0D98">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人工智能赋能安全运营模块依托AI基座实现智能安全运营赋能，构建数字政府场景下全流程智能安全运维体系，提供智能事件报告、智能研判、事件生成等智能安全能力。</w:t>
            </w:r>
            <w:r>
              <w:rPr>
                <w:rFonts w:hint="eastAsia" w:ascii="宋体" w:hAnsi="宋体" w:cs="宋体"/>
                <w:color w:val="auto"/>
                <w:kern w:val="0"/>
                <w:sz w:val="18"/>
                <w:szCs w:val="18"/>
                <w:highlight w:val="none"/>
                <w:lang w:val="en-US" w:eastAsia="zh-CN"/>
              </w:rPr>
              <w:t>具体技术功能点如下：</w:t>
            </w:r>
          </w:p>
        </w:tc>
        <w:tc>
          <w:tcPr>
            <w:tcW w:w="145" w:type="pct"/>
            <w:tcBorders>
              <w:top w:val="nil"/>
              <w:left w:val="nil"/>
              <w:bottom w:val="single" w:color="auto" w:sz="4" w:space="0"/>
              <w:right w:val="single" w:color="auto" w:sz="4" w:space="0"/>
            </w:tcBorders>
            <w:shd w:val="clear" w:color="auto" w:fill="auto"/>
            <w:vAlign w:val="center"/>
          </w:tcPr>
          <w:p w14:paraId="47BC533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shd w:val="clear" w:color="auto" w:fill="auto"/>
            <w:vAlign w:val="center"/>
          </w:tcPr>
          <w:p w14:paraId="197D75A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套</w:t>
            </w:r>
          </w:p>
        </w:tc>
      </w:tr>
      <w:tr w14:paraId="635E8F9F">
        <w:tblPrEx>
          <w:tblCellMar>
            <w:top w:w="0" w:type="dxa"/>
            <w:left w:w="108" w:type="dxa"/>
            <w:bottom w:w="0" w:type="dxa"/>
            <w:right w:w="108" w:type="dxa"/>
          </w:tblCellMar>
        </w:tblPrEx>
        <w:trPr>
          <w:trHeight w:val="140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2F1FD6E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5.1</w:t>
            </w:r>
          </w:p>
        </w:tc>
        <w:tc>
          <w:tcPr>
            <w:tcW w:w="428" w:type="pct"/>
            <w:tcBorders>
              <w:top w:val="nil"/>
              <w:left w:val="nil"/>
              <w:bottom w:val="single" w:color="auto" w:sz="4" w:space="0"/>
              <w:right w:val="single" w:color="auto" w:sz="4" w:space="0"/>
            </w:tcBorders>
            <w:shd w:val="clear" w:color="auto" w:fill="auto"/>
            <w:vAlign w:val="center"/>
          </w:tcPr>
          <w:p w14:paraId="5E7EF031">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人工智能安全基座对接</w:t>
            </w:r>
          </w:p>
        </w:tc>
        <w:tc>
          <w:tcPr>
            <w:tcW w:w="3798" w:type="pct"/>
            <w:gridSpan w:val="2"/>
            <w:tcBorders>
              <w:top w:val="nil"/>
              <w:left w:val="nil"/>
              <w:bottom w:val="single" w:color="auto" w:sz="4" w:space="0"/>
              <w:right w:val="single" w:color="auto" w:sz="4" w:space="0"/>
            </w:tcBorders>
            <w:shd w:val="clear" w:color="auto" w:fill="auto"/>
            <w:vAlign w:val="center"/>
          </w:tcPr>
          <w:p w14:paraId="19CFAD2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与人工智能基座进行对接，通过人工智能基座对安全运管服务系统进行智能体赋能。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1.对接配置:与人工智能基座进行对接的能力，能够配置连接地址、api_secret/api_key。</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2.web管理:实现在web页面配置大模型服务IP、API授权信息等对接参数。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3.运营智能体开发:通过API调用或定时器等方式将智能体串联至业务流程，根据业务流程执行情况满足执行条件则自动执行。</w:t>
            </w:r>
          </w:p>
        </w:tc>
        <w:tc>
          <w:tcPr>
            <w:tcW w:w="145" w:type="pct"/>
            <w:tcBorders>
              <w:top w:val="nil"/>
              <w:left w:val="nil"/>
              <w:bottom w:val="single" w:color="auto" w:sz="4" w:space="0"/>
              <w:right w:val="single" w:color="auto" w:sz="4" w:space="0"/>
            </w:tcBorders>
            <w:shd w:val="clear" w:color="auto" w:fill="auto"/>
            <w:vAlign w:val="center"/>
          </w:tcPr>
          <w:p w14:paraId="14AFB57E">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28F7EE9C">
            <w:pPr>
              <w:widowControl/>
              <w:jc w:val="center"/>
              <w:rPr>
                <w:rFonts w:hint="eastAsia" w:ascii="宋体" w:hAnsi="宋体" w:cs="宋体"/>
                <w:color w:val="auto"/>
                <w:kern w:val="0"/>
                <w:sz w:val="18"/>
                <w:szCs w:val="18"/>
                <w:highlight w:val="none"/>
              </w:rPr>
            </w:pPr>
          </w:p>
        </w:tc>
      </w:tr>
      <w:tr w14:paraId="55C14195">
        <w:tblPrEx>
          <w:tblCellMar>
            <w:top w:w="0" w:type="dxa"/>
            <w:left w:w="108" w:type="dxa"/>
            <w:bottom w:w="0" w:type="dxa"/>
            <w:right w:w="108" w:type="dxa"/>
          </w:tblCellMar>
        </w:tblPrEx>
        <w:trPr>
          <w:trHeight w:val="120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6AEF155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5.2</w:t>
            </w:r>
          </w:p>
        </w:tc>
        <w:tc>
          <w:tcPr>
            <w:tcW w:w="428" w:type="pct"/>
            <w:tcBorders>
              <w:top w:val="nil"/>
              <w:left w:val="nil"/>
              <w:bottom w:val="single" w:color="auto" w:sz="4" w:space="0"/>
              <w:right w:val="single" w:color="auto" w:sz="4" w:space="0"/>
            </w:tcBorders>
            <w:shd w:val="clear" w:color="auto" w:fill="auto"/>
            <w:vAlign w:val="center"/>
          </w:tcPr>
          <w:p w14:paraId="5E47B54D">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智能安全运维体系构建</w:t>
            </w:r>
          </w:p>
        </w:tc>
        <w:tc>
          <w:tcPr>
            <w:tcW w:w="3798" w:type="pct"/>
            <w:gridSpan w:val="2"/>
            <w:tcBorders>
              <w:top w:val="nil"/>
              <w:left w:val="nil"/>
              <w:bottom w:val="single" w:color="auto" w:sz="4" w:space="0"/>
              <w:right w:val="single" w:color="auto" w:sz="4" w:space="0"/>
            </w:tcBorders>
            <w:shd w:val="clear" w:color="auto" w:fill="auto"/>
            <w:vAlign w:val="center"/>
          </w:tcPr>
          <w:p w14:paraId="4800664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构建适配数字政府场景的智能安全运维体系，整合监测、分析、研判、处置全流程环节。建立智能协同机制，打通与资产、漏洞、威胁等关联模块的数据链路，形成闭环运维流程。同时搭建分级响应机制，适配不同等级安全事件的运维处置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1.智能安全运维体系流程设计:对接人工智能安全基座，开发智能问答、智能研判、智能分析、智能报告等功能，实现监测、分析、研判、处置全流程设计。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2.数据智能关联:实现对采集数据的多维度自动关联。建立与资产、漏洞、威胁情报等模块的智能协同机制，实现数据自动关联。</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3.分级响应与处置流程:从事件发现、分析、研判到处置、验证的标准化闭环工作流程。设计并实现面向不同等级安全事件（如一般、重大、紧急）的分级响应与处置流程。</w:t>
            </w:r>
          </w:p>
        </w:tc>
        <w:tc>
          <w:tcPr>
            <w:tcW w:w="145" w:type="pct"/>
            <w:tcBorders>
              <w:top w:val="nil"/>
              <w:left w:val="nil"/>
              <w:bottom w:val="single" w:color="auto" w:sz="4" w:space="0"/>
              <w:right w:val="single" w:color="auto" w:sz="4" w:space="0"/>
            </w:tcBorders>
            <w:shd w:val="clear" w:color="auto" w:fill="auto"/>
            <w:vAlign w:val="center"/>
          </w:tcPr>
          <w:p w14:paraId="51D0DA74">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1BCB74AA">
            <w:pPr>
              <w:widowControl/>
              <w:jc w:val="center"/>
              <w:rPr>
                <w:rFonts w:hint="eastAsia" w:ascii="宋体" w:hAnsi="宋体" w:cs="宋体"/>
                <w:color w:val="auto"/>
                <w:kern w:val="0"/>
                <w:sz w:val="18"/>
                <w:szCs w:val="18"/>
                <w:highlight w:val="none"/>
              </w:rPr>
            </w:pPr>
          </w:p>
        </w:tc>
      </w:tr>
      <w:tr w14:paraId="5108A11C">
        <w:tblPrEx>
          <w:tblCellMar>
            <w:top w:w="0" w:type="dxa"/>
            <w:left w:w="108" w:type="dxa"/>
            <w:bottom w:w="0" w:type="dxa"/>
            <w:right w:w="108" w:type="dxa"/>
          </w:tblCellMar>
        </w:tblPrEx>
        <w:trPr>
          <w:trHeight w:val="120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4CE8E76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5.3</w:t>
            </w:r>
          </w:p>
        </w:tc>
        <w:tc>
          <w:tcPr>
            <w:tcW w:w="428" w:type="pct"/>
            <w:tcBorders>
              <w:top w:val="nil"/>
              <w:left w:val="nil"/>
              <w:bottom w:val="single" w:color="auto" w:sz="4" w:space="0"/>
              <w:right w:val="single" w:color="auto" w:sz="4" w:space="0"/>
            </w:tcBorders>
            <w:shd w:val="clear" w:color="auto" w:fill="auto"/>
            <w:vAlign w:val="center"/>
          </w:tcPr>
          <w:p w14:paraId="40B44861">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智能事件报告（运维侧）</w:t>
            </w:r>
          </w:p>
        </w:tc>
        <w:tc>
          <w:tcPr>
            <w:tcW w:w="3798" w:type="pct"/>
            <w:gridSpan w:val="2"/>
            <w:tcBorders>
              <w:top w:val="nil"/>
              <w:left w:val="nil"/>
              <w:bottom w:val="single" w:color="auto" w:sz="4" w:space="0"/>
              <w:right w:val="single" w:color="auto" w:sz="4" w:space="0"/>
            </w:tcBorders>
            <w:shd w:val="clear" w:color="auto" w:fill="auto"/>
            <w:vAlign w:val="center"/>
          </w:tcPr>
          <w:p w14:paraId="6A499CC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运维侧提供智能事件报告功能，基于运维过程中采集的事件数据自动生成报告。报告涵盖事件数量、类型分布、处置进度、高频问题、趋势预测等核心内容，实现按日、周、月等周期自动生成，也可按需触发自定义报告生成，为运维决策提供数据支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1.AI生成报告格式:导入报告模板的方式，实现通过自然语言对话与大模型分析理解用户意图或模板章节，生成完整的报告。</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2.自定义报告:通过自主规划整个报告的章节目录、生成标题、生成内容、识别查询内容对应的工具、最终优化报告等多个环节，生成完整的报告。</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3.报告下载:报告能够给用户进行下载，下载格式包括PDF、word。</w:t>
            </w:r>
          </w:p>
        </w:tc>
        <w:tc>
          <w:tcPr>
            <w:tcW w:w="145" w:type="pct"/>
            <w:tcBorders>
              <w:top w:val="nil"/>
              <w:left w:val="nil"/>
              <w:bottom w:val="single" w:color="auto" w:sz="4" w:space="0"/>
              <w:right w:val="single" w:color="auto" w:sz="4" w:space="0"/>
            </w:tcBorders>
            <w:shd w:val="clear" w:color="auto" w:fill="auto"/>
            <w:vAlign w:val="center"/>
          </w:tcPr>
          <w:p w14:paraId="09CBD015">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56243B95">
            <w:pPr>
              <w:widowControl/>
              <w:jc w:val="center"/>
              <w:rPr>
                <w:rFonts w:hint="eastAsia" w:ascii="宋体" w:hAnsi="宋体" w:cs="宋体"/>
                <w:color w:val="auto"/>
                <w:kern w:val="0"/>
                <w:sz w:val="18"/>
                <w:szCs w:val="18"/>
                <w:highlight w:val="none"/>
              </w:rPr>
            </w:pPr>
          </w:p>
        </w:tc>
      </w:tr>
      <w:tr w14:paraId="62D9FD1F">
        <w:tblPrEx>
          <w:tblCellMar>
            <w:top w:w="0" w:type="dxa"/>
            <w:left w:w="108" w:type="dxa"/>
            <w:bottom w:w="0" w:type="dxa"/>
            <w:right w:w="108" w:type="dxa"/>
          </w:tblCellMar>
        </w:tblPrEx>
        <w:trPr>
          <w:trHeight w:val="120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5126F03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5.4</w:t>
            </w:r>
          </w:p>
        </w:tc>
        <w:tc>
          <w:tcPr>
            <w:tcW w:w="428" w:type="pct"/>
            <w:tcBorders>
              <w:top w:val="nil"/>
              <w:left w:val="nil"/>
              <w:bottom w:val="single" w:color="auto" w:sz="4" w:space="0"/>
              <w:right w:val="single" w:color="auto" w:sz="4" w:space="0"/>
            </w:tcBorders>
            <w:shd w:val="clear" w:color="auto" w:fill="auto"/>
            <w:vAlign w:val="center"/>
          </w:tcPr>
          <w:p w14:paraId="27E48101">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智能研判（运维侧）</w:t>
            </w:r>
          </w:p>
        </w:tc>
        <w:tc>
          <w:tcPr>
            <w:tcW w:w="3798" w:type="pct"/>
            <w:gridSpan w:val="2"/>
            <w:tcBorders>
              <w:top w:val="nil"/>
              <w:left w:val="nil"/>
              <w:bottom w:val="single" w:color="auto" w:sz="4" w:space="0"/>
              <w:right w:val="single" w:color="auto" w:sz="4" w:space="0"/>
            </w:tcBorders>
            <w:shd w:val="clear" w:color="auto" w:fill="auto"/>
            <w:vAlign w:val="center"/>
          </w:tcPr>
          <w:p w14:paraId="480FD821">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运维侧实现智能研判能力，依托人工智能算法对安全事件进行深度分析。结合事件的影响范围、危害程度、涉及资产重要性、历史处置案例等多维度信息，精准定位事件根源、评估风险等级，并判断事件是否为连锁风险或潜在威胁，给出研判结论与优先级建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1.AI研判:实现依托机器学习模型与多模态数据分析自动研判安全事件，研判完成后展示研判洞察、研判依据和业务影响。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3.研判解读:对已完成定性分析的事件结论进行深度AI解构，生成可解释性分析内容，实现从告警特征到业务决策的闭环认知升级。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4.研判报告下载:实现下载PDF、HTML、Word格式的研判报告。</w:t>
            </w:r>
          </w:p>
        </w:tc>
        <w:tc>
          <w:tcPr>
            <w:tcW w:w="145" w:type="pct"/>
            <w:tcBorders>
              <w:top w:val="nil"/>
              <w:left w:val="nil"/>
              <w:bottom w:val="single" w:color="auto" w:sz="4" w:space="0"/>
              <w:right w:val="single" w:color="auto" w:sz="4" w:space="0"/>
            </w:tcBorders>
            <w:shd w:val="clear" w:color="auto" w:fill="auto"/>
            <w:vAlign w:val="center"/>
          </w:tcPr>
          <w:p w14:paraId="706F1EB3">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146780DE">
            <w:pPr>
              <w:widowControl/>
              <w:jc w:val="center"/>
              <w:rPr>
                <w:rFonts w:hint="eastAsia" w:ascii="宋体" w:hAnsi="宋体" w:cs="宋体"/>
                <w:color w:val="auto"/>
                <w:kern w:val="0"/>
                <w:sz w:val="18"/>
                <w:szCs w:val="18"/>
                <w:highlight w:val="none"/>
              </w:rPr>
            </w:pPr>
          </w:p>
        </w:tc>
      </w:tr>
      <w:tr w14:paraId="2101319E">
        <w:tblPrEx>
          <w:tblCellMar>
            <w:top w:w="0" w:type="dxa"/>
            <w:left w:w="108" w:type="dxa"/>
            <w:bottom w:w="0" w:type="dxa"/>
            <w:right w:w="108" w:type="dxa"/>
          </w:tblCellMar>
        </w:tblPrEx>
        <w:trPr>
          <w:trHeight w:val="144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7DD7633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5.5</w:t>
            </w:r>
          </w:p>
        </w:tc>
        <w:tc>
          <w:tcPr>
            <w:tcW w:w="428" w:type="pct"/>
            <w:tcBorders>
              <w:top w:val="nil"/>
              <w:left w:val="nil"/>
              <w:bottom w:val="single" w:color="auto" w:sz="4" w:space="0"/>
              <w:right w:val="single" w:color="auto" w:sz="4" w:space="0"/>
            </w:tcBorders>
            <w:shd w:val="clear" w:color="auto" w:fill="auto"/>
            <w:vAlign w:val="center"/>
          </w:tcPr>
          <w:p w14:paraId="217929BD">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智能分析（运维侧）</w:t>
            </w:r>
          </w:p>
        </w:tc>
        <w:tc>
          <w:tcPr>
            <w:tcW w:w="3798" w:type="pct"/>
            <w:gridSpan w:val="2"/>
            <w:tcBorders>
              <w:top w:val="nil"/>
              <w:left w:val="nil"/>
              <w:bottom w:val="single" w:color="auto" w:sz="4" w:space="0"/>
              <w:right w:val="single" w:color="auto" w:sz="4" w:space="0"/>
            </w:tcBorders>
            <w:shd w:val="clear" w:color="auto" w:fill="auto"/>
            <w:vAlign w:val="center"/>
          </w:tcPr>
          <w:p w14:paraId="2584EC3E">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运维侧开展智能分析工作，整合平台采集的日志数据、流量数据、资产数据、威胁数据等多源信息。通过人工智能模型进行关联分析、趋势分析、异常检测，识别隐藏的运维风险、高频故障点、资源瓶颈等问题，输出多维度分析结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1.自动进行关联分析:通过智能分析算法自动进行关联分析，精准找到与该攻击告警相关的其他关联告警。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2.攻击路径图:给出整个事件的所有攻击者、受害者、攻击时间线，并自动生成事件完整攻击路径图。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图形化展示:图形化展示该事件中所有攻击者、受害者、攻击步骤和方向等信息。识别和剥离与本事件无关告警，确保事件还原范围精准。事件分析和还原过程无需人为编写关联告警的检索条件和人为编辑事件信息。</w:t>
            </w:r>
          </w:p>
        </w:tc>
        <w:tc>
          <w:tcPr>
            <w:tcW w:w="145" w:type="pct"/>
            <w:tcBorders>
              <w:top w:val="nil"/>
              <w:left w:val="nil"/>
              <w:bottom w:val="single" w:color="auto" w:sz="4" w:space="0"/>
              <w:right w:val="single" w:color="auto" w:sz="4" w:space="0"/>
            </w:tcBorders>
            <w:shd w:val="clear" w:color="auto" w:fill="auto"/>
            <w:vAlign w:val="center"/>
          </w:tcPr>
          <w:p w14:paraId="3396FF1E">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303512DC">
            <w:pPr>
              <w:widowControl/>
              <w:jc w:val="center"/>
              <w:rPr>
                <w:rFonts w:hint="eastAsia" w:ascii="宋体" w:hAnsi="宋体" w:cs="宋体"/>
                <w:color w:val="auto"/>
                <w:kern w:val="0"/>
                <w:sz w:val="18"/>
                <w:szCs w:val="18"/>
                <w:highlight w:val="none"/>
              </w:rPr>
            </w:pPr>
          </w:p>
        </w:tc>
      </w:tr>
      <w:tr w14:paraId="444C362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02A6A0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5.6</w:t>
            </w:r>
          </w:p>
        </w:tc>
        <w:tc>
          <w:tcPr>
            <w:tcW w:w="428" w:type="pct"/>
            <w:tcBorders>
              <w:top w:val="nil"/>
              <w:left w:val="nil"/>
              <w:bottom w:val="single" w:color="auto" w:sz="4" w:space="0"/>
              <w:right w:val="single" w:color="auto" w:sz="4" w:space="0"/>
            </w:tcBorders>
            <w:shd w:val="clear" w:color="auto" w:fill="auto"/>
            <w:vAlign w:val="center"/>
          </w:tcPr>
          <w:p w14:paraId="62D30BD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总体资产分析画像（运维侧）</w:t>
            </w:r>
          </w:p>
        </w:tc>
        <w:tc>
          <w:tcPr>
            <w:tcW w:w="3798" w:type="pct"/>
            <w:gridSpan w:val="2"/>
            <w:tcBorders>
              <w:top w:val="nil"/>
              <w:left w:val="nil"/>
              <w:bottom w:val="single" w:color="auto" w:sz="4" w:space="0"/>
              <w:right w:val="single" w:color="auto" w:sz="4" w:space="0"/>
            </w:tcBorders>
            <w:shd w:val="clear" w:color="auto" w:fill="auto"/>
            <w:vAlign w:val="center"/>
          </w:tcPr>
          <w:p w14:paraId="54EB433B">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运维侧生成总体资产分析画像，整合全量资产的基础信息、运行状态、安全状况、运维记录等数据。画像涵盖资产总量、类型分布、重要等级占比、漏洞修复率、故障发生率、资源利用率等核心指标，以可视化形式呈现，助力运维人员全面掌握资产运维态势。</w:t>
            </w:r>
          </w:p>
        </w:tc>
        <w:tc>
          <w:tcPr>
            <w:tcW w:w="145" w:type="pct"/>
            <w:tcBorders>
              <w:top w:val="nil"/>
              <w:left w:val="nil"/>
              <w:bottom w:val="single" w:color="auto" w:sz="4" w:space="0"/>
              <w:right w:val="single" w:color="auto" w:sz="4" w:space="0"/>
            </w:tcBorders>
            <w:shd w:val="clear" w:color="auto" w:fill="auto"/>
            <w:vAlign w:val="center"/>
          </w:tcPr>
          <w:p w14:paraId="06FCF85A">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161CA89A">
            <w:pPr>
              <w:widowControl/>
              <w:jc w:val="center"/>
              <w:rPr>
                <w:rFonts w:hint="eastAsia" w:ascii="宋体" w:hAnsi="宋体" w:cs="宋体"/>
                <w:color w:val="auto"/>
                <w:kern w:val="0"/>
                <w:sz w:val="18"/>
                <w:szCs w:val="18"/>
                <w:highlight w:val="none"/>
              </w:rPr>
            </w:pPr>
          </w:p>
        </w:tc>
      </w:tr>
      <w:tr w14:paraId="7DAFEFDE">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7598613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5.7</w:t>
            </w:r>
          </w:p>
        </w:tc>
        <w:tc>
          <w:tcPr>
            <w:tcW w:w="428" w:type="pct"/>
            <w:tcBorders>
              <w:top w:val="nil"/>
              <w:left w:val="nil"/>
              <w:bottom w:val="single" w:color="auto" w:sz="4" w:space="0"/>
              <w:right w:val="single" w:color="auto" w:sz="4" w:space="0"/>
            </w:tcBorders>
            <w:shd w:val="clear" w:color="auto" w:fill="auto"/>
            <w:vAlign w:val="center"/>
          </w:tcPr>
          <w:p w14:paraId="3FF28AE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智能事件生成（运维侧）</w:t>
            </w:r>
          </w:p>
        </w:tc>
        <w:tc>
          <w:tcPr>
            <w:tcW w:w="3798" w:type="pct"/>
            <w:gridSpan w:val="2"/>
            <w:tcBorders>
              <w:top w:val="nil"/>
              <w:left w:val="nil"/>
              <w:bottom w:val="single" w:color="auto" w:sz="4" w:space="0"/>
              <w:right w:val="single" w:color="auto" w:sz="4" w:space="0"/>
            </w:tcBorders>
            <w:shd w:val="clear" w:color="auto" w:fill="auto"/>
            <w:vAlign w:val="center"/>
          </w:tcPr>
          <w:p w14:paraId="3793ACBE">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运维侧实现智能事件生成功能，通过实时监测资产运行状态、日志异常、威胁告警等数据，自动识别运维相关的异常场景。系统按预设规则将异常场景转化为标准化运维事件，标注事件类型、涉及资产、初步描述等信息，并自动分配至对应运维负责人。</w:t>
            </w:r>
          </w:p>
        </w:tc>
        <w:tc>
          <w:tcPr>
            <w:tcW w:w="145" w:type="pct"/>
            <w:tcBorders>
              <w:top w:val="nil"/>
              <w:left w:val="nil"/>
              <w:bottom w:val="single" w:color="auto" w:sz="4" w:space="0"/>
              <w:right w:val="single" w:color="auto" w:sz="4" w:space="0"/>
            </w:tcBorders>
            <w:shd w:val="clear" w:color="auto" w:fill="auto"/>
            <w:vAlign w:val="center"/>
          </w:tcPr>
          <w:p w14:paraId="21869CB5">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15D38CB7">
            <w:pPr>
              <w:widowControl/>
              <w:jc w:val="center"/>
              <w:rPr>
                <w:rFonts w:hint="eastAsia" w:ascii="宋体" w:hAnsi="宋体" w:cs="宋体"/>
                <w:color w:val="auto"/>
                <w:kern w:val="0"/>
                <w:sz w:val="18"/>
                <w:szCs w:val="18"/>
                <w:highlight w:val="none"/>
              </w:rPr>
            </w:pPr>
          </w:p>
        </w:tc>
      </w:tr>
      <w:tr w14:paraId="3D8DEE1B">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17A2A87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5.8</w:t>
            </w:r>
          </w:p>
        </w:tc>
        <w:tc>
          <w:tcPr>
            <w:tcW w:w="428" w:type="pct"/>
            <w:tcBorders>
              <w:top w:val="nil"/>
              <w:left w:val="nil"/>
              <w:bottom w:val="single" w:color="auto" w:sz="4" w:space="0"/>
              <w:right w:val="single" w:color="auto" w:sz="4" w:space="0"/>
            </w:tcBorders>
            <w:shd w:val="clear" w:color="auto" w:fill="auto"/>
            <w:vAlign w:val="center"/>
          </w:tcPr>
          <w:p w14:paraId="4A92C22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单位威胁态势画像（运维侧）</w:t>
            </w:r>
          </w:p>
        </w:tc>
        <w:tc>
          <w:tcPr>
            <w:tcW w:w="3798" w:type="pct"/>
            <w:gridSpan w:val="2"/>
            <w:tcBorders>
              <w:top w:val="nil"/>
              <w:left w:val="nil"/>
              <w:bottom w:val="single" w:color="auto" w:sz="4" w:space="0"/>
              <w:right w:val="single" w:color="auto" w:sz="4" w:space="0"/>
            </w:tcBorders>
            <w:shd w:val="clear" w:color="auto" w:fill="auto"/>
            <w:vAlign w:val="center"/>
          </w:tcPr>
          <w:p w14:paraId="10438D5B">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运维侧构建单位威胁态势画像，聚焦各政务单位的运维安全威胁情况。整合单位内发生的安全事件、威胁告警、漏洞信息、攻击行为等数据，分析威胁类型、攻击频率、高发时段、影响范围等特征，生成动态更新的态势画像，直观展现各单位威胁运维态势。</w:t>
            </w:r>
          </w:p>
        </w:tc>
        <w:tc>
          <w:tcPr>
            <w:tcW w:w="145" w:type="pct"/>
            <w:tcBorders>
              <w:top w:val="nil"/>
              <w:left w:val="nil"/>
              <w:bottom w:val="single" w:color="auto" w:sz="4" w:space="0"/>
              <w:right w:val="single" w:color="auto" w:sz="4" w:space="0"/>
            </w:tcBorders>
            <w:shd w:val="clear" w:color="auto" w:fill="auto"/>
            <w:vAlign w:val="center"/>
          </w:tcPr>
          <w:p w14:paraId="6833A53C">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2E608FE7">
            <w:pPr>
              <w:widowControl/>
              <w:jc w:val="center"/>
              <w:rPr>
                <w:rFonts w:hint="eastAsia" w:ascii="宋体" w:hAnsi="宋体" w:cs="宋体"/>
                <w:color w:val="auto"/>
                <w:kern w:val="0"/>
                <w:sz w:val="18"/>
                <w:szCs w:val="18"/>
                <w:highlight w:val="none"/>
              </w:rPr>
            </w:pPr>
          </w:p>
        </w:tc>
      </w:tr>
      <w:tr w14:paraId="6DB58BD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60221A8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5.9</w:t>
            </w:r>
          </w:p>
        </w:tc>
        <w:tc>
          <w:tcPr>
            <w:tcW w:w="428" w:type="pct"/>
            <w:tcBorders>
              <w:top w:val="nil"/>
              <w:left w:val="nil"/>
              <w:bottom w:val="single" w:color="auto" w:sz="4" w:space="0"/>
              <w:right w:val="single" w:color="auto" w:sz="4" w:space="0"/>
            </w:tcBorders>
            <w:shd w:val="clear" w:color="auto" w:fill="auto"/>
            <w:vAlign w:val="center"/>
          </w:tcPr>
          <w:p w14:paraId="49E1261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事件分析（租户侧）</w:t>
            </w:r>
          </w:p>
        </w:tc>
        <w:tc>
          <w:tcPr>
            <w:tcW w:w="3798" w:type="pct"/>
            <w:gridSpan w:val="2"/>
            <w:tcBorders>
              <w:top w:val="nil"/>
              <w:left w:val="nil"/>
              <w:bottom w:val="single" w:color="auto" w:sz="4" w:space="0"/>
              <w:right w:val="single" w:color="auto" w:sz="4" w:space="0"/>
            </w:tcBorders>
            <w:shd w:val="clear" w:color="auto" w:fill="auto"/>
            <w:vAlign w:val="center"/>
          </w:tcPr>
          <w:p w14:paraId="75A6353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租户侧提供事件分析功能，租户可自主查询本单位范围内的运维事件数据。能够按事件类型、时间范围、处置状态等维度进行筛选，系统提供事件趋势图表、类型分布统计等可视化分析工具，帮助租户清晰掌握本单位运维事件的发生规律与处置情况。</w:t>
            </w:r>
          </w:p>
        </w:tc>
        <w:tc>
          <w:tcPr>
            <w:tcW w:w="145" w:type="pct"/>
            <w:tcBorders>
              <w:top w:val="nil"/>
              <w:left w:val="nil"/>
              <w:bottom w:val="single" w:color="auto" w:sz="4" w:space="0"/>
              <w:right w:val="single" w:color="auto" w:sz="4" w:space="0"/>
            </w:tcBorders>
            <w:shd w:val="clear" w:color="auto" w:fill="auto"/>
            <w:vAlign w:val="center"/>
          </w:tcPr>
          <w:p w14:paraId="3FA4756F">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63186C9C">
            <w:pPr>
              <w:widowControl/>
              <w:jc w:val="center"/>
              <w:rPr>
                <w:rFonts w:hint="eastAsia" w:ascii="宋体" w:hAnsi="宋体" w:cs="宋体"/>
                <w:color w:val="auto"/>
                <w:kern w:val="0"/>
                <w:sz w:val="18"/>
                <w:szCs w:val="18"/>
                <w:highlight w:val="none"/>
              </w:rPr>
            </w:pPr>
          </w:p>
        </w:tc>
      </w:tr>
      <w:tr w14:paraId="0151A7CF">
        <w:tblPrEx>
          <w:tblCellMar>
            <w:top w:w="0" w:type="dxa"/>
            <w:left w:w="108" w:type="dxa"/>
            <w:bottom w:w="0" w:type="dxa"/>
            <w:right w:w="108" w:type="dxa"/>
          </w:tblCellMar>
        </w:tblPrEx>
        <w:trPr>
          <w:trHeight w:val="96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71FE40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5.10</w:t>
            </w:r>
          </w:p>
        </w:tc>
        <w:tc>
          <w:tcPr>
            <w:tcW w:w="428" w:type="pct"/>
            <w:tcBorders>
              <w:top w:val="nil"/>
              <w:left w:val="nil"/>
              <w:bottom w:val="single" w:color="auto" w:sz="4" w:space="0"/>
              <w:right w:val="single" w:color="auto" w:sz="4" w:space="0"/>
            </w:tcBorders>
            <w:shd w:val="clear" w:color="auto" w:fill="auto"/>
            <w:vAlign w:val="center"/>
          </w:tcPr>
          <w:p w14:paraId="6951B92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处置建议（租户侧）</w:t>
            </w:r>
          </w:p>
        </w:tc>
        <w:tc>
          <w:tcPr>
            <w:tcW w:w="3798" w:type="pct"/>
            <w:gridSpan w:val="2"/>
            <w:tcBorders>
              <w:top w:val="nil"/>
              <w:left w:val="nil"/>
              <w:bottom w:val="single" w:color="auto" w:sz="4" w:space="0"/>
              <w:right w:val="single" w:color="auto" w:sz="4" w:space="0"/>
            </w:tcBorders>
            <w:shd w:val="clear" w:color="auto" w:fill="auto"/>
            <w:vAlign w:val="center"/>
          </w:tcPr>
          <w:p w14:paraId="3CA50375">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租户侧输出针对性处置建议，结合租户单位的运维事件具体情况，依托人工智能模型与历史处置案例库自动生成。建议内容包括处置步骤、操作方法、所需工具、注意事项等，同时提供类似案例参考，辅助租户快速、规范地完成事件处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1.事件处置方案:</w:t>
            </w:r>
            <w:r>
              <w:rPr>
                <w:rFonts w:hint="eastAsia" w:ascii="宋体" w:hAnsi="宋体" w:cs="宋体"/>
                <w:color w:val="auto"/>
                <w:kern w:val="0"/>
                <w:sz w:val="18"/>
                <w:szCs w:val="18"/>
                <w:highlight w:val="none"/>
                <w:lang w:val="en-US" w:eastAsia="zh-CN"/>
              </w:rPr>
              <w:t>支</w:t>
            </w:r>
            <w:r>
              <w:rPr>
                <w:rFonts w:hint="eastAsia" w:ascii="宋体" w:hAnsi="宋体" w:cs="宋体"/>
                <w:color w:val="auto"/>
                <w:kern w:val="0"/>
                <w:sz w:val="18"/>
                <w:szCs w:val="18"/>
                <w:highlight w:val="none"/>
              </w:rPr>
              <w:t>持由AI大模型自动生成事件处置方案，内容包含且不限于：处置对象、处置时长、推荐处置命令、推荐理由，并可一键调用自动处置命令。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2.智能处置:实现由AI自动发现当前响应预案未覆盖的事件，并智能推荐和生成对应的响应预案，以保证后续同类事件可由响应预案自动执行处置。</w:t>
            </w:r>
          </w:p>
        </w:tc>
        <w:tc>
          <w:tcPr>
            <w:tcW w:w="145" w:type="pct"/>
            <w:tcBorders>
              <w:top w:val="nil"/>
              <w:left w:val="nil"/>
              <w:bottom w:val="single" w:color="auto" w:sz="4" w:space="0"/>
              <w:right w:val="single" w:color="auto" w:sz="4" w:space="0"/>
            </w:tcBorders>
            <w:shd w:val="clear" w:color="auto" w:fill="auto"/>
            <w:vAlign w:val="center"/>
          </w:tcPr>
          <w:p w14:paraId="1F3CAA95">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457F97D4">
            <w:pPr>
              <w:widowControl/>
              <w:jc w:val="center"/>
              <w:rPr>
                <w:rFonts w:hint="eastAsia" w:ascii="宋体" w:hAnsi="宋体" w:cs="宋体"/>
                <w:color w:val="auto"/>
                <w:kern w:val="0"/>
                <w:sz w:val="18"/>
                <w:szCs w:val="18"/>
                <w:highlight w:val="none"/>
              </w:rPr>
            </w:pPr>
          </w:p>
        </w:tc>
      </w:tr>
      <w:tr w14:paraId="6BA067B0">
        <w:tblPrEx>
          <w:tblCellMar>
            <w:top w:w="0" w:type="dxa"/>
            <w:left w:w="108" w:type="dxa"/>
            <w:bottom w:w="0" w:type="dxa"/>
            <w:right w:w="108" w:type="dxa"/>
          </w:tblCellMar>
        </w:tblPrEx>
        <w:trPr>
          <w:trHeight w:val="144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70560D0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5.11</w:t>
            </w:r>
          </w:p>
        </w:tc>
        <w:tc>
          <w:tcPr>
            <w:tcW w:w="428" w:type="pct"/>
            <w:tcBorders>
              <w:top w:val="nil"/>
              <w:left w:val="nil"/>
              <w:bottom w:val="single" w:color="auto" w:sz="4" w:space="0"/>
              <w:right w:val="single" w:color="auto" w:sz="4" w:space="0"/>
            </w:tcBorders>
            <w:shd w:val="clear" w:color="auto" w:fill="auto"/>
            <w:vAlign w:val="center"/>
          </w:tcPr>
          <w:p w14:paraId="498C763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安全运营知识库</w:t>
            </w:r>
          </w:p>
        </w:tc>
        <w:tc>
          <w:tcPr>
            <w:tcW w:w="3798" w:type="pct"/>
            <w:gridSpan w:val="2"/>
            <w:tcBorders>
              <w:top w:val="nil"/>
              <w:left w:val="nil"/>
              <w:bottom w:val="single" w:color="auto" w:sz="4" w:space="0"/>
              <w:right w:val="single" w:color="auto" w:sz="4" w:space="0"/>
            </w:tcBorders>
            <w:shd w:val="clear" w:color="auto" w:fill="auto"/>
            <w:vAlign w:val="center"/>
          </w:tcPr>
          <w:p w14:paraId="502352A7">
            <w:pPr>
              <w:widowControl/>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搭建安全运营知识库，整合数字政府运维相关的各类知识资源。内容涵盖运维流程规范、事件处置手册、常见问题解答、漏洞修复方案、政策法规要求、历史案例库等，可按关键词检索、分类浏览。同时具备知识更新功能，可通过人工录入或自动同步方式补充新增知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1.知识数据管理与存储:实现基于RAG技术的企业级知识管理，通过私有化部署将本地数据智能转化为结构化知识库，可搭载问答智能体，实现安全合规的高效知识检索与交互应用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2.智能文档解析引擎:实现PDF/Word/PPT/Excel/TXT等常见格式上传，对上传的文档自动识别内容并切分为一个个内容片段进行存储。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3.多维分片策略:提供智能分片、字符长度分片（可设阈值）、章节分片三种模式，满足不同知识类型的存储优化需求。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4.知识生命周期管理:完整的管理面板实现知识库编辑、删除、批量清理操作</w:t>
            </w:r>
            <w:r>
              <w:rPr>
                <w:rFonts w:hint="eastAsia" w:ascii="宋体" w:hAnsi="宋体" w:cs="宋体"/>
                <w:color w:val="auto"/>
                <w:kern w:val="0"/>
                <w:sz w:val="18"/>
                <w:szCs w:val="18"/>
                <w:highlight w:val="none"/>
                <w:lang w:eastAsia="zh-CN"/>
              </w:rPr>
              <w:t>。</w:t>
            </w:r>
          </w:p>
        </w:tc>
        <w:tc>
          <w:tcPr>
            <w:tcW w:w="145" w:type="pct"/>
            <w:tcBorders>
              <w:top w:val="nil"/>
              <w:left w:val="nil"/>
              <w:bottom w:val="single" w:color="auto" w:sz="4" w:space="0"/>
              <w:right w:val="single" w:color="auto" w:sz="4" w:space="0"/>
            </w:tcBorders>
            <w:shd w:val="clear" w:color="auto" w:fill="auto"/>
            <w:vAlign w:val="center"/>
          </w:tcPr>
          <w:p w14:paraId="6D67992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43BB168A">
            <w:pPr>
              <w:widowControl/>
              <w:jc w:val="center"/>
              <w:rPr>
                <w:rFonts w:hint="eastAsia" w:ascii="宋体" w:hAnsi="宋体" w:cs="宋体"/>
                <w:color w:val="auto"/>
                <w:kern w:val="0"/>
                <w:sz w:val="18"/>
                <w:szCs w:val="18"/>
                <w:highlight w:val="none"/>
              </w:rPr>
            </w:pPr>
          </w:p>
        </w:tc>
      </w:tr>
      <w:tr w14:paraId="0AFCD09B">
        <w:tblPrEx>
          <w:tblCellMar>
            <w:top w:w="0" w:type="dxa"/>
            <w:left w:w="108" w:type="dxa"/>
            <w:bottom w:w="0" w:type="dxa"/>
            <w:right w:w="108" w:type="dxa"/>
          </w:tblCellMar>
        </w:tblPrEx>
        <w:trPr>
          <w:trHeight w:val="720" w:hRule="atLeast"/>
        </w:trPr>
        <w:tc>
          <w:tcPr>
            <w:tcW w:w="418" w:type="pct"/>
            <w:tcBorders>
              <w:top w:val="nil"/>
              <w:left w:val="single" w:color="auto" w:sz="4" w:space="0"/>
              <w:bottom w:val="single" w:color="auto" w:sz="4" w:space="0"/>
              <w:right w:val="single" w:color="auto" w:sz="4" w:space="0"/>
            </w:tcBorders>
            <w:shd w:val="clear" w:color="auto" w:fill="auto"/>
            <w:vAlign w:val="center"/>
          </w:tcPr>
          <w:p w14:paraId="2F30654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5.12</w:t>
            </w:r>
          </w:p>
        </w:tc>
        <w:tc>
          <w:tcPr>
            <w:tcW w:w="428" w:type="pct"/>
            <w:tcBorders>
              <w:top w:val="nil"/>
              <w:left w:val="nil"/>
              <w:bottom w:val="single" w:color="auto" w:sz="4" w:space="0"/>
              <w:right w:val="single" w:color="auto" w:sz="4" w:space="0"/>
            </w:tcBorders>
            <w:shd w:val="clear" w:color="auto" w:fill="auto"/>
            <w:vAlign w:val="center"/>
          </w:tcPr>
          <w:p w14:paraId="1783D64A">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智能运维统一界面</w:t>
            </w:r>
          </w:p>
        </w:tc>
        <w:tc>
          <w:tcPr>
            <w:tcW w:w="3798" w:type="pct"/>
            <w:gridSpan w:val="2"/>
            <w:tcBorders>
              <w:top w:val="nil"/>
              <w:left w:val="nil"/>
              <w:bottom w:val="single" w:color="auto" w:sz="4" w:space="0"/>
              <w:right w:val="single" w:color="auto" w:sz="4" w:space="0"/>
            </w:tcBorders>
            <w:shd w:val="clear" w:color="auto" w:fill="auto"/>
            <w:vAlign w:val="center"/>
          </w:tcPr>
          <w:p w14:paraId="73C3623D">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构建智能运维统一界面模块，作为运维侧与租户侧的核心操作门户。整合智能安全运营功能，实现角色权限适配，为运维侧提供全域管控视图、租户侧提供本单位专属视图。实现数据可视化集中展示，涵盖态势画像、事件统计等核心指标；提供跨模块快速跳转与操作联动，可在事件处置时直接调取相关功能；实现界面布局个性化配置，适配不同运维场景操作需求。提供可供运维侧与租户侧调用的智能运维助手，支持通过智能运维助手开展对话，开展统一智能运维。</w:t>
            </w:r>
          </w:p>
        </w:tc>
        <w:tc>
          <w:tcPr>
            <w:tcW w:w="145" w:type="pct"/>
            <w:tcBorders>
              <w:top w:val="nil"/>
              <w:left w:val="nil"/>
              <w:bottom w:val="single" w:color="auto" w:sz="4" w:space="0"/>
              <w:right w:val="single" w:color="auto" w:sz="4" w:space="0"/>
            </w:tcBorders>
            <w:shd w:val="clear" w:color="auto" w:fill="auto"/>
            <w:vAlign w:val="center"/>
          </w:tcPr>
          <w:p w14:paraId="262BF772">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shd w:val="clear" w:color="auto" w:fill="auto"/>
            <w:vAlign w:val="center"/>
          </w:tcPr>
          <w:p w14:paraId="398E72AB">
            <w:pPr>
              <w:widowControl/>
              <w:jc w:val="center"/>
              <w:rPr>
                <w:rFonts w:hint="eastAsia" w:ascii="宋体" w:hAnsi="宋体" w:cs="宋体"/>
                <w:color w:val="auto"/>
                <w:kern w:val="0"/>
                <w:sz w:val="18"/>
                <w:szCs w:val="18"/>
                <w:highlight w:val="none"/>
              </w:rPr>
            </w:pPr>
          </w:p>
        </w:tc>
      </w:tr>
      <w:tr w14:paraId="2F4D228A">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61AD76E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二</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vAlign w:val="center"/>
          </w:tcPr>
          <w:p w14:paraId="7B18D30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人工智能安全</w:t>
            </w:r>
          </w:p>
        </w:tc>
        <w:tc>
          <w:tcPr>
            <w:tcW w:w="3798" w:type="pct"/>
            <w:gridSpan w:val="2"/>
            <w:tcBorders>
              <w:top w:val="nil"/>
              <w:left w:val="nil"/>
              <w:bottom w:val="single" w:color="auto" w:sz="4" w:space="0"/>
              <w:right w:val="single" w:color="auto" w:sz="4" w:space="0"/>
            </w:tcBorders>
            <w:vAlign w:val="center"/>
          </w:tcPr>
          <w:p w14:paraId="3EE8B17A">
            <w:pPr>
              <w:widowControl/>
              <w:ind w:firstLine="360" w:firstLineChars="200"/>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GB"/>
              </w:rPr>
              <w:t>建设人工智能安全基座，包括安全大模型智能基座软件、人工智能应用安全防护系统等，赋能“一中心、五平台”，支持智能监测、智能问答、智能研判、智能调查、智能报告生成等服务，实现智能化安全运营；建设人工智能应用安全防护系统，通过智能内容判定、风险内容检测、敏感问题代答、内容安全测评等技术保障政务大模型输入输出内容安全可控，价值观向善，筑牢政务大模型内容安全防线。</w:t>
            </w:r>
            <w:r>
              <w:rPr>
                <w:rFonts w:hint="eastAsia" w:ascii="宋体" w:hAnsi="宋体" w:cs="宋体"/>
                <w:color w:val="auto"/>
                <w:kern w:val="0"/>
                <w:sz w:val="18"/>
                <w:szCs w:val="18"/>
                <w:highlight w:val="none"/>
                <w:lang w:val="en-US" w:eastAsia="zh-CN"/>
              </w:rPr>
              <w:t>具体技术功能要点如下：</w:t>
            </w:r>
          </w:p>
        </w:tc>
        <w:tc>
          <w:tcPr>
            <w:tcW w:w="145" w:type="pct"/>
            <w:tcBorders>
              <w:top w:val="single" w:color="auto" w:sz="4" w:space="0"/>
              <w:left w:val="nil"/>
              <w:bottom w:val="single" w:color="auto" w:sz="4" w:space="0"/>
              <w:right w:val="single" w:color="auto" w:sz="4" w:space="0"/>
            </w:tcBorders>
            <w:vAlign w:val="center"/>
          </w:tcPr>
          <w:p w14:paraId="7C6222F4">
            <w:pPr>
              <w:widowControl/>
              <w:jc w:val="center"/>
              <w:rPr>
                <w:rFonts w:hint="eastAsia" w:ascii="宋体" w:hAnsi="宋体" w:cs="宋体"/>
                <w:color w:val="auto"/>
                <w:kern w:val="0"/>
                <w:sz w:val="18"/>
                <w:szCs w:val="18"/>
                <w:highlight w:val="none"/>
              </w:rPr>
            </w:pPr>
          </w:p>
        </w:tc>
        <w:tc>
          <w:tcPr>
            <w:tcW w:w="208" w:type="pct"/>
            <w:tcBorders>
              <w:top w:val="single" w:color="auto" w:sz="4" w:space="0"/>
              <w:left w:val="nil"/>
              <w:bottom w:val="single" w:color="auto" w:sz="4" w:space="0"/>
              <w:right w:val="single" w:color="auto" w:sz="4" w:space="0"/>
            </w:tcBorders>
            <w:vAlign w:val="center"/>
          </w:tcPr>
          <w:p w14:paraId="2CA82DF0">
            <w:pPr>
              <w:widowControl/>
              <w:jc w:val="center"/>
              <w:rPr>
                <w:rFonts w:hint="eastAsia" w:ascii="宋体" w:hAnsi="宋体" w:cs="宋体"/>
                <w:color w:val="auto"/>
                <w:kern w:val="0"/>
                <w:sz w:val="18"/>
                <w:szCs w:val="18"/>
                <w:highlight w:val="none"/>
              </w:rPr>
            </w:pPr>
          </w:p>
        </w:tc>
      </w:tr>
      <w:tr w14:paraId="72FC8B11">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138CFC5E">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一）</w:t>
            </w:r>
          </w:p>
        </w:tc>
        <w:tc>
          <w:tcPr>
            <w:tcW w:w="428" w:type="pct"/>
            <w:tcBorders>
              <w:top w:val="nil"/>
              <w:left w:val="nil"/>
              <w:bottom w:val="single" w:color="auto" w:sz="4" w:space="0"/>
              <w:right w:val="single" w:color="auto" w:sz="4" w:space="0"/>
            </w:tcBorders>
            <w:vAlign w:val="center"/>
          </w:tcPr>
          <w:p w14:paraId="300902BC">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安全大模型智能基座软件</w:t>
            </w:r>
          </w:p>
        </w:tc>
        <w:tc>
          <w:tcPr>
            <w:tcW w:w="3798" w:type="pct"/>
            <w:gridSpan w:val="2"/>
            <w:tcBorders>
              <w:top w:val="nil"/>
              <w:left w:val="nil"/>
              <w:bottom w:val="single" w:color="auto" w:sz="4" w:space="0"/>
              <w:right w:val="single" w:color="auto" w:sz="4" w:space="0"/>
            </w:tcBorders>
          </w:tcPr>
          <w:p w14:paraId="43CC8398">
            <w:pPr>
              <w:pStyle w:val="32"/>
              <w:widowControl/>
              <w:ind w:firstLine="360" w:firstLineChars="200"/>
              <w:rPr>
                <w:rFonts w:hint="eastAsia" w:ascii="宋体" w:hAnsi="宋体" w:cs="宋体"/>
                <w:color w:val="auto"/>
                <w:highlight w:val="none"/>
              </w:rPr>
            </w:pPr>
            <w:r>
              <w:rPr>
                <w:rFonts w:hint="eastAsia" w:ascii="宋体" w:hAnsi="宋体" w:cs="宋体"/>
                <w:color w:val="auto"/>
                <w:highlight w:val="none"/>
              </w:rPr>
              <w:t>配置1套安全大模型智能基座软件，包括安全推理大模型、通用安全智能体、公共基础知识库、智能体开发模块</w:t>
            </w:r>
            <w:r>
              <w:rPr>
                <w:rFonts w:hint="eastAsia" w:ascii="宋体" w:hAnsi="宋体" w:cs="宋体"/>
                <w:color w:val="auto"/>
                <w:highlight w:val="none"/>
                <w:lang w:val="en-US" w:eastAsia="zh-CN"/>
              </w:rPr>
              <w:t>等，</w:t>
            </w:r>
            <w:r>
              <w:rPr>
                <w:rFonts w:hint="eastAsia" w:ascii="宋体" w:hAnsi="宋体" w:cs="宋体"/>
                <w:strike w:val="0"/>
                <w:color w:val="auto"/>
                <w:highlight w:val="none"/>
                <w:lang w:val="en-US" w:eastAsia="zh-CN"/>
              </w:rPr>
              <w:t>实现国产化算力服务器部署，具体按照提供的算力服务器进行适配部署</w:t>
            </w:r>
            <w:r>
              <w:rPr>
                <w:rFonts w:hint="eastAsia" w:ascii="宋体" w:hAnsi="宋体" w:cs="宋体"/>
                <w:color w:val="auto"/>
                <w:highlight w:val="none"/>
              </w:rPr>
              <w:t>。</w:t>
            </w:r>
          </w:p>
          <w:p w14:paraId="6D7B7EC8">
            <w:pPr>
              <w:pStyle w:val="32"/>
              <w:widowControl/>
              <w:ind w:firstLine="360" w:firstLineChars="200"/>
              <w:rPr>
                <w:rFonts w:hint="eastAsia" w:ascii="宋体" w:hAnsi="宋体" w:cs="宋体"/>
                <w:color w:val="auto"/>
                <w:highlight w:val="none"/>
              </w:rPr>
            </w:pPr>
            <w:r>
              <w:rPr>
                <w:rFonts w:hint="eastAsia" w:ascii="宋体" w:hAnsi="宋体" w:cs="宋体"/>
                <w:color w:val="auto"/>
                <w:highlight w:val="none"/>
              </w:rPr>
              <w:t>一、安全推理大模型</w:t>
            </w:r>
          </w:p>
          <w:p w14:paraId="1E81D151">
            <w:pPr>
              <w:pStyle w:val="32"/>
              <w:widowControl/>
              <w:ind w:firstLine="360" w:firstLineChars="200"/>
              <w:rPr>
                <w:rFonts w:hint="eastAsia" w:ascii="宋体" w:hAnsi="宋体" w:cs="宋体"/>
                <w:color w:val="auto"/>
                <w:highlight w:val="none"/>
              </w:rPr>
            </w:pPr>
            <w:r>
              <w:rPr>
                <w:rFonts w:hint="eastAsia" w:ascii="宋体" w:hAnsi="宋体" w:cs="宋体"/>
                <w:color w:val="auto"/>
                <w:highlight w:val="none"/>
              </w:rPr>
              <w:t>部署1套参数量不少于31B的安全大模型。安全大模型支持为网络与数据安全产品赋能告警研判、AI关联分析、风险事件智能解读及处置建议、事件报告生成等能力。单套安全大模型智能底座支持不少于10个智能体。配置每天不少于100000条网络与数据安全告警智能分析研判、3000条安全风险研判、300条安全事件研判能力功能。提供3年使用授权与升级服务。</w:t>
            </w:r>
            <w:r>
              <w:rPr>
                <w:rFonts w:hint="eastAsia" w:ascii="宋体" w:hAnsi="宋体" w:cs="宋体"/>
                <w:color w:val="auto"/>
                <w:highlight w:val="none"/>
              </w:rPr>
              <w:br w:type="textWrapping"/>
            </w:r>
            <w:r>
              <w:rPr>
                <w:rFonts w:hint="eastAsia" w:ascii="宋体" w:hAnsi="宋体" w:cs="宋体"/>
                <w:color w:val="auto"/>
                <w:highlight w:val="none"/>
              </w:rPr>
              <w:t>2.API接口：支持通过开放API接口调用，将平台的核心能力无缝集成至其他安全系统，实现功能赋能。提供详细且全面的API说明文档，该文档应涵盖API的所有功能、参数、返回值及异常处理等关键信息，以便于用户快速上手并高效集成。</w:t>
            </w:r>
            <w:r>
              <w:rPr>
                <w:rFonts w:hint="eastAsia" w:ascii="宋体" w:hAnsi="宋体" w:cs="宋体"/>
                <w:color w:val="auto"/>
                <w:highlight w:val="none"/>
              </w:rPr>
              <w:br w:type="textWrapping"/>
            </w:r>
            <w:r>
              <w:rPr>
                <w:rFonts w:hint="eastAsia" w:ascii="宋体" w:hAnsi="宋体" w:cs="宋体"/>
                <w:color w:val="auto"/>
                <w:highlight w:val="none"/>
              </w:rPr>
              <w:t>3.模型状态接口：提供模型状态的实时获取接口，用户可以随时获取模型的当前状态信息。</w:t>
            </w:r>
            <w:r>
              <w:rPr>
                <w:rFonts w:hint="eastAsia" w:ascii="宋体" w:hAnsi="宋体" w:cs="宋体"/>
                <w:color w:val="auto"/>
                <w:highlight w:val="none"/>
              </w:rPr>
              <w:br w:type="textWrapping"/>
            </w:r>
            <w:r>
              <w:rPr>
                <w:rFonts w:hint="eastAsia" w:ascii="宋体" w:hAnsi="宋体" w:cs="宋体"/>
                <w:color w:val="auto"/>
                <w:highlight w:val="none"/>
              </w:rPr>
              <w:t>4.安全大模型思考过程开关：支持通过接口参数设置安全大模型思考过程开启或关闭。</w:t>
            </w:r>
            <w:r>
              <w:rPr>
                <w:rFonts w:hint="eastAsia" w:ascii="宋体" w:hAnsi="宋体" w:cs="宋体"/>
                <w:color w:val="auto"/>
                <w:highlight w:val="none"/>
              </w:rPr>
              <w:br w:type="textWrapping"/>
            </w:r>
            <w:r>
              <w:rPr>
                <w:rFonts w:hint="eastAsia" w:ascii="宋体" w:hAnsi="宋体" w:cs="宋体"/>
                <w:color w:val="auto"/>
                <w:highlight w:val="none"/>
              </w:rPr>
              <w:t>5.IP白名单：针对每个API KEY仅支持配置一个IP白名单，提高系统的安全性和稳定性。</w:t>
            </w:r>
            <w:r>
              <w:rPr>
                <w:rFonts w:hint="eastAsia" w:ascii="宋体" w:hAnsi="宋体" w:cs="宋体"/>
                <w:color w:val="auto"/>
                <w:highlight w:val="none"/>
              </w:rPr>
              <w:br w:type="textWrapping"/>
            </w:r>
            <w:r>
              <w:rPr>
                <w:rFonts w:hint="eastAsia" w:ascii="宋体" w:hAnsi="宋体" w:cs="宋体"/>
                <w:color w:val="auto"/>
                <w:highlight w:val="none"/>
              </w:rPr>
              <w:t>6.支持对接安全系统：支持对接HIDS、NDR、EDR、SOC等安全系统，能够全面整合安全资源。通过先进的大模型技术，为对接设备提供高效的智能问答和精准的智能研判能力，实现安全事件的快速响应与处置。</w:t>
            </w:r>
            <w:r>
              <w:rPr>
                <w:rFonts w:hint="eastAsia" w:ascii="宋体" w:hAnsi="宋体" w:cs="宋体"/>
                <w:color w:val="auto"/>
                <w:highlight w:val="none"/>
              </w:rPr>
              <w:br w:type="textWrapping"/>
            </w:r>
            <w:r>
              <w:rPr>
                <w:rFonts w:hint="eastAsia" w:ascii="宋体" w:hAnsi="宋体" w:cs="宋体"/>
                <w:color w:val="auto"/>
                <w:highlight w:val="none"/>
              </w:rPr>
              <w:t>7.自动研判：系统能够通过先进的大模型技术对告警进行高效智能研判。研判信息全面且详细，包括研判结果的有效或无效判定、AI洞察的具体过程、必要的调查取证步骤以及针对性的处置建议。</w:t>
            </w:r>
            <w:r>
              <w:rPr>
                <w:rFonts w:hint="eastAsia" w:ascii="宋体" w:hAnsi="宋体" w:cs="宋体"/>
                <w:color w:val="auto"/>
                <w:highlight w:val="none"/>
              </w:rPr>
              <w:br w:type="textWrapping"/>
            </w:r>
            <w:r>
              <w:rPr>
                <w:rFonts w:hint="eastAsia" w:ascii="宋体" w:hAnsi="宋体" w:cs="宋体"/>
                <w:color w:val="auto"/>
                <w:highlight w:val="none"/>
              </w:rPr>
              <w:t>8.智能研判结论：智能研判结论细分，支撑丰富的告警运营场景，包括：①有效告警：攻击成功；②有效告警：攻击失败；③有效告警：结果未知；④无效告警：业务触发；⑤无效告警：规则误报；⑥无效告警：已加白；⑦无效告警：数据缺失；⑧无效告警：其他。</w:t>
            </w:r>
            <w:r>
              <w:rPr>
                <w:rFonts w:hint="eastAsia" w:ascii="宋体" w:hAnsi="宋体" w:cs="宋体"/>
                <w:color w:val="auto"/>
                <w:highlight w:val="none"/>
              </w:rPr>
              <w:br w:type="textWrapping"/>
            </w:r>
            <w:r>
              <w:rPr>
                <w:rFonts w:hint="eastAsia" w:ascii="宋体" w:hAnsi="宋体" w:cs="宋体"/>
                <w:color w:val="auto"/>
                <w:highlight w:val="none"/>
              </w:rPr>
              <w:t>9.大模型供应商管理：轻松接入DeepSeek及满足标准OpenAI规范的第三方AI大模型，一站式接入不同供应商的大模型。</w:t>
            </w:r>
            <w:r>
              <w:rPr>
                <w:rFonts w:hint="eastAsia" w:ascii="宋体" w:hAnsi="宋体" w:cs="宋体"/>
                <w:color w:val="auto"/>
                <w:highlight w:val="none"/>
              </w:rPr>
              <w:br w:type="textWrapping"/>
            </w:r>
            <w:r>
              <w:rPr>
                <w:rFonts w:hint="eastAsia" w:ascii="宋体" w:hAnsi="宋体" w:cs="宋体"/>
                <w:color w:val="auto"/>
                <w:highlight w:val="none"/>
              </w:rPr>
              <w:t>10.用户管理：列表展示用户信息，包括本地用户和三方用户；支持导入、导出用户列表；支持在已有的用户分组中增加用户信息，包括本地用户和三方用户。</w:t>
            </w:r>
            <w:r>
              <w:rPr>
                <w:rFonts w:hint="eastAsia" w:ascii="宋体" w:hAnsi="宋体" w:cs="宋体"/>
                <w:color w:val="auto"/>
                <w:highlight w:val="none"/>
              </w:rPr>
              <w:br w:type="textWrapping"/>
            </w:r>
            <w:r>
              <w:rPr>
                <w:rFonts w:hint="eastAsia" w:ascii="宋体" w:hAnsi="宋体" w:cs="宋体"/>
                <w:color w:val="auto"/>
                <w:highlight w:val="none"/>
              </w:rPr>
              <w:t>11.用户组管理：列表展示用户组信息，用户组权限对本地与第三方用户均生效；支持新增用户组，并进行用户组权限设置。</w:t>
            </w:r>
            <w:r>
              <w:rPr>
                <w:rFonts w:hint="eastAsia" w:ascii="宋体" w:hAnsi="宋体" w:cs="宋体"/>
                <w:color w:val="auto"/>
                <w:highlight w:val="none"/>
              </w:rPr>
              <w:br w:type="textWrapping"/>
            </w:r>
            <w:r>
              <w:rPr>
                <w:rFonts w:hint="eastAsia" w:ascii="宋体" w:hAnsi="宋体" w:cs="宋体"/>
                <w:color w:val="auto"/>
                <w:highlight w:val="none"/>
              </w:rPr>
              <w:t>12.三方登录管理：支持对三方的LDAP登录配置，配置完成后，支持LDAP服务器中的相关账号登录平台。</w:t>
            </w:r>
            <w:r>
              <w:rPr>
                <w:rFonts w:hint="eastAsia" w:ascii="宋体" w:hAnsi="宋体" w:cs="宋体"/>
                <w:color w:val="auto"/>
                <w:highlight w:val="none"/>
              </w:rPr>
              <w:br w:type="textWrapping"/>
            </w:r>
            <w:r>
              <w:rPr>
                <w:rFonts w:hint="eastAsia" w:ascii="宋体" w:hAnsi="宋体" w:cs="宋体"/>
                <w:color w:val="auto"/>
                <w:highlight w:val="none"/>
              </w:rPr>
              <w:t>13.证书管理：支持证书的导入导出管理。</w:t>
            </w:r>
            <w:r>
              <w:rPr>
                <w:rFonts w:hint="eastAsia" w:ascii="宋体" w:hAnsi="宋体" w:cs="宋体"/>
                <w:color w:val="auto"/>
                <w:highlight w:val="none"/>
              </w:rPr>
              <w:br w:type="textWrapping"/>
            </w:r>
            <w:r>
              <w:rPr>
                <w:rFonts w:hint="eastAsia" w:ascii="宋体" w:hAnsi="宋体" w:cs="宋体"/>
                <w:color w:val="auto"/>
                <w:highlight w:val="none"/>
              </w:rPr>
              <w:t>14.升级维护：支持系统升级，支持展示升级日志。支持导出调试日志。</w:t>
            </w:r>
            <w:r>
              <w:rPr>
                <w:rFonts w:hint="eastAsia" w:ascii="宋体" w:hAnsi="宋体" w:cs="宋体"/>
                <w:color w:val="auto"/>
                <w:highlight w:val="none"/>
              </w:rPr>
              <w:br w:type="textWrapping"/>
            </w:r>
            <w:r>
              <w:rPr>
                <w:rFonts w:hint="eastAsia" w:ascii="宋体" w:hAnsi="宋体" w:cs="宋体"/>
                <w:color w:val="auto"/>
                <w:highlight w:val="none"/>
              </w:rPr>
              <w:t>15.系统安全性管理：支持登录的安全性设置，包括登录账号异常锁定、登录密码强度要求、页面超时时间、首次登录更改密码等。</w:t>
            </w:r>
            <w:r>
              <w:rPr>
                <w:rFonts w:hint="eastAsia" w:ascii="宋体" w:hAnsi="宋体" w:cs="宋体"/>
                <w:color w:val="auto"/>
                <w:highlight w:val="none"/>
              </w:rPr>
              <w:br w:type="textWrapping"/>
            </w:r>
            <w:r>
              <w:rPr>
                <w:rFonts w:hint="eastAsia" w:ascii="宋体" w:hAnsi="宋体" w:cs="宋体"/>
                <w:color w:val="auto"/>
                <w:highlight w:val="none"/>
              </w:rPr>
              <w:t>16.系统敏感性操作配置：支持设置敏感性操作密码，以提升系统安全性，防止未经授权的访问和操作。</w:t>
            </w:r>
            <w:r>
              <w:rPr>
                <w:rFonts w:hint="eastAsia" w:ascii="宋体" w:hAnsi="宋体" w:cs="宋体"/>
                <w:color w:val="auto"/>
                <w:highlight w:val="none"/>
              </w:rPr>
              <w:br w:type="textWrapping"/>
            </w:r>
            <w:r>
              <w:rPr>
                <w:rFonts w:hint="eastAsia" w:ascii="宋体" w:hAnsi="宋体" w:cs="宋体"/>
                <w:color w:val="auto"/>
                <w:highlight w:val="none"/>
              </w:rPr>
              <w:t>17.审计管理：支持时间轴展示用户审计操作统计趋势，列表展示详细审计操作信息；支持导出审计日志列表。</w:t>
            </w:r>
            <w:r>
              <w:rPr>
                <w:rFonts w:hint="eastAsia" w:ascii="宋体" w:hAnsi="宋体" w:cs="宋体"/>
                <w:color w:val="auto"/>
                <w:highlight w:val="none"/>
              </w:rPr>
              <w:br w:type="textWrapping"/>
            </w:r>
            <w:r>
              <w:rPr>
                <w:rFonts w:hint="eastAsia" w:ascii="宋体" w:hAnsi="宋体" w:cs="宋体"/>
                <w:color w:val="auto"/>
                <w:highlight w:val="none"/>
              </w:rPr>
              <w:t>18.时间配置：支持配置NTP服务器以实现时间的联网同步，并可设置主备NTP服务器以确保时间同步的稳定性和可靠性。</w:t>
            </w:r>
          </w:p>
          <w:p w14:paraId="655007FD">
            <w:pPr>
              <w:pStyle w:val="32"/>
              <w:widowControl/>
              <w:rPr>
                <w:color w:val="auto"/>
                <w:highlight w:val="none"/>
              </w:rPr>
            </w:pPr>
            <w:r>
              <w:rPr>
                <w:color w:val="auto"/>
                <w:highlight w:val="none"/>
              </w:rPr>
              <w:t xml:space="preserve">19. </w:t>
            </w:r>
            <w:r>
              <w:rPr>
                <w:rFonts w:hint="eastAsia"/>
                <w:color w:val="auto"/>
                <w:highlight w:val="none"/>
              </w:rPr>
              <w:t>支持作为一体化安全运营体系的智能中枢，提供智能问答、智能研判、智能调查、智能报告等</w:t>
            </w:r>
            <w:r>
              <w:rPr>
                <w:color w:val="auto"/>
                <w:highlight w:val="none"/>
              </w:rPr>
              <w:t>AI</w:t>
            </w:r>
            <w:r>
              <w:rPr>
                <w:rFonts w:hint="eastAsia"/>
                <w:color w:val="auto"/>
                <w:highlight w:val="none"/>
              </w:rPr>
              <w:t>能力，通过标准化接口（</w:t>
            </w:r>
            <w:r>
              <w:rPr>
                <w:color w:val="auto"/>
                <w:highlight w:val="none"/>
              </w:rPr>
              <w:t>API</w:t>
            </w:r>
            <w:r>
              <w:rPr>
                <w:rFonts w:hint="eastAsia"/>
                <w:color w:val="auto"/>
                <w:highlight w:val="none"/>
              </w:rPr>
              <w:t>）对外提供接口调用服务，赋能安全运营服务系统、网络安全监测、数据安全监测、溯源分析等各类安全平台，支持第三方系统便捷集成与二次开发，提升安全运营效率与智能化水平。</w:t>
            </w:r>
          </w:p>
          <w:p w14:paraId="049D95A9">
            <w:pPr>
              <w:rPr>
                <w:color w:val="auto"/>
                <w:kern w:val="0"/>
                <w:sz w:val="18"/>
                <w:szCs w:val="18"/>
                <w:highlight w:val="none"/>
              </w:rPr>
            </w:pPr>
            <w:r>
              <w:rPr>
                <w:rFonts w:hint="eastAsia"/>
                <w:color w:val="auto"/>
                <w:kern w:val="0"/>
                <w:sz w:val="18"/>
                <w:szCs w:val="18"/>
                <w:highlight w:val="none"/>
              </w:rPr>
              <w:t>二、通用安全智能体。</w:t>
            </w:r>
          </w:p>
          <w:p w14:paraId="0C14CF3D">
            <w:pPr>
              <w:rPr>
                <w:color w:val="auto"/>
                <w:kern w:val="0"/>
                <w:sz w:val="18"/>
                <w:szCs w:val="18"/>
                <w:highlight w:val="none"/>
              </w:rPr>
            </w:pPr>
            <w:r>
              <w:rPr>
                <w:rFonts w:hint="eastAsia"/>
                <w:color w:val="auto"/>
                <w:kern w:val="0"/>
                <w:sz w:val="18"/>
                <w:szCs w:val="18"/>
                <w:highlight w:val="none"/>
              </w:rPr>
              <w:t>1、内置智能体种类包括但不限于：机器人问答智能体、告警研判智能体。</w:t>
            </w:r>
          </w:p>
          <w:p w14:paraId="6600C1C2">
            <w:pPr>
              <w:rPr>
                <w:color w:val="auto"/>
                <w:kern w:val="0"/>
                <w:sz w:val="18"/>
                <w:szCs w:val="18"/>
                <w:highlight w:val="none"/>
              </w:rPr>
            </w:pPr>
            <w:r>
              <w:rPr>
                <w:rFonts w:hint="eastAsia"/>
                <w:color w:val="auto"/>
                <w:kern w:val="0"/>
                <w:sz w:val="18"/>
                <w:szCs w:val="18"/>
                <w:highlight w:val="none"/>
              </w:rPr>
              <w:t>2、机器人问答智能体：提供安全知识与告警运营数据查询，辅助安全决策，提升运营效率。</w:t>
            </w:r>
          </w:p>
          <w:p w14:paraId="7831319D">
            <w:pPr>
              <w:rPr>
                <w:color w:val="auto"/>
                <w:kern w:val="0"/>
                <w:sz w:val="18"/>
                <w:szCs w:val="18"/>
                <w:highlight w:val="none"/>
              </w:rPr>
            </w:pPr>
            <w:r>
              <w:rPr>
                <w:rFonts w:hint="eastAsia"/>
                <w:color w:val="auto"/>
                <w:kern w:val="0"/>
                <w:sz w:val="18"/>
                <w:szCs w:val="18"/>
                <w:highlight w:val="none"/>
              </w:rPr>
              <w:t>3、告警研判智能体：智能研判主机告警，提供详细的事件分析讲解，有效提升事件处置效率，降低安全运维门槛。</w:t>
            </w:r>
          </w:p>
          <w:p w14:paraId="011930FD">
            <w:pPr>
              <w:rPr>
                <w:color w:val="auto"/>
                <w:kern w:val="0"/>
                <w:sz w:val="18"/>
                <w:szCs w:val="18"/>
                <w:highlight w:val="none"/>
              </w:rPr>
            </w:pPr>
            <w:r>
              <w:rPr>
                <w:rFonts w:hint="eastAsia"/>
                <w:color w:val="auto"/>
                <w:kern w:val="0"/>
                <w:sz w:val="18"/>
                <w:szCs w:val="18"/>
                <w:highlight w:val="none"/>
              </w:rPr>
              <w:t>4、支持对接外部第三方大模型，支持调用通用MCP与Ski11能力。</w:t>
            </w:r>
          </w:p>
          <w:p w14:paraId="6B632094">
            <w:pPr>
              <w:rPr>
                <w:rFonts w:hint="eastAsia" w:ascii="宋体" w:hAnsi="宋体" w:cs="宋体"/>
                <w:color w:val="auto"/>
                <w:kern w:val="0"/>
                <w:sz w:val="18"/>
                <w:szCs w:val="18"/>
                <w:highlight w:val="none"/>
              </w:rPr>
            </w:pPr>
            <w:r>
              <w:rPr>
                <w:rFonts w:hint="eastAsia"/>
                <w:color w:val="auto"/>
                <w:kern w:val="0"/>
                <w:sz w:val="18"/>
                <w:szCs w:val="18"/>
                <w:highlight w:val="none"/>
              </w:rPr>
              <w:t>三、</w:t>
            </w:r>
            <w:r>
              <w:rPr>
                <w:rFonts w:hint="eastAsia" w:ascii="宋体" w:hAnsi="宋体" w:cs="宋体"/>
                <w:color w:val="auto"/>
                <w:kern w:val="0"/>
                <w:sz w:val="18"/>
                <w:szCs w:val="18"/>
                <w:highlight w:val="none"/>
              </w:rPr>
              <w:t>公共基础知识库。</w:t>
            </w:r>
          </w:p>
          <w:p w14:paraId="2DE4F9B0">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1.RAG知识问答：支持通过实时检索本地私有化知识库并智能生成精准回答，实现「即查即得」的智能知识交互体验。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2.知识数据管理与存储：基于RAG技术的企业级知识管理，通过私有化部署将用户本地数据智能转化为结构化知识库，可搭载问答智能体，实现安全合规的高效知识检索与交互应用，赋能企业级用户深挖数据价值。</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3.智能文档解析引擎：支持PDF/Word/PPT/Excel/TXT等常见格式上传，对上传的文档自动识别内容并切分为一个个内容片段进行存储。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4.知识库多维分片策略：提供智能分片、字符长度分片（可设阈值）、章节分片三种模式，满足不同知识类型的存储优化需求。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5.知识生命周期管理：完整的管理面板支持知识库编辑、删除、批量清理操作，实现知识资产的版本化控制。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6.动态调整分片策略：支持上传后二次调整分片策略，可根据业务需求随时重构知识组织形式。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7.检索增强生成：支持对存储的内容片段采用向量检索和关键词检索的混合检索方式进行检索和召回。安全机器人模型服务根据知识库召回的内容片段生成最终的回复内容。</w:t>
            </w:r>
          </w:p>
          <w:p w14:paraId="21681296">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四、智能体开发模块。</w:t>
            </w:r>
          </w:p>
          <w:p w14:paraId="471CE217">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1.自定义智能体：支持零代码快速搭建业务/问答型智能体，无缝集成企业知识库（支持智能问答）及插件功能。用户无需开发能力，即可一键部署AI助手，实现业务自动化与精准交互，提升服务响应效率。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智能问答：支持通过自然语言交互的方式获取专业安全知识，并得到针对安全专业问题的详尽解答。在对话式问答交互中，用户不仅能够快速了解当前的安全状况，还能针对具体的安全疑问，获得专家级的详细解答。这种方式不仅有助于深入理解安全知识，还能在实际操作中获取精准的指导。</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3.多轮对话：系统具备支持用户与机器人开展多轮次问答交互的功能。在整个聊天过程中，机器人的思维逻辑能够得以清晰展现。其基于所搭载的模型，可针对用户提出的问题，精准推导出与之对应的回答。</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4.用户问题建议：系统能够基于对用户意图的理解，针对用户可能提出的问题进行快速推送， 提供用户问题建议，便于用户快速掌握想要咨询的问题及答案。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5.历史会话记录：系统具备完善的记录存储功能，能够完整保留并支持用户随时查看历史会话内容，确保用户在与系统交互过程中，可便捷回溯过往沟通信息，以满足不同场景下的查阅需求。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多语言互动：系统具备强大的多语言支持能力，能够识别并理解葡萄牙语、西班牙语、英语、日语、法语等多种语言指令，支持用户使用上述语言展开多轮次的问答交互。无论用户身处何种语言环境，该系统都能确保流畅、准确的沟通体验，有效满足不同语言背景用户的多样化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7.威胁情报查询：实时解析IP、域名、哈希值等IOC风险详情。无缝集成SIEM/SOAR，助力安全团队快速响应。</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8.JSON解析：提供字符串到JSON对象的转换功能，能够解析符合JSON格式的字符串，生成结构化的数据对象，便于程序进一步处理和使用。适用于接口数据解析、配置读取等需要结构化数据的场景。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9.编解码：支持HEX、Base64、Base32、Unicode及URL编码字符串的智能解码，轻松应对数据还原、日志排查等场景。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10.摘要算法：即时为输入字符串生成 MD5或 SHA-256加密哈希值。</w:t>
            </w:r>
          </w:p>
        </w:tc>
        <w:tc>
          <w:tcPr>
            <w:tcW w:w="145" w:type="pct"/>
            <w:tcBorders>
              <w:top w:val="nil"/>
              <w:left w:val="nil"/>
              <w:bottom w:val="single" w:color="auto" w:sz="4" w:space="0"/>
              <w:right w:val="single" w:color="auto" w:sz="4" w:space="0"/>
            </w:tcBorders>
            <w:vAlign w:val="center"/>
          </w:tcPr>
          <w:p w14:paraId="03C6AF79">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vAlign w:val="center"/>
          </w:tcPr>
          <w:p w14:paraId="65ED1E5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套</w:t>
            </w:r>
          </w:p>
        </w:tc>
      </w:tr>
      <w:tr w14:paraId="4FAD4A4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C4BA6AD">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w:t>
            </w:r>
          </w:p>
        </w:tc>
        <w:tc>
          <w:tcPr>
            <w:tcW w:w="428" w:type="pct"/>
            <w:tcBorders>
              <w:top w:val="nil"/>
              <w:left w:val="nil"/>
              <w:bottom w:val="single" w:color="auto" w:sz="4" w:space="0"/>
              <w:right w:val="single" w:color="auto" w:sz="4" w:space="0"/>
            </w:tcBorders>
            <w:noWrap/>
            <w:vAlign w:val="center"/>
          </w:tcPr>
          <w:p w14:paraId="52DF3FC4">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人工智能应用安全防护系统</w:t>
            </w:r>
          </w:p>
        </w:tc>
        <w:tc>
          <w:tcPr>
            <w:tcW w:w="3798" w:type="pct"/>
            <w:gridSpan w:val="2"/>
            <w:tcBorders>
              <w:top w:val="nil"/>
              <w:left w:val="nil"/>
              <w:bottom w:val="single" w:color="auto" w:sz="4" w:space="0"/>
              <w:right w:val="single" w:color="auto" w:sz="4" w:space="0"/>
            </w:tcBorders>
            <w:noWrap/>
            <w:vAlign w:val="center"/>
          </w:tcPr>
          <w:p w14:paraId="3BE5B179">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软件化部署一套人工智能应用安全防护系统，包括大模型安全网关、安全风险AI分析模块、监测审计模块，实现国产化算力服务器部署，具体按照提供的算力服务器进行适配部署，适配国产操作系统。</w:t>
            </w:r>
          </w:p>
          <w:p w14:paraId="0294C87F">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一、大模型安全网关。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基于流量检测，实现大模型应用识别、大模型应用分类、风险大模型应用评估、使用环境风险评估。实现对多种大模型应用外发途径识别和管控，进行文件格式和文件内容检测，支持大模型应用投喂内容进行敏感信息检测和过滤。支持对大模型应用外发文件进行病毒检测。处理性能：带宽≥500M。含3年产品授权、软件升级与协议库升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2、支持网桥模式、网关模式、单臂模式</w:t>
            </w:r>
            <w:r>
              <w:rPr>
                <w:rFonts w:hint="eastAsia" w:ascii="宋体" w:hAnsi="宋体" w:cs="宋体"/>
                <w:color w:val="auto"/>
                <w:kern w:val="0"/>
                <w:sz w:val="18"/>
                <w:szCs w:val="18"/>
                <w:highlight w:val="none"/>
                <w:lang w:val="en-US" w:eastAsia="zh-CN"/>
              </w:rPr>
              <w:t>等</w:t>
            </w:r>
            <w:r>
              <w:rPr>
                <w:rFonts w:hint="eastAsia" w:ascii="宋体" w:hAnsi="宋体" w:cs="宋体"/>
                <w:color w:val="auto"/>
                <w:kern w:val="0"/>
                <w:sz w:val="18"/>
                <w:szCs w:val="18"/>
                <w:highlight w:val="none"/>
              </w:rPr>
              <w:t>多种网络部署模式。支持虚拟化部署，兼容KVM平台；支持软件化部署。</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3、支持双机HA的高可用模式；均支持集群部署。</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4、支持反向代理发布AI业务，实现AI应用的暴露面收缩和隐藏；在不改造现有AI应用的情况下完成上线，通过代理能力提供对AI应用的隔离保护、协议的转换等功能；支持X-Forwarded-For。</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5、支持反向TCP代理，对外发布代理服务器IP、代理端口。</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6、支持反向HTTP代理，支持HTTP-&gt;HTTP、HTTP-&gt;HTTPS代理转换协议，支持对外发布代理服务器IP、代理域名、代理端口；支持阻塞提醒页面；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7、支持反向HTTPS代理，支持HTTPS-&gt;HTTPS 、HTTPS-&gt;HTTP代理转换协议，支持对外发布代理服务器IP、代理域名、代理端口；支持阻塞提醒页面；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8、支持代理缓存，支持配置总缓存大小、URL缓存大小、缓存白名单。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9、SSL加密解密：同时兼容RSA算法及SM2算法；支持国密算法SM2,SM3,SM4；支持SSL卸载，可以将客户端的HTTPS请求解密为HTTP明文请求发送给服务器，减轻服务器加解密压力。</w:t>
            </w:r>
          </w:p>
          <w:p w14:paraId="331459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10、主体识别：支持定义账号提取AI应用调用主体身份。支持AD、数据库、802.1X等主体识别方式。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大模型应用访问权限：支持按实名授权AI应用访问权限。支持基于用户、时间、位置、工具、AI应用、源IP、目的IP、目的端口、AI目的域名、AI报文大小、报文内容、代理服务器IP等条件按优先级配置大模型应用控制策略，策略动作支持允许、阻塞、重定向和提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12、阻塞时支持报警和推送阻塞提示页面，提醒时支持弹出提醒页面；支持重定向到其他网站。</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13、大模型问答内容过滤：大模型内容过滤可以更完整、更全面</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记录大模型应用行为日志。支持还原业务系统接口报文并记录详记录完整的报文信息，包含：请求头、请求体、响应头、响应体和关联文件。同时能够在触发风险行为时（如敏感信息、攻击行为）</w:t>
            </w:r>
            <w:r>
              <w:rPr>
                <w:rFonts w:hint="eastAsia" w:ascii="宋体" w:hAnsi="宋体" w:cs="宋体"/>
                <w:color w:val="auto"/>
                <w:kern w:val="0"/>
                <w:sz w:val="18"/>
                <w:szCs w:val="18"/>
                <w:highlight w:val="none"/>
                <w:lang w:val="en-US" w:eastAsia="zh-CN"/>
              </w:rPr>
              <w:t>及时</w:t>
            </w:r>
            <w:r>
              <w:rPr>
                <w:rFonts w:hint="eastAsia" w:ascii="宋体" w:hAnsi="宋体" w:cs="宋体"/>
                <w:color w:val="auto"/>
                <w:kern w:val="0"/>
                <w:sz w:val="18"/>
                <w:szCs w:val="18"/>
                <w:highlight w:val="none"/>
              </w:rPr>
              <w:t>进行阻塞，有效保护使用大模型应用过程中的安全隐患。</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14、带宽保障：可以设定AI应用访问的基本带宽保障，保障关键应用对特定访问源的必要的带宽资源。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15、访问并发限制：可以设定AI应用访问的并发连接数限制，以避免单用户大量访问对AI应用的压力，保障业务可用性。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16、访问速率限制：可以设定AI应用访问的速率限制，以避免单用户高速访问对AI应用的压力，保障业务可用性。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17、实名授权问答：支持基于用户、组织、角色等身份信息授权特定敏感数据可见，按需开发手机号、身份证号、护照号、地址、邮箱、银行卡号、统一社会信用代码、营业执照编号、组织机构代码、车牌号、车架号等常见敏感数据的可见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18、支持基于字符串、正则表达式自定义敏感信息，并进行实名授权管控。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19、AI问答敏感信息过滤：对AI应用提问回答内容进行审计及敏感信息检测。支持敏感信息自动识别，包含手机号、身份证号、护照号、地址、邮箱、银行卡号、统一社会信用代码、营业执照编号、组织机构代码、车牌号、车架号等常见的数十种敏感信息；对违规敏感信息的请求访问进行阻塞。</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20、支持基于字符串、正则表达式自定义敏感信息，并进行敏感信息过滤。</w:t>
            </w:r>
          </w:p>
          <w:p w14:paraId="15A06C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21、端口隐藏：支持对外开放AI应用相关的有限端口以供访问。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22、防DDOS：当网络中有异常流量产生时，如遇到DDoS攻击时，系统会自动侦测异常，发出告警并对应采取控制措施，帮助管理员排除故障，保护网络正常使用。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23、入侵防护：提供入侵防护功能，支持SQL注入等威胁防护。24、支持基于代理服务器IP、控制内容对AI应用配置入侵防护策略，对特殊IP或内容不检测。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25、可以针对爬虫行为进行检测，记录爬虫日志，同时对爬虫行为进行放行或阻塞。</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26、防暴力破解：提供防暴力破解功能，可以有效识别暴力破解行为，记录详细日志，同时对涉及账号的请求进行拦截或者直接对账号进行封堵。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27、病毒查杀：提供病毒查杀功能，支持对提问上传文件内容进行病毒检测和阻塞。</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28、AI问答查询：支持还原AI应用接口报文并记录详记录完整的报文信息，包含：提问回答原文，请求头、请求体、响应头、响应体和关联文件。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29、支持通过规则化的命名和识别AI应用，进行便捷的配置管理；支持新建AI应用，包含名称、描述、AI应用类型（可多选）、协议、规则；规则中支持配置域名、IP、IP段、端口；支持对已创建的AI应用修改、删除、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30、支持通过规则化的命名和识别AI应用接口，对业务接口进行便捷的管理。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31、内置敏感信息检测规则、安全检测规则、行为检测规则和自定义检测规则，可根据需要对业务流量中请求头、请求体、响应头、响应体和文件中的信息进行检测和记录。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32、支持提取登录AI应用的账号并关联此账号的所有访问行为。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33、支持大模型文本内容溯源、传输文件内容溯源。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34、AI问答业务监控：支持展示24小时内使用大模型应用发送或者接收敏感信息且被大模型应用内容过滤策略审计到各敏感信息的占比，并列出其具体的敏感信息、数量以及占比的排名。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35、支持展示大模型应用的风险信息的组成。通过数据风险、业务安全风险、用户及设备风险、服务安全风险四个维度的权限、分值综合计算出该应用的总的风险分值，帮助管理员更好</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发现潜在风险。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36、WEB方式管理：支持中文和英文管理页面；自定义浏览器标签：默认为产品名称，可根据实际需要自定义，修改后，浏览器中管理界面的标签显示为此名称。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37、支持管理员登录失败次数配置和阻断时长配置；支持多Tab的界面管理方式。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38、诊断工具：支持PING\Traceroute\TCPDUMP\TELNET\CURL\NSLOOKUP等多种诊断工具辅助网络环境检测；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39、支持web界面开启DEBUG模型，可通过前端管理页面，进行允许状态分析和系统关键进程日志的界面导出。用于快速故障分析。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40、权限管理：支持分级分权管理，可以为区域管理员分配区域用户的管理权限；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41、管理员认证方式，支持本地密码校验，LDAP认证，Radius校验等多种方式。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42、服务授权：支持本地授权和集中管理授权。</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43、软件升级：设备的软件版本变化时，支持在线升级。支持特征库的自动与手动更新，支持自定义更新时间计划，避开业务高峰；支持离线升级。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44、集中管理：支持多台设备可以被集中管理平台统一下发、回收策略；支持一键巡检管控设备的健康状态；支持对管控设备指定特征库版本升级；支持设备管理和网络运维大屏。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45、修改网络配置无需重启：支持修改任何网络配置后均无需重新启动设备。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46、远程协助：支持厂商工程师在线的远程协助和故障排查，设备界面提供远程协助开关。</w:t>
            </w:r>
          </w:p>
          <w:p w14:paraId="076A07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二、安全风险AI分析模块。</w:t>
            </w:r>
          </w:p>
          <w:p w14:paraId="77082C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1.提供大模型安全风险AI分析能力，包括指令攻击检测、内容合规检测、数据泄露检测、敏感话题检测能力。含3年软件升级服务。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2.支持虚拟化部署，兼容KVM平台；支持软件化部署。</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3.指令攻击检测：检测提示词是否包含目标劫持攻击，指令泄露攻击，反面诱导攻击，角色扮演攻击等指令攻击语义。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4.内容合规检测：检测提示词是否包含涉暴涉恐涉政的危害国家安全内容，或包含涉及赌博、色情、毒品及其他违规违法内容。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5.敏感话题检测：检测提示词是否包含以下敏感话题内容：涉及伦理道德，涉及心理问题，涉及身体伤害，涉及隐私财产，涉及偏见歧视，包含辱骂脏话及其他危险敏感话题。</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6.生成内容合规检测：检测大模型生成内容是否包含涉暴涉恐涉政的危害国家安全内容，或包含涉及赌博、色情、毒品及其他违规违法内容。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7.价值观检测：检测大模型生成内容是否包含错误的道德伦理价值观内容。</w:t>
            </w:r>
          </w:p>
          <w:p w14:paraId="5D9B8B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三、监测审计模块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1.对大模型安全网关的日志统一留存和检索。包含日志管理平台基础软件。含3年软件升级服务。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2.支持虚拟化部署，兼容KVM平台；支持软件化部署。</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采用树形方式展示采集识别到的接口信息；支持接口关键字，规则名称等进行过滤展示；接口详情展示指定接口的概览信息，包括接口，协议，策略，发现时间，活跃时间，请求数量和接口规则等；展示匹配结果，请求报文，响应报文，传输文件等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4.支持基于主体、客体、时间、频次、数量、流量等维度的统计分析，对比分析和基线分析。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支持行为风险分析，包括访问行为异常，账号登录异常等，主要对用户的访问时间，访问频次，访问敏感信息数量和登录行为进行异常分析；支持预置规则和自定义分析规则。支持规则列表展示，支持启用/禁用，支持可编辑；支持接口白名单和用户白名单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6.支持弱点分析，包括口令认证类、接口权限类、数据暴露类、访问权限类和安全规范类等规则；规则支持可编辑，可以修改规则检测特征。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支持异常行为分析，弱点分析的告警事件。支持按行为分析规则列表，指定具体规则展示详情分析；详情分析包括：分析规则，处置状态和事件概览，并展示敏感信息类型排名，API接口排名，UA访问排名，referer访问排名；告警事件列表，包括用户，接口，事件描述，风险等级和处置状态等，并支持过滤；告警事件处置，处置方式包括忽略，观察和不处置；点击告警事件的详情按钮，可以展示告警详情，包括告警的敏感信息排名和事件详情列表，可以自定义展示列，并能过滤空数据和去重展示；对事件列表，可以点击详情进行原始记录的报文详情查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支持告警检索，支持按时间范围，用户名称，事件类型，处置状态，风险等级和IP等条件进行告警事件检索，查询出符合条件的所有告警事件；展示风险告警事件统计列表，按告警数量排名；告警事件列表展示，并支持导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9.支持AI应用审计原始日志记录。可以对检测结果进行报文内容追溯查看，包括匹配结果，请求体，请求体，响应头，响应体，传输文件等。支持海量数据秒级查询。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10.支持风险监测日志检索，可以对特定规则的AI应用和AI应用接口的访问详情进行检索，可详细。查看各业务接口流转数据的规则匹配情况，可查看请求的报文详情。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11.支持基于详情事件追溯，可以设置数据标签，追溯内容，敏感信息数量，用户名称和接口等条件；追溯结果展示敏感信息类型排名，接口排名，用户排名和域名排名，并展示追溯的详情事件列表。</w:t>
            </w:r>
          </w:p>
          <w:p w14:paraId="5E3DE1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支持基于事件关联追溯，可基于任务名称，追溯时间，追溯内容，接口，IP，数据标签等条件，追溯结果可以对追溯内容，AI应用，接口，用户和主机IP进行图像化关联展示。13.支持基于用户身份追溯，可指定用户、时间条件和数据标签条件，追溯结果可以展示用户维度的敏感信息分布，风险事件分布，用户访问的应用域名和接口分布，以及用户访问敏感信息在时间轴上面的分布。</w:t>
            </w:r>
          </w:p>
        </w:tc>
        <w:tc>
          <w:tcPr>
            <w:tcW w:w="145" w:type="pct"/>
            <w:tcBorders>
              <w:top w:val="nil"/>
              <w:left w:val="nil"/>
              <w:bottom w:val="single" w:color="auto" w:sz="4" w:space="0"/>
              <w:right w:val="single" w:color="auto" w:sz="4" w:space="0"/>
            </w:tcBorders>
            <w:noWrap/>
            <w:vAlign w:val="center"/>
          </w:tcPr>
          <w:p w14:paraId="777A3224">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noWrap/>
            <w:vAlign w:val="center"/>
          </w:tcPr>
          <w:p w14:paraId="3E7EB61A">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r>
      <w:tr w14:paraId="08C524EB">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6A2B78C">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三</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noWrap/>
            <w:vAlign w:val="center"/>
          </w:tcPr>
          <w:p w14:paraId="6CD1A649">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数据安全监测平台</w:t>
            </w:r>
          </w:p>
        </w:tc>
        <w:tc>
          <w:tcPr>
            <w:tcW w:w="3798" w:type="pct"/>
            <w:gridSpan w:val="2"/>
            <w:tcBorders>
              <w:top w:val="nil"/>
              <w:left w:val="nil"/>
              <w:bottom w:val="single" w:color="auto" w:sz="4" w:space="0"/>
              <w:right w:val="single" w:color="auto" w:sz="4" w:space="0"/>
            </w:tcBorders>
            <w:noWrap/>
            <w:vAlign w:val="center"/>
          </w:tcPr>
          <w:p w14:paraId="36F65EC2">
            <w:pPr>
              <w:widowControl/>
              <w:ind w:firstLine="360" w:firstLineChars="200"/>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GB"/>
              </w:rPr>
              <w:t>数据安全监测平台整合利用已有安全态势感知平台基础上，完善数据安全监测能力，构建数据安全监测平台，实现对政务外网广域网和自治区级城域网、政务云，以及近1100家政务外网接入单位，进行数据使用、流转、出境及网络安全态势、</w:t>
            </w:r>
            <w:r>
              <w:rPr>
                <w:rFonts w:hint="eastAsia" w:ascii="宋体" w:hAnsi="宋体" w:cs="宋体"/>
                <w:color w:val="auto"/>
                <w:kern w:val="0"/>
                <w:sz w:val="18"/>
                <w:szCs w:val="18"/>
                <w:highlight w:val="none"/>
                <w:lang w:val="en-US" w:eastAsia="zh-CN"/>
              </w:rPr>
              <w:t>大</w:t>
            </w:r>
            <w:r>
              <w:rPr>
                <w:rFonts w:hint="eastAsia" w:ascii="宋体" w:hAnsi="宋体" w:cs="宋体"/>
                <w:color w:val="auto"/>
                <w:kern w:val="0"/>
                <w:sz w:val="18"/>
                <w:szCs w:val="18"/>
                <w:highlight w:val="none"/>
                <w:lang w:val="en-GB"/>
              </w:rPr>
              <w:t>模型调用等方面进行安全监测。构建统一的标准规范和API接口，收集14个市级政务云网、111个县区的网络和数据安全告警信息进行分析，应用安全大模型，提升威胁发现能力，提升安全运营效率，全面掌握我区政务网络和数据安全态势。数据安全监测平台</w:t>
            </w:r>
            <w:r>
              <w:rPr>
                <w:rFonts w:hint="eastAsia" w:ascii="宋体" w:hAnsi="宋体" w:cs="宋体"/>
                <w:color w:val="auto"/>
                <w:kern w:val="0"/>
                <w:sz w:val="18"/>
                <w:szCs w:val="18"/>
                <w:highlight w:val="none"/>
                <w:lang w:val="en-US" w:eastAsia="zh-CN"/>
              </w:rPr>
              <w:t>包括</w:t>
            </w:r>
            <w:r>
              <w:rPr>
                <w:rFonts w:ascii="宋体" w:cs="宋体"/>
                <w:color w:val="auto"/>
                <w:kern w:val="0"/>
                <w:sz w:val="18"/>
                <w:szCs w:val="18"/>
                <w:highlight w:val="none"/>
              </w:rPr>
              <w:t>数据安全监测分析平台</w:t>
            </w:r>
            <w:r>
              <w:rPr>
                <w:rFonts w:hint="eastAsia" w:ascii="宋体" w:cs="宋体"/>
                <w:color w:val="auto"/>
                <w:kern w:val="0"/>
                <w:sz w:val="18"/>
                <w:szCs w:val="18"/>
                <w:highlight w:val="none"/>
                <w:lang w:val="en-US" w:eastAsia="zh-CN"/>
              </w:rPr>
              <w:t>和配套探针，具体技术功能要点如下：</w:t>
            </w:r>
          </w:p>
        </w:tc>
        <w:tc>
          <w:tcPr>
            <w:tcW w:w="145" w:type="pct"/>
            <w:tcBorders>
              <w:top w:val="nil"/>
              <w:left w:val="nil"/>
              <w:bottom w:val="single" w:color="auto" w:sz="4" w:space="0"/>
              <w:right w:val="single" w:color="auto" w:sz="4" w:space="0"/>
            </w:tcBorders>
            <w:noWrap/>
            <w:vAlign w:val="center"/>
          </w:tcPr>
          <w:p w14:paraId="5E841B95">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5E91579">
            <w:pPr>
              <w:widowControl/>
              <w:jc w:val="left"/>
              <w:rPr>
                <w:rFonts w:hint="eastAsia" w:ascii="宋体" w:hAnsi="宋体" w:cs="宋体"/>
                <w:color w:val="auto"/>
                <w:kern w:val="0"/>
                <w:sz w:val="18"/>
                <w:szCs w:val="18"/>
                <w:highlight w:val="none"/>
              </w:rPr>
            </w:pPr>
          </w:p>
        </w:tc>
      </w:tr>
      <w:tr w14:paraId="074BE83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1AA018A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w:t>
            </w:r>
          </w:p>
        </w:tc>
        <w:tc>
          <w:tcPr>
            <w:tcW w:w="428" w:type="pct"/>
            <w:tcBorders>
              <w:top w:val="nil"/>
              <w:left w:val="nil"/>
              <w:bottom w:val="single" w:color="auto" w:sz="4" w:space="0"/>
              <w:right w:val="single" w:color="auto" w:sz="4" w:space="0"/>
            </w:tcBorders>
            <w:vAlign w:val="center"/>
          </w:tcPr>
          <w:p w14:paraId="74425985">
            <w:pPr>
              <w:widowControl/>
              <w:jc w:val="left"/>
              <w:rPr>
                <w:rFonts w:hint="eastAsia" w:ascii="宋体" w:hAnsi="宋体" w:cs="宋体"/>
                <w:b/>
                <w:bCs/>
                <w:color w:val="auto"/>
                <w:kern w:val="0"/>
                <w:sz w:val="18"/>
                <w:szCs w:val="18"/>
                <w:highlight w:val="none"/>
              </w:rPr>
            </w:pPr>
            <w:r>
              <w:rPr>
                <w:rFonts w:ascii="宋体" w:cs="宋体"/>
                <w:b/>
                <w:bCs/>
                <w:color w:val="auto"/>
                <w:kern w:val="0"/>
                <w:sz w:val="18"/>
                <w:szCs w:val="18"/>
                <w:highlight w:val="none"/>
              </w:rPr>
              <w:t>数据安全监测分析平台</w:t>
            </w:r>
          </w:p>
        </w:tc>
        <w:tc>
          <w:tcPr>
            <w:tcW w:w="3798" w:type="pct"/>
            <w:gridSpan w:val="2"/>
            <w:tcBorders>
              <w:top w:val="nil"/>
              <w:left w:val="nil"/>
              <w:bottom w:val="single" w:color="auto" w:sz="4" w:space="0"/>
              <w:right w:val="single" w:color="auto" w:sz="4" w:space="0"/>
            </w:tcBorders>
          </w:tcPr>
          <w:p w14:paraId="6F99C197">
            <w:pPr>
              <w:widowControl/>
              <w:ind w:firstLine="360" w:firstLineChars="200"/>
              <w:jc w:val="left"/>
              <w:rPr>
                <w:rFonts w:ascii="宋体" w:cs="宋体"/>
                <w:color w:val="auto"/>
                <w:kern w:val="0"/>
                <w:sz w:val="18"/>
                <w:szCs w:val="18"/>
                <w:highlight w:val="none"/>
              </w:rPr>
            </w:pPr>
            <w:r>
              <w:rPr>
                <w:rFonts w:hint="eastAsia" w:ascii="宋体" w:cs="宋体"/>
                <w:color w:val="auto"/>
                <w:kern w:val="0"/>
                <w:sz w:val="18"/>
                <w:szCs w:val="18"/>
                <w:highlight w:val="none"/>
              </w:rPr>
              <w:t>数据安全监测分析平台</w:t>
            </w:r>
            <w:r>
              <w:rPr>
                <w:rFonts w:hint="eastAsia" w:ascii="宋体" w:cs="宋体"/>
                <w:color w:val="auto"/>
                <w:kern w:val="0"/>
                <w:sz w:val="18"/>
                <w:szCs w:val="18"/>
                <w:highlight w:val="none"/>
                <w:lang w:val="en-US" w:eastAsia="zh-CN"/>
              </w:rPr>
              <w:t>以软件形式部署，</w:t>
            </w:r>
            <w:r>
              <w:rPr>
                <w:rFonts w:hint="eastAsia" w:ascii="宋体" w:cs="宋体"/>
                <w:color w:val="auto"/>
                <w:kern w:val="0"/>
                <w:sz w:val="18"/>
                <w:szCs w:val="18"/>
                <w:highlight w:val="none"/>
              </w:rPr>
              <w:t>集数据安全态势感知、数据安全分析模</w:t>
            </w:r>
            <w:r>
              <w:rPr>
                <w:rFonts w:hint="eastAsia" w:ascii="宋体" w:cs="宋体"/>
                <w:color w:val="auto"/>
                <w:kern w:val="0"/>
                <w:sz w:val="18"/>
                <w:szCs w:val="18"/>
                <w:highlight w:val="none"/>
                <w:lang w:eastAsia="zh-CN"/>
              </w:rPr>
              <w:t>、</w:t>
            </w:r>
            <w:r>
              <w:rPr>
                <w:rFonts w:hint="eastAsia" w:ascii="宋体" w:cs="宋体"/>
                <w:color w:val="auto"/>
                <w:kern w:val="0"/>
                <w:sz w:val="18"/>
                <w:szCs w:val="18"/>
                <w:highlight w:val="none"/>
              </w:rPr>
              <w:t>基础支撑系统、业务支撑系统、通报态势与智能分析、人工智能辅助应用</w:t>
            </w:r>
            <w:r>
              <w:rPr>
                <w:rFonts w:hint="eastAsia" w:ascii="宋体" w:cs="宋体"/>
                <w:color w:val="auto"/>
                <w:kern w:val="0"/>
                <w:sz w:val="18"/>
                <w:szCs w:val="18"/>
                <w:highlight w:val="none"/>
                <w:lang w:val="en-US" w:eastAsia="zh-CN"/>
              </w:rPr>
              <w:t>等</w:t>
            </w:r>
            <w:r>
              <w:rPr>
                <w:rFonts w:hint="eastAsia" w:ascii="宋体" w:cs="宋体"/>
                <w:color w:val="auto"/>
                <w:kern w:val="0"/>
                <w:sz w:val="18"/>
                <w:szCs w:val="18"/>
                <w:highlight w:val="none"/>
              </w:rPr>
              <w:t>模块于一体，构建全域数据安全防护体系。平台通过数据安全态势感知，实现资产、安全、脆弱性、风险、审计态势可视化展示，支持多维度统计、TOP 排名、地图下钻与趋势分析，具备场景化风险分析能力。数据安全分析层提供资产识别、全类型资产管理、智能分类分级、数据流动监测、威胁告警处置、安全分析、评估报告、事件溯源处置及运营评估</w:t>
            </w:r>
            <w:r>
              <w:rPr>
                <w:rFonts w:hint="eastAsia" w:ascii="宋体" w:cs="宋体"/>
                <w:color w:val="auto"/>
                <w:kern w:val="0"/>
                <w:sz w:val="18"/>
                <w:szCs w:val="18"/>
                <w:highlight w:val="none"/>
                <w:lang w:val="en-US" w:eastAsia="zh-CN"/>
              </w:rPr>
              <w:t>等</w:t>
            </w:r>
            <w:r>
              <w:rPr>
                <w:rFonts w:hint="eastAsia" w:ascii="宋体" w:cs="宋体"/>
                <w:color w:val="auto"/>
                <w:kern w:val="0"/>
                <w:sz w:val="18"/>
                <w:szCs w:val="18"/>
                <w:highlight w:val="none"/>
              </w:rPr>
              <w:t>功能，覆盖数据全生命周期管理。依托基础支撑与业务支撑系统，实现用户权限、日志、备份、运维等基础管理，完成多源数据采集、治理、组织、存储及联合分析。通报与智能分析模块实现预警通报、处置跟踪、考核排名及多维度可视化分析，支撑监管闭环。平台接入人工智能安全基座，实现智能敏感数据识别、分类分级、告警降噪研判、AI 关联分析、智能问答与报告生成。通过安全事件关联分析完成日志标准化、规则关联、攻击链建模、优先级判定与可视化溯源，支持数网融合事件跨域关联。最终通过接口开发，实现与多地市及多类安全平台的兼容对接。</w:t>
            </w:r>
            <w:r>
              <w:rPr>
                <w:rFonts w:hint="eastAsia" w:ascii="宋体" w:cs="宋体"/>
                <w:color w:val="auto"/>
                <w:kern w:val="0"/>
                <w:sz w:val="18"/>
                <w:szCs w:val="18"/>
                <w:highlight w:val="none"/>
                <w:lang w:val="en-US" w:eastAsia="zh-CN"/>
              </w:rPr>
              <w:t>具体技术功能要点如下：</w:t>
            </w:r>
          </w:p>
        </w:tc>
        <w:tc>
          <w:tcPr>
            <w:tcW w:w="145" w:type="pct"/>
            <w:tcBorders>
              <w:top w:val="nil"/>
              <w:left w:val="nil"/>
              <w:bottom w:val="single" w:color="auto" w:sz="4" w:space="0"/>
              <w:right w:val="single" w:color="auto" w:sz="4" w:space="0"/>
            </w:tcBorders>
            <w:vAlign w:val="center"/>
          </w:tcPr>
          <w:p w14:paraId="0D84F166">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vAlign w:val="center"/>
          </w:tcPr>
          <w:p w14:paraId="19056859">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r>
      <w:tr w14:paraId="1836868F">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3ACF9E3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p>
        </w:tc>
        <w:tc>
          <w:tcPr>
            <w:tcW w:w="428" w:type="pct"/>
            <w:tcBorders>
              <w:top w:val="nil"/>
              <w:left w:val="nil"/>
              <w:bottom w:val="single" w:color="auto" w:sz="4" w:space="0"/>
              <w:right w:val="single" w:color="auto" w:sz="4" w:space="0"/>
            </w:tcBorders>
            <w:vAlign w:val="center"/>
          </w:tcPr>
          <w:p w14:paraId="608963A1">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数据安全态势感知</w:t>
            </w:r>
            <w:r>
              <w:rPr>
                <w:rFonts w:hint="eastAsia" w:ascii="宋体" w:hAnsi="宋体" w:cs="宋体"/>
                <w:color w:val="auto"/>
                <w:kern w:val="0"/>
                <w:sz w:val="18"/>
                <w:szCs w:val="18"/>
                <w:highlight w:val="none"/>
                <w:lang w:val="en-US" w:eastAsia="zh-CN"/>
              </w:rPr>
              <w:t>模块</w:t>
            </w:r>
          </w:p>
        </w:tc>
        <w:tc>
          <w:tcPr>
            <w:tcW w:w="3798" w:type="pct"/>
            <w:gridSpan w:val="2"/>
            <w:tcBorders>
              <w:top w:val="nil"/>
              <w:left w:val="nil"/>
              <w:bottom w:val="single" w:color="auto" w:sz="4" w:space="0"/>
              <w:right w:val="single" w:color="auto" w:sz="4" w:space="0"/>
            </w:tcBorders>
          </w:tcPr>
          <w:p w14:paraId="60C6EF10">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w:t>
            </w:r>
            <w:r>
              <w:rPr>
                <w:rFonts w:hint="eastAsia" w:ascii="宋体" w:cs="宋体"/>
                <w:color w:val="auto"/>
                <w:kern w:val="0"/>
                <w:sz w:val="18"/>
                <w:szCs w:val="18"/>
                <w:highlight w:val="none"/>
              </w:rPr>
              <w:t>数据资产态势模块</w:t>
            </w:r>
            <w:r>
              <w:rPr>
                <w:rFonts w:ascii="宋体" w:cs="宋体"/>
                <w:color w:val="auto"/>
                <w:kern w:val="0"/>
                <w:sz w:val="18"/>
                <w:szCs w:val="18"/>
                <w:highlight w:val="none"/>
              </w:rPr>
              <w:t>：提供</w:t>
            </w:r>
            <w:r>
              <w:rPr>
                <w:rFonts w:hint="eastAsia" w:ascii="宋体" w:cs="宋体"/>
                <w:color w:val="auto"/>
                <w:kern w:val="0"/>
                <w:sz w:val="18"/>
                <w:szCs w:val="18"/>
                <w:highlight w:val="none"/>
              </w:rPr>
              <w:t>已被发现和标记的报备数据的分布统计，基于位置、数据源、敏感标签、敏感数据级别等多维度的查询和分析能力供用户就变更情况分析审核，</w:t>
            </w:r>
            <w:r>
              <w:rPr>
                <w:rFonts w:ascii="宋体" w:cs="宋体"/>
                <w:color w:val="auto"/>
                <w:kern w:val="0"/>
                <w:sz w:val="18"/>
                <w:szCs w:val="18"/>
                <w:highlight w:val="none"/>
              </w:rPr>
              <w:t>提供</w:t>
            </w:r>
            <w:r>
              <w:rPr>
                <w:rFonts w:hint="eastAsia" w:ascii="宋体" w:cs="宋体"/>
                <w:color w:val="auto"/>
                <w:kern w:val="0"/>
                <w:sz w:val="18"/>
                <w:szCs w:val="18"/>
                <w:highlight w:val="none"/>
              </w:rPr>
              <w:t>基于位置、数据来源、敏感标签、敏感数据级别的资产登记分布，可以直观呈现当前数据流动、数据使用、数据风险等全局的数据状态；包括</w:t>
            </w:r>
            <w:r>
              <w:rPr>
                <w:rFonts w:ascii="宋体" w:cs="宋体"/>
                <w:color w:val="auto"/>
                <w:kern w:val="0"/>
                <w:sz w:val="18"/>
                <w:szCs w:val="18"/>
                <w:highlight w:val="none"/>
              </w:rPr>
              <w:t>实现</w:t>
            </w:r>
            <w:r>
              <w:rPr>
                <w:rFonts w:hint="eastAsia" w:ascii="宋体" w:cs="宋体"/>
                <w:color w:val="auto"/>
                <w:kern w:val="0"/>
                <w:sz w:val="18"/>
                <w:szCs w:val="18"/>
                <w:highlight w:val="none"/>
              </w:rPr>
              <w:t>大屏可视化展示数据资产态势，包括数据资产类型分布、数据资产等级分布、新增数据类型、数据源分布等信息；提供数据资产态势地图，展示获取的报备数据总量，包括政务数据、非政务数据、合规数据等；展示各区域数据总量，</w:t>
            </w:r>
            <w:r>
              <w:rPr>
                <w:rFonts w:ascii="宋体" w:cs="宋体"/>
                <w:color w:val="auto"/>
                <w:kern w:val="0"/>
                <w:sz w:val="18"/>
                <w:szCs w:val="18"/>
                <w:highlight w:val="none"/>
              </w:rPr>
              <w:t>实现</w:t>
            </w:r>
            <w:r>
              <w:rPr>
                <w:rFonts w:hint="eastAsia" w:ascii="宋体" w:cs="宋体"/>
                <w:color w:val="auto"/>
                <w:kern w:val="0"/>
                <w:sz w:val="18"/>
                <w:szCs w:val="18"/>
                <w:highlight w:val="none"/>
              </w:rPr>
              <w:t>下钻到各区域各单位数据详情页面，展示各区域各数据类型汇总情况，展示各区域</w:t>
            </w:r>
            <w:r>
              <w:rPr>
                <w:rFonts w:hint="eastAsia" w:ascii="宋体" w:cs="宋体"/>
                <w:color w:val="auto"/>
                <w:kern w:val="0"/>
                <w:sz w:val="18"/>
                <w:szCs w:val="18"/>
                <w:highlight w:val="none"/>
                <w:lang w:val="en-US" w:eastAsia="zh-CN"/>
              </w:rPr>
              <w:t>各</w:t>
            </w:r>
            <w:r>
              <w:rPr>
                <w:rFonts w:hint="eastAsia" w:ascii="宋体" w:cs="宋体"/>
                <w:color w:val="auto"/>
                <w:kern w:val="0"/>
                <w:sz w:val="18"/>
                <w:szCs w:val="18"/>
                <w:highlight w:val="none"/>
              </w:rPr>
              <w:t>单位各数据类型报备情况等；针对系统发现的数据资产，按照级别统计展示不同级别的资产的分布并做top 排名展示，按照资产载体统计展示不同载体中的数据资产数量并进行top排名展示，按照数据资产所属部门，统计展示不同部门的数据资产数量和top排名；统计基于数据地图通过主动或者被动扫描产生的数据；针对系统发现的数据资产，按照变更流向展示数据资产变更情况，展示流动数据类型、数据等级的分布情况，可以对数据库节点、应用节点、用户节点的流动趋势进行图表展示等；针对系统护具的敏感数据，展示当前总量，并以折线趋势图的形式展示一段时间范围内敏感数据汇聚变化情况。</w:t>
            </w:r>
          </w:p>
          <w:p w14:paraId="70CDAAAD">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数据安全态势模块</w:t>
            </w:r>
            <w:r>
              <w:rPr>
                <w:rFonts w:ascii="宋体" w:cs="宋体"/>
                <w:color w:val="auto"/>
                <w:kern w:val="0"/>
                <w:sz w:val="18"/>
                <w:szCs w:val="18"/>
                <w:highlight w:val="none"/>
              </w:rPr>
              <w:t>：</w:t>
            </w:r>
            <w:r>
              <w:rPr>
                <w:rFonts w:hint="eastAsia" w:ascii="宋体" w:cs="宋体"/>
                <w:color w:val="auto"/>
                <w:kern w:val="0"/>
                <w:sz w:val="18"/>
                <w:szCs w:val="18"/>
                <w:highlight w:val="none"/>
              </w:rPr>
              <w:t>基于实时汇聚的重要数据资产、威胁风险、网络攻击、安全事件、预警处置等多维数据，依托大数据安全风险评估模型算法，实时计算和展示辖区整体安全风险指数，直观掌握整体安全风险态势，分析当前网络</w:t>
            </w:r>
            <w:r>
              <w:rPr>
                <w:rFonts w:ascii="宋体" w:cs="宋体"/>
                <w:color w:val="auto"/>
                <w:kern w:val="0"/>
                <w:sz w:val="18"/>
                <w:szCs w:val="18"/>
                <w:highlight w:val="none"/>
              </w:rPr>
              <w:t>与数据</w:t>
            </w:r>
            <w:r>
              <w:rPr>
                <w:rFonts w:hint="eastAsia" w:ascii="宋体" w:cs="宋体"/>
                <w:color w:val="auto"/>
                <w:kern w:val="0"/>
                <w:sz w:val="18"/>
                <w:szCs w:val="18"/>
                <w:highlight w:val="none"/>
              </w:rPr>
              <w:t>安全保卫工作的长短板、预警发现当前网络的可疑行为、并及时通报重大事件、评估安全发展趋势等，通过图形化的方式展示风险和事件及分布情况，包括最新风险、最新事件、事件类型分布、风险类型分布、危险趋势、资产风险等；汇集数据资产、威胁风险、安全事件、预警处置总体分布情况，通过柱形图、饼图、趋势曲线图以及不断变化的趋势数值进行综合展现，如数据资产分布、数据流向，数据安全威胁风险占比、安全事件变化趋势等；通过内置风险评估算法，直观展示数据安全整体风险指数，以高危（红色）、中危（橙色）、低危（绿色）三个等级进行呈现；通过趋势曲线图展示风险变化情况，按照时间维度统计包含事件和风险的风险数量和趋势；通过柱形图展示各区域数据汇聚情况，按照汇聚大小倒序排列展示；通过饼形图展示数据安全威胁风险类型占比，展示自治区容易出现数据安全的风险类别；通过排行列表的方式展示被监管单位的安全事件处置情况，便于了解其工作效果及整改情况。</w:t>
            </w:r>
          </w:p>
          <w:p w14:paraId="67912655">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资产脆弱性态势模块</w:t>
            </w:r>
            <w:r>
              <w:rPr>
                <w:rFonts w:ascii="宋体" w:cs="宋体"/>
                <w:color w:val="auto"/>
                <w:kern w:val="0"/>
                <w:sz w:val="18"/>
                <w:szCs w:val="18"/>
                <w:highlight w:val="none"/>
              </w:rPr>
              <w:t>：</w:t>
            </w:r>
            <w:r>
              <w:rPr>
                <w:rFonts w:hint="eastAsia" w:ascii="宋体" w:cs="宋体"/>
                <w:color w:val="auto"/>
                <w:kern w:val="0"/>
                <w:sz w:val="18"/>
                <w:szCs w:val="18"/>
                <w:highlight w:val="none"/>
              </w:rPr>
              <w:t>提供不同类型安全漏洞的分布区域、资产、数量及变化趋势等态势情况统计，包括漏洞统计及分类、专项漏洞统计、最新漏洞、漏洞趋势、漏洞资产位置统计、高危资产排名等；对struts2、webshell等专项漏洞进行消息推送和漏洞消息详情查看；以地图的形式展示当前资产数据存储系统的脆弱性分布情况，通过自定义选择时间范围，展示各区域脆弱性数量；通过自定义选择时间范围，展示当前已发现的漏洞数量以及漏洞分类统计，折线图展示一段时间内漏洞数量变化情况，展示漏洞出现位置情况，以矩形图或柱形图展示TOP10，展示处于高度风险的数据资产情况，以排行列表的形式展示TOP10。</w:t>
            </w:r>
          </w:p>
          <w:p w14:paraId="2837068B">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数据安全风险态势模块</w:t>
            </w:r>
            <w:r>
              <w:rPr>
                <w:rFonts w:ascii="宋体" w:cs="宋体"/>
                <w:color w:val="auto"/>
                <w:kern w:val="0"/>
                <w:sz w:val="18"/>
                <w:szCs w:val="18"/>
                <w:highlight w:val="none"/>
              </w:rPr>
              <w:t>：</w:t>
            </w:r>
            <w:r>
              <w:rPr>
                <w:rFonts w:hint="eastAsia" w:ascii="宋体" w:cs="宋体"/>
                <w:color w:val="auto"/>
                <w:kern w:val="0"/>
                <w:sz w:val="18"/>
                <w:szCs w:val="18"/>
                <w:highlight w:val="none"/>
              </w:rPr>
              <w:t>对分布在不同位置、不同时间、不同类别、不同级别的数据资产的安全告警、事件处置等指标进行统计分析与趋势预测，自动生成数据安全风险态势；全景可视化展示风险识别结果，展示时间区间为最近七天，支持自定义选择时间范围，以柱状图、扇形图、热点图、动画等形式展示；风险场景分布、风险用户分布、风险事件分布，支持滚动展示风险分类排行、涉敏应用排行、风险应用排行；按照事件相关的数据资产，级别，载体，主体等维度对事件进行统计和排名，</w:t>
            </w:r>
            <w:r>
              <w:rPr>
                <w:rFonts w:ascii="宋体" w:cs="宋体"/>
                <w:color w:val="auto"/>
                <w:kern w:val="0"/>
                <w:sz w:val="18"/>
                <w:szCs w:val="18"/>
                <w:highlight w:val="none"/>
              </w:rPr>
              <w:t>实现</w:t>
            </w:r>
            <w:r>
              <w:rPr>
                <w:rFonts w:hint="eastAsia" w:ascii="宋体" w:cs="宋体"/>
                <w:color w:val="auto"/>
                <w:kern w:val="0"/>
                <w:sz w:val="18"/>
                <w:szCs w:val="18"/>
                <w:highlight w:val="none"/>
              </w:rPr>
              <w:t>最近七天</w:t>
            </w:r>
            <w:r>
              <w:rPr>
                <w:rFonts w:ascii="宋体" w:cs="宋体"/>
                <w:color w:val="auto"/>
                <w:kern w:val="0"/>
                <w:sz w:val="18"/>
                <w:szCs w:val="18"/>
                <w:highlight w:val="none"/>
              </w:rPr>
              <w:t>、30天</w:t>
            </w:r>
            <w:r>
              <w:rPr>
                <w:rFonts w:hint="eastAsia" w:ascii="宋体" w:cs="宋体"/>
                <w:color w:val="auto"/>
                <w:kern w:val="0"/>
                <w:sz w:val="18"/>
                <w:szCs w:val="18"/>
                <w:highlight w:val="none"/>
              </w:rPr>
              <w:t>内的趋势展示；对告警的统计，按照告警相关的数据资产，级别，载体，主体等维度对告警进行统计和排名，</w:t>
            </w:r>
            <w:r>
              <w:rPr>
                <w:rFonts w:ascii="宋体" w:cs="宋体"/>
                <w:color w:val="auto"/>
                <w:kern w:val="0"/>
                <w:sz w:val="18"/>
                <w:szCs w:val="18"/>
                <w:highlight w:val="none"/>
              </w:rPr>
              <w:t>实现</w:t>
            </w:r>
            <w:r>
              <w:rPr>
                <w:rFonts w:hint="eastAsia" w:ascii="宋体" w:cs="宋体"/>
                <w:color w:val="auto"/>
                <w:kern w:val="0"/>
                <w:sz w:val="18"/>
                <w:szCs w:val="18"/>
                <w:highlight w:val="none"/>
              </w:rPr>
              <w:t>最</w:t>
            </w:r>
            <w:r>
              <w:rPr>
                <w:rFonts w:ascii="宋体" w:cs="宋体"/>
                <w:color w:val="auto"/>
                <w:kern w:val="0"/>
                <w:sz w:val="18"/>
                <w:szCs w:val="18"/>
                <w:highlight w:val="none"/>
              </w:rPr>
              <w:t>近</w:t>
            </w:r>
            <w:r>
              <w:rPr>
                <w:rFonts w:hint="eastAsia" w:ascii="宋体" w:cs="宋体"/>
                <w:color w:val="auto"/>
                <w:kern w:val="0"/>
                <w:sz w:val="18"/>
                <w:szCs w:val="18"/>
                <w:highlight w:val="none"/>
              </w:rPr>
              <w:t>七天</w:t>
            </w:r>
            <w:r>
              <w:rPr>
                <w:rFonts w:ascii="宋体" w:cs="宋体"/>
                <w:color w:val="auto"/>
                <w:kern w:val="0"/>
                <w:sz w:val="18"/>
                <w:szCs w:val="18"/>
                <w:highlight w:val="none"/>
              </w:rPr>
              <w:t>、30天</w:t>
            </w:r>
            <w:r>
              <w:rPr>
                <w:rFonts w:hint="eastAsia" w:ascii="宋体" w:cs="宋体"/>
                <w:color w:val="auto"/>
                <w:kern w:val="0"/>
                <w:sz w:val="18"/>
                <w:szCs w:val="18"/>
                <w:highlight w:val="none"/>
              </w:rPr>
              <w:t>内的趋势展示；展示数据库相关的漏洞在载体中的分布情况，按照事件、告警类型进行分布展示，在地图上展示当前风险事件发生情况，及时展示当前最新的风险事件数量及概要信息。</w:t>
            </w:r>
          </w:p>
          <w:p w14:paraId="4D299987">
            <w:pPr>
              <w:widowControl/>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场景化风险分析功能</w:t>
            </w:r>
            <w:r>
              <w:rPr>
                <w:rFonts w:ascii="宋体" w:cs="宋体"/>
                <w:color w:val="auto"/>
                <w:kern w:val="0"/>
                <w:sz w:val="18"/>
                <w:szCs w:val="18"/>
                <w:highlight w:val="none"/>
              </w:rPr>
              <w:t>：</w:t>
            </w:r>
            <w:r>
              <w:rPr>
                <w:rFonts w:hint="eastAsia" w:ascii="宋体" w:cs="宋体"/>
                <w:color w:val="auto"/>
                <w:kern w:val="0"/>
                <w:sz w:val="18"/>
                <w:szCs w:val="18"/>
                <w:highlight w:val="none"/>
              </w:rPr>
              <w:t>包括</w:t>
            </w:r>
            <w:r>
              <w:rPr>
                <w:rFonts w:ascii="宋体" w:cs="宋体"/>
                <w:color w:val="auto"/>
                <w:kern w:val="0"/>
                <w:sz w:val="18"/>
                <w:szCs w:val="18"/>
                <w:highlight w:val="none"/>
              </w:rPr>
              <w:t>实现</w:t>
            </w:r>
            <w:r>
              <w:rPr>
                <w:rFonts w:hint="eastAsia" w:ascii="宋体" w:cs="宋体"/>
                <w:color w:val="auto"/>
                <w:kern w:val="0"/>
                <w:sz w:val="18"/>
                <w:szCs w:val="18"/>
                <w:highlight w:val="none"/>
              </w:rPr>
              <w:t>通过自学习和用户自定义规则/场景，对流量、日志进行实时统计和分析。内置规则包括：数据源安全、数据操作异常、数据流动异常、账号使用异常等大类。</w:t>
            </w:r>
          </w:p>
          <w:p w14:paraId="31D22D4D">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6.</w:t>
            </w:r>
            <w:r>
              <w:rPr>
                <w:rFonts w:hint="eastAsia" w:ascii="宋体" w:cs="宋体"/>
                <w:color w:val="auto"/>
                <w:kern w:val="0"/>
                <w:sz w:val="18"/>
                <w:szCs w:val="18"/>
                <w:highlight w:val="none"/>
              </w:rPr>
              <w:t>可视化组件</w:t>
            </w:r>
            <w:r>
              <w:rPr>
                <w:rFonts w:ascii="宋体" w:cs="宋体"/>
                <w:color w:val="auto"/>
                <w:kern w:val="0"/>
                <w:sz w:val="18"/>
                <w:szCs w:val="18"/>
                <w:highlight w:val="none"/>
              </w:rPr>
              <w:t>：</w:t>
            </w:r>
            <w:r>
              <w:rPr>
                <w:rFonts w:hint="eastAsia" w:ascii="宋体" w:cs="宋体"/>
                <w:color w:val="auto"/>
                <w:kern w:val="0"/>
                <w:sz w:val="18"/>
                <w:szCs w:val="18"/>
                <w:highlight w:val="none"/>
              </w:rPr>
              <w:t>提供数据资产总览地图，展示当前自治区大数据发展局获取的报备数据总量，包括政务数据、非政务数据、合规数据等；展示自治区各区域数据总量，</w:t>
            </w:r>
            <w:r>
              <w:rPr>
                <w:rFonts w:ascii="宋体" w:cs="宋体"/>
                <w:color w:val="auto"/>
                <w:kern w:val="0"/>
                <w:sz w:val="18"/>
                <w:szCs w:val="18"/>
                <w:highlight w:val="none"/>
              </w:rPr>
              <w:t>实现</w:t>
            </w:r>
            <w:r>
              <w:rPr>
                <w:rFonts w:hint="eastAsia" w:ascii="宋体" w:cs="宋体"/>
                <w:color w:val="auto"/>
                <w:kern w:val="0"/>
                <w:sz w:val="18"/>
                <w:szCs w:val="18"/>
                <w:highlight w:val="none"/>
              </w:rPr>
              <w:t>下钻到各区域各单位数据详情页面，展示各区域各数据类型汇总情况，展示各区域</w:t>
            </w:r>
            <w:r>
              <w:rPr>
                <w:rFonts w:hint="eastAsia" w:ascii="宋体" w:cs="宋体"/>
                <w:color w:val="auto"/>
                <w:kern w:val="0"/>
                <w:sz w:val="18"/>
                <w:szCs w:val="18"/>
                <w:highlight w:val="none"/>
                <w:lang w:val="en-US" w:eastAsia="zh-CN"/>
              </w:rPr>
              <w:t>各</w:t>
            </w:r>
            <w:r>
              <w:rPr>
                <w:rFonts w:hint="eastAsia" w:ascii="宋体" w:cs="宋体"/>
                <w:color w:val="auto"/>
                <w:kern w:val="0"/>
                <w:sz w:val="18"/>
                <w:szCs w:val="18"/>
                <w:highlight w:val="none"/>
              </w:rPr>
              <w:t>单位各数据类型报备情况。</w:t>
            </w:r>
          </w:p>
          <w:p w14:paraId="248687BD">
            <w:pPr>
              <w:widowControl/>
              <w:ind w:firstLine="360" w:firstLineChars="200"/>
              <w:jc w:val="left"/>
              <w:rPr>
                <w:rFonts w:hint="eastAsia" w:ascii="宋体" w:hAnsi="宋体" w:cs="宋体"/>
                <w:color w:val="auto"/>
                <w:kern w:val="0"/>
                <w:sz w:val="18"/>
                <w:szCs w:val="18"/>
                <w:highlight w:val="none"/>
              </w:rPr>
            </w:pPr>
            <w:r>
              <w:rPr>
                <w:rFonts w:ascii="宋体" w:cs="宋体"/>
                <w:color w:val="auto"/>
                <w:kern w:val="0"/>
                <w:sz w:val="18"/>
                <w:szCs w:val="18"/>
                <w:highlight w:val="none"/>
              </w:rPr>
              <w:t>7.</w:t>
            </w:r>
            <w:r>
              <w:rPr>
                <w:rFonts w:hint="eastAsia" w:ascii="宋体" w:cs="宋体"/>
                <w:color w:val="auto"/>
                <w:kern w:val="0"/>
                <w:sz w:val="18"/>
                <w:szCs w:val="18"/>
                <w:highlight w:val="none"/>
              </w:rPr>
              <w:t>数据安全审计态势模块</w:t>
            </w:r>
            <w:r>
              <w:rPr>
                <w:rFonts w:ascii="宋体" w:cs="宋体"/>
                <w:color w:val="auto"/>
                <w:kern w:val="0"/>
                <w:sz w:val="18"/>
                <w:szCs w:val="18"/>
                <w:highlight w:val="none"/>
              </w:rPr>
              <w:t>：</w:t>
            </w:r>
            <w:r>
              <w:rPr>
                <w:rFonts w:hint="eastAsia" w:ascii="宋体" w:cs="宋体"/>
                <w:color w:val="auto"/>
                <w:kern w:val="0"/>
                <w:sz w:val="18"/>
                <w:szCs w:val="18"/>
                <w:highlight w:val="none"/>
              </w:rPr>
              <w:t>数据安全审计能够多角度分析数据库活动，并对异常的行为进行告警通知、审计记录和事后追踪分析。快速、准确</w:t>
            </w:r>
            <w:r>
              <w:rPr>
                <w:rFonts w:hint="eastAsia" w:ascii="宋体" w:cs="宋体"/>
                <w:color w:val="auto"/>
                <w:kern w:val="0"/>
                <w:sz w:val="18"/>
                <w:szCs w:val="18"/>
                <w:highlight w:val="none"/>
                <w:lang w:val="en-US" w:eastAsia="zh-CN"/>
              </w:rPr>
              <w:t>地</w:t>
            </w:r>
            <w:r>
              <w:rPr>
                <w:rFonts w:hint="eastAsia" w:ascii="宋体" w:cs="宋体"/>
                <w:color w:val="auto"/>
                <w:kern w:val="0"/>
                <w:sz w:val="18"/>
                <w:szCs w:val="18"/>
                <w:highlight w:val="none"/>
              </w:rPr>
              <w:t>发现并定位告警事件，并且提供告警事件清单的展示以及告警趋势分析图展示功能，为告警的迅速处置提供支撑；</w:t>
            </w:r>
            <w:r>
              <w:rPr>
                <w:rFonts w:ascii="宋体" w:cs="宋体"/>
                <w:color w:val="auto"/>
                <w:kern w:val="0"/>
                <w:sz w:val="18"/>
                <w:szCs w:val="18"/>
                <w:highlight w:val="none"/>
              </w:rPr>
              <w:t>实现</w:t>
            </w:r>
            <w:r>
              <w:rPr>
                <w:rFonts w:hint="eastAsia" w:ascii="宋体" w:cs="宋体"/>
                <w:color w:val="auto"/>
                <w:kern w:val="0"/>
                <w:sz w:val="18"/>
                <w:szCs w:val="18"/>
                <w:highlight w:val="none"/>
              </w:rPr>
              <w:t>从事件标识、账号名称、协议类型、源IP、目的IP、目标端口、事件名称、事件级别、创建开始时间、创建结束时间等关键信息等进行审计事件的查询；将安全审计分析数据以清单列表形式进行展示，</w:t>
            </w:r>
            <w:r>
              <w:rPr>
                <w:rFonts w:ascii="宋体" w:cs="宋体"/>
                <w:color w:val="auto"/>
                <w:kern w:val="0"/>
                <w:sz w:val="18"/>
                <w:szCs w:val="18"/>
                <w:highlight w:val="none"/>
              </w:rPr>
              <w:t>实现</w:t>
            </w:r>
            <w:r>
              <w:rPr>
                <w:rFonts w:hint="eastAsia" w:ascii="宋体" w:cs="宋体"/>
                <w:color w:val="auto"/>
                <w:kern w:val="0"/>
                <w:sz w:val="18"/>
                <w:szCs w:val="18"/>
                <w:highlight w:val="none"/>
              </w:rPr>
              <w:t>关键字段查询。便于对告警事件的实时、快速的查询、定位。告警清单详细记录下每一次告警事件，为后期的跟踪、追溯提供了有力依据；将安全审计信息总览展示，包含但不限于：告警级别分布、告警等级数据趋势、告警等级数据排行等图表。提供详细的不同告警信息的分布情况，便于对严重告警分布区域进行重点跟踪，告警等级数据趋势可以提供最近告警发生变化情况，根据告警趋势做出相应处理措施，减少告警事件发生频率。根据对安全事件的不同维度统计，形成事件等级数量TOP10展示、事件名称数量TOP10展示，提供重点关注安全事件；提供审计事件通过详表、扇形图、柱状图形式进行展示，同时还可以根据需求，自定义审计时间和审计报告模板生成相应的审计报告。审计报告内容包括告警级别分布、告警等级数据趋势、告警等级数据排行榜、告警信息分布、事件趋势图、事件等级占比等。</w:t>
            </w:r>
          </w:p>
        </w:tc>
        <w:tc>
          <w:tcPr>
            <w:tcW w:w="145" w:type="pct"/>
            <w:tcBorders>
              <w:top w:val="nil"/>
              <w:left w:val="nil"/>
              <w:bottom w:val="single" w:color="auto" w:sz="4" w:space="0"/>
              <w:right w:val="single" w:color="auto" w:sz="4" w:space="0"/>
            </w:tcBorders>
            <w:vAlign w:val="center"/>
          </w:tcPr>
          <w:p w14:paraId="28D41E11">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vAlign w:val="center"/>
          </w:tcPr>
          <w:p w14:paraId="289BB989">
            <w:pPr>
              <w:widowControl/>
              <w:jc w:val="center"/>
              <w:rPr>
                <w:rFonts w:hint="eastAsia" w:ascii="宋体" w:hAnsi="宋体" w:cs="宋体"/>
                <w:color w:val="auto"/>
                <w:kern w:val="0"/>
                <w:sz w:val="18"/>
                <w:szCs w:val="18"/>
                <w:highlight w:val="none"/>
              </w:rPr>
            </w:pPr>
          </w:p>
        </w:tc>
      </w:tr>
      <w:tr w14:paraId="3CA44252">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50DF3F6D">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428" w:type="pct"/>
            <w:tcBorders>
              <w:top w:val="nil"/>
              <w:left w:val="nil"/>
              <w:bottom w:val="single" w:color="auto" w:sz="4" w:space="0"/>
              <w:right w:val="single" w:color="auto" w:sz="4" w:space="0"/>
            </w:tcBorders>
            <w:vAlign w:val="center"/>
          </w:tcPr>
          <w:p w14:paraId="618EAB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数据安全分析</w:t>
            </w:r>
            <w:r>
              <w:rPr>
                <w:rFonts w:hint="eastAsia" w:ascii="宋体" w:hAnsi="宋体" w:cs="宋体"/>
                <w:color w:val="auto"/>
                <w:kern w:val="0"/>
                <w:sz w:val="18"/>
                <w:szCs w:val="18"/>
                <w:highlight w:val="none"/>
                <w:lang w:val="en-US" w:eastAsia="zh-CN"/>
              </w:rPr>
              <w:t>模块</w:t>
            </w:r>
          </w:p>
        </w:tc>
        <w:tc>
          <w:tcPr>
            <w:tcW w:w="3798" w:type="pct"/>
            <w:gridSpan w:val="2"/>
            <w:tcBorders>
              <w:top w:val="nil"/>
              <w:left w:val="nil"/>
              <w:bottom w:val="single" w:color="auto" w:sz="4" w:space="0"/>
              <w:right w:val="single" w:color="auto" w:sz="4" w:space="0"/>
            </w:tcBorders>
          </w:tcPr>
          <w:p w14:paraId="64EC1C01">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w:t>
            </w:r>
            <w:r>
              <w:rPr>
                <w:rFonts w:hint="eastAsia" w:ascii="宋体" w:cs="宋体"/>
                <w:color w:val="auto"/>
                <w:kern w:val="0"/>
                <w:sz w:val="18"/>
                <w:szCs w:val="18"/>
                <w:highlight w:val="none"/>
              </w:rPr>
              <w:t>数据资产识别模块</w:t>
            </w:r>
            <w:r>
              <w:rPr>
                <w:rFonts w:ascii="宋体" w:cs="宋体"/>
                <w:color w:val="auto"/>
                <w:kern w:val="0"/>
                <w:sz w:val="18"/>
                <w:szCs w:val="18"/>
                <w:highlight w:val="none"/>
              </w:rPr>
              <w:t>：</w:t>
            </w:r>
          </w:p>
          <w:p w14:paraId="27FB31EC">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（1）具备数据资产主动扫描功能，包括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对数据库/实例进行自动扫描与解析，自动发现并提取数据库/实例信息、表信息、字段信息、表记录总条数等元数据信息，并识别其中的数据资产；</w:t>
            </w:r>
            <w:r>
              <w:rPr>
                <w:rFonts w:ascii="宋体" w:cs="宋体"/>
                <w:color w:val="auto"/>
                <w:kern w:val="0"/>
                <w:sz w:val="18"/>
                <w:szCs w:val="18"/>
                <w:highlight w:val="none"/>
              </w:rPr>
              <w:t>实现</w:t>
            </w:r>
            <w:r>
              <w:rPr>
                <w:rFonts w:hint="eastAsia" w:ascii="宋体" w:cs="宋体"/>
                <w:color w:val="auto"/>
                <w:kern w:val="0"/>
                <w:sz w:val="18"/>
                <w:szCs w:val="18"/>
                <w:highlight w:val="none"/>
              </w:rPr>
              <w:t>对非结构化数据载体进行识别，提取其中的元数据；</w:t>
            </w:r>
          </w:p>
          <w:p w14:paraId="49246A1E">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（2）具备数据资产动态识别功能，包括对接入日志进行分析处理，发现流动中的敏感数据，并发现相关联的数据库、应用、API、账号信息；</w:t>
            </w:r>
          </w:p>
          <w:p w14:paraId="66C35410">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（3）具备敏感数据资产识别功能，包括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从数据标签维度查看敏感数据资产，可查看每种数据标签的敏感数据量、应用数、API数、数据库数、告警数、风险数、事件数，并支持下钻查看；</w:t>
            </w:r>
            <w:r>
              <w:rPr>
                <w:rFonts w:ascii="宋体" w:cs="宋体"/>
                <w:color w:val="auto"/>
                <w:kern w:val="0"/>
                <w:sz w:val="18"/>
                <w:szCs w:val="18"/>
                <w:highlight w:val="none"/>
              </w:rPr>
              <w:t>实现</w:t>
            </w:r>
            <w:r>
              <w:rPr>
                <w:rFonts w:hint="eastAsia" w:ascii="宋体" w:cs="宋体"/>
                <w:color w:val="auto"/>
                <w:kern w:val="0"/>
                <w:sz w:val="18"/>
                <w:szCs w:val="18"/>
                <w:highlight w:val="none"/>
              </w:rPr>
              <w:t>从敏感数据的维度查看敏感数据资产，可查看每条敏感数据的发现时间、访问次数，所属的数据库、应用、API，</w:t>
            </w:r>
            <w:r>
              <w:rPr>
                <w:rFonts w:hint="eastAsia" w:ascii="宋体" w:cs="宋体"/>
                <w:color w:val="auto"/>
                <w:kern w:val="0"/>
                <w:sz w:val="18"/>
                <w:szCs w:val="18"/>
                <w:highlight w:val="none"/>
                <w:lang w:val="en-US" w:eastAsia="zh-CN"/>
              </w:rPr>
              <w:t>以</w:t>
            </w:r>
            <w:r>
              <w:rPr>
                <w:rFonts w:hint="eastAsia" w:ascii="宋体" w:cs="宋体"/>
                <w:color w:val="auto"/>
                <w:kern w:val="0"/>
                <w:sz w:val="18"/>
                <w:szCs w:val="18"/>
                <w:highlight w:val="none"/>
              </w:rPr>
              <w:t>及触发的风险数、事件数；</w:t>
            </w:r>
            <w:r>
              <w:rPr>
                <w:rFonts w:ascii="宋体" w:cs="宋体"/>
                <w:color w:val="auto"/>
                <w:kern w:val="0"/>
                <w:sz w:val="18"/>
                <w:szCs w:val="18"/>
                <w:highlight w:val="none"/>
              </w:rPr>
              <w:t>实现</w:t>
            </w:r>
            <w:r>
              <w:rPr>
                <w:rFonts w:hint="eastAsia" w:ascii="宋体" w:cs="宋体"/>
                <w:color w:val="auto"/>
                <w:kern w:val="0"/>
                <w:sz w:val="18"/>
                <w:szCs w:val="18"/>
                <w:highlight w:val="none"/>
              </w:rPr>
              <w:t>查看未打标数据的样本信息及详情，以便安全运营人员进一步优化标签规则；</w:t>
            </w:r>
          </w:p>
          <w:p w14:paraId="3842DA9B">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4）具备数据内容级的识别与打标功能，包括对于存储中的静态数据与使用的流动数据，可识别具体的数据内容，并进行一定的敏感数据打标，并针对静态数据和流动数据以全局视图进行展示。提供细粒度到敏感数据内容的全局视图，可直接展示具体的敏感数据内容如手机号“139*****009”、身份证号“2112*********55564”、家庭住址“广州*****港中路”；</w:t>
            </w:r>
          </w:p>
          <w:p w14:paraId="718CD473">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（5）具备数据载体管理功能，包括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定义并维护应用、数据库等资产信息，包括名称、所属部门等信息。</w:t>
            </w:r>
          </w:p>
          <w:p w14:paraId="7F69BDA1">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数据资产管理模块</w:t>
            </w:r>
            <w:r>
              <w:rPr>
                <w:rFonts w:ascii="宋体" w:cs="宋体"/>
                <w:color w:val="auto"/>
                <w:kern w:val="0"/>
                <w:sz w:val="18"/>
                <w:szCs w:val="18"/>
                <w:highlight w:val="none"/>
              </w:rPr>
              <w:t>：</w:t>
            </w:r>
          </w:p>
          <w:p w14:paraId="582B66D2">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（1）具备存储资产管理功能，包括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主动扫描发现网络中的数据库等存储资产；</w:t>
            </w:r>
            <w:r>
              <w:rPr>
                <w:rFonts w:ascii="宋体" w:cs="宋体"/>
                <w:color w:val="auto"/>
                <w:kern w:val="0"/>
                <w:sz w:val="18"/>
                <w:szCs w:val="18"/>
                <w:highlight w:val="none"/>
              </w:rPr>
              <w:t>实现</w:t>
            </w:r>
            <w:r>
              <w:rPr>
                <w:rFonts w:hint="eastAsia" w:ascii="宋体" w:cs="宋体"/>
                <w:color w:val="auto"/>
                <w:kern w:val="0"/>
                <w:sz w:val="18"/>
                <w:szCs w:val="18"/>
                <w:highlight w:val="none"/>
              </w:rPr>
              <w:t>手动添加存储资产；</w:t>
            </w:r>
            <w:r>
              <w:rPr>
                <w:rFonts w:ascii="宋体" w:cs="宋体"/>
                <w:color w:val="auto"/>
                <w:kern w:val="0"/>
                <w:sz w:val="18"/>
                <w:szCs w:val="18"/>
                <w:highlight w:val="none"/>
              </w:rPr>
              <w:t>实现</w:t>
            </w:r>
            <w:r>
              <w:rPr>
                <w:rFonts w:hint="eastAsia" w:ascii="宋体" w:cs="宋体"/>
                <w:color w:val="auto"/>
                <w:kern w:val="0"/>
                <w:sz w:val="18"/>
                <w:szCs w:val="18"/>
                <w:highlight w:val="none"/>
              </w:rPr>
              <w:t>从接入日志中动态发现存储资产；</w:t>
            </w:r>
            <w:r>
              <w:rPr>
                <w:rFonts w:ascii="宋体" w:cs="宋体"/>
                <w:color w:val="auto"/>
                <w:kern w:val="0"/>
                <w:sz w:val="18"/>
                <w:szCs w:val="18"/>
                <w:highlight w:val="none"/>
              </w:rPr>
              <w:t>实现</w:t>
            </w:r>
            <w:r>
              <w:rPr>
                <w:rFonts w:hint="eastAsia" w:ascii="宋体" w:cs="宋体"/>
                <w:color w:val="auto"/>
                <w:kern w:val="0"/>
                <w:sz w:val="18"/>
                <w:szCs w:val="18"/>
                <w:highlight w:val="none"/>
              </w:rPr>
              <w:t>Elasticsearch、Hbase、Hive、MongoDB、Kudu等大数据存储统计；兼容结构化、非结构化数据载体，进行数据采集和解析，至少包含PostgreSQL、Mysql、oracle、Gbase8a、Gbase8t、Sqlserver、Cache、OceanBase、DM、KingBase、MariaDB、DB2、Informix、Firebird、HsqlDB、Oscar、Elasticsearch、Hbase、Hive、MongoDB、Kudu、FTP服务器、HDFS、redis等；</w:t>
            </w:r>
            <w:r>
              <w:rPr>
                <w:rFonts w:ascii="宋体" w:cs="宋体"/>
                <w:color w:val="auto"/>
                <w:kern w:val="0"/>
                <w:sz w:val="18"/>
                <w:szCs w:val="18"/>
                <w:highlight w:val="none"/>
              </w:rPr>
              <w:t>实现</w:t>
            </w:r>
            <w:r>
              <w:rPr>
                <w:rFonts w:hint="eastAsia" w:ascii="宋体" w:cs="宋体"/>
                <w:color w:val="auto"/>
                <w:kern w:val="0"/>
                <w:sz w:val="18"/>
                <w:szCs w:val="18"/>
                <w:highlight w:val="none"/>
              </w:rPr>
              <w:t>查看存储资产列表，并可查看每条存储资产的名称、地址、数据标签、敏感数据访问量、去重访问量、告警数、风险数</w:t>
            </w:r>
            <w:r>
              <w:rPr>
                <w:rFonts w:ascii="宋体" w:cs="宋体"/>
                <w:color w:val="auto"/>
                <w:kern w:val="0"/>
                <w:sz w:val="18"/>
                <w:szCs w:val="18"/>
                <w:highlight w:val="none"/>
              </w:rPr>
              <w:t>；</w:t>
            </w:r>
          </w:p>
          <w:p w14:paraId="3DDA51EC">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（2）具备应用资产管理功能，包括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从接入日志中，动态发现应用资产及API资产；</w:t>
            </w:r>
            <w:r>
              <w:rPr>
                <w:rFonts w:ascii="宋体" w:cs="宋体"/>
                <w:color w:val="auto"/>
                <w:kern w:val="0"/>
                <w:sz w:val="18"/>
                <w:szCs w:val="18"/>
                <w:highlight w:val="none"/>
              </w:rPr>
              <w:t>实现</w:t>
            </w:r>
            <w:r>
              <w:rPr>
                <w:rFonts w:hint="eastAsia" w:ascii="宋体" w:cs="宋体"/>
                <w:color w:val="auto"/>
                <w:kern w:val="0"/>
                <w:sz w:val="18"/>
                <w:szCs w:val="18"/>
                <w:highlight w:val="none"/>
              </w:rPr>
              <w:t>查看应用资产列表，并可查看每条应用资产的业务应用、Host、API数、账号数、应用标签、发现时间、数据标签、敏感数据访问量、去重访问量、告警数、风险数；</w:t>
            </w:r>
            <w:r>
              <w:rPr>
                <w:rFonts w:ascii="宋体" w:cs="宋体"/>
                <w:color w:val="auto"/>
                <w:kern w:val="0"/>
                <w:sz w:val="18"/>
                <w:szCs w:val="18"/>
                <w:highlight w:val="none"/>
              </w:rPr>
              <w:t>实现</w:t>
            </w:r>
            <w:r>
              <w:rPr>
                <w:rFonts w:hint="eastAsia" w:ascii="宋体" w:cs="宋体"/>
                <w:color w:val="auto"/>
                <w:kern w:val="0"/>
                <w:sz w:val="18"/>
                <w:szCs w:val="18"/>
                <w:highlight w:val="none"/>
              </w:rPr>
              <w:t>查看API资产列表，并可查看每条API资产的业务应用、Host、API、发现时间、数据标签、敏感数据访问量、去重访问量、告警数、风险数</w:t>
            </w:r>
            <w:r>
              <w:rPr>
                <w:rFonts w:ascii="宋体" w:cs="宋体"/>
                <w:color w:val="auto"/>
                <w:kern w:val="0"/>
                <w:sz w:val="18"/>
                <w:szCs w:val="18"/>
                <w:highlight w:val="none"/>
              </w:rPr>
              <w:t>；</w:t>
            </w:r>
          </w:p>
          <w:p w14:paraId="52D53780">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（3）具备账号资产管理功能，包括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从接入日志中，动态发现账号资产；支持查看账号资产列表，并可查看每条账号资产的账号名称、类型（应用或数据库）、业务应用/数据库资产名称、应用Host/数据库地址、发现时间、数据标签、敏感数据访问量、去重访问量、告警数</w:t>
            </w:r>
            <w:r>
              <w:rPr>
                <w:rFonts w:ascii="宋体" w:cs="宋体"/>
                <w:color w:val="auto"/>
                <w:kern w:val="0"/>
                <w:sz w:val="18"/>
                <w:szCs w:val="18"/>
                <w:highlight w:val="none"/>
              </w:rPr>
              <w:t>；</w:t>
            </w:r>
          </w:p>
          <w:p w14:paraId="3755EEBB">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（4）具备数据资产管理功能，包括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数据资产对象管理，可实现字段级数据资产定义与维护，数据资产记录信息包括元数据信息、数据标签信息及数据分类分级信息等。</w:t>
            </w:r>
            <w:r>
              <w:rPr>
                <w:rFonts w:ascii="宋体" w:cs="宋体"/>
                <w:color w:val="auto"/>
                <w:kern w:val="0"/>
                <w:sz w:val="18"/>
                <w:szCs w:val="18"/>
                <w:highlight w:val="none"/>
              </w:rPr>
              <w:t>实现</w:t>
            </w:r>
            <w:r>
              <w:rPr>
                <w:rFonts w:hint="eastAsia" w:ascii="宋体" w:cs="宋体"/>
                <w:color w:val="auto"/>
                <w:kern w:val="0"/>
                <w:sz w:val="18"/>
                <w:szCs w:val="18"/>
                <w:highlight w:val="none"/>
              </w:rPr>
              <w:t>手动维护字段敏感数据标签。</w:t>
            </w:r>
          </w:p>
          <w:p w14:paraId="6216C07E">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数据分类分级模块</w:t>
            </w:r>
            <w:r>
              <w:rPr>
                <w:rFonts w:ascii="宋体" w:cs="宋体"/>
                <w:color w:val="auto"/>
                <w:kern w:val="0"/>
                <w:sz w:val="18"/>
                <w:szCs w:val="18"/>
                <w:highlight w:val="none"/>
              </w:rPr>
              <w:t>：</w:t>
            </w:r>
          </w:p>
          <w:p w14:paraId="51DDCA83">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1）具备数据分类分级模板功能，包括系统内置数据分类分级模板，模板可按照场景需求进行自定义修改，分类分级模板支持多级设置，至少内置个人敏感信息和部分行业模板；自定义安全分级评价要素生成数据安全分级模板，支持弹性定级标准，内置安全等级推荐计算表，通过用户自定义若发生泄露或破坏后分别对国家、公共、组织、个人等利益的影响，从而加权得出一个综合评判的等级；</w:t>
            </w:r>
            <w:r>
              <w:rPr>
                <w:rFonts w:ascii="宋体" w:cs="宋体"/>
                <w:color w:val="auto"/>
                <w:kern w:val="0"/>
                <w:sz w:val="18"/>
                <w:szCs w:val="18"/>
                <w:highlight w:val="none"/>
              </w:rPr>
              <w:t>实现</w:t>
            </w:r>
            <w:r>
              <w:rPr>
                <w:rFonts w:hint="eastAsia" w:ascii="宋体" w:cs="宋体"/>
                <w:color w:val="auto"/>
                <w:kern w:val="0"/>
                <w:sz w:val="18"/>
                <w:szCs w:val="18"/>
                <w:highlight w:val="none"/>
              </w:rPr>
              <w:t>自定义数据标签，应用关键字、正则表达式、内置标识符等方式新增数据分类的识别特征；</w:t>
            </w:r>
            <w:r>
              <w:rPr>
                <w:rFonts w:ascii="宋体" w:cs="宋体"/>
                <w:color w:val="auto"/>
                <w:kern w:val="0"/>
                <w:sz w:val="18"/>
                <w:szCs w:val="18"/>
                <w:highlight w:val="none"/>
              </w:rPr>
              <w:t>实现</w:t>
            </w:r>
            <w:r>
              <w:rPr>
                <w:rFonts w:hint="eastAsia" w:ascii="宋体" w:cs="宋体"/>
                <w:color w:val="auto"/>
                <w:kern w:val="0"/>
                <w:sz w:val="18"/>
                <w:szCs w:val="18"/>
                <w:highlight w:val="none"/>
              </w:rPr>
              <w:t>多维度的数据资产分类识别，识别纬度包括：列备注、列名称、列内容等；</w:t>
            </w:r>
          </w:p>
          <w:p w14:paraId="5CB80CDD">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（2）具备数据自动分类分级功能，包括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对结构化数据进行自动分类分级，</w:t>
            </w:r>
            <w:r>
              <w:rPr>
                <w:rFonts w:ascii="宋体" w:cs="宋体"/>
                <w:color w:val="auto"/>
                <w:kern w:val="0"/>
                <w:sz w:val="18"/>
                <w:szCs w:val="18"/>
                <w:highlight w:val="none"/>
              </w:rPr>
              <w:t>实现</w:t>
            </w:r>
            <w:r>
              <w:rPr>
                <w:rFonts w:hint="eastAsia" w:ascii="宋体" w:cs="宋体"/>
                <w:color w:val="auto"/>
                <w:kern w:val="0"/>
                <w:sz w:val="18"/>
                <w:szCs w:val="18"/>
                <w:highlight w:val="none"/>
              </w:rPr>
              <w:t>对非结构化数据进行自动分类分级；</w:t>
            </w:r>
            <w:r>
              <w:rPr>
                <w:rFonts w:ascii="宋体" w:cs="宋体"/>
                <w:color w:val="auto"/>
                <w:kern w:val="0"/>
                <w:sz w:val="18"/>
                <w:szCs w:val="18"/>
                <w:highlight w:val="none"/>
              </w:rPr>
              <w:t>实现</w:t>
            </w:r>
            <w:r>
              <w:rPr>
                <w:rFonts w:hint="eastAsia" w:ascii="宋体" w:cs="宋体"/>
                <w:color w:val="auto"/>
                <w:kern w:val="0"/>
                <w:sz w:val="18"/>
                <w:szCs w:val="18"/>
                <w:highlight w:val="none"/>
              </w:rPr>
              <w:t>基于数据安全分级模板构建数据资产安全分级引擎，自动分析形成数据资产分类分级推荐结果；针对系统推荐的安全定级结果，支持对级别、数据标签进行手工修正；</w:t>
            </w:r>
            <w:r>
              <w:rPr>
                <w:rFonts w:ascii="宋体" w:cs="宋体"/>
                <w:color w:val="auto"/>
                <w:kern w:val="0"/>
                <w:sz w:val="18"/>
                <w:szCs w:val="18"/>
                <w:highlight w:val="none"/>
              </w:rPr>
              <w:t>实现</w:t>
            </w:r>
            <w:r>
              <w:rPr>
                <w:rFonts w:hint="eastAsia" w:ascii="宋体" w:cs="宋体"/>
                <w:color w:val="auto"/>
                <w:kern w:val="0"/>
                <w:sz w:val="18"/>
                <w:szCs w:val="18"/>
                <w:highlight w:val="none"/>
              </w:rPr>
              <w:t>分类分级结果的导入导出；</w:t>
            </w:r>
            <w:r>
              <w:rPr>
                <w:rFonts w:ascii="宋体" w:cs="宋体"/>
                <w:color w:val="auto"/>
                <w:kern w:val="0"/>
                <w:sz w:val="18"/>
                <w:szCs w:val="18"/>
                <w:highlight w:val="none"/>
              </w:rPr>
              <w:t>实现</w:t>
            </w:r>
            <w:r>
              <w:rPr>
                <w:rFonts w:hint="eastAsia" w:ascii="宋体" w:cs="宋体"/>
                <w:color w:val="auto"/>
                <w:kern w:val="0"/>
                <w:sz w:val="18"/>
                <w:szCs w:val="18"/>
                <w:highlight w:val="none"/>
              </w:rPr>
              <w:t>对相似字段进行统一归并分析，便于管理员批量调整打标；</w:t>
            </w:r>
          </w:p>
          <w:p w14:paraId="47B4FA92">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（3）具备数据分类分级版本功能，包括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数据资产安全分级结果的发布，对历次发布的版本进行快照保存；</w:t>
            </w:r>
            <w:r>
              <w:rPr>
                <w:rFonts w:ascii="宋体" w:cs="宋体"/>
                <w:color w:val="auto"/>
                <w:kern w:val="0"/>
                <w:sz w:val="18"/>
                <w:szCs w:val="18"/>
                <w:highlight w:val="none"/>
              </w:rPr>
              <w:t>实现</w:t>
            </w:r>
            <w:r>
              <w:rPr>
                <w:rFonts w:hint="eastAsia" w:ascii="宋体" w:cs="宋体"/>
                <w:color w:val="auto"/>
                <w:kern w:val="0"/>
                <w:sz w:val="18"/>
                <w:szCs w:val="18"/>
                <w:highlight w:val="none"/>
              </w:rPr>
              <w:t>查看每个版本的分类分级统计，包括各级数据资产的数量分布及资产总量情况；</w:t>
            </w:r>
            <w:r>
              <w:rPr>
                <w:rFonts w:ascii="宋体" w:cs="宋体"/>
                <w:color w:val="auto"/>
                <w:kern w:val="0"/>
                <w:sz w:val="18"/>
                <w:szCs w:val="18"/>
                <w:highlight w:val="none"/>
              </w:rPr>
              <w:t>实现</w:t>
            </w:r>
            <w:r>
              <w:rPr>
                <w:rFonts w:hint="eastAsia" w:ascii="宋体" w:cs="宋体"/>
                <w:color w:val="auto"/>
                <w:kern w:val="0"/>
                <w:sz w:val="18"/>
                <w:szCs w:val="18"/>
                <w:highlight w:val="none"/>
              </w:rPr>
              <w:t>多个版本间变迁对比及版本查阅，</w:t>
            </w:r>
            <w:r>
              <w:rPr>
                <w:rFonts w:ascii="宋体" w:cs="宋体"/>
                <w:color w:val="auto"/>
                <w:kern w:val="0"/>
                <w:sz w:val="18"/>
                <w:szCs w:val="18"/>
                <w:highlight w:val="none"/>
              </w:rPr>
              <w:t>实现</w:t>
            </w:r>
            <w:r>
              <w:rPr>
                <w:rFonts w:hint="eastAsia" w:ascii="宋体" w:cs="宋体"/>
                <w:color w:val="auto"/>
                <w:kern w:val="0"/>
                <w:sz w:val="18"/>
                <w:szCs w:val="18"/>
                <w:highlight w:val="none"/>
              </w:rPr>
              <w:t>对不同版本的结果差异进行统计展示，包括敏感数据总量变迁、近期新增类别等。</w:t>
            </w:r>
          </w:p>
          <w:p w14:paraId="6E9A94F6">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数据流动使用监测模块</w:t>
            </w:r>
            <w:r>
              <w:rPr>
                <w:rFonts w:ascii="宋体" w:cs="宋体"/>
                <w:color w:val="auto"/>
                <w:kern w:val="0"/>
                <w:sz w:val="18"/>
                <w:szCs w:val="18"/>
                <w:highlight w:val="none"/>
              </w:rPr>
              <w:t>：</w:t>
            </w:r>
          </w:p>
          <w:p w14:paraId="7A392E7E">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（1）具备数据流动监测功能，包括数据流动监测可从运营人员最关注的信息开始，逐步增加筛选条件，缩小范围，查看数据流动日志；</w:t>
            </w:r>
          </w:p>
          <w:p w14:paraId="3993F461">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（2）每条数据访问日志均可查看其源IP、目标类型（应用、数据库）、IP地址、数据标签、敏感数据去重访问量、访问时间等信息，并可查看该访问日志的数据流转图；</w:t>
            </w:r>
          </w:p>
          <w:p w14:paraId="1ED49586">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（3）</w:t>
            </w:r>
            <w:r>
              <w:rPr>
                <w:rFonts w:ascii="宋体" w:cs="宋体"/>
                <w:color w:val="auto"/>
                <w:kern w:val="0"/>
                <w:sz w:val="18"/>
                <w:szCs w:val="18"/>
                <w:highlight w:val="none"/>
              </w:rPr>
              <w:t>实现</w:t>
            </w:r>
            <w:r>
              <w:rPr>
                <w:rFonts w:hint="eastAsia" w:ascii="宋体" w:cs="宋体"/>
                <w:color w:val="auto"/>
                <w:kern w:val="0"/>
                <w:sz w:val="18"/>
                <w:szCs w:val="18"/>
                <w:highlight w:val="none"/>
              </w:rPr>
              <w:t>以链路的形式展示一段时间内的源IP通过应用访问数据库或者直接访问到数据库的行为，可以查看数据流转的节点、数据泄露的路径、访问者的源IP、访问时间和访问的数据内容等信息；</w:t>
            </w:r>
          </w:p>
          <w:p w14:paraId="76586E85">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（4）对存储中的静态数据与使用的流动数据，可识别具体的数据内容，并基于数据内容进行行为监测与风险分析。</w:t>
            </w:r>
          </w:p>
          <w:p w14:paraId="290AA3D2">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威胁告警处置模块</w:t>
            </w:r>
            <w:r>
              <w:rPr>
                <w:rFonts w:ascii="宋体" w:cs="宋体"/>
                <w:color w:val="auto"/>
                <w:kern w:val="0"/>
                <w:sz w:val="18"/>
                <w:szCs w:val="18"/>
                <w:highlight w:val="none"/>
              </w:rPr>
              <w:t>：</w:t>
            </w:r>
          </w:p>
          <w:p w14:paraId="0E65A607">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（1）具备数据安全告警配置功能，包括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基于监测分析规则进行威胁告警，</w:t>
            </w:r>
            <w:r>
              <w:rPr>
                <w:rFonts w:ascii="宋体" w:cs="宋体"/>
                <w:color w:val="auto"/>
                <w:kern w:val="0"/>
                <w:sz w:val="18"/>
                <w:szCs w:val="18"/>
                <w:highlight w:val="none"/>
              </w:rPr>
              <w:t>实现</w:t>
            </w:r>
            <w:r>
              <w:rPr>
                <w:rFonts w:hint="eastAsia" w:ascii="宋体" w:cs="宋体"/>
                <w:color w:val="auto"/>
                <w:kern w:val="0"/>
                <w:sz w:val="18"/>
                <w:szCs w:val="18"/>
                <w:highlight w:val="none"/>
              </w:rPr>
              <w:t>用户自定义告警列表的展示字段，包括名称、类型、基本信息等，</w:t>
            </w:r>
            <w:r>
              <w:rPr>
                <w:rFonts w:ascii="宋体" w:cs="宋体"/>
                <w:color w:val="auto"/>
                <w:kern w:val="0"/>
                <w:sz w:val="18"/>
                <w:szCs w:val="18"/>
                <w:highlight w:val="none"/>
              </w:rPr>
              <w:t>实现</w:t>
            </w:r>
            <w:r>
              <w:rPr>
                <w:rFonts w:hint="eastAsia" w:ascii="宋体" w:cs="宋体"/>
                <w:color w:val="auto"/>
                <w:kern w:val="0"/>
                <w:sz w:val="18"/>
                <w:szCs w:val="18"/>
                <w:highlight w:val="none"/>
              </w:rPr>
              <w:t>告警信息字段灵活扩充；</w:t>
            </w:r>
            <w:r>
              <w:rPr>
                <w:rFonts w:ascii="宋体" w:cs="宋体"/>
                <w:color w:val="auto"/>
                <w:kern w:val="0"/>
                <w:sz w:val="18"/>
                <w:szCs w:val="18"/>
                <w:highlight w:val="none"/>
              </w:rPr>
              <w:t>实现</w:t>
            </w:r>
            <w:r>
              <w:rPr>
                <w:rFonts w:hint="eastAsia" w:ascii="宋体" w:cs="宋体"/>
                <w:color w:val="auto"/>
                <w:kern w:val="0"/>
                <w:sz w:val="18"/>
                <w:szCs w:val="18"/>
                <w:highlight w:val="none"/>
              </w:rPr>
              <w:t>数据安全告警的统一、集中展示，实时获取、展示数据安全告警总体情况；</w:t>
            </w:r>
            <w:r>
              <w:rPr>
                <w:rFonts w:ascii="宋体" w:cs="宋体"/>
                <w:color w:val="auto"/>
                <w:kern w:val="0"/>
                <w:sz w:val="18"/>
                <w:szCs w:val="18"/>
                <w:highlight w:val="none"/>
              </w:rPr>
              <w:t>实现</w:t>
            </w:r>
            <w:r>
              <w:rPr>
                <w:rFonts w:hint="eastAsia" w:ascii="宋体" w:cs="宋体"/>
                <w:color w:val="auto"/>
                <w:kern w:val="0"/>
                <w:sz w:val="18"/>
                <w:szCs w:val="18"/>
                <w:highlight w:val="none"/>
              </w:rPr>
              <w:t>告警信息钻取，</w:t>
            </w:r>
            <w:r>
              <w:rPr>
                <w:rFonts w:ascii="宋体" w:cs="宋体"/>
                <w:color w:val="auto"/>
                <w:kern w:val="0"/>
                <w:sz w:val="18"/>
                <w:szCs w:val="18"/>
                <w:highlight w:val="none"/>
              </w:rPr>
              <w:t>实现</w:t>
            </w:r>
            <w:r>
              <w:rPr>
                <w:rFonts w:hint="eastAsia" w:ascii="宋体" w:cs="宋体"/>
                <w:color w:val="auto"/>
                <w:kern w:val="0"/>
                <w:sz w:val="18"/>
                <w:szCs w:val="18"/>
                <w:highlight w:val="none"/>
              </w:rPr>
              <w:t>根据不同的时间期限进行展示；</w:t>
            </w:r>
            <w:r>
              <w:rPr>
                <w:rFonts w:ascii="宋体" w:cs="宋体"/>
                <w:color w:val="auto"/>
                <w:kern w:val="0"/>
                <w:sz w:val="18"/>
                <w:szCs w:val="18"/>
                <w:highlight w:val="none"/>
              </w:rPr>
              <w:t>实现</w:t>
            </w:r>
            <w:r>
              <w:rPr>
                <w:rFonts w:hint="eastAsia" w:ascii="宋体" w:cs="宋体"/>
                <w:color w:val="auto"/>
                <w:kern w:val="0"/>
                <w:sz w:val="18"/>
                <w:szCs w:val="18"/>
                <w:highlight w:val="none"/>
              </w:rPr>
              <w:t>告警降噪，支持根据告警的类型、等级等配置告警归并规则，</w:t>
            </w:r>
            <w:r>
              <w:rPr>
                <w:rFonts w:ascii="宋体" w:cs="宋体"/>
                <w:color w:val="auto"/>
                <w:kern w:val="0"/>
                <w:sz w:val="18"/>
                <w:szCs w:val="18"/>
                <w:highlight w:val="none"/>
              </w:rPr>
              <w:t>实现</w:t>
            </w:r>
            <w:r>
              <w:rPr>
                <w:rFonts w:hint="eastAsia" w:ascii="宋体" w:cs="宋体"/>
                <w:color w:val="auto"/>
                <w:kern w:val="0"/>
                <w:sz w:val="18"/>
                <w:szCs w:val="18"/>
                <w:highlight w:val="none"/>
              </w:rPr>
              <w:t>基于告警信息配置后置过滤规则，增强告警信息的可读性，避免告警数据过多，运营人员精力过度分散；</w:t>
            </w:r>
          </w:p>
          <w:p w14:paraId="2936CA24">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（2）具备数据安全告警分析功能，包括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查看告警详情，包括告警描述、研判处置、关联敏感数据信息、关联身份信息、关联应用信息、关联数据库信息、关联文件信息；</w:t>
            </w:r>
            <w:r>
              <w:rPr>
                <w:rFonts w:ascii="宋体" w:cs="宋体"/>
                <w:color w:val="auto"/>
                <w:kern w:val="0"/>
                <w:sz w:val="18"/>
                <w:szCs w:val="18"/>
                <w:highlight w:val="none"/>
              </w:rPr>
              <w:t>实现</w:t>
            </w:r>
            <w:r>
              <w:rPr>
                <w:rFonts w:hint="eastAsia" w:ascii="宋体" w:cs="宋体"/>
                <w:color w:val="auto"/>
                <w:kern w:val="0"/>
                <w:sz w:val="18"/>
                <w:szCs w:val="18"/>
                <w:highlight w:val="none"/>
              </w:rPr>
              <w:t>把告警研判为风险或事件，</w:t>
            </w:r>
            <w:r>
              <w:rPr>
                <w:rFonts w:ascii="宋体" w:cs="宋体"/>
                <w:color w:val="auto"/>
                <w:kern w:val="0"/>
                <w:sz w:val="18"/>
                <w:szCs w:val="18"/>
                <w:highlight w:val="none"/>
              </w:rPr>
              <w:t>实现</w:t>
            </w:r>
            <w:r>
              <w:rPr>
                <w:rFonts w:hint="eastAsia" w:ascii="宋体" w:cs="宋体"/>
                <w:color w:val="auto"/>
                <w:kern w:val="0"/>
                <w:sz w:val="18"/>
                <w:szCs w:val="18"/>
                <w:highlight w:val="none"/>
              </w:rPr>
              <w:t>人工研判及自动研判。</w:t>
            </w:r>
          </w:p>
          <w:p w14:paraId="2EEF0001">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6.</w:t>
            </w:r>
            <w:r>
              <w:rPr>
                <w:rFonts w:hint="eastAsia" w:ascii="宋体" w:cs="宋体"/>
                <w:color w:val="auto"/>
                <w:kern w:val="0"/>
                <w:sz w:val="18"/>
                <w:szCs w:val="18"/>
                <w:highlight w:val="none"/>
              </w:rPr>
              <w:t>数据安全分析模块</w:t>
            </w:r>
            <w:r>
              <w:rPr>
                <w:rFonts w:ascii="宋体" w:cs="宋体"/>
                <w:color w:val="auto"/>
                <w:kern w:val="0"/>
                <w:sz w:val="18"/>
                <w:szCs w:val="18"/>
                <w:highlight w:val="none"/>
              </w:rPr>
              <w:t>：</w:t>
            </w:r>
          </w:p>
          <w:p w14:paraId="65AC0720">
            <w:pPr>
              <w:widowControl/>
              <w:ind w:firstLine="360" w:firstLineChars="200"/>
              <w:jc w:val="left"/>
              <w:rPr>
                <w:rFonts w:hint="eastAsia" w:ascii="宋体" w:cs="宋体"/>
                <w:color w:val="auto"/>
                <w:kern w:val="0"/>
                <w:sz w:val="18"/>
                <w:szCs w:val="18"/>
                <w:highlight w:val="none"/>
              </w:rPr>
            </w:pPr>
            <w:r>
              <w:rPr>
                <w:rFonts w:hint="eastAsia" w:ascii="宋体" w:cs="宋体"/>
                <w:color w:val="auto"/>
                <w:kern w:val="0"/>
                <w:sz w:val="18"/>
                <w:szCs w:val="18"/>
                <w:highlight w:val="none"/>
              </w:rPr>
              <w:t>（1）具备数据安全分析规则管理功能，包括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通过对多源日志关联分析发现数据安全事件；</w:t>
            </w:r>
            <w:r>
              <w:rPr>
                <w:rFonts w:ascii="宋体" w:cs="宋体"/>
                <w:color w:val="auto"/>
                <w:kern w:val="0"/>
                <w:sz w:val="18"/>
                <w:szCs w:val="18"/>
                <w:highlight w:val="none"/>
              </w:rPr>
              <w:t>实现</w:t>
            </w:r>
            <w:r>
              <w:rPr>
                <w:rFonts w:hint="eastAsia" w:ascii="宋体" w:cs="宋体"/>
                <w:color w:val="auto"/>
                <w:kern w:val="0"/>
                <w:sz w:val="18"/>
                <w:szCs w:val="18"/>
                <w:highlight w:val="none"/>
              </w:rPr>
              <w:t>通过行为链分析发现数据安全事件；</w:t>
            </w:r>
            <w:r>
              <w:rPr>
                <w:rFonts w:ascii="宋体" w:cs="宋体"/>
                <w:color w:val="auto"/>
                <w:kern w:val="0"/>
                <w:sz w:val="18"/>
                <w:szCs w:val="18"/>
                <w:highlight w:val="none"/>
              </w:rPr>
              <w:t>实现</w:t>
            </w:r>
            <w:r>
              <w:rPr>
                <w:rFonts w:hint="eastAsia" w:ascii="宋体" w:cs="宋体"/>
                <w:color w:val="auto"/>
                <w:kern w:val="0"/>
                <w:sz w:val="18"/>
                <w:szCs w:val="18"/>
                <w:highlight w:val="none"/>
              </w:rPr>
              <w:t>通过特征建模及历史数据分析建立基线模型，以发现数据安全事件；</w:t>
            </w:r>
            <w:r>
              <w:rPr>
                <w:rFonts w:ascii="宋体" w:cs="宋体"/>
                <w:color w:val="auto"/>
                <w:kern w:val="0"/>
                <w:sz w:val="18"/>
                <w:szCs w:val="18"/>
                <w:highlight w:val="none"/>
              </w:rPr>
              <w:t>实现</w:t>
            </w:r>
            <w:r>
              <w:rPr>
                <w:rFonts w:hint="eastAsia" w:ascii="宋体" w:cs="宋体"/>
                <w:color w:val="auto"/>
                <w:kern w:val="0"/>
                <w:sz w:val="18"/>
                <w:szCs w:val="18"/>
                <w:highlight w:val="none"/>
              </w:rPr>
              <w:t>通过统计规则建模，在指定的条件范围内发现数据安全事件；</w:t>
            </w:r>
            <w:r>
              <w:rPr>
                <w:rFonts w:ascii="宋体" w:cs="宋体"/>
                <w:color w:val="auto"/>
                <w:kern w:val="0"/>
                <w:sz w:val="18"/>
                <w:szCs w:val="18"/>
                <w:highlight w:val="none"/>
              </w:rPr>
              <w:t>实现</w:t>
            </w:r>
            <w:r>
              <w:rPr>
                <w:rFonts w:hint="eastAsia" w:ascii="宋体" w:cs="宋体"/>
                <w:color w:val="auto"/>
                <w:kern w:val="0"/>
                <w:sz w:val="18"/>
                <w:szCs w:val="18"/>
                <w:highlight w:val="none"/>
              </w:rPr>
              <w:t>图形化交互配置方式，灵活组合规则建模中的计算单元；</w:t>
            </w:r>
          </w:p>
          <w:p w14:paraId="70A8F132">
            <w:pPr>
              <w:widowControl/>
              <w:ind w:firstLine="360" w:firstLineChars="200"/>
              <w:jc w:val="left"/>
              <w:rPr>
                <w:rFonts w:ascii="宋体" w:cs="宋体"/>
                <w:color w:val="auto"/>
                <w:kern w:val="0"/>
                <w:sz w:val="18"/>
                <w:szCs w:val="18"/>
                <w:highlight w:val="none"/>
              </w:rPr>
            </w:pPr>
            <w:r>
              <w:rPr>
                <w:rFonts w:hint="eastAsia" w:ascii="宋体" w:cs="宋体"/>
                <w:color w:val="auto"/>
                <w:kern w:val="0"/>
                <w:sz w:val="18"/>
                <w:szCs w:val="18"/>
                <w:highlight w:val="none"/>
              </w:rPr>
              <w:t>（2）具备数据安全分析策略功能，包括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告警穿透、单表过滤、单表统计、关联统计、序列、基线等10种引擎规则模板，针对特定场景，方便分析师快速定义流式规则；</w:t>
            </w:r>
            <w:r>
              <w:rPr>
                <w:rFonts w:ascii="宋体" w:cs="宋体"/>
                <w:color w:val="auto"/>
                <w:kern w:val="0"/>
                <w:sz w:val="18"/>
                <w:szCs w:val="18"/>
                <w:highlight w:val="none"/>
              </w:rPr>
              <w:t>实现</w:t>
            </w:r>
            <w:r>
              <w:rPr>
                <w:rFonts w:hint="eastAsia" w:ascii="宋体" w:cs="宋体"/>
                <w:color w:val="auto"/>
                <w:kern w:val="0"/>
                <w:sz w:val="18"/>
                <w:szCs w:val="18"/>
                <w:highlight w:val="none"/>
              </w:rPr>
              <w:t>图形化交互配置方式，灵活组合规则建模中的计算单元；</w:t>
            </w:r>
            <w:r>
              <w:rPr>
                <w:rFonts w:ascii="宋体" w:cs="宋体"/>
                <w:color w:val="auto"/>
                <w:kern w:val="0"/>
                <w:sz w:val="18"/>
                <w:szCs w:val="18"/>
                <w:highlight w:val="none"/>
              </w:rPr>
              <w:t>实现</w:t>
            </w:r>
            <w:r>
              <w:rPr>
                <w:rFonts w:hint="eastAsia" w:ascii="宋体" w:cs="宋体"/>
                <w:color w:val="auto"/>
                <w:kern w:val="0"/>
                <w:sz w:val="18"/>
                <w:szCs w:val="18"/>
                <w:highlight w:val="none"/>
              </w:rPr>
              <w:t>自定义场景，可灵活</w:t>
            </w:r>
            <w:r>
              <w:rPr>
                <w:rFonts w:hint="eastAsia" w:ascii="宋体" w:cs="宋体"/>
                <w:color w:val="auto"/>
                <w:kern w:val="0"/>
                <w:sz w:val="18"/>
                <w:szCs w:val="18"/>
                <w:highlight w:val="none"/>
                <w:lang w:val="en-US" w:eastAsia="zh-CN"/>
              </w:rPr>
              <w:t>地</w:t>
            </w:r>
            <w:r>
              <w:rPr>
                <w:rFonts w:hint="eastAsia" w:ascii="宋体" w:cs="宋体"/>
                <w:color w:val="auto"/>
                <w:kern w:val="0"/>
                <w:sz w:val="18"/>
                <w:szCs w:val="18"/>
                <w:highlight w:val="none"/>
              </w:rPr>
              <w:t>将关心的多个分析规则放到同一个场景中组合显示；</w:t>
            </w:r>
            <w:r>
              <w:rPr>
                <w:rFonts w:ascii="宋体" w:cs="宋体"/>
                <w:color w:val="auto"/>
                <w:kern w:val="0"/>
                <w:sz w:val="18"/>
                <w:szCs w:val="18"/>
                <w:highlight w:val="none"/>
              </w:rPr>
              <w:t>实现</w:t>
            </w:r>
            <w:r>
              <w:rPr>
                <w:rFonts w:hint="eastAsia" w:ascii="宋体" w:cs="宋体"/>
                <w:color w:val="auto"/>
                <w:kern w:val="0"/>
                <w:sz w:val="18"/>
                <w:szCs w:val="18"/>
                <w:highlight w:val="none"/>
              </w:rPr>
              <w:t>通过人工自建、配置分析脚本的方式生成分析规则；</w:t>
            </w:r>
            <w:r>
              <w:rPr>
                <w:rFonts w:ascii="宋体" w:cs="宋体"/>
                <w:color w:val="auto"/>
                <w:kern w:val="0"/>
                <w:sz w:val="18"/>
                <w:szCs w:val="18"/>
                <w:highlight w:val="none"/>
              </w:rPr>
              <w:t>实现</w:t>
            </w:r>
            <w:r>
              <w:rPr>
                <w:rFonts w:hint="eastAsia" w:ascii="宋体" w:cs="宋体"/>
                <w:color w:val="auto"/>
                <w:kern w:val="0"/>
                <w:sz w:val="18"/>
                <w:szCs w:val="18"/>
                <w:highlight w:val="none"/>
              </w:rPr>
              <w:t>资源管理和过滤器配置，通过引用过滤器和提前配置好的资源快速生成策略，以便提高策略配置效率。</w:t>
            </w:r>
          </w:p>
          <w:p w14:paraId="4AC0DF0F">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7.</w:t>
            </w:r>
            <w:r>
              <w:rPr>
                <w:rFonts w:hint="eastAsia" w:ascii="宋体" w:cs="宋体"/>
                <w:color w:val="auto"/>
                <w:kern w:val="0"/>
                <w:sz w:val="18"/>
                <w:szCs w:val="18"/>
                <w:highlight w:val="none"/>
              </w:rPr>
              <w:t>数据安全评估模块</w:t>
            </w:r>
            <w:r>
              <w:rPr>
                <w:rFonts w:ascii="宋体" w:cs="宋体"/>
                <w:color w:val="auto"/>
                <w:kern w:val="0"/>
                <w:sz w:val="18"/>
                <w:szCs w:val="18"/>
                <w:highlight w:val="none"/>
              </w:rPr>
              <w:t>：</w:t>
            </w:r>
          </w:p>
          <w:p w14:paraId="60A45F7F">
            <w:pPr>
              <w:widowControl/>
              <w:ind w:firstLine="360" w:firstLineChars="200"/>
              <w:jc w:val="left"/>
              <w:rPr>
                <w:rFonts w:hint="eastAsia" w:ascii="宋体" w:cs="宋体"/>
                <w:color w:val="auto"/>
                <w:kern w:val="0"/>
                <w:sz w:val="18"/>
                <w:szCs w:val="18"/>
                <w:highlight w:val="none"/>
              </w:rPr>
            </w:pPr>
            <w:r>
              <w:rPr>
                <w:rFonts w:hint="eastAsia" w:ascii="宋体" w:cs="宋体"/>
                <w:color w:val="auto"/>
                <w:kern w:val="0"/>
                <w:sz w:val="18"/>
                <w:szCs w:val="18"/>
                <w:highlight w:val="none"/>
              </w:rPr>
              <w:t>（1）具备数据资产安全评估报告功能，包括系统提供数据安全评估报告模板管理功能，预置至少5种不同内容框架如组织架构、制度保障、数据风险、权限管理、安全审计等的报告模板，</w:t>
            </w:r>
            <w:r>
              <w:rPr>
                <w:rFonts w:ascii="宋体" w:cs="宋体"/>
                <w:color w:val="auto"/>
                <w:kern w:val="0"/>
                <w:sz w:val="18"/>
                <w:szCs w:val="18"/>
                <w:highlight w:val="none"/>
              </w:rPr>
              <w:t>实现</w:t>
            </w:r>
            <w:r>
              <w:rPr>
                <w:rFonts w:hint="eastAsia" w:ascii="宋体" w:cs="宋体"/>
                <w:color w:val="auto"/>
                <w:kern w:val="0"/>
                <w:sz w:val="18"/>
                <w:szCs w:val="18"/>
                <w:highlight w:val="none"/>
              </w:rPr>
              <w:t>自定义数据安全评估报告的内容框架、样式格式，并建立评估报告的分类体系；至少包含告警、事件、态势等评价要素，</w:t>
            </w:r>
            <w:r>
              <w:rPr>
                <w:rFonts w:ascii="宋体" w:cs="宋体"/>
                <w:color w:val="auto"/>
                <w:kern w:val="0"/>
                <w:sz w:val="18"/>
                <w:szCs w:val="18"/>
                <w:highlight w:val="none"/>
              </w:rPr>
              <w:t>实现</w:t>
            </w:r>
            <w:r>
              <w:rPr>
                <w:rFonts w:hint="eastAsia" w:ascii="宋体" w:cs="宋体"/>
                <w:color w:val="auto"/>
                <w:kern w:val="0"/>
                <w:sz w:val="18"/>
                <w:szCs w:val="18"/>
                <w:highlight w:val="none"/>
              </w:rPr>
              <w:t>根据不同的评价要素中的指标项组合自定义评估模型，</w:t>
            </w:r>
            <w:r>
              <w:rPr>
                <w:rFonts w:ascii="宋体" w:cs="宋体"/>
                <w:color w:val="auto"/>
                <w:kern w:val="0"/>
                <w:sz w:val="18"/>
                <w:szCs w:val="18"/>
                <w:highlight w:val="none"/>
              </w:rPr>
              <w:t>实现</w:t>
            </w:r>
            <w:r>
              <w:rPr>
                <w:rFonts w:hint="eastAsia" w:ascii="宋体" w:cs="宋体"/>
                <w:color w:val="auto"/>
                <w:kern w:val="0"/>
                <w:sz w:val="18"/>
                <w:szCs w:val="18"/>
                <w:highlight w:val="none"/>
              </w:rPr>
              <w:t>自定义分数范围，各评价要素报告方式支持编辑，提供文本、表格、选项、文件上传等反馈方式；</w:t>
            </w:r>
            <w:r>
              <w:rPr>
                <w:rFonts w:ascii="宋体" w:cs="宋体"/>
                <w:color w:val="auto"/>
                <w:kern w:val="0"/>
                <w:sz w:val="18"/>
                <w:szCs w:val="18"/>
                <w:highlight w:val="none"/>
              </w:rPr>
              <w:t>实现</w:t>
            </w:r>
            <w:r>
              <w:rPr>
                <w:rFonts w:hint="eastAsia" w:ascii="宋体" w:cs="宋体"/>
                <w:color w:val="auto"/>
                <w:kern w:val="0"/>
                <w:sz w:val="18"/>
                <w:szCs w:val="18"/>
                <w:highlight w:val="none"/>
              </w:rPr>
              <w:t>自定义整改建议模板，包含整改建议和安全事件的关系、整改建议的展现样式等内容；</w:t>
            </w:r>
            <w:r>
              <w:rPr>
                <w:rFonts w:ascii="宋体" w:cs="宋体"/>
                <w:color w:val="auto"/>
                <w:kern w:val="0"/>
                <w:sz w:val="18"/>
                <w:szCs w:val="18"/>
                <w:highlight w:val="none"/>
              </w:rPr>
              <w:t>实现</w:t>
            </w:r>
            <w:r>
              <w:rPr>
                <w:rFonts w:hint="eastAsia" w:ascii="宋体" w:cs="宋体"/>
                <w:color w:val="auto"/>
                <w:kern w:val="0"/>
                <w:sz w:val="18"/>
                <w:szCs w:val="18"/>
                <w:highlight w:val="none"/>
              </w:rPr>
              <w:t>根据数据资产安全评估模型生成安全评估报告；</w:t>
            </w:r>
            <w:r>
              <w:rPr>
                <w:rFonts w:ascii="宋体" w:cs="宋体"/>
                <w:color w:val="auto"/>
                <w:kern w:val="0"/>
                <w:sz w:val="18"/>
                <w:szCs w:val="18"/>
                <w:highlight w:val="none"/>
              </w:rPr>
              <w:t>实现</w:t>
            </w:r>
            <w:r>
              <w:rPr>
                <w:rFonts w:hint="eastAsia" w:ascii="宋体" w:cs="宋体"/>
                <w:color w:val="auto"/>
                <w:kern w:val="0"/>
                <w:sz w:val="18"/>
                <w:szCs w:val="18"/>
                <w:highlight w:val="none"/>
              </w:rPr>
              <w:t>根据评估过程中产生的各种指标和最终结论，针对相应的薄弱环节提出安全整改建议；</w:t>
            </w:r>
            <w:r>
              <w:rPr>
                <w:rFonts w:ascii="宋体" w:cs="宋体"/>
                <w:color w:val="auto"/>
                <w:kern w:val="0"/>
                <w:sz w:val="18"/>
                <w:szCs w:val="18"/>
                <w:highlight w:val="none"/>
              </w:rPr>
              <w:t>实现</w:t>
            </w:r>
            <w:r>
              <w:rPr>
                <w:rFonts w:hint="eastAsia" w:ascii="宋体" w:cs="宋体"/>
                <w:color w:val="auto"/>
                <w:kern w:val="0"/>
                <w:sz w:val="18"/>
                <w:szCs w:val="18"/>
                <w:highlight w:val="none"/>
              </w:rPr>
              <w:t>PDF、Word、HTML三种格式的报表生成与下载；</w:t>
            </w:r>
          </w:p>
          <w:p w14:paraId="27AEC6E4">
            <w:pPr>
              <w:widowControl/>
              <w:ind w:firstLine="360" w:firstLineChars="200"/>
              <w:jc w:val="left"/>
              <w:rPr>
                <w:rFonts w:ascii="宋体" w:cs="宋体"/>
                <w:color w:val="auto"/>
                <w:kern w:val="0"/>
                <w:sz w:val="18"/>
                <w:szCs w:val="18"/>
                <w:highlight w:val="none"/>
              </w:rPr>
            </w:pPr>
            <w:r>
              <w:rPr>
                <w:rFonts w:hint="eastAsia" w:ascii="宋体" w:cs="宋体"/>
                <w:color w:val="auto"/>
                <w:kern w:val="0"/>
                <w:sz w:val="18"/>
                <w:szCs w:val="18"/>
                <w:highlight w:val="none"/>
              </w:rPr>
              <w:t>（2）具备数据安全报表功能，包括报表生成配置要素支持根据项目需求扩展；</w:t>
            </w:r>
            <w:r>
              <w:rPr>
                <w:rFonts w:ascii="宋体" w:cs="宋体"/>
                <w:color w:val="auto"/>
                <w:kern w:val="0"/>
                <w:sz w:val="18"/>
                <w:szCs w:val="18"/>
                <w:highlight w:val="none"/>
              </w:rPr>
              <w:t>实现</w:t>
            </w:r>
            <w:r>
              <w:rPr>
                <w:rFonts w:hint="eastAsia" w:ascii="宋体" w:cs="宋体"/>
                <w:color w:val="auto"/>
                <w:kern w:val="0"/>
                <w:sz w:val="18"/>
                <w:szCs w:val="18"/>
                <w:highlight w:val="none"/>
              </w:rPr>
              <w:t>PDF、图片、csv和excel等格式的报表生成与下载；</w:t>
            </w:r>
            <w:r>
              <w:rPr>
                <w:rFonts w:ascii="宋体" w:cs="宋体"/>
                <w:color w:val="auto"/>
                <w:kern w:val="0"/>
                <w:sz w:val="18"/>
                <w:szCs w:val="18"/>
                <w:highlight w:val="none"/>
              </w:rPr>
              <w:t>实现</w:t>
            </w:r>
            <w:r>
              <w:rPr>
                <w:rFonts w:hint="eastAsia" w:ascii="宋体" w:cs="宋体"/>
                <w:color w:val="auto"/>
                <w:kern w:val="0"/>
                <w:sz w:val="18"/>
                <w:szCs w:val="18"/>
                <w:highlight w:val="none"/>
              </w:rPr>
              <w:t>报表模板管理，可自定义报表内容，</w:t>
            </w:r>
            <w:r>
              <w:rPr>
                <w:rFonts w:ascii="宋体" w:cs="宋体"/>
                <w:color w:val="auto"/>
                <w:kern w:val="0"/>
                <w:sz w:val="18"/>
                <w:szCs w:val="18"/>
                <w:highlight w:val="none"/>
              </w:rPr>
              <w:t>实现</w:t>
            </w:r>
            <w:r>
              <w:rPr>
                <w:rFonts w:hint="eastAsia" w:ascii="宋体" w:cs="宋体"/>
                <w:color w:val="auto"/>
                <w:kern w:val="0"/>
                <w:sz w:val="18"/>
                <w:szCs w:val="18"/>
                <w:highlight w:val="none"/>
              </w:rPr>
              <w:t>灵活编辑和布局调整以形成整体报表，包括选择展示数据内容、图表类型等，系统预置5种以上报表模板。</w:t>
            </w:r>
          </w:p>
          <w:p w14:paraId="351D1778">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8.</w:t>
            </w:r>
            <w:r>
              <w:rPr>
                <w:rFonts w:hint="eastAsia" w:ascii="宋体" w:cs="宋体"/>
                <w:color w:val="auto"/>
                <w:kern w:val="0"/>
                <w:sz w:val="18"/>
                <w:szCs w:val="18"/>
                <w:highlight w:val="none"/>
              </w:rPr>
              <w:t>数据安全事件管理模块</w:t>
            </w:r>
            <w:r>
              <w:rPr>
                <w:rFonts w:ascii="宋体" w:cs="宋体"/>
                <w:color w:val="auto"/>
                <w:kern w:val="0"/>
                <w:sz w:val="18"/>
                <w:szCs w:val="18"/>
                <w:highlight w:val="none"/>
              </w:rPr>
              <w:t>：</w:t>
            </w:r>
          </w:p>
          <w:p w14:paraId="31FCBF95">
            <w:pPr>
              <w:widowControl/>
              <w:ind w:firstLine="360" w:firstLineChars="200"/>
              <w:jc w:val="left"/>
              <w:rPr>
                <w:rFonts w:hint="eastAsia" w:ascii="宋体" w:cs="宋体"/>
                <w:color w:val="auto"/>
                <w:kern w:val="0"/>
                <w:sz w:val="18"/>
                <w:szCs w:val="18"/>
                <w:highlight w:val="none"/>
              </w:rPr>
            </w:pPr>
            <w:r>
              <w:rPr>
                <w:rFonts w:hint="eastAsia" w:ascii="宋体" w:cs="宋体"/>
                <w:color w:val="auto"/>
                <w:kern w:val="0"/>
                <w:sz w:val="18"/>
                <w:szCs w:val="18"/>
                <w:highlight w:val="none"/>
              </w:rPr>
              <w:t>（1）具备数据安全事件管理功能，包括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数据安全事件的统一、集中展示，实时获取、展示数据安全事件总体情况、发展趋势；</w:t>
            </w:r>
            <w:r>
              <w:rPr>
                <w:rFonts w:ascii="宋体" w:cs="宋体"/>
                <w:color w:val="auto"/>
                <w:kern w:val="0"/>
                <w:sz w:val="18"/>
                <w:szCs w:val="18"/>
                <w:highlight w:val="none"/>
              </w:rPr>
              <w:t>实现</w:t>
            </w:r>
            <w:r>
              <w:rPr>
                <w:rFonts w:hint="eastAsia" w:ascii="宋体" w:cs="宋体"/>
                <w:color w:val="auto"/>
                <w:kern w:val="0"/>
                <w:sz w:val="18"/>
                <w:szCs w:val="18"/>
                <w:highlight w:val="none"/>
              </w:rPr>
              <w:t>事件关联日志信息钻取，</w:t>
            </w:r>
            <w:r>
              <w:rPr>
                <w:rFonts w:ascii="宋体" w:cs="宋体"/>
                <w:color w:val="auto"/>
                <w:kern w:val="0"/>
                <w:sz w:val="18"/>
                <w:szCs w:val="18"/>
                <w:highlight w:val="none"/>
              </w:rPr>
              <w:t>实现</w:t>
            </w:r>
            <w:r>
              <w:rPr>
                <w:rFonts w:hint="eastAsia" w:ascii="宋体" w:cs="宋体"/>
                <w:color w:val="auto"/>
                <w:kern w:val="0"/>
                <w:sz w:val="18"/>
                <w:szCs w:val="18"/>
                <w:highlight w:val="none"/>
              </w:rPr>
              <w:t>根据不同的时间期限进行展示；展示和过滤字段等支持灵活设定；</w:t>
            </w:r>
          </w:p>
          <w:p w14:paraId="411AE440">
            <w:pPr>
              <w:widowControl/>
              <w:ind w:firstLine="360" w:firstLineChars="200"/>
              <w:jc w:val="left"/>
              <w:rPr>
                <w:rFonts w:hint="eastAsia" w:ascii="宋体" w:cs="宋体"/>
                <w:color w:val="auto"/>
                <w:kern w:val="0"/>
                <w:sz w:val="18"/>
                <w:szCs w:val="18"/>
                <w:highlight w:val="none"/>
              </w:rPr>
            </w:pPr>
            <w:r>
              <w:rPr>
                <w:rFonts w:hint="eastAsia" w:ascii="宋体" w:cs="宋体"/>
                <w:color w:val="auto"/>
                <w:kern w:val="0"/>
                <w:sz w:val="18"/>
                <w:szCs w:val="18"/>
                <w:highlight w:val="none"/>
              </w:rPr>
              <w:t>（2）具备数据安全事件溯源功能，包括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基于告警信息自动生成数据安全事件；</w:t>
            </w:r>
            <w:r>
              <w:rPr>
                <w:rFonts w:ascii="宋体" w:cs="宋体"/>
                <w:color w:val="auto"/>
                <w:kern w:val="0"/>
                <w:sz w:val="18"/>
                <w:szCs w:val="18"/>
                <w:highlight w:val="none"/>
              </w:rPr>
              <w:t>实现</w:t>
            </w:r>
            <w:r>
              <w:rPr>
                <w:rFonts w:hint="eastAsia" w:ascii="宋体" w:cs="宋体"/>
                <w:color w:val="auto"/>
                <w:kern w:val="0"/>
                <w:sz w:val="18"/>
                <w:szCs w:val="18"/>
                <w:highlight w:val="none"/>
              </w:rPr>
              <w:t>人工研判方式生成数据安全事件，</w:t>
            </w:r>
            <w:r>
              <w:rPr>
                <w:rFonts w:ascii="宋体" w:cs="宋体"/>
                <w:color w:val="auto"/>
                <w:kern w:val="0"/>
                <w:sz w:val="18"/>
                <w:szCs w:val="18"/>
                <w:highlight w:val="none"/>
              </w:rPr>
              <w:t>实现</w:t>
            </w:r>
            <w:r>
              <w:rPr>
                <w:rFonts w:hint="eastAsia" w:ascii="宋体" w:cs="宋体"/>
                <w:color w:val="auto"/>
                <w:kern w:val="0"/>
                <w:sz w:val="18"/>
                <w:szCs w:val="18"/>
                <w:highlight w:val="none"/>
              </w:rPr>
              <w:t>根据事件信息字段关联告警或日志；</w:t>
            </w:r>
            <w:r>
              <w:rPr>
                <w:rFonts w:ascii="宋体" w:cs="宋体"/>
                <w:color w:val="auto"/>
                <w:kern w:val="0"/>
                <w:sz w:val="18"/>
                <w:szCs w:val="18"/>
                <w:highlight w:val="none"/>
              </w:rPr>
              <w:t>实现</w:t>
            </w:r>
            <w:r>
              <w:rPr>
                <w:rFonts w:hint="eastAsia" w:ascii="宋体" w:cs="宋体"/>
                <w:color w:val="auto"/>
                <w:kern w:val="0"/>
                <w:sz w:val="18"/>
                <w:szCs w:val="18"/>
                <w:highlight w:val="none"/>
              </w:rPr>
              <w:t>从安全事件入口，溯源展示关联身份信息、关联敏感数据信息、原始日志信息：</w:t>
            </w:r>
            <w:r>
              <w:rPr>
                <w:rFonts w:ascii="宋体" w:cs="宋体"/>
                <w:color w:val="auto"/>
                <w:kern w:val="0"/>
                <w:sz w:val="18"/>
                <w:szCs w:val="18"/>
                <w:highlight w:val="none"/>
              </w:rPr>
              <w:t>实现</w:t>
            </w:r>
            <w:r>
              <w:rPr>
                <w:rFonts w:hint="eastAsia" w:ascii="宋体" w:cs="宋体"/>
                <w:color w:val="auto"/>
                <w:kern w:val="0"/>
                <w:sz w:val="18"/>
                <w:szCs w:val="18"/>
                <w:highlight w:val="none"/>
              </w:rPr>
              <w:t>在已知泄露数据或数据片段情况下，将其作为线索进行溯源；输入检索条件后针对出现的多个可疑来源IP进行集中度聚合统计分析，如目的IP出现占比、资产名称出现比例等，从而方便运营人员快速分析研判。</w:t>
            </w:r>
            <w:r>
              <w:rPr>
                <w:rFonts w:ascii="宋体" w:cs="宋体"/>
                <w:color w:val="auto"/>
                <w:kern w:val="0"/>
                <w:sz w:val="18"/>
                <w:szCs w:val="18"/>
                <w:highlight w:val="none"/>
              </w:rPr>
              <w:t>实现</w:t>
            </w:r>
            <w:r>
              <w:rPr>
                <w:rFonts w:hint="eastAsia" w:ascii="宋体" w:cs="宋体"/>
                <w:color w:val="auto"/>
                <w:kern w:val="0"/>
                <w:sz w:val="18"/>
                <w:szCs w:val="18"/>
                <w:highlight w:val="none"/>
              </w:rPr>
              <w:t>数据安全事件查询与展示，展示内容包括事件统一编号、事件名称、事件等级、事件描述和事件危害等；</w:t>
            </w:r>
          </w:p>
          <w:p w14:paraId="45C0B3D8">
            <w:pPr>
              <w:widowControl/>
              <w:ind w:firstLine="360" w:firstLineChars="200"/>
              <w:jc w:val="left"/>
              <w:rPr>
                <w:rFonts w:ascii="宋体" w:cs="宋体"/>
                <w:color w:val="auto"/>
                <w:kern w:val="0"/>
                <w:sz w:val="18"/>
                <w:szCs w:val="18"/>
                <w:highlight w:val="none"/>
              </w:rPr>
            </w:pPr>
            <w:r>
              <w:rPr>
                <w:rFonts w:hint="eastAsia" w:ascii="宋体" w:cs="宋体"/>
                <w:color w:val="auto"/>
                <w:kern w:val="0"/>
                <w:sz w:val="18"/>
                <w:szCs w:val="18"/>
                <w:highlight w:val="none"/>
              </w:rPr>
              <w:t>（3）具备数据安全事件处置功能，包括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数据安全事件与处置方案库的匹配，针对数据安全事件，自动检索处置方案库，确定事件处置方案；对于处置方案库没有的场景，</w:t>
            </w:r>
            <w:r>
              <w:rPr>
                <w:rFonts w:ascii="宋体" w:cs="宋体"/>
                <w:color w:val="auto"/>
                <w:kern w:val="0"/>
                <w:sz w:val="18"/>
                <w:szCs w:val="18"/>
                <w:highlight w:val="none"/>
              </w:rPr>
              <w:t>实现</w:t>
            </w:r>
            <w:r>
              <w:rPr>
                <w:rFonts w:hint="eastAsia" w:ascii="宋体" w:cs="宋体"/>
                <w:color w:val="auto"/>
                <w:kern w:val="0"/>
                <w:sz w:val="18"/>
                <w:szCs w:val="18"/>
                <w:highlight w:val="none"/>
              </w:rPr>
              <w:t>人员补充更新处置方案；</w:t>
            </w:r>
            <w:r>
              <w:rPr>
                <w:rFonts w:ascii="宋体" w:cs="宋体"/>
                <w:color w:val="auto"/>
                <w:kern w:val="0"/>
                <w:sz w:val="18"/>
                <w:szCs w:val="18"/>
                <w:highlight w:val="none"/>
              </w:rPr>
              <w:t>实现</w:t>
            </w:r>
            <w:r>
              <w:rPr>
                <w:rFonts w:hint="eastAsia" w:ascii="宋体" w:cs="宋体"/>
                <w:color w:val="auto"/>
                <w:kern w:val="0"/>
                <w:sz w:val="18"/>
                <w:szCs w:val="18"/>
                <w:highlight w:val="none"/>
              </w:rPr>
              <w:t>邮件事件通知，事件通知支持自定义模板；</w:t>
            </w:r>
            <w:r>
              <w:rPr>
                <w:rFonts w:ascii="宋体" w:cs="宋体"/>
                <w:color w:val="auto"/>
                <w:kern w:val="0"/>
                <w:sz w:val="18"/>
                <w:szCs w:val="18"/>
                <w:highlight w:val="none"/>
              </w:rPr>
              <w:t>实现</w:t>
            </w:r>
            <w:r>
              <w:rPr>
                <w:rFonts w:hint="eastAsia" w:ascii="宋体" w:cs="宋体"/>
                <w:color w:val="auto"/>
                <w:kern w:val="0"/>
                <w:sz w:val="18"/>
                <w:szCs w:val="18"/>
                <w:highlight w:val="none"/>
              </w:rPr>
              <w:t>事件处置跟踪记录。</w:t>
            </w:r>
          </w:p>
          <w:p w14:paraId="693B2BF9">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9.</w:t>
            </w:r>
            <w:r>
              <w:rPr>
                <w:rFonts w:hint="eastAsia" w:ascii="宋体" w:cs="宋体"/>
                <w:color w:val="auto"/>
                <w:kern w:val="0"/>
                <w:sz w:val="18"/>
                <w:szCs w:val="18"/>
                <w:highlight w:val="none"/>
              </w:rPr>
              <w:t>数据安全运营评估模块</w:t>
            </w:r>
            <w:r>
              <w:rPr>
                <w:rFonts w:ascii="宋体" w:cs="宋体"/>
                <w:color w:val="auto"/>
                <w:kern w:val="0"/>
                <w:sz w:val="18"/>
                <w:szCs w:val="18"/>
                <w:highlight w:val="none"/>
              </w:rPr>
              <w:t>：</w:t>
            </w:r>
          </w:p>
          <w:p w14:paraId="0D9242F5">
            <w:pPr>
              <w:widowControl/>
              <w:ind w:firstLine="360" w:firstLineChars="200"/>
              <w:jc w:val="left"/>
              <w:rPr>
                <w:rFonts w:hint="eastAsia" w:ascii="宋体" w:cs="宋体"/>
                <w:color w:val="auto"/>
                <w:kern w:val="0"/>
                <w:sz w:val="18"/>
                <w:szCs w:val="18"/>
                <w:highlight w:val="none"/>
              </w:rPr>
            </w:pPr>
            <w:r>
              <w:rPr>
                <w:rFonts w:hint="eastAsia" w:ascii="宋体" w:cs="宋体"/>
                <w:color w:val="auto"/>
                <w:kern w:val="0"/>
                <w:sz w:val="18"/>
                <w:szCs w:val="18"/>
                <w:highlight w:val="none"/>
              </w:rPr>
              <w:t>（1）具备数据安全风险评估功能，包括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人工研判方式生成数据安全风险，</w:t>
            </w:r>
            <w:r>
              <w:rPr>
                <w:rFonts w:ascii="宋体" w:cs="宋体"/>
                <w:color w:val="auto"/>
                <w:kern w:val="0"/>
                <w:sz w:val="18"/>
                <w:szCs w:val="18"/>
                <w:highlight w:val="none"/>
              </w:rPr>
              <w:t>实现</w:t>
            </w:r>
            <w:r>
              <w:rPr>
                <w:rFonts w:hint="eastAsia" w:ascii="宋体" w:cs="宋体"/>
                <w:color w:val="auto"/>
                <w:kern w:val="0"/>
                <w:sz w:val="18"/>
                <w:szCs w:val="18"/>
                <w:highlight w:val="none"/>
              </w:rPr>
              <w:t>根据风险信息字段关联告警或日志；</w:t>
            </w:r>
            <w:r>
              <w:rPr>
                <w:rFonts w:ascii="宋体" w:cs="宋体"/>
                <w:color w:val="auto"/>
                <w:kern w:val="0"/>
                <w:sz w:val="18"/>
                <w:szCs w:val="18"/>
                <w:highlight w:val="none"/>
              </w:rPr>
              <w:t>实现</w:t>
            </w:r>
            <w:r>
              <w:rPr>
                <w:rFonts w:hint="eastAsia" w:ascii="宋体" w:cs="宋体"/>
                <w:color w:val="auto"/>
                <w:kern w:val="0"/>
                <w:sz w:val="18"/>
                <w:szCs w:val="18"/>
                <w:highlight w:val="none"/>
              </w:rPr>
              <w:t>从风险入口，溯源展示风险资产名称、资产类型、资产地址、原始日志信息；支持数据安全风险查询与展示，展示内容包括风险统一编号、风险名称、风险等级、风险描述和处置建议等；</w:t>
            </w:r>
          </w:p>
          <w:p w14:paraId="7E47F543">
            <w:pPr>
              <w:widowControl/>
              <w:ind w:firstLine="360" w:firstLineChars="200"/>
              <w:jc w:val="left"/>
              <w:rPr>
                <w:rFonts w:hint="eastAsia" w:ascii="宋体" w:hAnsi="宋体" w:cs="宋体"/>
                <w:color w:val="auto"/>
                <w:kern w:val="0"/>
                <w:sz w:val="18"/>
                <w:szCs w:val="18"/>
                <w:highlight w:val="none"/>
              </w:rPr>
            </w:pPr>
            <w:r>
              <w:rPr>
                <w:rFonts w:hint="eastAsia" w:ascii="宋体" w:cs="宋体"/>
                <w:color w:val="auto"/>
                <w:kern w:val="0"/>
                <w:sz w:val="18"/>
                <w:szCs w:val="18"/>
                <w:highlight w:val="none"/>
              </w:rPr>
              <w:t>（2）具备数据安全风险处置功能，包括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邮件风险通知，风险通知支持自定义模板；</w:t>
            </w:r>
            <w:r>
              <w:rPr>
                <w:rFonts w:ascii="宋体" w:cs="宋体"/>
                <w:color w:val="auto"/>
                <w:kern w:val="0"/>
                <w:sz w:val="18"/>
                <w:szCs w:val="18"/>
                <w:highlight w:val="none"/>
              </w:rPr>
              <w:t>实现</w:t>
            </w:r>
            <w:r>
              <w:rPr>
                <w:rFonts w:hint="eastAsia" w:ascii="宋体" w:cs="宋体"/>
                <w:color w:val="auto"/>
                <w:kern w:val="0"/>
                <w:sz w:val="18"/>
                <w:szCs w:val="18"/>
                <w:highlight w:val="none"/>
              </w:rPr>
              <w:t>风险处置跟踪记录。</w:t>
            </w:r>
          </w:p>
        </w:tc>
        <w:tc>
          <w:tcPr>
            <w:tcW w:w="145" w:type="pct"/>
            <w:tcBorders>
              <w:top w:val="nil"/>
              <w:left w:val="nil"/>
              <w:bottom w:val="single" w:color="auto" w:sz="4" w:space="0"/>
              <w:right w:val="single" w:color="auto" w:sz="4" w:space="0"/>
            </w:tcBorders>
            <w:noWrap/>
            <w:vAlign w:val="center"/>
          </w:tcPr>
          <w:p w14:paraId="1D23730A">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1134695B">
            <w:pPr>
              <w:widowControl/>
              <w:jc w:val="left"/>
              <w:rPr>
                <w:rFonts w:hint="eastAsia" w:ascii="宋体" w:hAnsi="宋体" w:cs="宋体"/>
                <w:color w:val="auto"/>
                <w:kern w:val="0"/>
                <w:sz w:val="18"/>
                <w:szCs w:val="18"/>
                <w:highlight w:val="none"/>
              </w:rPr>
            </w:pPr>
          </w:p>
        </w:tc>
      </w:tr>
      <w:tr w14:paraId="734657B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2AEEAABD">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w:t>
            </w:r>
          </w:p>
        </w:tc>
        <w:tc>
          <w:tcPr>
            <w:tcW w:w="428" w:type="pct"/>
            <w:tcBorders>
              <w:top w:val="nil"/>
              <w:left w:val="nil"/>
              <w:bottom w:val="single" w:color="auto" w:sz="4" w:space="0"/>
              <w:right w:val="single" w:color="auto" w:sz="4" w:space="0"/>
            </w:tcBorders>
            <w:vAlign w:val="center"/>
          </w:tcPr>
          <w:p w14:paraId="311BFC09">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基础支撑系统</w:t>
            </w:r>
            <w:r>
              <w:rPr>
                <w:rFonts w:hint="eastAsia" w:ascii="宋体" w:hAnsi="宋体" w:cs="宋体"/>
                <w:color w:val="auto"/>
                <w:kern w:val="0"/>
                <w:sz w:val="18"/>
                <w:szCs w:val="18"/>
                <w:highlight w:val="none"/>
                <w:lang w:val="en-US" w:eastAsia="zh-CN"/>
              </w:rPr>
              <w:t>模块</w:t>
            </w:r>
          </w:p>
        </w:tc>
        <w:tc>
          <w:tcPr>
            <w:tcW w:w="3798" w:type="pct"/>
            <w:gridSpan w:val="2"/>
            <w:tcBorders>
              <w:top w:val="nil"/>
              <w:left w:val="nil"/>
              <w:bottom w:val="single" w:color="auto" w:sz="4" w:space="0"/>
              <w:right w:val="single" w:color="auto" w:sz="4" w:space="0"/>
            </w:tcBorders>
          </w:tcPr>
          <w:p w14:paraId="69B7A825">
            <w:pPr>
              <w:widowControl/>
              <w:ind w:firstLine="360" w:firstLineChars="200"/>
              <w:jc w:val="left"/>
              <w:rPr>
                <w:rFonts w:hint="eastAsia" w:ascii="宋体" w:hAnsi="宋体" w:cs="宋体"/>
                <w:color w:val="auto"/>
                <w:kern w:val="0"/>
                <w:sz w:val="18"/>
                <w:szCs w:val="18"/>
                <w:highlight w:val="none"/>
              </w:rPr>
            </w:pPr>
            <w:r>
              <w:rPr>
                <w:rFonts w:hint="eastAsia" w:ascii="宋体" w:cs="宋体"/>
                <w:color w:val="auto"/>
                <w:kern w:val="0"/>
                <w:sz w:val="18"/>
                <w:szCs w:val="18"/>
                <w:highlight w:val="none"/>
              </w:rPr>
              <w:t>具备系统自身安全功能，包括</w:t>
            </w:r>
            <w:r>
              <w:rPr>
                <w:rFonts w:ascii="宋体" w:cs="宋体"/>
                <w:color w:val="auto"/>
                <w:kern w:val="0"/>
                <w:sz w:val="18"/>
                <w:szCs w:val="18"/>
                <w:highlight w:val="none"/>
              </w:rPr>
              <w:t>实现</w:t>
            </w:r>
            <w:r>
              <w:rPr>
                <w:rFonts w:hint="eastAsia" w:ascii="宋体" w:cs="宋体"/>
                <w:color w:val="auto"/>
                <w:kern w:val="0"/>
                <w:sz w:val="18"/>
                <w:szCs w:val="18"/>
                <w:highlight w:val="none"/>
              </w:rPr>
              <w:t>用户的统一管理，</w:t>
            </w:r>
            <w:r>
              <w:rPr>
                <w:rFonts w:ascii="宋体" w:cs="宋体"/>
                <w:color w:val="auto"/>
                <w:kern w:val="0"/>
                <w:sz w:val="18"/>
                <w:szCs w:val="18"/>
                <w:highlight w:val="none"/>
              </w:rPr>
              <w:t>实现</w:t>
            </w:r>
            <w:r>
              <w:rPr>
                <w:rFonts w:hint="eastAsia" w:ascii="宋体" w:cs="宋体"/>
                <w:color w:val="auto"/>
                <w:kern w:val="0"/>
                <w:sz w:val="18"/>
                <w:szCs w:val="18"/>
                <w:highlight w:val="none"/>
              </w:rPr>
              <w:t>角色定义与系统自身操作权限设置，</w:t>
            </w:r>
            <w:r>
              <w:rPr>
                <w:rFonts w:ascii="宋体" w:cs="宋体"/>
                <w:color w:val="auto"/>
                <w:kern w:val="0"/>
                <w:sz w:val="18"/>
                <w:szCs w:val="18"/>
                <w:highlight w:val="none"/>
              </w:rPr>
              <w:t>实现</w:t>
            </w:r>
            <w:r>
              <w:rPr>
                <w:rFonts w:hint="eastAsia" w:ascii="宋体" w:cs="宋体"/>
                <w:color w:val="auto"/>
                <w:kern w:val="0"/>
                <w:sz w:val="18"/>
                <w:szCs w:val="18"/>
                <w:highlight w:val="none"/>
              </w:rPr>
              <w:t>灵活细致的权限设置；</w:t>
            </w:r>
            <w:r>
              <w:rPr>
                <w:rFonts w:ascii="宋体" w:cs="宋体"/>
                <w:color w:val="auto"/>
                <w:kern w:val="0"/>
                <w:sz w:val="18"/>
                <w:szCs w:val="18"/>
                <w:highlight w:val="none"/>
              </w:rPr>
              <w:t>实现</w:t>
            </w:r>
            <w:r>
              <w:rPr>
                <w:rFonts w:hint="eastAsia" w:ascii="宋体" w:cs="宋体"/>
                <w:color w:val="auto"/>
                <w:kern w:val="0"/>
                <w:sz w:val="18"/>
                <w:szCs w:val="18"/>
                <w:highlight w:val="none"/>
              </w:rPr>
              <w:t>对系统自身所有操作生成日志信息，保障系统运行及使用情况的可知、可查、可溯源，</w:t>
            </w:r>
            <w:r>
              <w:rPr>
                <w:rFonts w:ascii="宋体" w:cs="宋体"/>
                <w:color w:val="auto"/>
                <w:kern w:val="0"/>
                <w:sz w:val="18"/>
                <w:szCs w:val="18"/>
                <w:highlight w:val="none"/>
              </w:rPr>
              <w:t>实现</w:t>
            </w:r>
            <w:r>
              <w:rPr>
                <w:rFonts w:hint="eastAsia" w:ascii="宋体" w:cs="宋体"/>
                <w:color w:val="auto"/>
                <w:kern w:val="0"/>
                <w:sz w:val="18"/>
                <w:szCs w:val="18"/>
                <w:highlight w:val="none"/>
              </w:rPr>
              <w:t>对操作日志的查询检索，</w:t>
            </w:r>
            <w:r>
              <w:rPr>
                <w:rFonts w:ascii="宋体" w:cs="宋体"/>
                <w:color w:val="auto"/>
                <w:kern w:val="0"/>
                <w:sz w:val="18"/>
                <w:szCs w:val="18"/>
                <w:highlight w:val="none"/>
              </w:rPr>
              <w:t>实现</w:t>
            </w:r>
            <w:r>
              <w:rPr>
                <w:rFonts w:hint="eastAsia" w:ascii="宋体" w:cs="宋体"/>
                <w:color w:val="auto"/>
                <w:kern w:val="0"/>
                <w:sz w:val="18"/>
                <w:szCs w:val="18"/>
                <w:highlight w:val="none"/>
              </w:rPr>
              <w:t>备份系统日志，系统</w:t>
            </w:r>
            <w:r>
              <w:rPr>
                <w:rFonts w:ascii="宋体" w:cs="宋体"/>
                <w:color w:val="auto"/>
                <w:kern w:val="0"/>
                <w:sz w:val="18"/>
                <w:szCs w:val="18"/>
                <w:highlight w:val="none"/>
              </w:rPr>
              <w:t>实现</w:t>
            </w:r>
            <w:r>
              <w:rPr>
                <w:rFonts w:hint="eastAsia" w:ascii="宋体" w:cs="宋体"/>
                <w:color w:val="auto"/>
                <w:kern w:val="0"/>
                <w:sz w:val="18"/>
                <w:szCs w:val="18"/>
                <w:highlight w:val="none"/>
              </w:rPr>
              <w:t>日志保存期限不少于180天；</w:t>
            </w:r>
            <w:r>
              <w:rPr>
                <w:rFonts w:ascii="宋体" w:cs="宋体"/>
                <w:color w:val="auto"/>
                <w:kern w:val="0"/>
                <w:sz w:val="18"/>
                <w:szCs w:val="18"/>
                <w:highlight w:val="none"/>
              </w:rPr>
              <w:t>实现</w:t>
            </w:r>
            <w:r>
              <w:rPr>
                <w:rFonts w:hint="eastAsia" w:ascii="宋体" w:cs="宋体"/>
                <w:color w:val="auto"/>
                <w:kern w:val="0"/>
                <w:sz w:val="18"/>
                <w:szCs w:val="18"/>
                <w:highlight w:val="none"/>
              </w:rPr>
              <w:t>对用户登录进行统一认证和鉴权，具备登录失败处理功能，具体参数可以由管理员设置；具备对平台中图标、系统名称、浏览器标签页的名称进行修改；具备对时钟服务进行配置，</w:t>
            </w:r>
            <w:r>
              <w:rPr>
                <w:rFonts w:ascii="宋体" w:cs="宋体"/>
                <w:color w:val="auto"/>
                <w:kern w:val="0"/>
                <w:sz w:val="18"/>
                <w:szCs w:val="18"/>
                <w:highlight w:val="none"/>
              </w:rPr>
              <w:t>实现</w:t>
            </w:r>
            <w:r>
              <w:rPr>
                <w:rFonts w:hint="eastAsia" w:ascii="宋体" w:cs="宋体"/>
                <w:color w:val="auto"/>
                <w:kern w:val="0"/>
                <w:sz w:val="18"/>
                <w:szCs w:val="18"/>
                <w:highlight w:val="none"/>
              </w:rPr>
              <w:t>配置时钟源并进行时钟同步；对平台许可信息进行维护管理，</w:t>
            </w:r>
            <w:r>
              <w:rPr>
                <w:rFonts w:ascii="宋体" w:cs="宋体"/>
                <w:color w:val="auto"/>
                <w:kern w:val="0"/>
                <w:sz w:val="18"/>
                <w:szCs w:val="18"/>
                <w:highlight w:val="none"/>
              </w:rPr>
              <w:t>实现</w:t>
            </w:r>
            <w:r>
              <w:rPr>
                <w:rFonts w:hint="eastAsia" w:ascii="宋体" w:cs="宋体"/>
                <w:color w:val="auto"/>
                <w:kern w:val="0"/>
                <w:sz w:val="18"/>
                <w:szCs w:val="18"/>
                <w:highlight w:val="none"/>
              </w:rPr>
              <w:t>对许可证书进行在线导入操作，并可在系统平台显示许可证的基本信息以及详情，</w:t>
            </w:r>
            <w:r>
              <w:rPr>
                <w:rFonts w:ascii="宋体" w:cs="宋体"/>
                <w:color w:val="auto"/>
                <w:kern w:val="0"/>
                <w:sz w:val="18"/>
                <w:szCs w:val="18"/>
                <w:highlight w:val="none"/>
              </w:rPr>
              <w:t>实现</w:t>
            </w:r>
            <w:r>
              <w:rPr>
                <w:rFonts w:hint="eastAsia" w:ascii="宋体" w:cs="宋体"/>
                <w:color w:val="auto"/>
                <w:kern w:val="0"/>
                <w:sz w:val="18"/>
                <w:szCs w:val="18"/>
                <w:highlight w:val="none"/>
              </w:rPr>
              <w:t>查询功能模块过期时间；对平台数据，如资产数据、通报数据、预警数据、预警预案、治理资源、风险规则、系统配置参数等进行备份或还原操作；对平台功能进行补丁升级，</w:t>
            </w:r>
            <w:r>
              <w:rPr>
                <w:rFonts w:ascii="宋体" w:cs="宋体"/>
                <w:color w:val="auto"/>
                <w:kern w:val="0"/>
                <w:sz w:val="18"/>
                <w:szCs w:val="18"/>
                <w:highlight w:val="none"/>
              </w:rPr>
              <w:t>实现</w:t>
            </w:r>
            <w:r>
              <w:rPr>
                <w:rFonts w:hint="eastAsia" w:ascii="宋体" w:cs="宋体"/>
                <w:color w:val="auto"/>
                <w:kern w:val="0"/>
                <w:sz w:val="18"/>
                <w:szCs w:val="18"/>
                <w:highlight w:val="none"/>
              </w:rPr>
              <w:t>系统升级包和补丁升级包的导入升级；</w:t>
            </w:r>
            <w:r>
              <w:rPr>
                <w:rFonts w:ascii="宋体" w:cs="宋体"/>
                <w:color w:val="auto"/>
                <w:kern w:val="0"/>
                <w:sz w:val="18"/>
                <w:szCs w:val="18"/>
                <w:highlight w:val="none"/>
              </w:rPr>
              <w:t>实现</w:t>
            </w:r>
            <w:r>
              <w:rPr>
                <w:rFonts w:hint="eastAsia" w:ascii="宋体" w:cs="宋体"/>
                <w:color w:val="auto"/>
                <w:kern w:val="0"/>
                <w:sz w:val="18"/>
                <w:szCs w:val="18"/>
                <w:highlight w:val="none"/>
              </w:rPr>
              <w:t>展示系统名称、时间、版本号以及业务支撑组件；</w:t>
            </w:r>
            <w:r>
              <w:rPr>
                <w:rFonts w:ascii="宋体" w:cs="宋体"/>
                <w:color w:val="auto"/>
                <w:kern w:val="0"/>
                <w:sz w:val="18"/>
                <w:szCs w:val="18"/>
                <w:highlight w:val="none"/>
              </w:rPr>
              <w:t>实现</w:t>
            </w:r>
            <w:r>
              <w:rPr>
                <w:rFonts w:hint="eastAsia" w:ascii="宋体" w:cs="宋体"/>
                <w:color w:val="auto"/>
                <w:kern w:val="0"/>
                <w:sz w:val="18"/>
                <w:szCs w:val="18"/>
                <w:highlight w:val="none"/>
              </w:rPr>
              <w:t>展示系统升级历史；对平台内的日志，如告警日志、资产报备日志、流量日志等，进行相关保留周期、是否永久擦除等策略设置；对平台的集群节点、业务组件、业务组件服务、业务数据运行状态进行持续监测，若监测到异常情况，可实时预警；对平台接入的各类数据源，如合规检查数据、风险数据、流量数据、第三方接口数据等，进行整体监测和管理，以可视化的方式对接入成果和数据分析情况进行展示；提供主机相关状态监控，可通过图形化界面显示当前监控设备的独立运行情况，包括设备ID、所属单位、运行时间、CPU使用率、内存使用率、磁盘空间、链路状态和数据状态等；提供系统运维层面的告警信息展示功能，并可进行相应的查询和操作动作；为平台运维人员提供运行监控策略设置入口，</w:t>
            </w:r>
            <w:r>
              <w:rPr>
                <w:rFonts w:ascii="宋体" w:cs="宋体"/>
                <w:color w:val="auto"/>
                <w:kern w:val="0"/>
                <w:sz w:val="18"/>
                <w:szCs w:val="18"/>
                <w:highlight w:val="none"/>
              </w:rPr>
              <w:t>实现</w:t>
            </w:r>
            <w:r>
              <w:rPr>
                <w:rFonts w:hint="eastAsia" w:ascii="宋体" w:cs="宋体"/>
                <w:color w:val="auto"/>
                <w:kern w:val="0"/>
                <w:sz w:val="18"/>
                <w:szCs w:val="18"/>
                <w:highlight w:val="none"/>
              </w:rPr>
              <w:t>设定告警触发条件、告警等级等信息，以完成对平台运行状态的监控；为各业务功能模块提供消息提醒服务，提供错误、提示、通知、告警等类型消息，方便监管业务人员、平台运维人员、数据运营人员等对平台消息的及时关注。</w:t>
            </w:r>
          </w:p>
        </w:tc>
        <w:tc>
          <w:tcPr>
            <w:tcW w:w="145" w:type="pct"/>
            <w:tcBorders>
              <w:top w:val="nil"/>
              <w:left w:val="nil"/>
              <w:bottom w:val="single" w:color="auto" w:sz="4" w:space="0"/>
              <w:right w:val="single" w:color="auto" w:sz="4" w:space="0"/>
            </w:tcBorders>
            <w:vAlign w:val="center"/>
          </w:tcPr>
          <w:p w14:paraId="0943921F">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vAlign w:val="center"/>
          </w:tcPr>
          <w:p w14:paraId="7BD85E89">
            <w:pPr>
              <w:widowControl/>
              <w:jc w:val="center"/>
              <w:rPr>
                <w:rFonts w:hint="eastAsia" w:ascii="宋体" w:hAnsi="宋体" w:cs="宋体"/>
                <w:color w:val="auto"/>
                <w:kern w:val="0"/>
                <w:sz w:val="18"/>
                <w:szCs w:val="18"/>
                <w:highlight w:val="none"/>
              </w:rPr>
            </w:pPr>
          </w:p>
        </w:tc>
      </w:tr>
      <w:tr w14:paraId="739FAC72">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16D31E2A">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428" w:type="pct"/>
            <w:tcBorders>
              <w:top w:val="nil"/>
              <w:left w:val="nil"/>
              <w:bottom w:val="single" w:color="auto" w:sz="4" w:space="0"/>
              <w:right w:val="single" w:color="auto" w:sz="4" w:space="0"/>
            </w:tcBorders>
            <w:vAlign w:val="center"/>
          </w:tcPr>
          <w:p w14:paraId="35623B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业务支撑系统</w:t>
            </w:r>
          </w:p>
        </w:tc>
        <w:tc>
          <w:tcPr>
            <w:tcW w:w="3798" w:type="pct"/>
            <w:gridSpan w:val="2"/>
            <w:tcBorders>
              <w:top w:val="nil"/>
              <w:left w:val="nil"/>
              <w:bottom w:val="single" w:color="auto" w:sz="4" w:space="0"/>
              <w:right w:val="single" w:color="auto" w:sz="4" w:space="0"/>
            </w:tcBorders>
          </w:tcPr>
          <w:p w14:paraId="68C6BF2D">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w:t>
            </w:r>
            <w:r>
              <w:rPr>
                <w:rFonts w:hint="eastAsia" w:ascii="宋体" w:cs="宋体"/>
                <w:color w:val="auto"/>
                <w:kern w:val="0"/>
                <w:sz w:val="18"/>
                <w:szCs w:val="18"/>
                <w:highlight w:val="none"/>
              </w:rPr>
              <w:t>数据采集模块</w:t>
            </w:r>
            <w:r>
              <w:rPr>
                <w:rFonts w:ascii="宋体" w:cs="宋体"/>
                <w:color w:val="auto"/>
                <w:kern w:val="0"/>
                <w:sz w:val="18"/>
                <w:szCs w:val="18"/>
                <w:highlight w:val="none"/>
              </w:rPr>
              <w:t>：</w:t>
            </w:r>
            <w:r>
              <w:rPr>
                <w:rFonts w:hint="eastAsia" w:ascii="宋体" w:cs="宋体"/>
                <w:color w:val="auto"/>
                <w:kern w:val="0"/>
                <w:sz w:val="18"/>
                <w:szCs w:val="18"/>
                <w:highlight w:val="none"/>
              </w:rPr>
              <w:t>具备数据采集功能，</w:t>
            </w:r>
            <w:r>
              <w:rPr>
                <w:rFonts w:ascii="宋体" w:cs="宋体"/>
                <w:color w:val="auto"/>
                <w:kern w:val="0"/>
                <w:sz w:val="18"/>
                <w:szCs w:val="18"/>
                <w:highlight w:val="none"/>
              </w:rPr>
              <w:t>实现</w:t>
            </w:r>
            <w:r>
              <w:rPr>
                <w:rFonts w:hint="eastAsia" w:ascii="宋体" w:cs="宋体"/>
                <w:color w:val="auto"/>
                <w:kern w:val="0"/>
                <w:sz w:val="18"/>
                <w:szCs w:val="18"/>
                <w:highlight w:val="none"/>
              </w:rPr>
              <w:t>流量监测数据采集，分为城域网流量抽样采集和重点单位全流量采集；</w:t>
            </w:r>
            <w:r>
              <w:rPr>
                <w:rFonts w:ascii="宋体" w:cs="宋体"/>
                <w:color w:val="auto"/>
                <w:kern w:val="0"/>
                <w:sz w:val="18"/>
                <w:szCs w:val="18"/>
                <w:highlight w:val="none"/>
              </w:rPr>
              <w:t>实现</w:t>
            </w:r>
            <w:r>
              <w:rPr>
                <w:rFonts w:hint="eastAsia" w:ascii="宋体" w:cs="宋体"/>
                <w:color w:val="auto"/>
                <w:kern w:val="0"/>
                <w:sz w:val="18"/>
                <w:szCs w:val="18"/>
                <w:highlight w:val="none"/>
              </w:rPr>
              <w:t>网络空间资产数据采集，主要通过资产普查、资产扫描、监管单位人工采集等方式获取；</w:t>
            </w:r>
            <w:r>
              <w:rPr>
                <w:rFonts w:ascii="宋体" w:cs="宋体"/>
                <w:color w:val="auto"/>
                <w:kern w:val="0"/>
                <w:sz w:val="18"/>
                <w:szCs w:val="18"/>
                <w:highlight w:val="none"/>
              </w:rPr>
              <w:t>实现</w:t>
            </w:r>
            <w:r>
              <w:rPr>
                <w:rFonts w:hint="eastAsia" w:ascii="宋体" w:cs="宋体"/>
                <w:color w:val="auto"/>
                <w:kern w:val="0"/>
                <w:sz w:val="18"/>
                <w:szCs w:val="18"/>
                <w:highlight w:val="none"/>
              </w:rPr>
              <w:t>威胁情报数据采集；</w:t>
            </w:r>
            <w:r>
              <w:rPr>
                <w:rFonts w:ascii="宋体" w:cs="宋体"/>
                <w:color w:val="auto"/>
                <w:kern w:val="0"/>
                <w:sz w:val="18"/>
                <w:szCs w:val="18"/>
                <w:highlight w:val="none"/>
              </w:rPr>
              <w:t>实现</w:t>
            </w:r>
            <w:r>
              <w:rPr>
                <w:rFonts w:hint="eastAsia" w:ascii="宋体" w:cs="宋体"/>
                <w:color w:val="auto"/>
                <w:kern w:val="0"/>
                <w:sz w:val="18"/>
                <w:szCs w:val="18"/>
                <w:highlight w:val="none"/>
              </w:rPr>
              <w:t>数据安全检查数据采集，采用批量导入或手工录入方式采集被监管单位基本信息、系统定级备案信息、测评报告、检查信息和整改信息等数据；</w:t>
            </w:r>
            <w:r>
              <w:rPr>
                <w:rFonts w:ascii="宋体" w:cs="宋体"/>
                <w:color w:val="auto"/>
                <w:kern w:val="0"/>
                <w:sz w:val="18"/>
                <w:szCs w:val="18"/>
                <w:highlight w:val="none"/>
              </w:rPr>
              <w:t>实现</w:t>
            </w:r>
            <w:r>
              <w:rPr>
                <w:rFonts w:hint="eastAsia" w:ascii="宋体" w:cs="宋体"/>
                <w:color w:val="auto"/>
                <w:kern w:val="0"/>
                <w:sz w:val="18"/>
                <w:szCs w:val="18"/>
                <w:highlight w:val="none"/>
              </w:rPr>
              <w:t>数据采集管理，数据接入实现从接收数据并接入数据清洗端的数据操作，支撑文件系统、结构化库、非结构化库、流式数据的接入。</w:t>
            </w:r>
          </w:p>
          <w:p w14:paraId="563C6EA2">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数据治理模块</w:t>
            </w:r>
            <w:r>
              <w:rPr>
                <w:rFonts w:ascii="宋体" w:cs="宋体"/>
                <w:color w:val="auto"/>
                <w:kern w:val="0"/>
                <w:sz w:val="18"/>
                <w:szCs w:val="18"/>
                <w:highlight w:val="none"/>
              </w:rPr>
              <w:t>：</w:t>
            </w:r>
          </w:p>
          <w:p w14:paraId="3788BFF7">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（1）</w:t>
            </w:r>
            <w:r>
              <w:rPr>
                <w:rFonts w:ascii="宋体" w:cs="宋体"/>
                <w:color w:val="auto"/>
                <w:kern w:val="0"/>
                <w:sz w:val="18"/>
                <w:szCs w:val="18"/>
                <w:highlight w:val="none"/>
              </w:rPr>
              <w:t>实现</w:t>
            </w:r>
            <w:r>
              <w:rPr>
                <w:rFonts w:hint="eastAsia" w:ascii="宋体" w:cs="宋体"/>
                <w:color w:val="auto"/>
                <w:kern w:val="0"/>
                <w:sz w:val="18"/>
                <w:szCs w:val="18"/>
                <w:highlight w:val="none"/>
              </w:rPr>
              <w:t>数据标准化，提供统一的数据表述和系统信息关联，并且能够通过数据标准化分析，客观反映经过标准化处理后的数据与标准化规则指标之间的差异度，作为评估数据质量评估的依据；</w:t>
            </w:r>
          </w:p>
          <w:p w14:paraId="391D7B77">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（2）对数据的处理过程进行流程化管理和调试，使实时数据的加工可以比较直观</w:t>
            </w:r>
            <w:r>
              <w:rPr>
                <w:rFonts w:hint="eastAsia" w:ascii="宋体" w:cs="宋体"/>
                <w:color w:val="auto"/>
                <w:kern w:val="0"/>
                <w:sz w:val="18"/>
                <w:szCs w:val="18"/>
                <w:highlight w:val="none"/>
                <w:lang w:val="en-US" w:eastAsia="zh-CN"/>
              </w:rPr>
              <w:t>地</w:t>
            </w:r>
            <w:r>
              <w:rPr>
                <w:rFonts w:hint="eastAsia" w:ascii="宋体" w:cs="宋体"/>
                <w:color w:val="auto"/>
                <w:kern w:val="0"/>
                <w:sz w:val="18"/>
                <w:szCs w:val="18"/>
                <w:highlight w:val="none"/>
              </w:rPr>
              <w:t>看到输入、处理、输出的全过程；</w:t>
            </w:r>
          </w:p>
          <w:p w14:paraId="2A187580">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（3）</w:t>
            </w:r>
            <w:r>
              <w:rPr>
                <w:rFonts w:ascii="宋体" w:cs="宋体"/>
                <w:color w:val="auto"/>
                <w:kern w:val="0"/>
                <w:sz w:val="18"/>
                <w:szCs w:val="18"/>
                <w:highlight w:val="none"/>
              </w:rPr>
              <w:t>实现</w:t>
            </w:r>
            <w:r>
              <w:rPr>
                <w:rFonts w:hint="eastAsia" w:ascii="宋体" w:cs="宋体"/>
                <w:color w:val="auto"/>
                <w:kern w:val="0"/>
                <w:sz w:val="18"/>
                <w:szCs w:val="18"/>
                <w:highlight w:val="none"/>
              </w:rPr>
              <w:t>制定统一的数据标准，能够根据不同的数据主题，设置安全数据标准，包括标准编码、标准主题、数据业务类型、标准状态和关联信息编码标准等；</w:t>
            </w:r>
          </w:p>
          <w:p w14:paraId="5B33C718">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（4）数据标签是用自然语言的方式描述数据的要素特性，通过不断沉淀下来的具有共性的数据知识集合；</w:t>
            </w:r>
          </w:p>
          <w:p w14:paraId="68125BAF">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（5）通过建立数据质量评估标准和管理规范，提供数据质量问题发现、监测跟踪、分析应用等流程和管理功能，实现基于不同来源数据的逻辑校验和监测管理；</w:t>
            </w:r>
          </w:p>
          <w:p w14:paraId="546E81DB">
            <w:pPr>
              <w:widowControl/>
              <w:ind w:firstLine="360" w:firstLineChars="200"/>
              <w:rPr>
                <w:rFonts w:hint="eastAsia" w:ascii="宋体" w:cs="宋体"/>
                <w:color w:val="auto"/>
                <w:kern w:val="0"/>
                <w:sz w:val="18"/>
                <w:szCs w:val="18"/>
                <w:highlight w:val="none"/>
              </w:rPr>
            </w:pPr>
            <w:r>
              <w:rPr>
                <w:rFonts w:hint="eastAsia" w:ascii="宋体" w:cs="宋体"/>
                <w:color w:val="auto"/>
                <w:kern w:val="0"/>
                <w:sz w:val="18"/>
                <w:szCs w:val="18"/>
                <w:highlight w:val="none"/>
              </w:rPr>
              <w:t>（6）元数据是数据管理、运营和消费的基础与前提，可用于描述数据的结构、内容、价值、管理规范、质量等其</w:t>
            </w:r>
            <w:r>
              <w:rPr>
                <w:rFonts w:hint="eastAsia" w:ascii="宋体" w:cs="宋体"/>
                <w:color w:val="auto"/>
                <w:kern w:val="0"/>
                <w:sz w:val="18"/>
                <w:szCs w:val="18"/>
                <w:highlight w:val="none"/>
                <w:lang w:val="en-US" w:eastAsia="zh-CN"/>
              </w:rPr>
              <w:t>他</w:t>
            </w:r>
            <w:r>
              <w:rPr>
                <w:rFonts w:hint="eastAsia" w:ascii="宋体" w:cs="宋体"/>
                <w:color w:val="auto"/>
                <w:kern w:val="0"/>
                <w:sz w:val="18"/>
                <w:szCs w:val="18"/>
                <w:highlight w:val="none"/>
              </w:rPr>
              <w:t>信息；</w:t>
            </w:r>
          </w:p>
          <w:p w14:paraId="52574748">
            <w:pPr>
              <w:widowControl/>
              <w:ind w:firstLine="360" w:firstLineChars="200"/>
              <w:rPr>
                <w:rFonts w:ascii="宋体" w:cs="宋体"/>
                <w:color w:val="auto"/>
                <w:kern w:val="0"/>
                <w:sz w:val="18"/>
                <w:szCs w:val="18"/>
                <w:highlight w:val="none"/>
              </w:rPr>
            </w:pPr>
            <w:r>
              <w:rPr>
                <w:rFonts w:hint="eastAsia" w:ascii="宋体" w:cs="宋体"/>
                <w:color w:val="auto"/>
                <w:kern w:val="0"/>
                <w:sz w:val="18"/>
                <w:szCs w:val="18"/>
                <w:highlight w:val="none"/>
              </w:rPr>
              <w:t>（7）数据仓库提供明细层（数据域）和汇聚层（数据建模）功能，对数据资源进行统一管理。</w:t>
            </w:r>
          </w:p>
          <w:p w14:paraId="3ED6EB28">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数据组织模块</w:t>
            </w:r>
            <w:r>
              <w:rPr>
                <w:rFonts w:ascii="宋体" w:cs="宋体"/>
                <w:color w:val="auto"/>
                <w:kern w:val="0"/>
                <w:sz w:val="18"/>
                <w:szCs w:val="18"/>
                <w:highlight w:val="none"/>
              </w:rPr>
              <w:t>：</w:t>
            </w:r>
            <w:r>
              <w:rPr>
                <w:rFonts w:hint="eastAsia" w:ascii="宋体" w:cs="宋体"/>
                <w:color w:val="auto"/>
                <w:kern w:val="0"/>
                <w:sz w:val="18"/>
                <w:szCs w:val="18"/>
                <w:highlight w:val="none"/>
              </w:rPr>
              <w:t>根据现有数据资源和业务开展实际，设计资源库、主题库、业务库、知识库；支持数据整合及更新维护，在对数据和业务分析梳理的基础上，进行统一模型处理融合后分类入库；支持数据标准化处理，按照标准规范，在数据整合过程中完成数据标准化处理工作，主要是数据对标和清洗。</w:t>
            </w:r>
          </w:p>
          <w:p w14:paraId="62AED498">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数据管理模块</w:t>
            </w:r>
            <w:r>
              <w:rPr>
                <w:rFonts w:ascii="宋体" w:cs="宋体"/>
                <w:color w:val="auto"/>
                <w:kern w:val="0"/>
                <w:sz w:val="18"/>
                <w:szCs w:val="18"/>
                <w:highlight w:val="none"/>
              </w:rPr>
              <w:t>：</w:t>
            </w:r>
            <w:r>
              <w:rPr>
                <w:rFonts w:hint="eastAsia" w:ascii="宋体" w:cs="宋体"/>
                <w:color w:val="auto"/>
                <w:kern w:val="0"/>
                <w:sz w:val="18"/>
                <w:szCs w:val="18"/>
                <w:highlight w:val="none"/>
              </w:rPr>
              <w:t>对多源异构海量数据的存储、能提供PB级数据存储和访问能力，</w:t>
            </w:r>
            <w:r>
              <w:rPr>
                <w:rFonts w:ascii="宋体" w:cs="宋体"/>
                <w:color w:val="auto"/>
                <w:kern w:val="0"/>
                <w:sz w:val="18"/>
                <w:szCs w:val="18"/>
                <w:highlight w:val="none"/>
              </w:rPr>
              <w:t>实现</w:t>
            </w:r>
            <w:r>
              <w:rPr>
                <w:rFonts w:hint="eastAsia" w:ascii="宋体" w:cs="宋体"/>
                <w:color w:val="auto"/>
                <w:kern w:val="0"/>
                <w:sz w:val="18"/>
                <w:szCs w:val="18"/>
                <w:highlight w:val="none"/>
              </w:rPr>
              <w:t>对数据文件的分布式存储，</w:t>
            </w:r>
            <w:r>
              <w:rPr>
                <w:rFonts w:ascii="宋体" w:cs="宋体"/>
                <w:color w:val="auto"/>
                <w:kern w:val="0"/>
                <w:sz w:val="18"/>
                <w:szCs w:val="18"/>
                <w:highlight w:val="none"/>
              </w:rPr>
              <w:t>实现</w:t>
            </w:r>
            <w:r>
              <w:rPr>
                <w:rFonts w:hint="eastAsia" w:ascii="宋体" w:cs="宋体"/>
                <w:color w:val="auto"/>
                <w:kern w:val="0"/>
                <w:sz w:val="18"/>
                <w:szCs w:val="18"/>
                <w:highlight w:val="none"/>
              </w:rPr>
              <w:t>文本、键值对、对象等多种数据特征的存储，</w:t>
            </w:r>
            <w:r>
              <w:rPr>
                <w:rFonts w:ascii="宋体" w:cs="宋体"/>
                <w:color w:val="auto"/>
                <w:kern w:val="0"/>
                <w:sz w:val="18"/>
                <w:szCs w:val="18"/>
                <w:highlight w:val="none"/>
              </w:rPr>
              <w:t>实现</w:t>
            </w:r>
            <w:r>
              <w:rPr>
                <w:rFonts w:hint="eastAsia" w:ascii="宋体" w:cs="宋体"/>
                <w:color w:val="auto"/>
                <w:kern w:val="0"/>
                <w:sz w:val="18"/>
                <w:szCs w:val="18"/>
                <w:highlight w:val="none"/>
              </w:rPr>
              <w:t>高吞吐的数据访问；</w:t>
            </w:r>
            <w:r>
              <w:rPr>
                <w:rFonts w:ascii="宋体" w:cs="宋体"/>
                <w:color w:val="auto"/>
                <w:kern w:val="0"/>
                <w:sz w:val="18"/>
                <w:szCs w:val="18"/>
                <w:highlight w:val="none"/>
              </w:rPr>
              <w:t>实现</w:t>
            </w:r>
            <w:r>
              <w:rPr>
                <w:rFonts w:hint="eastAsia" w:ascii="宋体" w:cs="宋体"/>
                <w:color w:val="auto"/>
                <w:kern w:val="0"/>
                <w:sz w:val="18"/>
                <w:szCs w:val="18"/>
                <w:highlight w:val="none"/>
              </w:rPr>
              <w:t>数据监控，实现覆盖全流程的数据采集和存储管理监控体系，实现数据库、数据表的管理和监控；</w:t>
            </w:r>
            <w:r>
              <w:rPr>
                <w:rFonts w:ascii="宋体" w:cs="宋体"/>
                <w:color w:val="auto"/>
                <w:kern w:val="0"/>
                <w:sz w:val="18"/>
                <w:szCs w:val="18"/>
                <w:highlight w:val="none"/>
              </w:rPr>
              <w:t>实现</w:t>
            </w:r>
            <w:r>
              <w:rPr>
                <w:rFonts w:hint="eastAsia" w:ascii="宋体" w:cs="宋体"/>
                <w:color w:val="auto"/>
                <w:kern w:val="0"/>
                <w:sz w:val="18"/>
                <w:szCs w:val="18"/>
                <w:highlight w:val="none"/>
              </w:rPr>
              <w:t>数据备份，用于备份系统数据，并且在本机或者其他同版本机器上导入还原数据；</w:t>
            </w:r>
            <w:r>
              <w:rPr>
                <w:rFonts w:ascii="宋体" w:cs="宋体"/>
                <w:color w:val="auto"/>
                <w:kern w:val="0"/>
                <w:sz w:val="18"/>
                <w:szCs w:val="18"/>
                <w:highlight w:val="none"/>
              </w:rPr>
              <w:t>实现</w:t>
            </w:r>
            <w:r>
              <w:rPr>
                <w:rFonts w:hint="eastAsia" w:ascii="宋体" w:cs="宋体"/>
                <w:color w:val="auto"/>
                <w:kern w:val="0"/>
                <w:sz w:val="18"/>
                <w:szCs w:val="18"/>
                <w:highlight w:val="none"/>
              </w:rPr>
              <w:t>数据资源的统一管理，用户可通过界面配置的方式选择API数据服务或文件数据服务，以满足不同的数据使用场景，降低数据使用的开发门槛，帮助企业实现数据应用价值最大化。</w:t>
            </w:r>
          </w:p>
          <w:p w14:paraId="7AA95BD5">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联合分析引擎</w:t>
            </w:r>
            <w:r>
              <w:rPr>
                <w:rFonts w:ascii="宋体" w:cs="宋体"/>
                <w:color w:val="auto"/>
                <w:kern w:val="0"/>
                <w:sz w:val="18"/>
                <w:szCs w:val="18"/>
                <w:highlight w:val="none"/>
              </w:rPr>
              <w:t>：</w:t>
            </w:r>
          </w:p>
          <w:p w14:paraId="164F05A9">
            <w:pPr>
              <w:widowControl/>
              <w:ind w:firstLine="360" w:firstLineChars="200"/>
              <w:jc w:val="left"/>
              <w:rPr>
                <w:rFonts w:hint="eastAsia" w:ascii="宋体" w:cs="宋体"/>
                <w:color w:val="auto"/>
                <w:kern w:val="0"/>
                <w:sz w:val="18"/>
                <w:szCs w:val="18"/>
                <w:highlight w:val="none"/>
              </w:rPr>
            </w:pPr>
            <w:r>
              <w:rPr>
                <w:rFonts w:hint="eastAsia" w:ascii="宋体" w:cs="宋体"/>
                <w:color w:val="auto"/>
                <w:kern w:val="0"/>
                <w:sz w:val="18"/>
                <w:szCs w:val="18"/>
                <w:highlight w:val="none"/>
              </w:rPr>
              <w:t>（1）具备流式分析引擎，针对海量告警进行二次分析，能够实现规则引用规则，以发现深层、复杂威胁事件，实现多源异构安全日志联合分析和建模分析，发现未知存在的安全风险；</w:t>
            </w:r>
          </w:p>
          <w:p w14:paraId="655995A6">
            <w:pPr>
              <w:widowControl/>
              <w:ind w:firstLine="360" w:firstLineChars="200"/>
              <w:jc w:val="left"/>
              <w:rPr>
                <w:rFonts w:hint="eastAsia" w:ascii="宋体" w:cs="宋体"/>
                <w:color w:val="auto"/>
                <w:kern w:val="0"/>
                <w:sz w:val="18"/>
                <w:szCs w:val="18"/>
                <w:highlight w:val="none"/>
              </w:rPr>
            </w:pPr>
            <w:r>
              <w:rPr>
                <w:rFonts w:hint="eastAsia" w:ascii="宋体" w:cs="宋体"/>
                <w:color w:val="auto"/>
                <w:kern w:val="0"/>
                <w:sz w:val="18"/>
                <w:szCs w:val="18"/>
                <w:highlight w:val="none"/>
              </w:rPr>
              <w:t>（2）具备离线分析引擎，接入标准日志数据，输出相关命中的日志集合，平台通过以组件化的方式对各类复杂算子模型支持，同时支持灵活的SQL、Python脚本和模型定制能力，从而实现超长周期，全量数据的深度挖掘与分析；</w:t>
            </w:r>
          </w:p>
          <w:p w14:paraId="3D3157CD">
            <w:pPr>
              <w:widowControl/>
              <w:ind w:firstLine="360" w:firstLineChars="200"/>
              <w:jc w:val="left"/>
              <w:rPr>
                <w:rFonts w:hint="eastAsia" w:ascii="宋体" w:hAnsi="宋体" w:cs="宋体"/>
                <w:color w:val="auto"/>
                <w:kern w:val="0"/>
                <w:sz w:val="18"/>
                <w:szCs w:val="18"/>
                <w:highlight w:val="none"/>
              </w:rPr>
            </w:pPr>
            <w:r>
              <w:rPr>
                <w:rFonts w:hint="eastAsia" w:ascii="宋体" w:cs="宋体"/>
                <w:color w:val="auto"/>
                <w:kern w:val="0"/>
                <w:sz w:val="18"/>
                <w:szCs w:val="18"/>
                <w:highlight w:val="none"/>
              </w:rPr>
              <w:t>（3）具备告警关联发现、归并引擎，包含从规则输出生成告警和告警归并两个部分。</w:t>
            </w:r>
          </w:p>
        </w:tc>
        <w:tc>
          <w:tcPr>
            <w:tcW w:w="145" w:type="pct"/>
            <w:tcBorders>
              <w:top w:val="nil"/>
              <w:left w:val="nil"/>
              <w:bottom w:val="single" w:color="auto" w:sz="4" w:space="0"/>
              <w:right w:val="single" w:color="auto" w:sz="4" w:space="0"/>
            </w:tcBorders>
            <w:noWrap/>
            <w:vAlign w:val="center"/>
          </w:tcPr>
          <w:p w14:paraId="244CFFBA">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3A2B39F">
            <w:pPr>
              <w:widowControl/>
              <w:jc w:val="left"/>
              <w:rPr>
                <w:rFonts w:hint="eastAsia" w:ascii="宋体" w:hAnsi="宋体" w:cs="宋体"/>
                <w:color w:val="auto"/>
                <w:kern w:val="0"/>
                <w:sz w:val="18"/>
                <w:szCs w:val="18"/>
                <w:highlight w:val="none"/>
              </w:rPr>
            </w:pPr>
          </w:p>
        </w:tc>
      </w:tr>
      <w:tr w14:paraId="7F6541E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7ACE8408">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w:t>
            </w:r>
          </w:p>
        </w:tc>
        <w:tc>
          <w:tcPr>
            <w:tcW w:w="428" w:type="pct"/>
            <w:tcBorders>
              <w:top w:val="nil"/>
              <w:left w:val="nil"/>
              <w:bottom w:val="single" w:color="auto" w:sz="4" w:space="0"/>
              <w:right w:val="single" w:color="auto" w:sz="4" w:space="0"/>
            </w:tcBorders>
            <w:vAlign w:val="center"/>
          </w:tcPr>
          <w:p w14:paraId="2525C5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通报态势与智能分析模块</w:t>
            </w:r>
          </w:p>
        </w:tc>
        <w:tc>
          <w:tcPr>
            <w:tcW w:w="3798" w:type="pct"/>
            <w:gridSpan w:val="2"/>
            <w:tcBorders>
              <w:top w:val="nil"/>
              <w:left w:val="nil"/>
              <w:bottom w:val="single" w:color="auto" w:sz="4" w:space="0"/>
              <w:right w:val="single" w:color="auto" w:sz="4" w:space="0"/>
            </w:tcBorders>
          </w:tcPr>
          <w:p w14:paraId="586360FD">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1.通报模块：</w:t>
            </w:r>
          </w:p>
          <w:p w14:paraId="3469E266">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（1）预警通报分析：预警通报变化趋势分析，</w:t>
            </w:r>
            <w:r>
              <w:rPr>
                <w:rFonts w:hint="eastAsia" w:ascii="宋体" w:cs="宋体"/>
                <w:color w:val="auto"/>
                <w:kern w:val="0"/>
                <w:sz w:val="18"/>
                <w:szCs w:val="18"/>
                <w:highlight w:val="none"/>
              </w:rPr>
              <w:t>对每日推送的预警通报进行统计分析，便于管理人员能够实时、直观掌握不同预警通报的传播范围、数量及变化趋势等态势情况</w:t>
            </w:r>
            <w:r>
              <w:rPr>
                <w:rFonts w:ascii="宋体" w:cs="宋体"/>
                <w:color w:val="auto"/>
                <w:kern w:val="0"/>
                <w:sz w:val="18"/>
                <w:szCs w:val="18"/>
                <w:highlight w:val="none"/>
              </w:rPr>
              <w:t>；预警通报工作数量统计，实现</w:t>
            </w:r>
            <w:r>
              <w:rPr>
                <w:rFonts w:hint="eastAsia" w:ascii="宋体" w:cs="宋体"/>
                <w:color w:val="auto"/>
                <w:kern w:val="0"/>
                <w:sz w:val="18"/>
                <w:szCs w:val="18"/>
                <w:highlight w:val="none"/>
              </w:rPr>
              <w:t>统计展示在通报预警工作中产生的下发整改通报量、通报整改完成量、及时通报率、下发处置专报量和下发预警通报量</w:t>
            </w:r>
            <w:r>
              <w:rPr>
                <w:rFonts w:ascii="宋体" w:cs="宋体"/>
                <w:color w:val="auto"/>
                <w:kern w:val="0"/>
                <w:sz w:val="18"/>
                <w:szCs w:val="18"/>
                <w:highlight w:val="none"/>
              </w:rPr>
              <w:t>；</w:t>
            </w:r>
          </w:p>
          <w:p w14:paraId="1FF1C3AE">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预警态势模块</w:t>
            </w:r>
            <w:r>
              <w:rPr>
                <w:rFonts w:ascii="宋体" w:cs="宋体"/>
                <w:color w:val="auto"/>
                <w:kern w:val="0"/>
                <w:sz w:val="18"/>
                <w:szCs w:val="18"/>
                <w:highlight w:val="none"/>
              </w:rPr>
              <w:t>：</w:t>
            </w:r>
            <w:r>
              <w:rPr>
                <w:rFonts w:hint="eastAsia" w:ascii="宋体" w:cs="宋体"/>
                <w:color w:val="auto"/>
                <w:kern w:val="0"/>
                <w:sz w:val="18"/>
                <w:szCs w:val="18"/>
                <w:highlight w:val="none"/>
              </w:rPr>
              <w:t>预警态势内容包含一般预警数量统计、专项预警数量统计，并可对安全事件预警进行弹窗提醒</w:t>
            </w:r>
            <w:r>
              <w:rPr>
                <w:rFonts w:ascii="宋体" w:cs="宋体"/>
                <w:color w:val="auto"/>
                <w:kern w:val="0"/>
                <w:sz w:val="18"/>
                <w:szCs w:val="18"/>
                <w:highlight w:val="none"/>
              </w:rPr>
              <w:t>；</w:t>
            </w:r>
            <w:r>
              <w:rPr>
                <w:rFonts w:hint="eastAsia" w:ascii="宋体" w:cs="宋体"/>
                <w:color w:val="auto"/>
                <w:kern w:val="0"/>
                <w:sz w:val="18"/>
                <w:szCs w:val="18"/>
                <w:highlight w:val="none"/>
              </w:rPr>
              <w:t>预警弹窗提醒状态更新</w:t>
            </w:r>
            <w:r>
              <w:rPr>
                <w:rFonts w:ascii="宋体" w:cs="宋体"/>
                <w:color w:val="auto"/>
                <w:kern w:val="0"/>
                <w:sz w:val="18"/>
                <w:szCs w:val="18"/>
                <w:highlight w:val="none"/>
              </w:rPr>
              <w:t>，</w:t>
            </w:r>
            <w:r>
              <w:rPr>
                <w:rFonts w:hint="eastAsia" w:ascii="宋体" w:cs="宋体"/>
                <w:color w:val="auto"/>
                <w:kern w:val="0"/>
                <w:sz w:val="18"/>
                <w:szCs w:val="18"/>
                <w:highlight w:val="none"/>
              </w:rPr>
              <w:t>可对提醒状态进行更新，标记为已读、未读</w:t>
            </w:r>
            <w:r>
              <w:rPr>
                <w:rFonts w:ascii="宋体" w:cs="宋体"/>
                <w:color w:val="auto"/>
                <w:kern w:val="0"/>
                <w:sz w:val="18"/>
                <w:szCs w:val="18"/>
                <w:highlight w:val="none"/>
              </w:rPr>
              <w:t>；</w:t>
            </w:r>
            <w:r>
              <w:rPr>
                <w:rFonts w:hint="eastAsia" w:ascii="宋体" w:cs="宋体"/>
                <w:color w:val="auto"/>
                <w:kern w:val="0"/>
                <w:sz w:val="18"/>
                <w:szCs w:val="18"/>
                <w:highlight w:val="none"/>
              </w:rPr>
              <w:t>预警历史提醒查看</w:t>
            </w:r>
            <w:r>
              <w:rPr>
                <w:rFonts w:ascii="宋体" w:cs="宋体"/>
                <w:color w:val="auto"/>
                <w:kern w:val="0"/>
                <w:sz w:val="18"/>
                <w:szCs w:val="18"/>
                <w:highlight w:val="none"/>
              </w:rPr>
              <w:t>，</w:t>
            </w:r>
            <w:r>
              <w:rPr>
                <w:rFonts w:hint="eastAsia" w:ascii="宋体" w:cs="宋体"/>
                <w:color w:val="auto"/>
                <w:kern w:val="0"/>
                <w:sz w:val="18"/>
                <w:szCs w:val="18"/>
                <w:highlight w:val="none"/>
              </w:rPr>
              <w:t>可以查看历史提醒消息，包括接收时间、消息类型、消息来源、具体内容等</w:t>
            </w:r>
            <w:r>
              <w:rPr>
                <w:rFonts w:ascii="宋体" w:cs="宋体"/>
                <w:color w:val="auto"/>
                <w:kern w:val="0"/>
                <w:sz w:val="18"/>
                <w:szCs w:val="18"/>
                <w:highlight w:val="none"/>
              </w:rPr>
              <w:t>；</w:t>
            </w:r>
          </w:p>
          <w:p w14:paraId="1D3FF594">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预警等级分布展示</w:t>
            </w:r>
            <w:r>
              <w:rPr>
                <w:rFonts w:ascii="宋体" w:cs="宋体"/>
                <w:color w:val="auto"/>
                <w:kern w:val="0"/>
                <w:sz w:val="18"/>
                <w:szCs w:val="18"/>
                <w:highlight w:val="none"/>
              </w:rPr>
              <w:t>：</w:t>
            </w:r>
            <w:r>
              <w:rPr>
                <w:rFonts w:hint="eastAsia" w:ascii="宋体" w:cs="宋体"/>
                <w:color w:val="auto"/>
                <w:kern w:val="0"/>
                <w:sz w:val="18"/>
                <w:szCs w:val="18"/>
                <w:highlight w:val="none"/>
              </w:rPr>
              <w:t>按时间、地域等维度展示预警等级分布情况</w:t>
            </w:r>
            <w:r>
              <w:rPr>
                <w:rFonts w:ascii="宋体" w:cs="宋体"/>
                <w:color w:val="auto"/>
                <w:kern w:val="0"/>
                <w:sz w:val="18"/>
                <w:szCs w:val="18"/>
                <w:highlight w:val="none"/>
              </w:rPr>
              <w:t>。</w:t>
            </w:r>
            <w:r>
              <w:rPr>
                <w:rFonts w:hint="eastAsia" w:ascii="宋体" w:cs="宋体"/>
                <w:color w:val="auto"/>
                <w:kern w:val="0"/>
                <w:sz w:val="18"/>
                <w:szCs w:val="18"/>
                <w:highlight w:val="none"/>
              </w:rPr>
              <w:t>地域维度预警信息展示</w:t>
            </w:r>
            <w:r>
              <w:rPr>
                <w:rFonts w:ascii="宋体" w:cs="宋体"/>
                <w:color w:val="auto"/>
                <w:kern w:val="0"/>
                <w:sz w:val="18"/>
                <w:szCs w:val="18"/>
                <w:highlight w:val="none"/>
              </w:rPr>
              <w:t>，</w:t>
            </w:r>
            <w:r>
              <w:rPr>
                <w:rFonts w:hint="eastAsia" w:ascii="宋体" w:cs="宋体"/>
                <w:color w:val="auto"/>
                <w:kern w:val="0"/>
                <w:sz w:val="18"/>
                <w:szCs w:val="18"/>
                <w:highlight w:val="none"/>
              </w:rPr>
              <w:t>在地图中选择不同区域时其余统计数据会切换为当前区域的数据，并以列表展示当前区域的详细安全预警信息</w:t>
            </w:r>
            <w:r>
              <w:rPr>
                <w:rFonts w:ascii="宋体" w:cs="宋体"/>
                <w:color w:val="auto"/>
                <w:kern w:val="0"/>
                <w:sz w:val="18"/>
                <w:szCs w:val="18"/>
                <w:highlight w:val="none"/>
              </w:rPr>
              <w:t>。</w:t>
            </w:r>
            <w:r>
              <w:rPr>
                <w:rFonts w:hint="eastAsia" w:ascii="宋体" w:cs="宋体"/>
                <w:color w:val="auto"/>
                <w:kern w:val="0"/>
                <w:sz w:val="18"/>
                <w:szCs w:val="18"/>
                <w:highlight w:val="none"/>
              </w:rPr>
              <w:t>时间等维度预警信息展示</w:t>
            </w:r>
            <w:r>
              <w:rPr>
                <w:rFonts w:ascii="宋体" w:cs="宋体"/>
                <w:color w:val="auto"/>
                <w:kern w:val="0"/>
                <w:sz w:val="18"/>
                <w:szCs w:val="18"/>
                <w:highlight w:val="none"/>
              </w:rPr>
              <w:t>，实现</w:t>
            </w:r>
            <w:r>
              <w:rPr>
                <w:rFonts w:hint="eastAsia" w:ascii="宋体" w:cs="宋体"/>
                <w:color w:val="auto"/>
                <w:kern w:val="0"/>
                <w:sz w:val="18"/>
                <w:szCs w:val="18"/>
                <w:highlight w:val="none"/>
              </w:rPr>
              <w:t>按照时间、所属行业、单位名称对展示的安全事件进行筛选和信息展示</w:t>
            </w:r>
            <w:r>
              <w:rPr>
                <w:rFonts w:hint="eastAsia" w:ascii="宋体" w:cs="宋体"/>
                <w:color w:val="auto"/>
                <w:kern w:val="0"/>
                <w:sz w:val="18"/>
                <w:szCs w:val="18"/>
                <w:highlight w:val="none"/>
                <w:lang w:eastAsia="zh-CN"/>
              </w:rPr>
              <w:t>；</w:t>
            </w:r>
          </w:p>
          <w:p w14:paraId="797B8AE5">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处置效率统计展示</w:t>
            </w:r>
            <w:r>
              <w:rPr>
                <w:rFonts w:ascii="宋体" w:cs="宋体"/>
                <w:color w:val="auto"/>
                <w:kern w:val="0"/>
                <w:sz w:val="18"/>
                <w:szCs w:val="18"/>
                <w:highlight w:val="none"/>
              </w:rPr>
              <w:t>：按照时间、地域等维度展示处置效率统计，包含通报情况（未通报、待通报、已通报、已处置）和事件数（事件数、同比和环比事件数）统计；</w:t>
            </w:r>
          </w:p>
          <w:p w14:paraId="47A67167">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预警列表展示</w:t>
            </w:r>
            <w:r>
              <w:rPr>
                <w:rFonts w:ascii="宋体" w:cs="宋体"/>
                <w:color w:val="auto"/>
                <w:kern w:val="0"/>
                <w:sz w:val="18"/>
                <w:szCs w:val="18"/>
                <w:highlight w:val="none"/>
              </w:rPr>
              <w:t>：</w:t>
            </w:r>
            <w:r>
              <w:rPr>
                <w:rFonts w:hint="eastAsia" w:ascii="宋体" w:cs="宋体"/>
                <w:color w:val="auto"/>
                <w:kern w:val="0"/>
                <w:sz w:val="18"/>
                <w:szCs w:val="18"/>
                <w:highlight w:val="none"/>
              </w:rPr>
              <w:t>按照时间</w:t>
            </w:r>
            <w:r>
              <w:rPr>
                <w:rFonts w:ascii="宋体" w:cs="宋体"/>
                <w:color w:val="auto"/>
                <w:kern w:val="0"/>
                <w:sz w:val="18"/>
                <w:szCs w:val="18"/>
                <w:highlight w:val="none"/>
              </w:rPr>
              <w:t>、</w:t>
            </w:r>
            <w:r>
              <w:rPr>
                <w:rFonts w:hint="eastAsia" w:ascii="宋体" w:cs="宋体"/>
                <w:color w:val="auto"/>
                <w:kern w:val="0"/>
                <w:sz w:val="18"/>
                <w:szCs w:val="18"/>
                <w:highlight w:val="none"/>
                <w:lang w:val="en-US" w:eastAsia="zh-CN"/>
              </w:rPr>
              <w:t>地域</w:t>
            </w:r>
            <w:r>
              <w:rPr>
                <w:rFonts w:hint="eastAsia" w:ascii="宋体" w:cs="宋体"/>
                <w:color w:val="auto"/>
                <w:kern w:val="0"/>
                <w:sz w:val="18"/>
                <w:szCs w:val="18"/>
                <w:highlight w:val="none"/>
              </w:rPr>
              <w:t>维度展示预警列表，展示信息包括预警标题、预警级别、预警状态、初判风险类型、风险种类、预警下发时间、处置完成时间等</w:t>
            </w:r>
            <w:r>
              <w:rPr>
                <w:rFonts w:ascii="宋体" w:cs="宋体"/>
                <w:color w:val="auto"/>
                <w:kern w:val="0"/>
                <w:sz w:val="18"/>
                <w:szCs w:val="18"/>
                <w:highlight w:val="none"/>
              </w:rPr>
              <w:t>；</w:t>
            </w:r>
          </w:p>
          <w:p w14:paraId="22589E0C">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（6）</w:t>
            </w:r>
            <w:r>
              <w:rPr>
                <w:rFonts w:hint="eastAsia" w:ascii="宋体" w:cs="宋体"/>
                <w:color w:val="auto"/>
                <w:kern w:val="0"/>
                <w:sz w:val="18"/>
                <w:szCs w:val="18"/>
                <w:highlight w:val="none"/>
              </w:rPr>
              <w:t>专项预警统计展示</w:t>
            </w:r>
            <w:r>
              <w:rPr>
                <w:rFonts w:ascii="宋体" w:cs="宋体"/>
                <w:color w:val="auto"/>
                <w:kern w:val="0"/>
                <w:sz w:val="18"/>
                <w:szCs w:val="18"/>
                <w:highlight w:val="none"/>
              </w:rPr>
              <w:t>：</w:t>
            </w:r>
            <w:r>
              <w:rPr>
                <w:rFonts w:hint="eastAsia" w:ascii="宋体" w:cs="宋体"/>
                <w:color w:val="auto"/>
                <w:kern w:val="0"/>
                <w:sz w:val="18"/>
                <w:szCs w:val="18"/>
                <w:highlight w:val="none"/>
              </w:rPr>
              <w:t>按照</w:t>
            </w:r>
            <w:r>
              <w:rPr>
                <w:rFonts w:ascii="宋体" w:cs="宋体"/>
                <w:color w:val="auto"/>
                <w:kern w:val="0"/>
                <w:sz w:val="18"/>
                <w:szCs w:val="18"/>
                <w:highlight w:val="none"/>
              </w:rPr>
              <w:t>时间、</w:t>
            </w:r>
            <w:r>
              <w:rPr>
                <w:rFonts w:hint="eastAsia" w:ascii="宋体" w:cs="宋体"/>
                <w:color w:val="auto"/>
                <w:kern w:val="0"/>
                <w:sz w:val="18"/>
                <w:szCs w:val="18"/>
                <w:highlight w:val="none"/>
              </w:rPr>
              <w:t>地域等维度展示专项预警行业统计、专项预警区域分布情况，展示信息包括专项预警标题、专项预警级别、专项预警状态、专项风险类型、风险种类、专项预警下发时间、处置完成时间等</w:t>
            </w:r>
            <w:r>
              <w:rPr>
                <w:rFonts w:ascii="宋体" w:cs="宋体"/>
                <w:color w:val="auto"/>
                <w:kern w:val="0"/>
                <w:sz w:val="18"/>
                <w:szCs w:val="18"/>
                <w:highlight w:val="none"/>
              </w:rPr>
              <w:t>；</w:t>
            </w:r>
          </w:p>
          <w:p w14:paraId="40FFCAE8">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（7）</w:t>
            </w:r>
            <w:r>
              <w:rPr>
                <w:rFonts w:hint="eastAsia" w:ascii="宋体" w:cs="宋体"/>
                <w:color w:val="auto"/>
                <w:kern w:val="0"/>
                <w:sz w:val="18"/>
                <w:szCs w:val="18"/>
                <w:highlight w:val="none"/>
              </w:rPr>
              <w:t>预警趋势展示</w:t>
            </w:r>
            <w:r>
              <w:rPr>
                <w:rFonts w:ascii="宋体" w:cs="宋体"/>
                <w:color w:val="auto"/>
                <w:kern w:val="0"/>
                <w:sz w:val="18"/>
                <w:szCs w:val="18"/>
                <w:highlight w:val="none"/>
              </w:rPr>
              <w:t>：按照最近24小时内、7天内、30天内，以折线图形式展现预警发现随时间变化的趋势；</w:t>
            </w:r>
          </w:p>
          <w:p w14:paraId="37747DF4">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（8）</w:t>
            </w:r>
            <w:r>
              <w:rPr>
                <w:rFonts w:hint="eastAsia" w:ascii="宋体" w:cs="宋体"/>
                <w:color w:val="auto"/>
                <w:kern w:val="0"/>
                <w:sz w:val="18"/>
                <w:szCs w:val="18"/>
                <w:highlight w:val="none"/>
              </w:rPr>
              <w:t>通报事件及成果多维展示模块</w:t>
            </w:r>
            <w:r>
              <w:rPr>
                <w:rFonts w:ascii="宋体" w:cs="宋体"/>
                <w:color w:val="auto"/>
                <w:kern w:val="0"/>
                <w:sz w:val="18"/>
                <w:szCs w:val="18"/>
                <w:highlight w:val="none"/>
              </w:rPr>
              <w:t>：</w:t>
            </w:r>
            <w:r>
              <w:rPr>
                <w:rFonts w:hint="eastAsia" w:ascii="宋体" w:cs="宋体"/>
                <w:color w:val="auto"/>
                <w:kern w:val="0"/>
                <w:sz w:val="18"/>
                <w:szCs w:val="18"/>
                <w:highlight w:val="none"/>
              </w:rPr>
              <w:t>针对通报事件及成果多维呈现及统计分析，便于管理人员能够实时、直观掌握不同类型安全事件的分布区域、数量及变化趋势等态势情况</w:t>
            </w:r>
            <w:r>
              <w:rPr>
                <w:rFonts w:ascii="宋体" w:cs="宋体"/>
                <w:color w:val="auto"/>
                <w:kern w:val="0"/>
                <w:sz w:val="18"/>
                <w:szCs w:val="18"/>
                <w:highlight w:val="none"/>
              </w:rPr>
              <w:t>。</w:t>
            </w:r>
            <w:r>
              <w:rPr>
                <w:rFonts w:hint="eastAsia" w:ascii="宋体" w:cs="宋体"/>
                <w:color w:val="auto"/>
                <w:kern w:val="0"/>
                <w:sz w:val="18"/>
                <w:szCs w:val="18"/>
                <w:highlight w:val="none"/>
              </w:rPr>
              <w:t>成果多维度展示</w:t>
            </w:r>
            <w:r>
              <w:rPr>
                <w:rFonts w:ascii="宋体" w:cs="宋体"/>
                <w:color w:val="auto"/>
                <w:kern w:val="0"/>
                <w:sz w:val="18"/>
                <w:szCs w:val="18"/>
                <w:highlight w:val="none"/>
              </w:rPr>
              <w:t>，实现</w:t>
            </w:r>
            <w:r>
              <w:rPr>
                <w:rFonts w:hint="eastAsia" w:ascii="宋体" w:cs="宋体"/>
                <w:color w:val="auto"/>
                <w:kern w:val="0"/>
                <w:sz w:val="18"/>
                <w:szCs w:val="18"/>
                <w:highlight w:val="none"/>
              </w:rPr>
              <w:t>采用实时动态滚动的技术，对近期的重点工作以工作名称和具体时间作为内容进行滚动显示</w:t>
            </w:r>
            <w:r>
              <w:rPr>
                <w:rFonts w:ascii="宋体" w:cs="宋体"/>
                <w:color w:val="auto"/>
                <w:kern w:val="0"/>
                <w:sz w:val="18"/>
                <w:szCs w:val="18"/>
                <w:highlight w:val="none"/>
              </w:rPr>
              <w:t>；</w:t>
            </w:r>
            <w:r>
              <w:rPr>
                <w:rFonts w:hint="eastAsia" w:ascii="宋体" w:cs="宋体"/>
                <w:color w:val="auto"/>
                <w:kern w:val="0"/>
                <w:sz w:val="18"/>
                <w:szCs w:val="18"/>
                <w:highlight w:val="none"/>
              </w:rPr>
              <w:t>通报事件详情展示</w:t>
            </w:r>
            <w:r>
              <w:rPr>
                <w:rFonts w:ascii="宋体" w:cs="宋体"/>
                <w:color w:val="auto"/>
                <w:kern w:val="0"/>
                <w:sz w:val="18"/>
                <w:szCs w:val="18"/>
                <w:highlight w:val="none"/>
              </w:rPr>
              <w:t>，</w:t>
            </w:r>
            <w:r>
              <w:rPr>
                <w:rFonts w:hint="eastAsia" w:ascii="宋体" w:cs="宋体"/>
                <w:color w:val="auto"/>
                <w:kern w:val="0"/>
                <w:sz w:val="18"/>
                <w:szCs w:val="18"/>
                <w:highlight w:val="none"/>
              </w:rPr>
              <w:t>可以针对任意事件进入查看详细的通报的业务开展详情，包括事件通报指令基本信息、基础信息、业务信息和阶段执行信息，能够明确指令各阶段预期完成时间、剩余时间和事件完成时间</w:t>
            </w:r>
            <w:r>
              <w:rPr>
                <w:rFonts w:ascii="宋体" w:cs="宋体"/>
                <w:color w:val="auto"/>
                <w:kern w:val="0"/>
                <w:sz w:val="18"/>
                <w:szCs w:val="18"/>
                <w:highlight w:val="none"/>
              </w:rPr>
              <w:t>；</w:t>
            </w:r>
          </w:p>
          <w:p w14:paraId="558D2342">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（9）</w:t>
            </w:r>
            <w:r>
              <w:rPr>
                <w:rFonts w:hint="eastAsia" w:ascii="宋体" w:cs="宋体"/>
                <w:color w:val="auto"/>
                <w:kern w:val="0"/>
                <w:sz w:val="18"/>
                <w:szCs w:val="18"/>
                <w:highlight w:val="none"/>
              </w:rPr>
              <w:t>受影响资源统计展示</w:t>
            </w:r>
            <w:r>
              <w:rPr>
                <w:rFonts w:ascii="宋体" w:cs="宋体"/>
                <w:color w:val="auto"/>
                <w:kern w:val="0"/>
                <w:sz w:val="18"/>
                <w:szCs w:val="18"/>
                <w:highlight w:val="none"/>
              </w:rPr>
              <w:t>：</w:t>
            </w:r>
            <w:r>
              <w:rPr>
                <w:rFonts w:hint="eastAsia" w:ascii="宋体" w:cs="宋体"/>
                <w:color w:val="auto"/>
                <w:kern w:val="0"/>
                <w:sz w:val="18"/>
                <w:szCs w:val="18"/>
                <w:highlight w:val="none"/>
              </w:rPr>
              <w:t>通过排行列表展示通报事件受影响资源Top10的统计情况</w:t>
            </w:r>
            <w:r>
              <w:rPr>
                <w:rFonts w:ascii="宋体" w:cs="宋体"/>
                <w:color w:val="auto"/>
                <w:kern w:val="0"/>
                <w:sz w:val="18"/>
                <w:szCs w:val="18"/>
                <w:highlight w:val="none"/>
              </w:rPr>
              <w:t>，实现从</w:t>
            </w:r>
            <w:r>
              <w:rPr>
                <w:rFonts w:hint="eastAsia" w:ascii="宋体" w:cs="宋体"/>
                <w:color w:val="auto"/>
                <w:kern w:val="0"/>
                <w:sz w:val="18"/>
                <w:szCs w:val="18"/>
                <w:highlight w:val="none"/>
              </w:rPr>
              <w:t>重要资产维度</w:t>
            </w:r>
            <w:r>
              <w:rPr>
                <w:rFonts w:ascii="宋体" w:cs="宋体"/>
                <w:color w:val="auto"/>
                <w:kern w:val="0"/>
                <w:sz w:val="18"/>
                <w:szCs w:val="18"/>
                <w:highlight w:val="none"/>
              </w:rPr>
              <w:t>、</w:t>
            </w:r>
            <w:r>
              <w:rPr>
                <w:rFonts w:hint="eastAsia" w:ascii="宋体" w:cs="宋体"/>
                <w:color w:val="auto"/>
                <w:kern w:val="0"/>
                <w:sz w:val="18"/>
                <w:szCs w:val="18"/>
                <w:highlight w:val="none"/>
              </w:rPr>
              <w:t>一般资产维度展示通报对象的分布情况</w:t>
            </w:r>
            <w:r>
              <w:rPr>
                <w:rFonts w:ascii="宋体" w:cs="宋体"/>
                <w:color w:val="auto"/>
                <w:kern w:val="0"/>
                <w:sz w:val="18"/>
                <w:szCs w:val="18"/>
                <w:highlight w:val="none"/>
              </w:rPr>
              <w:t>；</w:t>
            </w:r>
          </w:p>
          <w:p w14:paraId="1B68EC25">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（10）</w:t>
            </w:r>
            <w:r>
              <w:rPr>
                <w:rFonts w:hint="eastAsia" w:ascii="宋体" w:cs="宋体"/>
                <w:color w:val="auto"/>
                <w:kern w:val="0"/>
                <w:sz w:val="18"/>
                <w:szCs w:val="18"/>
                <w:highlight w:val="none"/>
              </w:rPr>
              <w:t>事件类型分布统计展示</w:t>
            </w:r>
            <w:r>
              <w:rPr>
                <w:rFonts w:ascii="宋体" w:cs="宋体"/>
                <w:color w:val="auto"/>
                <w:kern w:val="0"/>
                <w:sz w:val="18"/>
                <w:szCs w:val="18"/>
                <w:highlight w:val="none"/>
              </w:rPr>
              <w:t>：</w:t>
            </w:r>
            <w:r>
              <w:rPr>
                <w:rFonts w:hint="eastAsia" w:ascii="宋体" w:cs="宋体"/>
                <w:color w:val="auto"/>
                <w:kern w:val="0"/>
                <w:sz w:val="18"/>
                <w:szCs w:val="18"/>
                <w:highlight w:val="none"/>
              </w:rPr>
              <w:t>展示</w:t>
            </w:r>
            <w:r>
              <w:rPr>
                <w:rFonts w:ascii="宋体" w:cs="宋体"/>
                <w:color w:val="auto"/>
                <w:kern w:val="0"/>
                <w:sz w:val="18"/>
                <w:szCs w:val="18"/>
                <w:highlight w:val="none"/>
              </w:rPr>
              <w:t>通报</w:t>
            </w:r>
            <w:r>
              <w:rPr>
                <w:rFonts w:hint="eastAsia" w:ascii="宋体" w:cs="宋体"/>
                <w:color w:val="auto"/>
                <w:kern w:val="0"/>
                <w:sz w:val="18"/>
                <w:szCs w:val="18"/>
                <w:highlight w:val="none"/>
              </w:rPr>
              <w:t>安全事件类型</w:t>
            </w:r>
            <w:r>
              <w:rPr>
                <w:rFonts w:ascii="宋体" w:cs="宋体"/>
                <w:color w:val="auto"/>
                <w:kern w:val="0"/>
                <w:sz w:val="18"/>
                <w:szCs w:val="18"/>
                <w:highlight w:val="none"/>
              </w:rPr>
              <w:t>、区域</w:t>
            </w:r>
            <w:r>
              <w:rPr>
                <w:rFonts w:hint="eastAsia" w:ascii="宋体" w:cs="宋体"/>
                <w:color w:val="auto"/>
                <w:kern w:val="0"/>
                <w:sz w:val="18"/>
                <w:szCs w:val="18"/>
                <w:highlight w:val="none"/>
              </w:rPr>
              <w:t>占比，支持柱图/饼图/环形图切换</w:t>
            </w:r>
            <w:r>
              <w:rPr>
                <w:rFonts w:hint="eastAsia" w:ascii="宋体" w:cs="宋体"/>
                <w:color w:val="auto"/>
                <w:kern w:val="0"/>
                <w:sz w:val="18"/>
                <w:szCs w:val="18"/>
                <w:highlight w:val="none"/>
                <w:lang w:eastAsia="zh-CN"/>
              </w:rPr>
              <w:t>；</w:t>
            </w:r>
          </w:p>
          <w:p w14:paraId="55453FD4">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（11）</w:t>
            </w:r>
            <w:r>
              <w:rPr>
                <w:rFonts w:hint="eastAsia" w:ascii="宋体" w:cs="宋体"/>
                <w:color w:val="auto"/>
                <w:kern w:val="0"/>
                <w:sz w:val="18"/>
                <w:szCs w:val="18"/>
                <w:highlight w:val="none"/>
              </w:rPr>
              <w:t>行业通报次数展示</w:t>
            </w:r>
            <w:r>
              <w:rPr>
                <w:rFonts w:ascii="宋体" w:cs="宋体"/>
                <w:color w:val="auto"/>
                <w:kern w:val="0"/>
                <w:sz w:val="18"/>
                <w:szCs w:val="18"/>
                <w:highlight w:val="none"/>
              </w:rPr>
              <w:t>：</w:t>
            </w:r>
            <w:r>
              <w:rPr>
                <w:rFonts w:hint="eastAsia" w:ascii="宋体" w:cs="宋体"/>
                <w:color w:val="auto"/>
                <w:kern w:val="0"/>
                <w:sz w:val="18"/>
                <w:szCs w:val="18"/>
                <w:highlight w:val="none"/>
              </w:rPr>
              <w:t>通过排行列表展示行业通报次数TOP10</w:t>
            </w:r>
            <w:r>
              <w:rPr>
                <w:rFonts w:ascii="宋体" w:cs="宋体"/>
                <w:color w:val="auto"/>
                <w:kern w:val="0"/>
                <w:sz w:val="18"/>
                <w:szCs w:val="18"/>
                <w:highlight w:val="none"/>
              </w:rPr>
              <w:t>，实现</w:t>
            </w:r>
            <w:r>
              <w:rPr>
                <w:rFonts w:hint="eastAsia" w:ascii="宋体" w:cs="宋体"/>
                <w:color w:val="auto"/>
                <w:kern w:val="0"/>
                <w:sz w:val="18"/>
                <w:szCs w:val="18"/>
                <w:highlight w:val="none"/>
              </w:rPr>
              <w:t>以柱状图展示不同行业的通报次数，包括已下发通报次数、已反馈次数和已整改次数</w:t>
            </w:r>
            <w:r>
              <w:rPr>
                <w:rFonts w:ascii="宋体" w:cs="宋体"/>
                <w:color w:val="auto"/>
                <w:kern w:val="0"/>
                <w:sz w:val="18"/>
                <w:szCs w:val="18"/>
                <w:highlight w:val="none"/>
              </w:rPr>
              <w:t>；</w:t>
            </w:r>
            <w:r>
              <w:rPr>
                <w:rFonts w:hint="eastAsia" w:ascii="宋体" w:cs="宋体"/>
                <w:color w:val="auto"/>
                <w:kern w:val="0"/>
                <w:sz w:val="18"/>
                <w:szCs w:val="18"/>
                <w:highlight w:val="none"/>
              </w:rPr>
              <w:t>行业通报处置状态统计</w:t>
            </w:r>
            <w:r>
              <w:rPr>
                <w:rFonts w:ascii="宋体" w:cs="宋体"/>
                <w:color w:val="auto"/>
                <w:kern w:val="0"/>
                <w:sz w:val="18"/>
                <w:szCs w:val="18"/>
                <w:highlight w:val="none"/>
              </w:rPr>
              <w:t>，</w:t>
            </w:r>
            <w:r>
              <w:rPr>
                <w:rFonts w:hint="eastAsia" w:ascii="宋体" w:cs="宋体"/>
                <w:color w:val="auto"/>
                <w:kern w:val="0"/>
                <w:sz w:val="18"/>
                <w:szCs w:val="18"/>
                <w:highlight w:val="none"/>
              </w:rPr>
              <w:t>实时统计并展示行业通报的全流程处置状态，核心指标包括通报总量、分行业分布情况及已完成整改数量等关键数据，支持多维度查询与可视化分析</w:t>
            </w:r>
            <w:r>
              <w:rPr>
                <w:rFonts w:ascii="宋体" w:cs="宋体"/>
                <w:color w:val="auto"/>
                <w:kern w:val="0"/>
                <w:sz w:val="18"/>
                <w:szCs w:val="18"/>
                <w:highlight w:val="none"/>
              </w:rPr>
              <w:t>；</w:t>
            </w:r>
          </w:p>
          <w:p w14:paraId="32A7556D">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（12）</w:t>
            </w:r>
            <w:r>
              <w:rPr>
                <w:rFonts w:hint="eastAsia" w:ascii="宋体" w:cs="宋体"/>
                <w:color w:val="auto"/>
                <w:kern w:val="0"/>
                <w:sz w:val="18"/>
                <w:szCs w:val="18"/>
                <w:highlight w:val="none"/>
              </w:rPr>
              <w:t>单位被通报次数展示</w:t>
            </w:r>
            <w:r>
              <w:rPr>
                <w:rFonts w:ascii="宋体" w:cs="宋体"/>
                <w:color w:val="auto"/>
                <w:kern w:val="0"/>
                <w:sz w:val="18"/>
                <w:szCs w:val="18"/>
                <w:highlight w:val="none"/>
              </w:rPr>
              <w:t>：</w:t>
            </w:r>
            <w:r>
              <w:rPr>
                <w:rFonts w:hint="eastAsia" w:ascii="宋体" w:cs="宋体"/>
                <w:color w:val="auto"/>
                <w:kern w:val="0"/>
                <w:sz w:val="18"/>
                <w:szCs w:val="18"/>
                <w:highlight w:val="none"/>
              </w:rPr>
              <w:t>通过排行列表展示单位被通报次数TOP10；支持以实时滚动的形式展示不同单位的通报整改情况，包括通报数、未整改数和平均处置时长</w:t>
            </w:r>
            <w:r>
              <w:rPr>
                <w:rFonts w:ascii="宋体" w:cs="宋体"/>
                <w:color w:val="auto"/>
                <w:kern w:val="0"/>
                <w:sz w:val="18"/>
                <w:szCs w:val="18"/>
                <w:highlight w:val="none"/>
              </w:rPr>
              <w:t>；</w:t>
            </w:r>
          </w:p>
          <w:p w14:paraId="071EA02C">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（13）</w:t>
            </w:r>
            <w:r>
              <w:rPr>
                <w:rFonts w:hint="eastAsia" w:ascii="宋体" w:cs="宋体"/>
                <w:color w:val="auto"/>
                <w:kern w:val="0"/>
                <w:sz w:val="18"/>
                <w:szCs w:val="18"/>
                <w:highlight w:val="none"/>
              </w:rPr>
              <w:t>通报任务类型统计展示</w:t>
            </w:r>
            <w:r>
              <w:rPr>
                <w:rFonts w:ascii="宋体" w:cs="宋体"/>
                <w:color w:val="auto"/>
                <w:kern w:val="0"/>
                <w:sz w:val="18"/>
                <w:szCs w:val="18"/>
                <w:highlight w:val="none"/>
              </w:rPr>
              <w:t>：</w:t>
            </w:r>
            <w:r>
              <w:rPr>
                <w:rFonts w:hint="eastAsia" w:ascii="宋体" w:cs="宋体"/>
                <w:color w:val="auto"/>
                <w:kern w:val="0"/>
                <w:sz w:val="18"/>
                <w:szCs w:val="18"/>
                <w:highlight w:val="none"/>
              </w:rPr>
              <w:t>通过环形图展示通报任务类型统计情况；支持以环状图或饼状图的形式展示</w:t>
            </w:r>
            <w:r>
              <w:rPr>
                <w:rFonts w:ascii="宋体" w:cs="宋体"/>
                <w:color w:val="auto"/>
                <w:kern w:val="0"/>
                <w:sz w:val="18"/>
                <w:szCs w:val="18"/>
                <w:highlight w:val="none"/>
              </w:rPr>
              <w:t>处置专报和预警通报</w:t>
            </w:r>
            <w:r>
              <w:rPr>
                <w:rFonts w:hint="eastAsia" w:ascii="宋体" w:cs="宋体"/>
                <w:color w:val="auto"/>
                <w:kern w:val="0"/>
                <w:sz w:val="18"/>
                <w:szCs w:val="18"/>
                <w:highlight w:val="none"/>
              </w:rPr>
              <w:t>两种通报类型的占比</w:t>
            </w:r>
            <w:r>
              <w:rPr>
                <w:rFonts w:ascii="宋体" w:cs="宋体"/>
                <w:color w:val="auto"/>
                <w:kern w:val="0"/>
                <w:sz w:val="18"/>
                <w:szCs w:val="18"/>
                <w:highlight w:val="none"/>
              </w:rPr>
              <w:t>；</w:t>
            </w:r>
          </w:p>
          <w:p w14:paraId="5807686B">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（14）</w:t>
            </w:r>
            <w:r>
              <w:rPr>
                <w:rFonts w:hint="eastAsia" w:ascii="宋体" w:cs="宋体"/>
                <w:color w:val="auto"/>
                <w:kern w:val="0"/>
                <w:sz w:val="18"/>
                <w:szCs w:val="18"/>
                <w:highlight w:val="none"/>
              </w:rPr>
              <w:t>通报事件分布展示</w:t>
            </w:r>
            <w:r>
              <w:rPr>
                <w:rFonts w:ascii="宋体" w:cs="宋体"/>
                <w:color w:val="auto"/>
                <w:kern w:val="0"/>
                <w:sz w:val="18"/>
                <w:szCs w:val="18"/>
                <w:highlight w:val="none"/>
              </w:rPr>
              <w:t>：</w:t>
            </w:r>
            <w:r>
              <w:rPr>
                <w:rFonts w:hint="eastAsia" w:ascii="宋体" w:cs="宋体"/>
                <w:color w:val="auto"/>
                <w:kern w:val="0"/>
                <w:sz w:val="18"/>
                <w:szCs w:val="18"/>
                <w:highlight w:val="none"/>
              </w:rPr>
              <w:t>通过矩形图展示行业通报事件分布情况。行业告警数量排名，以矩形分布图展示行业名称、告警数量；行业通报数量排名，以矩形分布图展示行业名称、通报事件数量</w:t>
            </w:r>
            <w:r>
              <w:rPr>
                <w:rFonts w:ascii="宋体" w:cs="宋体"/>
                <w:color w:val="auto"/>
                <w:kern w:val="0"/>
                <w:sz w:val="18"/>
                <w:szCs w:val="18"/>
                <w:highlight w:val="none"/>
              </w:rPr>
              <w:t>。</w:t>
            </w:r>
          </w:p>
          <w:p w14:paraId="48C2ED0E">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2.处置展示模块：</w:t>
            </w:r>
          </w:p>
          <w:p w14:paraId="67383AEA">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（1）</w:t>
            </w:r>
            <w:r>
              <w:rPr>
                <w:rFonts w:hint="eastAsia" w:ascii="宋体" w:cs="宋体"/>
                <w:color w:val="auto"/>
                <w:kern w:val="0"/>
                <w:sz w:val="18"/>
                <w:szCs w:val="18"/>
                <w:highlight w:val="none"/>
              </w:rPr>
              <w:t>处置态势统计分析</w:t>
            </w:r>
            <w:r>
              <w:rPr>
                <w:rFonts w:ascii="宋体" w:cs="宋体"/>
                <w:color w:val="auto"/>
                <w:kern w:val="0"/>
                <w:sz w:val="18"/>
                <w:szCs w:val="18"/>
                <w:highlight w:val="none"/>
              </w:rPr>
              <w:t>：</w:t>
            </w:r>
            <w:r>
              <w:rPr>
                <w:rFonts w:hint="eastAsia" w:ascii="宋体" w:cs="宋体"/>
                <w:color w:val="auto"/>
                <w:kern w:val="0"/>
                <w:sz w:val="18"/>
                <w:szCs w:val="18"/>
                <w:highlight w:val="none"/>
              </w:rPr>
              <w:t>单位维度通报排名</w:t>
            </w:r>
            <w:r>
              <w:rPr>
                <w:rFonts w:ascii="宋体" w:cs="宋体"/>
                <w:color w:val="auto"/>
                <w:kern w:val="0"/>
                <w:sz w:val="18"/>
                <w:szCs w:val="18"/>
                <w:highlight w:val="none"/>
              </w:rPr>
              <w:t>，</w:t>
            </w:r>
            <w:r>
              <w:rPr>
                <w:rFonts w:hint="eastAsia" w:ascii="宋体" w:cs="宋体"/>
                <w:color w:val="auto"/>
                <w:kern w:val="0"/>
                <w:sz w:val="18"/>
                <w:szCs w:val="18"/>
                <w:highlight w:val="none"/>
              </w:rPr>
              <w:t>从被通报单位排名、通报整改率、通报整改效率等方面统计分析哪些单位被通报最多，哪些单位未及时整改，哪些通报整改效率低</w:t>
            </w:r>
            <w:r>
              <w:rPr>
                <w:rFonts w:ascii="宋体" w:cs="宋体"/>
                <w:color w:val="auto"/>
                <w:kern w:val="0"/>
                <w:sz w:val="18"/>
                <w:szCs w:val="18"/>
                <w:highlight w:val="none"/>
              </w:rPr>
              <w:t>；</w:t>
            </w:r>
            <w:r>
              <w:rPr>
                <w:rFonts w:hint="eastAsia" w:ascii="宋体" w:cs="宋体"/>
                <w:color w:val="auto"/>
                <w:kern w:val="0"/>
                <w:sz w:val="18"/>
                <w:szCs w:val="18"/>
                <w:highlight w:val="none"/>
              </w:rPr>
              <w:t>指定时间的处置效率</w:t>
            </w:r>
            <w:r>
              <w:rPr>
                <w:rFonts w:ascii="宋体" w:cs="宋体"/>
                <w:color w:val="auto"/>
                <w:kern w:val="0"/>
                <w:sz w:val="18"/>
                <w:szCs w:val="18"/>
                <w:highlight w:val="none"/>
              </w:rPr>
              <w:t>，</w:t>
            </w:r>
            <w:r>
              <w:rPr>
                <w:rFonts w:hint="eastAsia" w:ascii="宋体" w:cs="宋体"/>
                <w:color w:val="auto"/>
                <w:kern w:val="0"/>
                <w:sz w:val="18"/>
                <w:szCs w:val="18"/>
                <w:highlight w:val="none"/>
              </w:rPr>
              <w:t>针对指定时间内的指令执行的效能进行整体分析，包括指令完成率、按时完成率、执行超时率、验证驳回率、平均完成时间、按时完成统计、执行超时统计、执行催办统计等</w:t>
            </w:r>
            <w:r>
              <w:rPr>
                <w:rFonts w:ascii="宋体" w:cs="宋体"/>
                <w:color w:val="auto"/>
                <w:kern w:val="0"/>
                <w:sz w:val="18"/>
                <w:szCs w:val="18"/>
                <w:highlight w:val="none"/>
              </w:rPr>
              <w:t>；</w:t>
            </w:r>
          </w:p>
          <w:p w14:paraId="3064ACD6">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区域处置情况展示</w:t>
            </w:r>
            <w:r>
              <w:rPr>
                <w:rFonts w:ascii="宋体" w:cs="宋体"/>
                <w:color w:val="auto"/>
                <w:kern w:val="0"/>
                <w:sz w:val="18"/>
                <w:szCs w:val="18"/>
                <w:highlight w:val="none"/>
              </w:rPr>
              <w:t>：</w:t>
            </w:r>
            <w:r>
              <w:rPr>
                <w:rFonts w:hint="eastAsia" w:ascii="宋体" w:cs="宋体"/>
                <w:color w:val="auto"/>
                <w:kern w:val="0"/>
                <w:sz w:val="18"/>
                <w:szCs w:val="18"/>
                <w:highlight w:val="none"/>
              </w:rPr>
              <w:t>地图展示处置情况</w:t>
            </w:r>
            <w:r>
              <w:rPr>
                <w:rFonts w:ascii="宋体" w:cs="宋体"/>
                <w:color w:val="auto"/>
                <w:kern w:val="0"/>
                <w:sz w:val="18"/>
                <w:szCs w:val="18"/>
                <w:highlight w:val="none"/>
              </w:rPr>
              <w:t>，</w:t>
            </w:r>
            <w:r>
              <w:rPr>
                <w:rFonts w:hint="eastAsia" w:ascii="宋体" w:cs="宋体"/>
                <w:color w:val="auto"/>
                <w:kern w:val="0"/>
                <w:sz w:val="18"/>
                <w:szCs w:val="18"/>
                <w:highlight w:val="none"/>
              </w:rPr>
              <w:t>通过地图展示区域处置情况，展示自治区处置效率分布。指定区域的处置效率</w:t>
            </w:r>
            <w:r>
              <w:rPr>
                <w:rFonts w:ascii="宋体" w:cs="宋体"/>
                <w:color w:val="auto"/>
                <w:kern w:val="0"/>
                <w:sz w:val="18"/>
                <w:szCs w:val="18"/>
                <w:highlight w:val="none"/>
              </w:rPr>
              <w:t>，</w:t>
            </w:r>
            <w:r>
              <w:rPr>
                <w:rFonts w:hint="eastAsia" w:ascii="宋体" w:cs="宋体"/>
                <w:color w:val="auto"/>
                <w:kern w:val="0"/>
                <w:sz w:val="18"/>
                <w:szCs w:val="18"/>
                <w:highlight w:val="none"/>
              </w:rPr>
              <w:t>针对指定区域内的指令执行的效能进行整体分析，包括指令完成率、按时完成率、执行超时率、验证驳回率、平均完成时间、按时完成统计、执行超时统计、执行催办统计等</w:t>
            </w:r>
            <w:r>
              <w:rPr>
                <w:rFonts w:ascii="宋体" w:cs="宋体"/>
                <w:color w:val="auto"/>
                <w:kern w:val="0"/>
                <w:sz w:val="18"/>
                <w:szCs w:val="18"/>
                <w:highlight w:val="none"/>
              </w:rPr>
              <w:t>；</w:t>
            </w:r>
          </w:p>
          <w:p w14:paraId="56CF91FC">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处置整改率展示</w:t>
            </w:r>
            <w:r>
              <w:rPr>
                <w:rFonts w:ascii="宋体" w:cs="宋体"/>
                <w:color w:val="auto"/>
                <w:kern w:val="0"/>
                <w:sz w:val="18"/>
                <w:szCs w:val="18"/>
                <w:highlight w:val="none"/>
              </w:rPr>
              <w:t>：</w:t>
            </w:r>
            <w:r>
              <w:rPr>
                <w:rFonts w:hint="eastAsia" w:ascii="宋体" w:cs="宋体"/>
                <w:color w:val="auto"/>
                <w:kern w:val="0"/>
                <w:sz w:val="18"/>
                <w:szCs w:val="18"/>
                <w:highlight w:val="none"/>
              </w:rPr>
              <w:t>整体整改率统计</w:t>
            </w:r>
            <w:r>
              <w:rPr>
                <w:rFonts w:ascii="宋体" w:cs="宋体"/>
                <w:color w:val="auto"/>
                <w:kern w:val="0"/>
                <w:sz w:val="18"/>
                <w:szCs w:val="18"/>
                <w:highlight w:val="none"/>
              </w:rPr>
              <w:t>，</w:t>
            </w:r>
            <w:r>
              <w:rPr>
                <w:rFonts w:hint="eastAsia" w:ascii="宋体" w:cs="宋体"/>
                <w:color w:val="auto"/>
                <w:kern w:val="0"/>
                <w:sz w:val="18"/>
                <w:szCs w:val="18"/>
                <w:highlight w:val="none"/>
              </w:rPr>
              <w:t>通过展示当前自治区已下发通报数量，已处置情况，自治区整体处置整改率。处置进展信息呈现</w:t>
            </w:r>
            <w:r>
              <w:rPr>
                <w:rFonts w:ascii="宋体" w:cs="宋体"/>
                <w:color w:val="auto"/>
                <w:kern w:val="0"/>
                <w:sz w:val="18"/>
                <w:szCs w:val="18"/>
                <w:highlight w:val="none"/>
              </w:rPr>
              <w:t>，</w:t>
            </w:r>
            <w:r>
              <w:rPr>
                <w:rFonts w:hint="eastAsia" w:ascii="宋体" w:cs="宋体"/>
                <w:color w:val="auto"/>
                <w:kern w:val="0"/>
                <w:sz w:val="18"/>
                <w:szCs w:val="18"/>
                <w:highlight w:val="none"/>
              </w:rPr>
              <w:t>实现对于通报指令流程的每一个环节的执行信息呈现，包括每一个指令流程环节的执行方、执行状态、执行时间、延期状态和操作等</w:t>
            </w:r>
            <w:r>
              <w:rPr>
                <w:rFonts w:ascii="宋体" w:cs="宋体"/>
                <w:color w:val="auto"/>
                <w:kern w:val="0"/>
                <w:sz w:val="18"/>
                <w:szCs w:val="18"/>
                <w:highlight w:val="none"/>
              </w:rPr>
              <w:t>；</w:t>
            </w:r>
          </w:p>
          <w:p w14:paraId="36563348">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通报单位处置排名展示</w:t>
            </w:r>
            <w:r>
              <w:rPr>
                <w:rFonts w:ascii="宋体" w:cs="宋体"/>
                <w:color w:val="auto"/>
                <w:kern w:val="0"/>
                <w:sz w:val="18"/>
                <w:szCs w:val="18"/>
                <w:highlight w:val="none"/>
              </w:rPr>
              <w:t>：</w:t>
            </w:r>
            <w:r>
              <w:rPr>
                <w:rFonts w:hint="eastAsia" w:ascii="宋体" w:cs="宋体"/>
                <w:color w:val="auto"/>
                <w:kern w:val="0"/>
                <w:sz w:val="18"/>
                <w:szCs w:val="18"/>
                <w:highlight w:val="none"/>
              </w:rPr>
              <w:t>单位通报详情</w:t>
            </w:r>
            <w:r>
              <w:rPr>
                <w:rFonts w:ascii="宋体" w:cs="宋体"/>
                <w:color w:val="auto"/>
                <w:kern w:val="0"/>
                <w:sz w:val="18"/>
                <w:szCs w:val="18"/>
                <w:highlight w:val="none"/>
              </w:rPr>
              <w:t>，</w:t>
            </w:r>
            <w:r>
              <w:rPr>
                <w:rFonts w:hint="eastAsia" w:ascii="宋体" w:cs="宋体"/>
                <w:color w:val="auto"/>
                <w:kern w:val="0"/>
                <w:sz w:val="18"/>
                <w:szCs w:val="18"/>
                <w:highlight w:val="none"/>
              </w:rPr>
              <w:t>通过排行列表展示通报单位排名情况，</w:t>
            </w:r>
            <w:r>
              <w:rPr>
                <w:rFonts w:ascii="宋体" w:cs="宋体"/>
                <w:color w:val="auto"/>
                <w:kern w:val="0"/>
                <w:sz w:val="18"/>
                <w:szCs w:val="18"/>
                <w:highlight w:val="none"/>
              </w:rPr>
              <w:t>实现</w:t>
            </w:r>
            <w:r>
              <w:rPr>
                <w:rFonts w:hint="eastAsia" w:ascii="宋体" w:cs="宋体"/>
                <w:color w:val="auto"/>
                <w:kern w:val="0"/>
                <w:sz w:val="18"/>
                <w:szCs w:val="18"/>
                <w:highlight w:val="none"/>
              </w:rPr>
              <w:t>下钻查看单位详情，查看各通报单位通报数量、处置整改情况等</w:t>
            </w:r>
            <w:r>
              <w:rPr>
                <w:rFonts w:ascii="宋体" w:cs="宋体"/>
                <w:color w:val="auto"/>
                <w:kern w:val="0"/>
                <w:sz w:val="18"/>
                <w:szCs w:val="18"/>
                <w:highlight w:val="none"/>
              </w:rPr>
              <w:t>。</w:t>
            </w:r>
            <w:r>
              <w:rPr>
                <w:rFonts w:hint="eastAsia" w:ascii="宋体" w:cs="宋体"/>
                <w:color w:val="auto"/>
                <w:kern w:val="0"/>
                <w:sz w:val="18"/>
                <w:szCs w:val="18"/>
                <w:highlight w:val="none"/>
              </w:rPr>
              <w:t>处置操作记录</w:t>
            </w:r>
            <w:r>
              <w:rPr>
                <w:rFonts w:ascii="宋体" w:cs="宋体"/>
                <w:color w:val="auto"/>
                <w:kern w:val="0"/>
                <w:sz w:val="18"/>
                <w:szCs w:val="18"/>
                <w:highlight w:val="none"/>
              </w:rPr>
              <w:t>，</w:t>
            </w:r>
            <w:r>
              <w:rPr>
                <w:rFonts w:hint="eastAsia" w:ascii="宋体" w:cs="宋体"/>
                <w:color w:val="auto"/>
                <w:kern w:val="0"/>
                <w:sz w:val="18"/>
                <w:szCs w:val="18"/>
                <w:highlight w:val="none"/>
              </w:rPr>
              <w:t>处置进展记录通报指令的状态流转操作，包括操作时间、角色、用户、操作、操作结果和操作内容</w:t>
            </w:r>
            <w:r>
              <w:rPr>
                <w:rFonts w:ascii="宋体" w:cs="宋体"/>
                <w:color w:val="auto"/>
                <w:kern w:val="0"/>
                <w:sz w:val="18"/>
                <w:szCs w:val="18"/>
                <w:highlight w:val="none"/>
              </w:rPr>
              <w:t>；</w:t>
            </w:r>
          </w:p>
          <w:p w14:paraId="6073B465">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通报处置趋势展示</w:t>
            </w:r>
            <w:r>
              <w:rPr>
                <w:rFonts w:ascii="宋体" w:cs="宋体"/>
                <w:color w:val="auto"/>
                <w:kern w:val="0"/>
                <w:sz w:val="18"/>
                <w:szCs w:val="18"/>
                <w:highlight w:val="none"/>
              </w:rPr>
              <w:t>：</w:t>
            </w:r>
            <w:r>
              <w:rPr>
                <w:rFonts w:hint="eastAsia" w:ascii="宋体" w:cs="宋体"/>
                <w:color w:val="auto"/>
                <w:kern w:val="0"/>
                <w:sz w:val="18"/>
                <w:szCs w:val="18"/>
                <w:highlight w:val="none"/>
              </w:rPr>
              <w:t>按照时间维度展示通报</w:t>
            </w:r>
            <w:r>
              <w:rPr>
                <w:rFonts w:ascii="宋体" w:cs="宋体"/>
                <w:color w:val="auto"/>
                <w:kern w:val="0"/>
                <w:sz w:val="18"/>
                <w:szCs w:val="18"/>
                <w:highlight w:val="none"/>
              </w:rPr>
              <w:t>情况</w:t>
            </w:r>
            <w:r>
              <w:rPr>
                <w:rFonts w:hint="eastAsia" w:ascii="宋体" w:cs="宋体"/>
                <w:color w:val="auto"/>
                <w:kern w:val="0"/>
                <w:sz w:val="18"/>
                <w:szCs w:val="18"/>
                <w:highlight w:val="none"/>
              </w:rPr>
              <w:t>及处置</w:t>
            </w:r>
            <w:r>
              <w:rPr>
                <w:rFonts w:ascii="宋体" w:cs="宋体"/>
                <w:color w:val="auto"/>
                <w:kern w:val="0"/>
                <w:sz w:val="18"/>
                <w:szCs w:val="18"/>
                <w:highlight w:val="none"/>
              </w:rPr>
              <w:t>情况</w:t>
            </w:r>
            <w:r>
              <w:rPr>
                <w:rFonts w:hint="eastAsia" w:ascii="宋体" w:cs="宋体"/>
                <w:color w:val="auto"/>
                <w:kern w:val="0"/>
                <w:sz w:val="18"/>
                <w:szCs w:val="18"/>
                <w:highlight w:val="none"/>
              </w:rPr>
              <w:t>变化趋势。</w:t>
            </w:r>
            <w:r>
              <w:rPr>
                <w:rFonts w:ascii="宋体" w:cs="宋体"/>
                <w:color w:val="auto"/>
                <w:kern w:val="0"/>
                <w:sz w:val="18"/>
                <w:szCs w:val="18"/>
                <w:highlight w:val="none"/>
              </w:rPr>
              <w:t>实现</w:t>
            </w:r>
            <w:r>
              <w:rPr>
                <w:rFonts w:hint="eastAsia" w:ascii="宋体" w:cs="宋体"/>
                <w:color w:val="auto"/>
                <w:kern w:val="0"/>
                <w:sz w:val="18"/>
                <w:szCs w:val="18"/>
                <w:highlight w:val="none"/>
              </w:rPr>
              <w:t>对发出的通报指令进行检索，包括创建时间、指令编号、指令类型、指令等级、指令内容等，支持检索字段的自定义配置，同时支持指令标题、指令内容、指令编号、指令标签进行关键字模糊匹配的检索。</w:t>
            </w:r>
          </w:p>
          <w:p w14:paraId="6601F713">
            <w:pPr>
              <w:ind w:firstLine="360" w:firstLineChars="200"/>
              <w:rPr>
                <w:rFonts w:ascii="宋体" w:cs="宋体"/>
                <w:color w:val="auto"/>
                <w:kern w:val="0"/>
                <w:sz w:val="18"/>
                <w:szCs w:val="18"/>
                <w:highlight w:val="none"/>
              </w:rPr>
            </w:pPr>
            <w:r>
              <w:rPr>
                <w:rFonts w:ascii="宋体" w:cs="宋体"/>
                <w:color w:val="auto"/>
                <w:kern w:val="0"/>
                <w:sz w:val="18"/>
                <w:szCs w:val="18"/>
                <w:highlight w:val="none"/>
              </w:rPr>
              <w:t>3.考核排名展示模块：</w:t>
            </w:r>
          </w:p>
          <w:p w14:paraId="28660004">
            <w:pPr>
              <w:ind w:firstLine="360" w:firstLineChars="200"/>
              <w:rPr>
                <w:rFonts w:ascii="宋体" w:cs="宋体"/>
                <w:color w:val="auto"/>
                <w:kern w:val="0"/>
                <w:sz w:val="18"/>
                <w:szCs w:val="18"/>
                <w:highlight w:val="none"/>
              </w:rPr>
            </w:pPr>
            <w:r>
              <w:rPr>
                <w:rFonts w:ascii="宋体" w:cs="宋体"/>
                <w:color w:val="auto"/>
                <w:kern w:val="0"/>
                <w:sz w:val="18"/>
                <w:szCs w:val="18"/>
                <w:highlight w:val="none"/>
              </w:rPr>
              <w:t>（1）</w:t>
            </w:r>
            <w:r>
              <w:rPr>
                <w:rFonts w:hint="eastAsia" w:ascii="宋体" w:cs="宋体"/>
                <w:color w:val="auto"/>
                <w:kern w:val="0"/>
                <w:sz w:val="18"/>
                <w:szCs w:val="18"/>
                <w:highlight w:val="none"/>
              </w:rPr>
              <w:t>评估考核模块</w:t>
            </w:r>
            <w:r>
              <w:rPr>
                <w:rFonts w:ascii="宋体" w:cs="宋体"/>
                <w:color w:val="auto"/>
                <w:kern w:val="0"/>
                <w:sz w:val="18"/>
                <w:szCs w:val="18"/>
                <w:highlight w:val="none"/>
              </w:rPr>
              <w:t>：</w:t>
            </w:r>
            <w:r>
              <w:rPr>
                <w:rFonts w:hint="eastAsia" w:ascii="宋体" w:cs="宋体"/>
                <w:color w:val="auto"/>
                <w:kern w:val="0"/>
                <w:sz w:val="18"/>
                <w:szCs w:val="18"/>
                <w:highlight w:val="none"/>
              </w:rPr>
              <w:t>为了适应各级管理者对区直单位和地市不同角度和高度的关注点，对各地市、区直单位从安全建设、安全管理、安全运营及安全效果四个方面进行评估考核，并对结果进行分层级统计分析。通过考核评估能够提升网络安全业务管理和工作的有效性，及时调整和优化安全工作方向、重心和内容，从而实现网络安全责任到人、目标明确、工作闭环，确保重要系统的稳定、可靠、安全</w:t>
            </w:r>
            <w:r>
              <w:rPr>
                <w:rFonts w:hint="eastAsia" w:ascii="宋体" w:cs="宋体"/>
                <w:color w:val="auto"/>
                <w:kern w:val="0"/>
                <w:sz w:val="18"/>
                <w:szCs w:val="18"/>
                <w:highlight w:val="none"/>
                <w:lang w:val="en-US" w:eastAsia="zh-CN"/>
              </w:rPr>
              <w:t>地</w:t>
            </w:r>
            <w:r>
              <w:rPr>
                <w:rFonts w:hint="eastAsia" w:ascii="宋体" w:cs="宋体"/>
                <w:color w:val="auto"/>
                <w:kern w:val="0"/>
                <w:sz w:val="18"/>
                <w:szCs w:val="18"/>
                <w:highlight w:val="none"/>
              </w:rPr>
              <w:t>运行</w:t>
            </w:r>
            <w:r>
              <w:rPr>
                <w:rFonts w:ascii="宋体" w:cs="宋体"/>
                <w:color w:val="auto"/>
                <w:kern w:val="0"/>
                <w:sz w:val="18"/>
                <w:szCs w:val="18"/>
                <w:highlight w:val="none"/>
              </w:rPr>
              <w:t>；</w:t>
            </w:r>
          </w:p>
          <w:p w14:paraId="4751F54E">
            <w:pPr>
              <w:ind w:firstLine="360" w:firstLineChars="200"/>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考核排名态势总览宏观视图</w:t>
            </w:r>
            <w:r>
              <w:rPr>
                <w:rFonts w:ascii="宋体" w:cs="宋体"/>
                <w:color w:val="auto"/>
                <w:kern w:val="0"/>
                <w:sz w:val="18"/>
                <w:szCs w:val="18"/>
                <w:highlight w:val="none"/>
              </w:rPr>
              <w:t>：</w:t>
            </w:r>
            <w:r>
              <w:rPr>
                <w:rFonts w:hint="eastAsia" w:ascii="宋体" w:cs="宋体"/>
                <w:color w:val="auto"/>
                <w:kern w:val="0"/>
                <w:sz w:val="18"/>
                <w:szCs w:val="18"/>
                <w:highlight w:val="none"/>
              </w:rPr>
              <w:t>全区一级指标综合打分排名展示。全自治区考核排名</w:t>
            </w:r>
            <w:r>
              <w:rPr>
                <w:rFonts w:ascii="宋体" w:cs="宋体"/>
                <w:color w:val="auto"/>
                <w:kern w:val="0"/>
                <w:sz w:val="18"/>
                <w:szCs w:val="18"/>
                <w:highlight w:val="none"/>
              </w:rPr>
              <w:t>，</w:t>
            </w:r>
            <w:r>
              <w:rPr>
                <w:rFonts w:hint="eastAsia" w:ascii="宋体" w:cs="宋体"/>
                <w:color w:val="auto"/>
                <w:kern w:val="0"/>
                <w:sz w:val="18"/>
                <w:szCs w:val="18"/>
                <w:highlight w:val="none"/>
              </w:rPr>
              <w:t>针对全自治区被考核对象按照考核周期进行TOPN排名。</w:t>
            </w:r>
            <w:r>
              <w:rPr>
                <w:rFonts w:ascii="宋体" w:cs="宋体"/>
                <w:color w:val="auto"/>
                <w:kern w:val="0"/>
                <w:sz w:val="18"/>
                <w:szCs w:val="18"/>
                <w:highlight w:val="none"/>
              </w:rPr>
              <w:t>展示内容包括</w:t>
            </w:r>
            <w:r>
              <w:rPr>
                <w:rFonts w:hint="eastAsia" w:ascii="宋体" w:cs="宋体"/>
                <w:color w:val="auto"/>
                <w:kern w:val="0"/>
                <w:sz w:val="18"/>
                <w:szCs w:val="18"/>
                <w:highlight w:val="none"/>
              </w:rPr>
              <w:t>被考核单位总数、考核自评权重、考核主评权重、考核指标的数量、综合评分最高单位展示、综合评分最低单位展示</w:t>
            </w:r>
            <w:r>
              <w:rPr>
                <w:rFonts w:ascii="宋体" w:cs="宋体"/>
                <w:color w:val="auto"/>
                <w:kern w:val="0"/>
                <w:sz w:val="18"/>
                <w:szCs w:val="18"/>
                <w:highlight w:val="none"/>
              </w:rPr>
              <w:t>；</w:t>
            </w:r>
          </w:p>
          <w:p w14:paraId="48228193">
            <w:pPr>
              <w:ind w:firstLine="360" w:firstLineChars="200"/>
              <w:rPr>
                <w:rFonts w:hint="eastAsia"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考核排名态势总览二层视图</w:t>
            </w:r>
            <w:r>
              <w:rPr>
                <w:rFonts w:ascii="宋体" w:cs="宋体"/>
                <w:color w:val="auto"/>
                <w:kern w:val="0"/>
                <w:sz w:val="18"/>
                <w:szCs w:val="18"/>
                <w:highlight w:val="none"/>
              </w:rPr>
              <w:t>：</w:t>
            </w:r>
            <w:r>
              <w:rPr>
                <w:rFonts w:hint="eastAsia" w:ascii="宋体" w:cs="宋体"/>
                <w:color w:val="auto"/>
                <w:kern w:val="0"/>
                <w:sz w:val="18"/>
                <w:szCs w:val="18"/>
                <w:highlight w:val="none"/>
              </w:rPr>
              <w:t>全区二级指标展开视图。指标删除</w:t>
            </w:r>
            <w:r>
              <w:rPr>
                <w:rFonts w:ascii="宋体" w:cs="宋体"/>
                <w:color w:val="auto"/>
                <w:kern w:val="0"/>
                <w:sz w:val="18"/>
                <w:szCs w:val="18"/>
                <w:highlight w:val="none"/>
              </w:rPr>
              <w:t>，</w:t>
            </w:r>
            <w:r>
              <w:rPr>
                <w:rFonts w:hint="eastAsia" w:ascii="宋体" w:cs="宋体"/>
                <w:color w:val="auto"/>
                <w:kern w:val="0"/>
                <w:sz w:val="18"/>
                <w:szCs w:val="18"/>
                <w:highlight w:val="none"/>
              </w:rPr>
              <w:t>支持选择一个或多个考核指标，并进行删除和批量删除操作</w:t>
            </w:r>
            <w:r>
              <w:rPr>
                <w:rFonts w:ascii="宋体" w:cs="宋体"/>
                <w:color w:val="auto"/>
                <w:kern w:val="0"/>
                <w:sz w:val="18"/>
                <w:szCs w:val="18"/>
                <w:highlight w:val="none"/>
              </w:rPr>
              <w:t>。</w:t>
            </w:r>
            <w:r>
              <w:rPr>
                <w:rFonts w:hint="eastAsia" w:ascii="宋体" w:cs="宋体"/>
                <w:color w:val="auto"/>
                <w:kern w:val="0"/>
                <w:sz w:val="18"/>
                <w:szCs w:val="18"/>
                <w:highlight w:val="none"/>
              </w:rPr>
              <w:t>指标导出</w:t>
            </w:r>
            <w:r>
              <w:rPr>
                <w:rFonts w:ascii="宋体" w:cs="宋体"/>
                <w:color w:val="auto"/>
                <w:kern w:val="0"/>
                <w:sz w:val="18"/>
                <w:szCs w:val="18"/>
                <w:highlight w:val="none"/>
              </w:rPr>
              <w:t>，</w:t>
            </w:r>
            <w:r>
              <w:rPr>
                <w:rFonts w:hint="eastAsia" w:ascii="宋体" w:cs="宋体"/>
                <w:color w:val="auto"/>
                <w:kern w:val="0"/>
                <w:sz w:val="18"/>
                <w:szCs w:val="18"/>
                <w:highlight w:val="none"/>
              </w:rPr>
              <w:t>支持将考核指标所有指标项目进行导出，以便进行数据分析和处理。指标导入</w:t>
            </w:r>
            <w:r>
              <w:rPr>
                <w:rFonts w:ascii="宋体" w:cs="宋体"/>
                <w:color w:val="auto"/>
                <w:kern w:val="0"/>
                <w:sz w:val="18"/>
                <w:szCs w:val="18"/>
                <w:highlight w:val="none"/>
              </w:rPr>
              <w:t>，实现</w:t>
            </w:r>
            <w:r>
              <w:rPr>
                <w:rFonts w:hint="eastAsia" w:ascii="宋体" w:cs="宋体"/>
                <w:color w:val="auto"/>
                <w:kern w:val="0"/>
                <w:sz w:val="18"/>
                <w:szCs w:val="18"/>
                <w:highlight w:val="none"/>
              </w:rPr>
              <w:t>根据模板格式上传导入文件，快速添加大量考核指标</w:t>
            </w:r>
            <w:r>
              <w:rPr>
                <w:rFonts w:ascii="宋体" w:cs="宋体"/>
                <w:color w:val="auto"/>
                <w:kern w:val="0"/>
                <w:sz w:val="18"/>
                <w:szCs w:val="18"/>
                <w:highlight w:val="none"/>
              </w:rPr>
              <w:t>，实现</w:t>
            </w:r>
            <w:r>
              <w:rPr>
                <w:rFonts w:hint="eastAsia" w:ascii="宋体" w:cs="宋体"/>
                <w:color w:val="auto"/>
                <w:kern w:val="0"/>
                <w:sz w:val="18"/>
                <w:szCs w:val="18"/>
                <w:highlight w:val="none"/>
              </w:rPr>
              <w:t>下载考核指标导入模板，填写相关内容并进行导入操作</w:t>
            </w:r>
            <w:r>
              <w:rPr>
                <w:rFonts w:ascii="宋体" w:cs="宋体"/>
                <w:color w:val="auto"/>
                <w:kern w:val="0"/>
                <w:sz w:val="18"/>
                <w:szCs w:val="18"/>
                <w:highlight w:val="none"/>
              </w:rPr>
              <w:t>，</w:t>
            </w:r>
            <w:r>
              <w:rPr>
                <w:rFonts w:hint="eastAsia" w:ascii="宋体" w:cs="宋体"/>
                <w:color w:val="auto"/>
                <w:kern w:val="0"/>
                <w:sz w:val="18"/>
                <w:szCs w:val="18"/>
                <w:highlight w:val="none"/>
              </w:rPr>
              <w:t>模板包括以下内容：考核类型、考核内容、考核项、考核指标明细、评分规则</w:t>
            </w:r>
            <w:r>
              <w:rPr>
                <w:rFonts w:ascii="宋体" w:cs="宋体"/>
                <w:color w:val="auto"/>
                <w:kern w:val="0"/>
                <w:sz w:val="18"/>
                <w:szCs w:val="18"/>
                <w:highlight w:val="none"/>
              </w:rPr>
              <w:t>。</w:t>
            </w:r>
            <w:r>
              <w:rPr>
                <w:rFonts w:hint="eastAsia" w:ascii="宋体" w:cs="宋体"/>
                <w:color w:val="auto"/>
                <w:kern w:val="0"/>
                <w:sz w:val="18"/>
                <w:szCs w:val="18"/>
                <w:highlight w:val="none"/>
              </w:rPr>
              <w:t>指标编辑</w:t>
            </w:r>
            <w:r>
              <w:rPr>
                <w:rFonts w:ascii="宋体" w:cs="宋体"/>
                <w:color w:val="auto"/>
                <w:kern w:val="0"/>
                <w:sz w:val="18"/>
                <w:szCs w:val="18"/>
                <w:highlight w:val="none"/>
              </w:rPr>
              <w:t>，实现</w:t>
            </w:r>
            <w:r>
              <w:rPr>
                <w:rFonts w:hint="eastAsia" w:ascii="宋体" w:cs="宋体"/>
                <w:color w:val="auto"/>
                <w:kern w:val="0"/>
                <w:sz w:val="18"/>
                <w:szCs w:val="18"/>
                <w:highlight w:val="none"/>
              </w:rPr>
              <w:t>对考核指标进行编辑操作，以便更好地管理和评估目前整体工作情况，包括考核指标、考核内容、考核项、评分规则等，从而能够更好地评估工作表现和制定相应的管理策略。</w:t>
            </w:r>
          </w:p>
          <w:p w14:paraId="67612975">
            <w:pPr>
              <w:widowControl/>
              <w:ind w:firstLine="360" w:firstLineChars="200"/>
              <w:rPr>
                <w:rFonts w:hint="eastAsia"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考核排名态势总览微观视图</w:t>
            </w:r>
            <w:r>
              <w:rPr>
                <w:rFonts w:ascii="宋体" w:cs="宋体"/>
                <w:color w:val="auto"/>
                <w:kern w:val="0"/>
                <w:sz w:val="18"/>
                <w:szCs w:val="18"/>
                <w:highlight w:val="none"/>
              </w:rPr>
              <w:t>：</w:t>
            </w:r>
            <w:r>
              <w:rPr>
                <w:rFonts w:hint="eastAsia" w:ascii="宋体" w:cs="宋体"/>
                <w:color w:val="auto"/>
                <w:kern w:val="0"/>
                <w:sz w:val="18"/>
                <w:szCs w:val="18"/>
                <w:highlight w:val="none"/>
              </w:rPr>
              <w:t>针对某一个地市或者某一个单位的各类指标分析展示</w:t>
            </w:r>
            <w:r>
              <w:rPr>
                <w:rFonts w:ascii="宋体" w:cs="宋体"/>
                <w:color w:val="auto"/>
                <w:kern w:val="0"/>
                <w:sz w:val="18"/>
                <w:szCs w:val="18"/>
                <w:highlight w:val="none"/>
              </w:rPr>
              <w:t>，实现</w:t>
            </w:r>
            <w:r>
              <w:rPr>
                <w:rFonts w:hint="eastAsia" w:ascii="宋体" w:cs="宋体"/>
                <w:color w:val="auto"/>
                <w:kern w:val="0"/>
                <w:sz w:val="18"/>
                <w:szCs w:val="18"/>
                <w:highlight w:val="none"/>
              </w:rPr>
              <w:t>设置指标项，包括引用模板、自评权重设置、主评权重设置等功能；能够对目前已有的模板进行筛选，并根据需要进行自评分的权重设置和主观评分权重设置。考核自评</w:t>
            </w:r>
            <w:r>
              <w:rPr>
                <w:rFonts w:ascii="宋体" w:cs="宋体"/>
                <w:color w:val="auto"/>
                <w:kern w:val="0"/>
                <w:sz w:val="18"/>
                <w:szCs w:val="18"/>
                <w:highlight w:val="none"/>
              </w:rPr>
              <w:t>，</w:t>
            </w:r>
            <w:r>
              <w:rPr>
                <w:rFonts w:hint="eastAsia" w:ascii="宋体" w:cs="宋体"/>
                <w:color w:val="auto"/>
                <w:kern w:val="0"/>
                <w:sz w:val="18"/>
                <w:szCs w:val="18"/>
                <w:highlight w:val="none"/>
              </w:rPr>
              <w:t>在考核评分管理功能中，能够对目前考核指标项进行自评打分，填写自评分数、自评情况反馈，保存自评后进入审核流程。考核复评</w:t>
            </w:r>
            <w:r>
              <w:rPr>
                <w:rFonts w:ascii="宋体" w:cs="宋体"/>
                <w:color w:val="auto"/>
                <w:kern w:val="0"/>
                <w:sz w:val="18"/>
                <w:szCs w:val="18"/>
                <w:highlight w:val="none"/>
              </w:rPr>
              <w:t>，</w:t>
            </w:r>
            <w:r>
              <w:rPr>
                <w:rFonts w:hint="eastAsia" w:ascii="宋体" w:cs="宋体"/>
                <w:color w:val="auto"/>
                <w:kern w:val="0"/>
                <w:sz w:val="18"/>
                <w:szCs w:val="18"/>
                <w:highlight w:val="none"/>
              </w:rPr>
              <w:t>在考核评分管理功能中，</w:t>
            </w:r>
            <w:r>
              <w:rPr>
                <w:rFonts w:ascii="宋体" w:cs="宋体"/>
                <w:color w:val="auto"/>
                <w:kern w:val="0"/>
                <w:sz w:val="18"/>
                <w:szCs w:val="18"/>
                <w:highlight w:val="none"/>
              </w:rPr>
              <w:t>实现</w:t>
            </w:r>
            <w:r>
              <w:rPr>
                <w:rFonts w:hint="eastAsia" w:ascii="宋体" w:cs="宋体"/>
                <w:color w:val="auto"/>
                <w:kern w:val="0"/>
                <w:sz w:val="18"/>
                <w:szCs w:val="18"/>
                <w:highlight w:val="none"/>
              </w:rPr>
              <w:t>主观考核评分情况的审核功能</w:t>
            </w:r>
            <w:r>
              <w:rPr>
                <w:rFonts w:ascii="宋体" w:cs="宋体"/>
                <w:color w:val="auto"/>
                <w:kern w:val="0"/>
                <w:sz w:val="18"/>
                <w:szCs w:val="18"/>
                <w:highlight w:val="none"/>
              </w:rPr>
              <w:t>，</w:t>
            </w:r>
            <w:r>
              <w:rPr>
                <w:rFonts w:hint="eastAsia" w:ascii="宋体" w:cs="宋体"/>
                <w:color w:val="auto"/>
                <w:kern w:val="0"/>
                <w:sz w:val="18"/>
                <w:szCs w:val="18"/>
                <w:highlight w:val="none"/>
              </w:rPr>
              <w:t>能够对考核指标项的内容进行主观考核评分，并结合自评分数进行总结和考核判定，以确定是否考核通过</w:t>
            </w:r>
            <w:r>
              <w:rPr>
                <w:rFonts w:ascii="宋体" w:cs="宋体"/>
                <w:color w:val="auto"/>
                <w:kern w:val="0"/>
                <w:sz w:val="18"/>
                <w:szCs w:val="18"/>
                <w:highlight w:val="none"/>
              </w:rPr>
              <w:t>，</w:t>
            </w:r>
            <w:r>
              <w:rPr>
                <w:rFonts w:hint="eastAsia" w:ascii="宋体" w:cs="宋体"/>
                <w:color w:val="auto"/>
                <w:kern w:val="0"/>
                <w:sz w:val="18"/>
                <w:szCs w:val="18"/>
                <w:highlight w:val="none"/>
              </w:rPr>
              <w:t>在最后可以提供考核意见，并确认后完成主观评分与审核</w:t>
            </w:r>
            <w:r>
              <w:rPr>
                <w:rFonts w:ascii="宋体" w:cs="宋体"/>
                <w:color w:val="auto"/>
                <w:kern w:val="0"/>
                <w:sz w:val="18"/>
                <w:szCs w:val="18"/>
                <w:highlight w:val="none"/>
              </w:rPr>
              <w:t>。</w:t>
            </w:r>
            <w:r>
              <w:rPr>
                <w:rFonts w:hint="eastAsia" w:ascii="宋体" w:cs="宋体"/>
                <w:color w:val="auto"/>
                <w:kern w:val="0"/>
                <w:sz w:val="18"/>
                <w:szCs w:val="18"/>
                <w:highlight w:val="none"/>
              </w:rPr>
              <w:t>考核得分</w:t>
            </w:r>
            <w:r>
              <w:rPr>
                <w:rFonts w:ascii="宋体" w:cs="宋体"/>
                <w:color w:val="auto"/>
                <w:kern w:val="0"/>
                <w:sz w:val="18"/>
                <w:szCs w:val="18"/>
                <w:highlight w:val="none"/>
              </w:rPr>
              <w:t>，</w:t>
            </w:r>
            <w:r>
              <w:rPr>
                <w:rFonts w:hint="eastAsia" w:ascii="宋体" w:cs="宋体"/>
                <w:color w:val="auto"/>
                <w:kern w:val="0"/>
                <w:sz w:val="18"/>
                <w:szCs w:val="18"/>
                <w:highlight w:val="none"/>
              </w:rPr>
              <w:t>在考核评分管理功能中，实现对自评考核评分情况和主观考核评分情况的详情管理，可以查看考核时间、考核是否通过以及考核意见等信息，还可以预览在该考核任务下的考核指标的综合评分得分，可以查看考核指标列表明细，包括自评分情况、主观评分得分以及审核通过情况。</w:t>
            </w:r>
          </w:p>
          <w:p w14:paraId="36BF4DBA">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区域考核平台展示</w:t>
            </w:r>
            <w:r>
              <w:rPr>
                <w:rFonts w:ascii="宋体" w:cs="宋体"/>
                <w:color w:val="auto"/>
                <w:kern w:val="0"/>
                <w:sz w:val="18"/>
                <w:szCs w:val="18"/>
                <w:highlight w:val="none"/>
              </w:rPr>
              <w:t>：</w:t>
            </w:r>
            <w:r>
              <w:rPr>
                <w:rFonts w:hint="eastAsia" w:ascii="宋体" w:cs="宋体"/>
                <w:color w:val="auto"/>
                <w:kern w:val="0"/>
                <w:sz w:val="18"/>
                <w:szCs w:val="18"/>
                <w:highlight w:val="none"/>
              </w:rPr>
              <w:t>地图展示自治区各区域考核评分情况，基于计算规则和考核单位的评分对区域分数进行计算</w:t>
            </w:r>
            <w:r>
              <w:rPr>
                <w:rFonts w:ascii="宋体" w:cs="宋体"/>
                <w:color w:val="auto"/>
                <w:kern w:val="0"/>
                <w:sz w:val="18"/>
                <w:szCs w:val="18"/>
                <w:highlight w:val="none"/>
              </w:rPr>
              <w:t>。</w:t>
            </w:r>
            <w:r>
              <w:rPr>
                <w:rFonts w:hint="eastAsia" w:ascii="宋体" w:cs="宋体"/>
                <w:color w:val="auto"/>
                <w:kern w:val="0"/>
                <w:sz w:val="18"/>
                <w:szCs w:val="18"/>
                <w:highlight w:val="none"/>
              </w:rPr>
              <w:t>设置指标项，包括引用模板、自评权重设置、主评权重设置等功能</w:t>
            </w:r>
            <w:r>
              <w:rPr>
                <w:rFonts w:ascii="宋体" w:cs="宋体"/>
                <w:color w:val="auto"/>
                <w:kern w:val="0"/>
                <w:sz w:val="18"/>
                <w:szCs w:val="18"/>
                <w:highlight w:val="none"/>
              </w:rPr>
              <w:t>，</w:t>
            </w:r>
            <w:r>
              <w:rPr>
                <w:rFonts w:hint="eastAsia" w:ascii="宋体" w:cs="宋体"/>
                <w:color w:val="auto"/>
                <w:kern w:val="0"/>
                <w:sz w:val="18"/>
                <w:szCs w:val="18"/>
                <w:highlight w:val="none"/>
              </w:rPr>
              <w:t>能够对目前已有的模板进行筛选，并根据需要进行自评分的权重设置和主观评分权重设置</w:t>
            </w:r>
            <w:r>
              <w:rPr>
                <w:rFonts w:ascii="宋体" w:cs="宋体"/>
                <w:color w:val="auto"/>
                <w:kern w:val="0"/>
                <w:sz w:val="18"/>
                <w:szCs w:val="18"/>
                <w:highlight w:val="none"/>
              </w:rPr>
              <w:t>；</w:t>
            </w:r>
            <w:r>
              <w:rPr>
                <w:rFonts w:hint="eastAsia" w:ascii="宋体" w:cs="宋体"/>
                <w:color w:val="auto"/>
                <w:kern w:val="0"/>
                <w:sz w:val="18"/>
                <w:szCs w:val="18"/>
                <w:highlight w:val="none"/>
              </w:rPr>
              <w:t>评分表单编辑</w:t>
            </w:r>
            <w:r>
              <w:rPr>
                <w:rFonts w:ascii="宋体" w:cs="宋体"/>
                <w:color w:val="auto"/>
                <w:kern w:val="0"/>
                <w:sz w:val="18"/>
                <w:szCs w:val="18"/>
                <w:highlight w:val="none"/>
              </w:rPr>
              <w:t>，实现</w:t>
            </w:r>
            <w:r>
              <w:rPr>
                <w:rFonts w:hint="eastAsia" w:ascii="宋体" w:cs="宋体"/>
                <w:color w:val="auto"/>
                <w:kern w:val="0"/>
                <w:sz w:val="18"/>
                <w:szCs w:val="18"/>
                <w:highlight w:val="none"/>
              </w:rPr>
              <w:t>考核评分表单编辑，包括考核指标项分值设定、评分项勾选、考核规则定义等</w:t>
            </w:r>
            <w:r>
              <w:rPr>
                <w:rFonts w:ascii="宋体" w:cs="宋体"/>
                <w:color w:val="auto"/>
                <w:kern w:val="0"/>
                <w:sz w:val="18"/>
                <w:szCs w:val="18"/>
                <w:highlight w:val="none"/>
              </w:rPr>
              <w:t>，</w:t>
            </w:r>
            <w:r>
              <w:rPr>
                <w:rFonts w:hint="eastAsia" w:ascii="宋体" w:cs="宋体"/>
                <w:color w:val="auto"/>
                <w:kern w:val="0"/>
                <w:sz w:val="18"/>
                <w:szCs w:val="18"/>
                <w:highlight w:val="none"/>
              </w:rPr>
              <w:t>可以对选定的考核指标项进行评分项和考核分值的设定；支持定义考核规则，以便更好地满足考核需求</w:t>
            </w:r>
            <w:r>
              <w:rPr>
                <w:rFonts w:ascii="宋体" w:cs="宋体"/>
                <w:color w:val="auto"/>
                <w:kern w:val="0"/>
                <w:sz w:val="18"/>
                <w:szCs w:val="18"/>
                <w:highlight w:val="none"/>
              </w:rPr>
              <w:t>；</w:t>
            </w:r>
          </w:p>
          <w:p w14:paraId="6671A897">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（6）</w:t>
            </w:r>
            <w:r>
              <w:rPr>
                <w:rFonts w:hint="eastAsia" w:ascii="宋体" w:cs="宋体"/>
                <w:color w:val="auto"/>
                <w:kern w:val="0"/>
                <w:sz w:val="18"/>
                <w:szCs w:val="18"/>
                <w:highlight w:val="none"/>
              </w:rPr>
              <w:t>考核排名展示</w:t>
            </w:r>
            <w:r>
              <w:rPr>
                <w:rFonts w:ascii="宋体" w:cs="宋体"/>
                <w:color w:val="auto"/>
                <w:kern w:val="0"/>
                <w:sz w:val="18"/>
                <w:szCs w:val="18"/>
                <w:highlight w:val="none"/>
              </w:rPr>
              <w:t>：</w:t>
            </w:r>
            <w:r>
              <w:rPr>
                <w:rFonts w:hint="eastAsia" w:ascii="宋体" w:cs="宋体"/>
                <w:color w:val="auto"/>
                <w:kern w:val="0"/>
                <w:sz w:val="18"/>
                <w:szCs w:val="18"/>
                <w:highlight w:val="none"/>
              </w:rPr>
              <w:t>展示考核评分最高的10个单位，及最低的10个单位；评分等级分布展示，对考核评分结果按照优良中差进行等级分布统计与展示</w:t>
            </w:r>
            <w:r>
              <w:rPr>
                <w:rFonts w:ascii="宋体" w:cs="宋体"/>
                <w:color w:val="auto"/>
                <w:kern w:val="0"/>
                <w:sz w:val="18"/>
                <w:szCs w:val="18"/>
                <w:highlight w:val="none"/>
              </w:rPr>
              <w:t>；</w:t>
            </w:r>
          </w:p>
          <w:p w14:paraId="5BD476F2">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（7）</w:t>
            </w:r>
            <w:r>
              <w:rPr>
                <w:rFonts w:hint="eastAsia" w:ascii="宋体" w:cs="宋体"/>
                <w:color w:val="auto"/>
                <w:kern w:val="0"/>
                <w:sz w:val="18"/>
                <w:szCs w:val="18"/>
                <w:highlight w:val="none"/>
              </w:rPr>
              <w:t>考核指标展示</w:t>
            </w:r>
            <w:r>
              <w:rPr>
                <w:rFonts w:ascii="宋体" w:cs="宋体"/>
                <w:color w:val="auto"/>
                <w:kern w:val="0"/>
                <w:sz w:val="18"/>
                <w:szCs w:val="18"/>
                <w:highlight w:val="none"/>
              </w:rPr>
              <w:t>，</w:t>
            </w:r>
            <w:r>
              <w:rPr>
                <w:rFonts w:hint="eastAsia" w:ascii="宋体" w:cs="宋体"/>
                <w:color w:val="auto"/>
                <w:kern w:val="0"/>
                <w:sz w:val="18"/>
                <w:szCs w:val="18"/>
                <w:highlight w:val="none"/>
              </w:rPr>
              <w:t>展示一级、二级指标视图，针对每个考核指标情况，查看各单位排名；单项指标分数最低排名TOP</w:t>
            </w:r>
            <w:r>
              <w:rPr>
                <w:rFonts w:ascii="宋体" w:cs="宋体"/>
                <w:color w:val="auto"/>
                <w:kern w:val="0"/>
                <w:sz w:val="18"/>
                <w:szCs w:val="18"/>
                <w:highlight w:val="none"/>
              </w:rPr>
              <w:t>10</w:t>
            </w:r>
            <w:r>
              <w:rPr>
                <w:rFonts w:hint="eastAsia" w:ascii="宋体" w:cs="宋体"/>
                <w:color w:val="auto"/>
                <w:kern w:val="0"/>
                <w:sz w:val="18"/>
                <w:szCs w:val="18"/>
                <w:highlight w:val="none"/>
              </w:rPr>
              <w:t>展示，对单项评分指标按照评分从低到高进行TOP</w:t>
            </w:r>
            <w:r>
              <w:rPr>
                <w:rFonts w:ascii="宋体" w:cs="宋体"/>
                <w:color w:val="auto"/>
                <w:kern w:val="0"/>
                <w:sz w:val="18"/>
                <w:szCs w:val="18"/>
                <w:highlight w:val="none"/>
              </w:rPr>
              <w:t>10</w:t>
            </w:r>
            <w:r>
              <w:rPr>
                <w:rFonts w:hint="eastAsia" w:ascii="宋体" w:cs="宋体"/>
                <w:color w:val="auto"/>
                <w:kern w:val="0"/>
                <w:sz w:val="18"/>
                <w:szCs w:val="18"/>
                <w:highlight w:val="none"/>
              </w:rPr>
              <w:t>排名</w:t>
            </w:r>
            <w:r>
              <w:rPr>
                <w:rFonts w:ascii="宋体" w:cs="宋体"/>
                <w:color w:val="auto"/>
                <w:kern w:val="0"/>
                <w:sz w:val="18"/>
                <w:szCs w:val="18"/>
                <w:highlight w:val="none"/>
              </w:rPr>
              <w:t>；</w:t>
            </w:r>
          </w:p>
          <w:p w14:paraId="19509571">
            <w:pPr>
              <w:widowControl/>
              <w:ind w:firstLine="360" w:firstLineChars="200"/>
              <w:rPr>
                <w:rFonts w:ascii="宋体" w:cs="宋体"/>
                <w:color w:val="auto"/>
                <w:kern w:val="0"/>
                <w:sz w:val="18"/>
                <w:szCs w:val="18"/>
                <w:highlight w:val="none"/>
              </w:rPr>
            </w:pPr>
            <w:r>
              <w:rPr>
                <w:rFonts w:ascii="宋体" w:cs="宋体"/>
                <w:color w:val="auto"/>
                <w:kern w:val="0"/>
                <w:sz w:val="18"/>
                <w:szCs w:val="18"/>
                <w:highlight w:val="none"/>
              </w:rPr>
              <w:t>（8）</w:t>
            </w:r>
            <w:r>
              <w:rPr>
                <w:rFonts w:hint="eastAsia" w:ascii="宋体" w:cs="宋体"/>
                <w:color w:val="auto"/>
                <w:kern w:val="0"/>
                <w:sz w:val="18"/>
                <w:szCs w:val="18"/>
                <w:highlight w:val="none"/>
              </w:rPr>
              <w:t>单位指标分析展示</w:t>
            </w:r>
            <w:r>
              <w:rPr>
                <w:rFonts w:ascii="宋体" w:cs="宋体"/>
                <w:color w:val="auto"/>
                <w:kern w:val="0"/>
                <w:sz w:val="18"/>
                <w:szCs w:val="18"/>
                <w:highlight w:val="none"/>
              </w:rPr>
              <w:t>：</w:t>
            </w:r>
            <w:r>
              <w:rPr>
                <w:rFonts w:hint="eastAsia" w:ascii="宋体" w:cs="宋体"/>
                <w:color w:val="auto"/>
                <w:kern w:val="0"/>
                <w:sz w:val="18"/>
                <w:szCs w:val="18"/>
                <w:highlight w:val="none"/>
              </w:rPr>
              <w:t>展示单位指标分析情况，展示单位整体评分，评分变化趋势，每个指标的分析情况</w:t>
            </w:r>
            <w:r>
              <w:rPr>
                <w:rFonts w:ascii="宋体" w:cs="宋体"/>
                <w:color w:val="auto"/>
                <w:kern w:val="0"/>
                <w:sz w:val="18"/>
                <w:szCs w:val="18"/>
                <w:highlight w:val="none"/>
              </w:rPr>
              <w:t>，</w:t>
            </w:r>
            <w:r>
              <w:rPr>
                <w:rFonts w:hint="eastAsia" w:ascii="宋体" w:cs="宋体"/>
                <w:color w:val="auto"/>
                <w:kern w:val="0"/>
                <w:sz w:val="18"/>
                <w:szCs w:val="18"/>
                <w:highlight w:val="none"/>
              </w:rPr>
              <w:t>实现对相关覆盖区域的当前网络安全工作的考核评估开展情况</w:t>
            </w:r>
            <w:r>
              <w:rPr>
                <w:rFonts w:ascii="宋体" w:cs="宋体"/>
                <w:color w:val="auto"/>
                <w:kern w:val="0"/>
                <w:sz w:val="18"/>
                <w:szCs w:val="18"/>
                <w:highlight w:val="none"/>
              </w:rPr>
              <w:t>展示</w:t>
            </w:r>
            <w:r>
              <w:rPr>
                <w:rFonts w:hint="eastAsia" w:ascii="宋体" w:cs="宋体"/>
                <w:color w:val="auto"/>
                <w:kern w:val="0"/>
                <w:sz w:val="18"/>
                <w:szCs w:val="18"/>
                <w:highlight w:val="none"/>
              </w:rPr>
              <w:t>。单位考核得分趋势分析</w:t>
            </w:r>
            <w:r>
              <w:rPr>
                <w:rFonts w:ascii="宋体" w:cs="宋体"/>
                <w:color w:val="auto"/>
                <w:kern w:val="0"/>
                <w:sz w:val="18"/>
                <w:szCs w:val="18"/>
                <w:highlight w:val="none"/>
              </w:rPr>
              <w:t>，</w:t>
            </w:r>
            <w:r>
              <w:rPr>
                <w:rFonts w:hint="eastAsia" w:ascii="宋体" w:cs="宋体"/>
                <w:color w:val="auto"/>
                <w:kern w:val="0"/>
                <w:sz w:val="18"/>
                <w:szCs w:val="18"/>
                <w:highlight w:val="none"/>
              </w:rPr>
              <w:t>针对具体单位历史考核得分情况，分析该单位长短板及改进情况</w:t>
            </w:r>
            <w:r>
              <w:rPr>
                <w:rFonts w:ascii="宋体" w:cs="宋体"/>
                <w:color w:val="auto"/>
                <w:kern w:val="0"/>
                <w:sz w:val="18"/>
                <w:szCs w:val="18"/>
                <w:highlight w:val="none"/>
              </w:rPr>
              <w:t>。</w:t>
            </w:r>
            <w:r>
              <w:rPr>
                <w:rFonts w:hint="eastAsia" w:ascii="宋体" w:cs="宋体"/>
                <w:color w:val="auto"/>
                <w:kern w:val="0"/>
                <w:sz w:val="18"/>
                <w:szCs w:val="18"/>
                <w:highlight w:val="none"/>
              </w:rPr>
              <w:t>区域考核情况分析</w:t>
            </w:r>
            <w:r>
              <w:rPr>
                <w:rFonts w:ascii="宋体" w:cs="宋体"/>
                <w:color w:val="auto"/>
                <w:kern w:val="0"/>
                <w:sz w:val="18"/>
                <w:szCs w:val="18"/>
                <w:highlight w:val="none"/>
              </w:rPr>
              <w:t>，</w:t>
            </w:r>
            <w:r>
              <w:rPr>
                <w:rFonts w:hint="eastAsia" w:ascii="宋体" w:cs="宋体"/>
                <w:color w:val="auto"/>
                <w:kern w:val="0"/>
                <w:sz w:val="18"/>
                <w:szCs w:val="18"/>
                <w:highlight w:val="none"/>
              </w:rPr>
              <w:t>通过对</w:t>
            </w:r>
            <w:r>
              <w:rPr>
                <w:rFonts w:hint="eastAsia" w:ascii="宋体" w:cs="宋体"/>
                <w:color w:val="auto"/>
                <w:kern w:val="0"/>
                <w:sz w:val="18"/>
                <w:szCs w:val="18"/>
                <w:highlight w:val="none"/>
                <w:lang w:val="en-US" w:eastAsia="zh-CN"/>
              </w:rPr>
              <w:t>比</w:t>
            </w:r>
            <w:r>
              <w:rPr>
                <w:rFonts w:hint="eastAsia" w:ascii="宋体" w:cs="宋体"/>
                <w:color w:val="auto"/>
                <w:kern w:val="0"/>
                <w:sz w:val="18"/>
                <w:szCs w:val="18"/>
                <w:highlight w:val="none"/>
              </w:rPr>
              <w:t>分析结果数据进行过滤、排列与关联、跟踪和识别，从而得出并展现当前网络安全工作的考核评估开展情况。</w:t>
            </w:r>
          </w:p>
          <w:p w14:paraId="08A8521C">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智能分析引擎</w:t>
            </w:r>
            <w:r>
              <w:rPr>
                <w:rFonts w:ascii="宋体" w:cs="宋体"/>
                <w:color w:val="auto"/>
                <w:kern w:val="0"/>
                <w:sz w:val="18"/>
                <w:szCs w:val="18"/>
                <w:highlight w:val="none"/>
              </w:rPr>
              <w:t>：</w:t>
            </w:r>
          </w:p>
          <w:p w14:paraId="7145DF95">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（1）</w:t>
            </w:r>
            <w:r>
              <w:rPr>
                <w:rFonts w:hint="eastAsia" w:ascii="宋体" w:cs="宋体"/>
                <w:color w:val="auto"/>
                <w:kern w:val="0"/>
                <w:sz w:val="18"/>
                <w:szCs w:val="18"/>
                <w:highlight w:val="none"/>
              </w:rPr>
              <w:t>数据源管理</w:t>
            </w:r>
            <w:r>
              <w:rPr>
                <w:rFonts w:ascii="宋体" w:cs="宋体"/>
                <w:color w:val="auto"/>
                <w:kern w:val="0"/>
                <w:sz w:val="18"/>
                <w:szCs w:val="18"/>
                <w:highlight w:val="none"/>
              </w:rPr>
              <w:t>：</w:t>
            </w:r>
            <w:r>
              <w:rPr>
                <w:rFonts w:hint="eastAsia" w:ascii="宋体" w:cs="宋体"/>
                <w:color w:val="auto"/>
                <w:kern w:val="0"/>
                <w:sz w:val="18"/>
                <w:szCs w:val="18"/>
                <w:highlight w:val="none"/>
              </w:rPr>
              <w:t>能够实现对分析所需数据源进行读取及管理</w:t>
            </w:r>
            <w:r>
              <w:rPr>
                <w:rFonts w:ascii="宋体" w:cs="宋体"/>
                <w:color w:val="auto"/>
                <w:kern w:val="0"/>
                <w:sz w:val="18"/>
                <w:szCs w:val="18"/>
                <w:highlight w:val="none"/>
              </w:rPr>
              <w:t>，实现</w:t>
            </w:r>
            <w:r>
              <w:rPr>
                <w:rFonts w:hint="eastAsia" w:ascii="宋体" w:cs="宋体"/>
                <w:color w:val="auto"/>
                <w:kern w:val="0"/>
                <w:sz w:val="18"/>
                <w:szCs w:val="18"/>
                <w:highlight w:val="none"/>
              </w:rPr>
              <w:t>从数据库中读取相关数据表结构、表数据信息</w:t>
            </w:r>
            <w:r>
              <w:rPr>
                <w:rFonts w:ascii="宋体" w:cs="宋体"/>
                <w:color w:val="auto"/>
                <w:kern w:val="0"/>
                <w:sz w:val="18"/>
                <w:szCs w:val="18"/>
                <w:highlight w:val="none"/>
              </w:rPr>
              <w:t>；</w:t>
            </w:r>
          </w:p>
          <w:p w14:paraId="3AE4EDB2">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数据集管理</w:t>
            </w:r>
            <w:r>
              <w:rPr>
                <w:rFonts w:ascii="宋体" w:cs="宋体"/>
                <w:color w:val="auto"/>
                <w:kern w:val="0"/>
                <w:sz w:val="18"/>
                <w:szCs w:val="18"/>
                <w:highlight w:val="none"/>
              </w:rPr>
              <w:t>：</w:t>
            </w:r>
            <w:r>
              <w:rPr>
                <w:rFonts w:hint="eastAsia" w:ascii="宋体" w:cs="宋体"/>
                <w:color w:val="auto"/>
                <w:kern w:val="0"/>
                <w:sz w:val="18"/>
                <w:szCs w:val="18"/>
                <w:highlight w:val="none"/>
              </w:rPr>
              <w:t>能够根据分析需要构建数据集，数据集来源于单个已加工处理好的数据表或者多个数据表关联构造数据集</w:t>
            </w:r>
            <w:r>
              <w:rPr>
                <w:rFonts w:ascii="宋体" w:cs="宋体"/>
                <w:color w:val="auto"/>
                <w:kern w:val="0"/>
                <w:sz w:val="18"/>
                <w:szCs w:val="18"/>
                <w:highlight w:val="none"/>
              </w:rPr>
              <w:t>；</w:t>
            </w:r>
          </w:p>
          <w:p w14:paraId="1B1E0825">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分析视图</w:t>
            </w:r>
            <w:r>
              <w:rPr>
                <w:rFonts w:ascii="宋体" w:cs="宋体"/>
                <w:color w:val="auto"/>
                <w:kern w:val="0"/>
                <w:sz w:val="18"/>
                <w:szCs w:val="18"/>
                <w:highlight w:val="none"/>
              </w:rPr>
              <w:t>：</w:t>
            </w:r>
            <w:r>
              <w:rPr>
                <w:rFonts w:hint="eastAsia" w:ascii="宋体" w:cs="宋体"/>
                <w:color w:val="auto"/>
                <w:kern w:val="0"/>
                <w:sz w:val="18"/>
                <w:szCs w:val="18"/>
                <w:highlight w:val="none"/>
              </w:rPr>
              <w:t>能够支持根据分析需求构建视图，支持构建交叉表、明细表、分组表，以及饼图、柱图、条形图、双轴图、指标卡、矩形树图、词云图等图形分析</w:t>
            </w:r>
            <w:r>
              <w:rPr>
                <w:rFonts w:ascii="宋体" w:cs="宋体"/>
                <w:color w:val="auto"/>
                <w:kern w:val="0"/>
                <w:sz w:val="18"/>
                <w:szCs w:val="18"/>
                <w:highlight w:val="none"/>
              </w:rPr>
              <w:t>；</w:t>
            </w:r>
          </w:p>
          <w:p w14:paraId="04B38182">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分析仪表板</w:t>
            </w:r>
            <w:r>
              <w:rPr>
                <w:rFonts w:ascii="宋体" w:cs="宋体"/>
                <w:color w:val="auto"/>
                <w:kern w:val="0"/>
                <w:sz w:val="18"/>
                <w:szCs w:val="18"/>
                <w:highlight w:val="none"/>
              </w:rPr>
              <w:t>：</w:t>
            </w:r>
            <w:r>
              <w:rPr>
                <w:rFonts w:hint="eastAsia" w:ascii="宋体" w:cs="宋体"/>
                <w:color w:val="auto"/>
                <w:kern w:val="0"/>
                <w:sz w:val="18"/>
                <w:szCs w:val="18"/>
                <w:highlight w:val="none"/>
              </w:rPr>
              <w:t>根据分析需求构建仪表板，</w:t>
            </w:r>
            <w:r>
              <w:rPr>
                <w:rFonts w:ascii="宋体" w:cs="宋体"/>
                <w:color w:val="auto"/>
                <w:kern w:val="0"/>
                <w:sz w:val="18"/>
                <w:szCs w:val="18"/>
                <w:highlight w:val="none"/>
              </w:rPr>
              <w:t>实现</w:t>
            </w:r>
            <w:r>
              <w:rPr>
                <w:rFonts w:hint="eastAsia" w:ascii="宋体" w:cs="宋体"/>
                <w:color w:val="auto"/>
                <w:kern w:val="0"/>
                <w:sz w:val="18"/>
                <w:szCs w:val="18"/>
                <w:highlight w:val="none"/>
              </w:rPr>
              <w:t>多视图组合分析</w:t>
            </w:r>
            <w:r>
              <w:rPr>
                <w:rFonts w:ascii="宋体" w:cs="宋体"/>
                <w:color w:val="auto"/>
                <w:kern w:val="0"/>
                <w:sz w:val="18"/>
                <w:szCs w:val="18"/>
                <w:highlight w:val="none"/>
              </w:rPr>
              <w:t>、</w:t>
            </w:r>
            <w:r>
              <w:rPr>
                <w:rFonts w:hint="eastAsia" w:ascii="宋体" w:cs="宋体"/>
                <w:color w:val="auto"/>
                <w:kern w:val="0"/>
                <w:sz w:val="18"/>
                <w:szCs w:val="18"/>
                <w:highlight w:val="none"/>
              </w:rPr>
              <w:t>多区域、多维度、多级分析，支持可拖拽分析</w:t>
            </w:r>
            <w:r>
              <w:rPr>
                <w:rFonts w:ascii="宋体" w:cs="宋体"/>
                <w:color w:val="auto"/>
                <w:kern w:val="0"/>
                <w:sz w:val="18"/>
                <w:szCs w:val="18"/>
                <w:highlight w:val="none"/>
              </w:rPr>
              <w:t>；</w:t>
            </w:r>
          </w:p>
          <w:p w14:paraId="6649CC20">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周期报表分析</w:t>
            </w:r>
            <w:r>
              <w:rPr>
                <w:rFonts w:ascii="宋体" w:cs="宋体"/>
                <w:color w:val="auto"/>
                <w:kern w:val="0"/>
                <w:sz w:val="18"/>
                <w:szCs w:val="18"/>
                <w:highlight w:val="none"/>
              </w:rPr>
              <w:t>：</w:t>
            </w:r>
            <w:r>
              <w:rPr>
                <w:rFonts w:hint="eastAsia" w:ascii="宋体" w:cs="宋体"/>
                <w:color w:val="auto"/>
                <w:kern w:val="0"/>
                <w:sz w:val="18"/>
                <w:szCs w:val="18"/>
                <w:highlight w:val="none"/>
              </w:rPr>
              <w:t>周期表根据预定的时间及执行频率自动输出报表、分析结果</w:t>
            </w:r>
            <w:r>
              <w:rPr>
                <w:rFonts w:ascii="宋体" w:cs="宋体"/>
                <w:color w:val="auto"/>
                <w:kern w:val="0"/>
                <w:sz w:val="18"/>
                <w:szCs w:val="18"/>
                <w:highlight w:val="none"/>
              </w:rPr>
              <w:t>，实现</w:t>
            </w:r>
            <w:r>
              <w:rPr>
                <w:rFonts w:hint="eastAsia" w:ascii="宋体" w:cs="宋体"/>
                <w:color w:val="auto"/>
                <w:kern w:val="0"/>
                <w:sz w:val="18"/>
                <w:szCs w:val="18"/>
                <w:highlight w:val="none"/>
              </w:rPr>
              <w:t>周期报表模板设定，包括仪表板、WORD模板；支持周期报表参数、执行频率设置</w:t>
            </w:r>
            <w:r>
              <w:rPr>
                <w:rFonts w:ascii="宋体" w:cs="宋体"/>
                <w:color w:val="auto"/>
                <w:kern w:val="0"/>
                <w:sz w:val="18"/>
                <w:szCs w:val="18"/>
                <w:highlight w:val="none"/>
              </w:rPr>
              <w:t>；</w:t>
            </w:r>
          </w:p>
          <w:p w14:paraId="3898DA8B">
            <w:pPr>
              <w:widowControl/>
              <w:ind w:firstLine="360" w:firstLineChars="200"/>
              <w:jc w:val="left"/>
              <w:rPr>
                <w:rFonts w:hint="eastAsia" w:ascii="宋体" w:hAnsi="宋体" w:cs="宋体"/>
                <w:color w:val="auto"/>
                <w:kern w:val="0"/>
                <w:sz w:val="18"/>
                <w:szCs w:val="18"/>
                <w:highlight w:val="none"/>
              </w:rPr>
            </w:pPr>
            <w:r>
              <w:rPr>
                <w:rFonts w:ascii="宋体" w:cs="宋体"/>
                <w:color w:val="auto"/>
                <w:kern w:val="0"/>
                <w:sz w:val="18"/>
                <w:szCs w:val="18"/>
                <w:highlight w:val="none"/>
              </w:rPr>
              <w:t>（6）</w:t>
            </w:r>
            <w:r>
              <w:rPr>
                <w:rFonts w:hint="eastAsia" w:ascii="宋体" w:cs="宋体"/>
                <w:color w:val="auto"/>
                <w:kern w:val="0"/>
                <w:sz w:val="18"/>
                <w:szCs w:val="18"/>
                <w:highlight w:val="none"/>
              </w:rPr>
              <w:t>分析门户</w:t>
            </w:r>
            <w:r>
              <w:rPr>
                <w:rFonts w:ascii="宋体" w:cs="宋体"/>
                <w:color w:val="auto"/>
                <w:kern w:val="0"/>
                <w:sz w:val="18"/>
                <w:szCs w:val="18"/>
                <w:highlight w:val="none"/>
              </w:rPr>
              <w:t>：</w:t>
            </w:r>
            <w:r>
              <w:rPr>
                <w:rFonts w:hint="eastAsia" w:ascii="宋体" w:cs="宋体"/>
                <w:color w:val="auto"/>
                <w:kern w:val="0"/>
                <w:sz w:val="18"/>
                <w:szCs w:val="18"/>
                <w:highlight w:val="none"/>
              </w:rPr>
              <w:t>根据分析场景需要，构建分析门户，进行集中展示</w:t>
            </w:r>
            <w:r>
              <w:rPr>
                <w:rFonts w:ascii="宋体" w:cs="宋体"/>
                <w:color w:val="auto"/>
                <w:kern w:val="0"/>
                <w:sz w:val="18"/>
                <w:szCs w:val="18"/>
                <w:highlight w:val="none"/>
              </w:rPr>
              <w:t>，实现</w:t>
            </w:r>
            <w:r>
              <w:rPr>
                <w:rFonts w:hint="eastAsia" w:ascii="宋体" w:cs="宋体"/>
                <w:color w:val="auto"/>
                <w:kern w:val="0"/>
                <w:sz w:val="18"/>
                <w:szCs w:val="18"/>
                <w:highlight w:val="none"/>
              </w:rPr>
              <w:t>将仪表板、周期报表、URL以菜单方式嵌入到分析门户中。</w:t>
            </w:r>
          </w:p>
        </w:tc>
        <w:tc>
          <w:tcPr>
            <w:tcW w:w="145" w:type="pct"/>
            <w:tcBorders>
              <w:top w:val="nil"/>
              <w:left w:val="nil"/>
              <w:bottom w:val="single" w:color="auto" w:sz="4" w:space="0"/>
              <w:right w:val="single" w:color="auto" w:sz="4" w:space="0"/>
            </w:tcBorders>
            <w:noWrap/>
            <w:vAlign w:val="center"/>
          </w:tcPr>
          <w:p w14:paraId="30D8BC9D">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6049D5C">
            <w:pPr>
              <w:widowControl/>
              <w:jc w:val="left"/>
              <w:rPr>
                <w:rFonts w:hint="eastAsia" w:ascii="宋体" w:hAnsi="宋体" w:cs="宋体"/>
                <w:color w:val="auto"/>
                <w:kern w:val="0"/>
                <w:sz w:val="18"/>
                <w:szCs w:val="18"/>
                <w:highlight w:val="none"/>
              </w:rPr>
            </w:pPr>
          </w:p>
        </w:tc>
      </w:tr>
      <w:tr w14:paraId="39A9101F">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58E32C7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6</w:t>
            </w:r>
          </w:p>
        </w:tc>
        <w:tc>
          <w:tcPr>
            <w:tcW w:w="428" w:type="pct"/>
            <w:tcBorders>
              <w:top w:val="nil"/>
              <w:left w:val="nil"/>
              <w:bottom w:val="single" w:color="auto" w:sz="4" w:space="0"/>
              <w:right w:val="single" w:color="auto" w:sz="4" w:space="0"/>
            </w:tcBorders>
            <w:vAlign w:val="center"/>
          </w:tcPr>
          <w:p w14:paraId="38EEA7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人工智能辅助应用模块</w:t>
            </w:r>
          </w:p>
        </w:tc>
        <w:tc>
          <w:tcPr>
            <w:tcW w:w="3798" w:type="pct"/>
            <w:gridSpan w:val="2"/>
            <w:tcBorders>
              <w:top w:val="nil"/>
              <w:left w:val="nil"/>
              <w:bottom w:val="single" w:color="auto" w:sz="4" w:space="0"/>
              <w:right w:val="single" w:color="auto" w:sz="4" w:space="0"/>
            </w:tcBorders>
          </w:tcPr>
          <w:p w14:paraId="11A6DCD9">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1.</w:t>
            </w:r>
            <w:r>
              <w:rPr>
                <w:rFonts w:hint="eastAsia" w:ascii="宋体" w:cs="宋体"/>
                <w:color w:val="auto"/>
                <w:kern w:val="0"/>
                <w:sz w:val="18"/>
                <w:szCs w:val="18"/>
                <w:highlight w:val="none"/>
              </w:rPr>
              <w:t>智能敏感数据识别</w:t>
            </w:r>
            <w:r>
              <w:rPr>
                <w:rFonts w:ascii="宋体" w:cs="宋体"/>
                <w:color w:val="auto"/>
                <w:kern w:val="0"/>
                <w:sz w:val="18"/>
                <w:szCs w:val="18"/>
                <w:highlight w:val="none"/>
              </w:rPr>
              <w:t>：</w:t>
            </w:r>
            <w:r>
              <w:rPr>
                <w:rFonts w:hint="eastAsia" w:ascii="宋体" w:cs="宋体"/>
                <w:color w:val="auto"/>
                <w:kern w:val="0"/>
                <w:sz w:val="18"/>
                <w:szCs w:val="18"/>
                <w:highlight w:val="none"/>
              </w:rPr>
              <w:t>数据安全监测</w:t>
            </w:r>
            <w:r>
              <w:rPr>
                <w:rFonts w:ascii="宋体" w:cs="宋体"/>
                <w:color w:val="auto"/>
                <w:kern w:val="0"/>
                <w:sz w:val="18"/>
                <w:szCs w:val="18"/>
                <w:highlight w:val="none"/>
              </w:rPr>
              <w:t>平台</w:t>
            </w:r>
            <w:r>
              <w:rPr>
                <w:rFonts w:hint="eastAsia" w:ascii="宋体" w:cs="宋体"/>
                <w:color w:val="auto"/>
                <w:kern w:val="0"/>
                <w:sz w:val="18"/>
                <w:szCs w:val="18"/>
                <w:highlight w:val="none"/>
              </w:rPr>
              <w:t>对接人工智能安全基座实现智能敏感数据识别，实现对一个结构化数据资产或多个结构化数据源进行智能分析，完成敏感数据识别、分类分级</w:t>
            </w:r>
            <w:r>
              <w:rPr>
                <w:rFonts w:ascii="宋体" w:cs="宋体"/>
                <w:color w:val="auto"/>
                <w:kern w:val="0"/>
                <w:sz w:val="18"/>
                <w:szCs w:val="18"/>
                <w:highlight w:val="none"/>
              </w:rPr>
              <w:t>。</w:t>
            </w:r>
            <w:r>
              <w:rPr>
                <w:rFonts w:hint="eastAsia" w:ascii="宋体" w:cs="宋体"/>
                <w:color w:val="auto"/>
                <w:kern w:val="0"/>
                <w:sz w:val="18"/>
                <w:szCs w:val="18"/>
                <w:highlight w:val="none"/>
              </w:rPr>
              <w:t>数据资产梳理与抽取</w:t>
            </w:r>
            <w:r>
              <w:rPr>
                <w:rFonts w:hint="eastAsia" w:ascii="宋体" w:cs="宋体"/>
                <w:color w:val="auto"/>
                <w:kern w:val="0"/>
                <w:sz w:val="18"/>
                <w:szCs w:val="18"/>
                <w:highlight w:val="none"/>
                <w:lang w:eastAsia="zh-CN"/>
              </w:rPr>
              <w:t>，</w:t>
            </w:r>
            <w:r>
              <w:rPr>
                <w:rFonts w:hint="eastAsia" w:ascii="宋体" w:cs="宋体"/>
                <w:color w:val="auto"/>
                <w:kern w:val="0"/>
                <w:sz w:val="18"/>
                <w:szCs w:val="18"/>
                <w:highlight w:val="none"/>
              </w:rPr>
              <w:t>平台的数据采集模块对单位各业务系统的数据资产进行全面梳理，提取元数据信息</w:t>
            </w:r>
            <w:r>
              <w:rPr>
                <w:rFonts w:ascii="宋体" w:cs="宋体"/>
                <w:color w:val="auto"/>
                <w:kern w:val="0"/>
                <w:sz w:val="18"/>
                <w:szCs w:val="18"/>
                <w:highlight w:val="none"/>
              </w:rPr>
              <w:t>，如</w:t>
            </w:r>
            <w:r>
              <w:rPr>
                <w:rFonts w:hint="eastAsia" w:ascii="宋体" w:cs="宋体"/>
                <w:color w:val="auto"/>
                <w:kern w:val="0"/>
                <w:sz w:val="18"/>
                <w:szCs w:val="18"/>
                <w:highlight w:val="none"/>
              </w:rPr>
              <w:t>获取数据库的表名、字段名、列备注、列内容样例等，形成结构化数据集，这些元数据和样本内容将作为大模型分析的输入</w:t>
            </w:r>
            <w:r>
              <w:rPr>
                <w:rFonts w:ascii="宋体" w:cs="宋体"/>
                <w:color w:val="auto"/>
                <w:kern w:val="0"/>
                <w:sz w:val="18"/>
                <w:szCs w:val="18"/>
                <w:highlight w:val="none"/>
              </w:rPr>
              <w:t>。</w:t>
            </w:r>
            <w:r>
              <w:rPr>
                <w:rFonts w:hint="eastAsia" w:ascii="宋体" w:cs="宋体"/>
                <w:color w:val="auto"/>
                <w:kern w:val="0"/>
                <w:sz w:val="18"/>
                <w:szCs w:val="18"/>
                <w:highlight w:val="none"/>
              </w:rPr>
              <w:t>敏感数据识别模型</w:t>
            </w:r>
            <w:r>
              <w:rPr>
                <w:rFonts w:ascii="宋体" w:cs="宋体"/>
                <w:color w:val="auto"/>
                <w:kern w:val="0"/>
                <w:sz w:val="18"/>
                <w:szCs w:val="18"/>
                <w:highlight w:val="none"/>
              </w:rPr>
              <w:t>，</w:t>
            </w:r>
            <w:r>
              <w:rPr>
                <w:rFonts w:hint="eastAsia" w:ascii="宋体" w:cs="宋体"/>
                <w:color w:val="auto"/>
                <w:kern w:val="0"/>
                <w:sz w:val="18"/>
                <w:szCs w:val="18"/>
                <w:highlight w:val="none"/>
              </w:rPr>
              <w:t>敏感数据识别的智能体经过预训练和定向优化，支持识别多种类型的敏感信息</w:t>
            </w:r>
            <w:r>
              <w:rPr>
                <w:rFonts w:ascii="宋体" w:cs="宋体"/>
                <w:color w:val="auto"/>
                <w:kern w:val="0"/>
                <w:sz w:val="18"/>
                <w:szCs w:val="18"/>
                <w:highlight w:val="none"/>
              </w:rPr>
              <w:t>，</w:t>
            </w:r>
            <w:r>
              <w:rPr>
                <w:rFonts w:hint="eastAsia" w:ascii="宋体" w:cs="宋体"/>
                <w:color w:val="auto"/>
                <w:kern w:val="0"/>
                <w:sz w:val="18"/>
                <w:szCs w:val="18"/>
                <w:highlight w:val="none"/>
              </w:rPr>
              <w:t>接收字段元数据或样本内容后，直接标记姓名、联系电话、居住地址、银行卡号、商业机密等敏感数据标签及对应类别和级别，无需人工干预初步识别过程</w:t>
            </w:r>
            <w:r>
              <w:rPr>
                <w:rFonts w:ascii="宋体" w:cs="宋体"/>
                <w:color w:val="auto"/>
                <w:kern w:val="0"/>
                <w:sz w:val="18"/>
                <w:szCs w:val="18"/>
                <w:highlight w:val="none"/>
              </w:rPr>
              <w:t>；</w:t>
            </w:r>
          </w:p>
          <w:p w14:paraId="05CC3E4E">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智能数据分类分级</w:t>
            </w:r>
            <w:r>
              <w:rPr>
                <w:rFonts w:ascii="宋体" w:cs="宋体"/>
                <w:color w:val="auto"/>
                <w:kern w:val="0"/>
                <w:sz w:val="18"/>
                <w:szCs w:val="18"/>
                <w:highlight w:val="none"/>
              </w:rPr>
              <w:t>：</w:t>
            </w:r>
            <w:r>
              <w:rPr>
                <w:rFonts w:hint="eastAsia" w:ascii="宋体" w:cs="宋体"/>
                <w:color w:val="auto"/>
                <w:kern w:val="0"/>
                <w:sz w:val="18"/>
                <w:szCs w:val="18"/>
                <w:highlight w:val="none"/>
              </w:rPr>
              <w:t>数据安全监测</w:t>
            </w:r>
            <w:r>
              <w:rPr>
                <w:rFonts w:ascii="宋体" w:cs="宋体"/>
                <w:color w:val="auto"/>
                <w:kern w:val="0"/>
                <w:sz w:val="18"/>
                <w:szCs w:val="18"/>
                <w:highlight w:val="none"/>
              </w:rPr>
              <w:t>平台</w:t>
            </w:r>
            <w:r>
              <w:rPr>
                <w:rFonts w:hint="eastAsia" w:ascii="宋体" w:cs="宋体"/>
                <w:color w:val="auto"/>
                <w:kern w:val="0"/>
                <w:sz w:val="18"/>
                <w:szCs w:val="18"/>
                <w:highlight w:val="none"/>
              </w:rPr>
              <w:t>对接人工智能安全基座实现智能分类分级，根据行业分类分级标准智能标注数据库中字段所对应的数据类别、级别</w:t>
            </w:r>
            <w:r>
              <w:rPr>
                <w:rFonts w:ascii="宋体" w:cs="宋体"/>
                <w:color w:val="auto"/>
                <w:kern w:val="0"/>
                <w:sz w:val="18"/>
                <w:szCs w:val="18"/>
                <w:highlight w:val="none"/>
              </w:rPr>
              <w:t>，</w:t>
            </w:r>
            <w:r>
              <w:rPr>
                <w:rFonts w:hint="eastAsia" w:ascii="宋体" w:cs="宋体"/>
                <w:color w:val="auto"/>
                <w:kern w:val="0"/>
                <w:sz w:val="18"/>
                <w:szCs w:val="18"/>
                <w:highlight w:val="none"/>
              </w:rPr>
              <w:t>并结合当前AI分析进度，统计展示当前数据分类信息、分级信息，各种类别、级别分别对应的数量。分类分级策略引擎</w:t>
            </w:r>
            <w:r>
              <w:rPr>
                <w:rFonts w:ascii="宋体" w:cs="宋体"/>
                <w:color w:val="auto"/>
                <w:kern w:val="0"/>
                <w:sz w:val="18"/>
                <w:szCs w:val="18"/>
                <w:highlight w:val="none"/>
              </w:rPr>
              <w:t>，</w:t>
            </w:r>
            <w:r>
              <w:rPr>
                <w:rFonts w:hint="eastAsia" w:ascii="宋体" w:cs="宋体"/>
                <w:color w:val="auto"/>
                <w:kern w:val="0"/>
                <w:sz w:val="18"/>
                <w:szCs w:val="18"/>
                <w:highlight w:val="none"/>
              </w:rPr>
              <w:t>平台结合单位的数据分类分级策略，将模型识别结果转化为具体的分类分级标签</w:t>
            </w:r>
            <w:r>
              <w:rPr>
                <w:rFonts w:ascii="宋体" w:cs="宋体"/>
                <w:color w:val="auto"/>
                <w:kern w:val="0"/>
                <w:sz w:val="18"/>
                <w:szCs w:val="18"/>
                <w:highlight w:val="none"/>
              </w:rPr>
              <w:t>，</w:t>
            </w:r>
            <w:r>
              <w:rPr>
                <w:rFonts w:hint="eastAsia" w:ascii="宋体" w:cs="宋体"/>
                <w:color w:val="auto"/>
                <w:kern w:val="0"/>
                <w:sz w:val="18"/>
                <w:szCs w:val="18"/>
                <w:highlight w:val="none"/>
              </w:rPr>
              <w:t>策略引擎中预定义了不同敏感类型对应的数据类别，以及各类别数据的分级规则</w:t>
            </w:r>
            <w:r>
              <w:rPr>
                <w:rFonts w:ascii="宋体" w:cs="宋体"/>
                <w:color w:val="auto"/>
                <w:kern w:val="0"/>
                <w:sz w:val="18"/>
                <w:szCs w:val="18"/>
                <w:highlight w:val="none"/>
              </w:rPr>
              <w:t>，</w:t>
            </w:r>
            <w:r>
              <w:rPr>
                <w:rFonts w:hint="eastAsia" w:ascii="宋体" w:cs="宋体"/>
                <w:color w:val="auto"/>
                <w:kern w:val="0"/>
                <w:sz w:val="18"/>
                <w:szCs w:val="18"/>
                <w:highlight w:val="none"/>
              </w:rPr>
              <w:t>根据上下文推断可能的类别，并给出建议，由安全管理员最终确认</w:t>
            </w:r>
            <w:r>
              <w:rPr>
                <w:rFonts w:ascii="宋体" w:cs="宋体"/>
                <w:color w:val="auto"/>
                <w:kern w:val="0"/>
                <w:sz w:val="18"/>
                <w:szCs w:val="18"/>
                <w:highlight w:val="none"/>
              </w:rPr>
              <w:t>，</w:t>
            </w:r>
            <w:r>
              <w:rPr>
                <w:rFonts w:hint="eastAsia" w:ascii="宋体" w:cs="宋体"/>
                <w:color w:val="auto"/>
                <w:kern w:val="0"/>
                <w:sz w:val="18"/>
                <w:szCs w:val="18"/>
                <w:highlight w:val="none"/>
              </w:rPr>
              <w:t>通过人机协同的方式来确保分类分级结果既准确又符合实际业务含义。结果可视化与审核</w:t>
            </w:r>
            <w:r>
              <w:rPr>
                <w:rFonts w:ascii="宋体" w:cs="宋体"/>
                <w:color w:val="auto"/>
                <w:kern w:val="0"/>
                <w:sz w:val="18"/>
                <w:szCs w:val="18"/>
                <w:highlight w:val="none"/>
              </w:rPr>
              <w:t>，</w:t>
            </w:r>
            <w:r>
              <w:rPr>
                <w:rFonts w:hint="eastAsia" w:ascii="宋体" w:cs="宋体"/>
                <w:color w:val="auto"/>
                <w:kern w:val="0"/>
                <w:sz w:val="18"/>
                <w:szCs w:val="18"/>
                <w:highlight w:val="none"/>
              </w:rPr>
              <w:t>输出的数据分类分级结果将在平台界面上可视化展示，例如生成分类分级概览、数据资产态势大屏等。支持让安全团队浏览每个数据资产的标签详情，平台提供人工修正入口，管理员可直接调整标签，形成“自动识别+人工校验”的闭环流程</w:t>
            </w:r>
            <w:r>
              <w:rPr>
                <w:rFonts w:ascii="宋体" w:cs="宋体"/>
                <w:color w:val="auto"/>
                <w:kern w:val="0"/>
                <w:sz w:val="18"/>
                <w:szCs w:val="18"/>
                <w:highlight w:val="none"/>
              </w:rPr>
              <w:t>；</w:t>
            </w:r>
          </w:p>
          <w:p w14:paraId="4D04E5FB">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告警智能降噪</w:t>
            </w:r>
            <w:r>
              <w:rPr>
                <w:rFonts w:ascii="宋体" w:cs="宋体"/>
                <w:color w:val="auto"/>
                <w:kern w:val="0"/>
                <w:sz w:val="18"/>
                <w:szCs w:val="18"/>
                <w:highlight w:val="none"/>
              </w:rPr>
              <w:t>：</w:t>
            </w:r>
            <w:r>
              <w:rPr>
                <w:rFonts w:hint="eastAsia" w:ascii="宋体" w:cs="宋体"/>
                <w:color w:val="auto"/>
                <w:kern w:val="0"/>
                <w:sz w:val="18"/>
                <w:szCs w:val="18"/>
                <w:highlight w:val="none"/>
              </w:rPr>
              <w:t>数据安全监测</w:t>
            </w:r>
            <w:r>
              <w:rPr>
                <w:rFonts w:ascii="宋体" w:cs="宋体"/>
                <w:color w:val="auto"/>
                <w:kern w:val="0"/>
                <w:sz w:val="18"/>
                <w:szCs w:val="18"/>
                <w:highlight w:val="none"/>
              </w:rPr>
              <w:t>平台</w:t>
            </w:r>
            <w:r>
              <w:rPr>
                <w:rFonts w:hint="eastAsia" w:ascii="宋体" w:cs="宋体"/>
                <w:color w:val="auto"/>
                <w:kern w:val="0"/>
                <w:sz w:val="18"/>
                <w:szCs w:val="18"/>
                <w:highlight w:val="none"/>
              </w:rPr>
              <w:t>对接人工智能安全基座实现告警智能降噪，对每日大量的数据安全告警实时高效降噪</w:t>
            </w:r>
            <w:r>
              <w:rPr>
                <w:rFonts w:ascii="宋体" w:cs="宋体"/>
                <w:color w:val="auto"/>
                <w:kern w:val="0"/>
                <w:sz w:val="18"/>
                <w:szCs w:val="18"/>
                <w:highlight w:val="none"/>
              </w:rPr>
              <w:t>，</w:t>
            </w:r>
            <w:r>
              <w:rPr>
                <w:rFonts w:hint="eastAsia" w:ascii="宋体" w:cs="宋体"/>
                <w:color w:val="auto"/>
                <w:kern w:val="0"/>
                <w:sz w:val="18"/>
                <w:szCs w:val="18"/>
                <w:highlight w:val="none"/>
              </w:rPr>
              <w:t>告警降噪的全流程自动化，包括告警采集、特征提取、风险研判、降噪决策等环节</w:t>
            </w:r>
            <w:r>
              <w:rPr>
                <w:rFonts w:ascii="宋体" w:cs="宋体"/>
                <w:color w:val="auto"/>
                <w:kern w:val="0"/>
                <w:sz w:val="18"/>
                <w:szCs w:val="18"/>
                <w:highlight w:val="none"/>
              </w:rPr>
              <w:t>。</w:t>
            </w:r>
            <w:r>
              <w:rPr>
                <w:rFonts w:hint="eastAsia" w:ascii="宋体" w:cs="宋体"/>
                <w:color w:val="auto"/>
                <w:kern w:val="0"/>
                <w:sz w:val="18"/>
                <w:szCs w:val="18"/>
                <w:highlight w:val="none"/>
              </w:rPr>
              <w:t>多源告警接入与预处理</w:t>
            </w:r>
            <w:r>
              <w:rPr>
                <w:rFonts w:ascii="宋体" w:cs="宋体"/>
                <w:color w:val="auto"/>
                <w:kern w:val="0"/>
                <w:sz w:val="18"/>
                <w:szCs w:val="18"/>
                <w:highlight w:val="none"/>
              </w:rPr>
              <w:t>，</w:t>
            </w:r>
            <w:r>
              <w:rPr>
                <w:rFonts w:hint="eastAsia" w:ascii="宋体" w:cs="宋体"/>
                <w:color w:val="auto"/>
                <w:kern w:val="0"/>
                <w:sz w:val="18"/>
                <w:szCs w:val="18"/>
                <w:highlight w:val="none"/>
              </w:rPr>
              <w:t>平台</w:t>
            </w:r>
            <w:r>
              <w:rPr>
                <w:rFonts w:ascii="宋体" w:cs="宋体"/>
                <w:color w:val="auto"/>
                <w:kern w:val="0"/>
                <w:sz w:val="18"/>
                <w:szCs w:val="18"/>
                <w:highlight w:val="none"/>
              </w:rPr>
              <w:t>兼容</w:t>
            </w:r>
            <w:r>
              <w:rPr>
                <w:rFonts w:hint="eastAsia" w:ascii="宋体" w:cs="宋体"/>
                <w:color w:val="auto"/>
                <w:kern w:val="0"/>
                <w:sz w:val="18"/>
                <w:szCs w:val="18"/>
                <w:highlight w:val="none"/>
              </w:rPr>
              <w:t>各类数据安全设备和系统，包括数据安全</w:t>
            </w:r>
            <w:r>
              <w:rPr>
                <w:rFonts w:ascii="宋体" w:cs="宋体"/>
                <w:color w:val="auto"/>
                <w:kern w:val="0"/>
                <w:sz w:val="18"/>
                <w:szCs w:val="18"/>
                <w:highlight w:val="none"/>
              </w:rPr>
              <w:t>监测</w:t>
            </w:r>
            <w:r>
              <w:rPr>
                <w:rFonts w:hint="eastAsia" w:ascii="宋体" w:cs="宋体"/>
                <w:color w:val="auto"/>
                <w:kern w:val="0"/>
                <w:sz w:val="18"/>
                <w:szCs w:val="18"/>
                <w:highlight w:val="none"/>
              </w:rPr>
              <w:t>探针、数据库审计系统、堡垒机、PAM特权账号管理、数据安全网关等，实时获取告警日志</w:t>
            </w:r>
            <w:r>
              <w:rPr>
                <w:rFonts w:ascii="宋体" w:cs="宋体"/>
                <w:color w:val="auto"/>
                <w:kern w:val="0"/>
                <w:sz w:val="18"/>
                <w:szCs w:val="18"/>
                <w:highlight w:val="none"/>
              </w:rPr>
              <w:t>，</w:t>
            </w:r>
            <w:r>
              <w:rPr>
                <w:rFonts w:hint="eastAsia" w:ascii="宋体" w:cs="宋体"/>
                <w:color w:val="auto"/>
                <w:kern w:val="0"/>
                <w:sz w:val="18"/>
                <w:szCs w:val="18"/>
                <w:highlight w:val="none"/>
              </w:rPr>
              <w:t>接入后先进行预处理，包括日志标准化、过滤掉已知误报以及补充上下文信息</w:t>
            </w:r>
            <w:r>
              <w:rPr>
                <w:rFonts w:ascii="宋体" w:cs="宋体"/>
                <w:color w:val="auto"/>
                <w:kern w:val="0"/>
                <w:sz w:val="18"/>
                <w:szCs w:val="18"/>
                <w:highlight w:val="none"/>
              </w:rPr>
              <w:t>，</w:t>
            </w:r>
            <w:r>
              <w:rPr>
                <w:rFonts w:hint="eastAsia" w:ascii="宋体" w:cs="宋体"/>
                <w:color w:val="auto"/>
                <w:kern w:val="0"/>
                <w:sz w:val="18"/>
                <w:szCs w:val="18"/>
                <w:highlight w:val="none"/>
              </w:rPr>
              <w:t>预处理后的数据率与系统内置的告警规则库匹配后即触发告警，并对告警进行初轮归并后进入告警队列，等待智能体分析</w:t>
            </w:r>
            <w:r>
              <w:rPr>
                <w:rFonts w:ascii="宋体" w:cs="宋体"/>
                <w:color w:val="auto"/>
                <w:kern w:val="0"/>
                <w:sz w:val="18"/>
                <w:szCs w:val="18"/>
                <w:highlight w:val="none"/>
              </w:rPr>
              <w:t>。</w:t>
            </w:r>
            <w:r>
              <w:rPr>
                <w:rFonts w:hint="eastAsia" w:ascii="宋体" w:cs="宋体"/>
                <w:color w:val="auto"/>
                <w:kern w:val="0"/>
                <w:sz w:val="18"/>
                <w:szCs w:val="18"/>
                <w:highlight w:val="none"/>
              </w:rPr>
              <w:t>告警智能分析引擎</w:t>
            </w:r>
            <w:r>
              <w:rPr>
                <w:rFonts w:ascii="宋体" w:cs="宋体"/>
                <w:color w:val="auto"/>
                <w:kern w:val="0"/>
                <w:sz w:val="18"/>
                <w:szCs w:val="18"/>
                <w:highlight w:val="none"/>
              </w:rPr>
              <w:t>，</w:t>
            </w:r>
            <w:r>
              <w:rPr>
                <w:rFonts w:hint="eastAsia" w:ascii="宋体" w:cs="宋体"/>
                <w:color w:val="auto"/>
                <w:kern w:val="0"/>
                <w:sz w:val="18"/>
                <w:szCs w:val="18"/>
                <w:highlight w:val="none"/>
              </w:rPr>
              <w:t>具备理解安全日志和进行推理判断的能力</w:t>
            </w:r>
            <w:r>
              <w:rPr>
                <w:rFonts w:ascii="宋体" w:cs="宋体"/>
                <w:color w:val="auto"/>
                <w:kern w:val="0"/>
                <w:sz w:val="18"/>
                <w:szCs w:val="18"/>
                <w:highlight w:val="none"/>
              </w:rPr>
              <w:t>，</w:t>
            </w:r>
            <w:r>
              <w:rPr>
                <w:rFonts w:hint="eastAsia" w:ascii="宋体" w:cs="宋体"/>
                <w:color w:val="auto"/>
                <w:kern w:val="0"/>
                <w:sz w:val="18"/>
                <w:szCs w:val="18"/>
                <w:highlight w:val="none"/>
              </w:rPr>
              <w:t>接收预处理后的告警数据，执行单条告警解析和处置建议生成操作</w:t>
            </w:r>
            <w:r>
              <w:rPr>
                <w:rFonts w:ascii="宋体" w:cs="宋体"/>
                <w:color w:val="auto"/>
                <w:kern w:val="0"/>
                <w:sz w:val="18"/>
                <w:szCs w:val="18"/>
                <w:highlight w:val="none"/>
              </w:rPr>
              <w:t>；</w:t>
            </w:r>
          </w:p>
          <w:p w14:paraId="128729D6">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告警智能研判</w:t>
            </w:r>
            <w:r>
              <w:rPr>
                <w:rFonts w:ascii="宋体" w:cs="宋体"/>
                <w:color w:val="auto"/>
                <w:kern w:val="0"/>
                <w:sz w:val="18"/>
                <w:szCs w:val="18"/>
                <w:highlight w:val="none"/>
              </w:rPr>
              <w:t>：</w:t>
            </w:r>
            <w:r>
              <w:rPr>
                <w:rFonts w:hint="eastAsia" w:ascii="宋体" w:cs="宋体"/>
                <w:color w:val="auto"/>
                <w:kern w:val="0"/>
                <w:sz w:val="18"/>
                <w:szCs w:val="18"/>
                <w:highlight w:val="none"/>
              </w:rPr>
              <w:t>数据安全监测</w:t>
            </w:r>
            <w:r>
              <w:rPr>
                <w:rFonts w:ascii="宋体" w:cs="宋体"/>
                <w:color w:val="auto"/>
                <w:kern w:val="0"/>
                <w:sz w:val="18"/>
                <w:szCs w:val="18"/>
                <w:highlight w:val="none"/>
              </w:rPr>
              <w:t>平台</w:t>
            </w:r>
            <w:r>
              <w:rPr>
                <w:rFonts w:hint="eastAsia" w:ascii="宋体" w:cs="宋体"/>
                <w:color w:val="auto"/>
                <w:kern w:val="0"/>
                <w:sz w:val="18"/>
                <w:szCs w:val="18"/>
                <w:highlight w:val="none"/>
              </w:rPr>
              <w:t>对接人工智能安全基座实现告警智能研判，对告警自动研判、AI关联分析、风险事件智能解读及处置建议、风险事件等级推荐、事件报告生成。单条告警解析</w:t>
            </w:r>
            <w:r>
              <w:rPr>
                <w:rFonts w:ascii="宋体" w:cs="宋体"/>
                <w:color w:val="auto"/>
                <w:kern w:val="0"/>
                <w:sz w:val="18"/>
                <w:szCs w:val="18"/>
                <w:highlight w:val="none"/>
              </w:rPr>
              <w:t>，</w:t>
            </w:r>
            <w:r>
              <w:rPr>
                <w:rFonts w:hint="eastAsia" w:ascii="宋体" w:cs="宋体"/>
                <w:color w:val="auto"/>
                <w:kern w:val="0"/>
                <w:sz w:val="18"/>
                <w:szCs w:val="18"/>
                <w:highlight w:val="none"/>
              </w:rPr>
              <w:t>读取每条告警的内容并提取关键要素，如告警类型、发生时间、涉及的用户/主机、操作行为等</w:t>
            </w:r>
            <w:r>
              <w:rPr>
                <w:rFonts w:ascii="宋体" w:cs="宋体"/>
                <w:color w:val="auto"/>
                <w:kern w:val="0"/>
                <w:sz w:val="18"/>
                <w:szCs w:val="18"/>
                <w:highlight w:val="none"/>
              </w:rPr>
              <w:t>，</w:t>
            </w:r>
            <w:r>
              <w:rPr>
                <w:rFonts w:hint="eastAsia" w:ascii="宋体" w:cs="宋体"/>
                <w:color w:val="auto"/>
                <w:kern w:val="0"/>
                <w:sz w:val="18"/>
                <w:szCs w:val="18"/>
                <w:highlight w:val="none"/>
              </w:rPr>
              <w:t>若告警描述模糊，还可结合知识库（如常见泄露模式）进行推断，确保准确理解告警含义。可视化告警面板</w:t>
            </w:r>
            <w:r>
              <w:rPr>
                <w:rFonts w:ascii="宋体" w:cs="宋体"/>
                <w:color w:val="auto"/>
                <w:kern w:val="0"/>
                <w:sz w:val="18"/>
                <w:szCs w:val="18"/>
                <w:highlight w:val="none"/>
              </w:rPr>
              <w:t>，</w:t>
            </w:r>
            <w:r>
              <w:rPr>
                <w:rFonts w:hint="eastAsia" w:ascii="宋体" w:cs="宋体"/>
                <w:color w:val="auto"/>
                <w:kern w:val="0"/>
                <w:sz w:val="18"/>
                <w:szCs w:val="18"/>
                <w:highlight w:val="none"/>
              </w:rPr>
              <w:t>分析结果通过平台的可视化界面呈现</w:t>
            </w:r>
            <w:r>
              <w:rPr>
                <w:rFonts w:ascii="宋体" w:cs="宋体"/>
                <w:color w:val="auto"/>
                <w:kern w:val="0"/>
                <w:sz w:val="18"/>
                <w:szCs w:val="18"/>
                <w:highlight w:val="none"/>
              </w:rPr>
              <w:t>，</w:t>
            </w:r>
            <w:r>
              <w:rPr>
                <w:rFonts w:hint="eastAsia" w:ascii="宋体" w:cs="宋体"/>
                <w:color w:val="auto"/>
                <w:kern w:val="0"/>
                <w:sz w:val="18"/>
                <w:szCs w:val="18"/>
                <w:highlight w:val="none"/>
              </w:rPr>
              <w:t>聚合后的安全事件以列表形式呈现，每条事件清晰展示时间、涉事资产、风险等级、核心结论及原始告警来源与数量</w:t>
            </w:r>
            <w:r>
              <w:rPr>
                <w:rFonts w:ascii="宋体" w:cs="宋体"/>
                <w:color w:val="auto"/>
                <w:kern w:val="0"/>
                <w:sz w:val="18"/>
                <w:szCs w:val="18"/>
                <w:highlight w:val="none"/>
              </w:rPr>
              <w:t>，</w:t>
            </w:r>
            <w:r>
              <w:rPr>
                <w:rFonts w:hint="eastAsia" w:ascii="宋体" w:cs="宋体"/>
                <w:color w:val="auto"/>
                <w:kern w:val="0"/>
                <w:sz w:val="18"/>
                <w:szCs w:val="18"/>
                <w:highlight w:val="none"/>
              </w:rPr>
              <w:t>点击事件可查看完整分析报告，包含事件描述、推理逻辑、关联告警清单及操作指引，帮助分析师快速掌握事件全貌</w:t>
            </w:r>
            <w:r>
              <w:rPr>
                <w:rFonts w:ascii="宋体" w:cs="宋体"/>
                <w:color w:val="auto"/>
                <w:kern w:val="0"/>
                <w:sz w:val="18"/>
                <w:szCs w:val="18"/>
                <w:highlight w:val="none"/>
              </w:rPr>
              <w:t>；</w:t>
            </w:r>
          </w:p>
          <w:p w14:paraId="3222DE83">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AI关联分析</w:t>
            </w:r>
            <w:r>
              <w:rPr>
                <w:rFonts w:ascii="宋体" w:cs="宋体"/>
                <w:color w:val="auto"/>
                <w:kern w:val="0"/>
                <w:sz w:val="18"/>
                <w:szCs w:val="18"/>
                <w:highlight w:val="none"/>
              </w:rPr>
              <w:t>：</w:t>
            </w:r>
            <w:r>
              <w:rPr>
                <w:rFonts w:hint="eastAsia" w:ascii="宋体" w:cs="宋体"/>
                <w:color w:val="auto"/>
                <w:kern w:val="0"/>
                <w:sz w:val="18"/>
                <w:szCs w:val="18"/>
                <w:highlight w:val="none"/>
              </w:rPr>
              <w:t>数据安全监测</w:t>
            </w:r>
            <w:r>
              <w:rPr>
                <w:rFonts w:ascii="宋体" w:cs="宋体"/>
                <w:color w:val="auto"/>
                <w:kern w:val="0"/>
                <w:sz w:val="18"/>
                <w:szCs w:val="18"/>
                <w:highlight w:val="none"/>
              </w:rPr>
              <w:t>平台</w:t>
            </w:r>
            <w:r>
              <w:rPr>
                <w:rFonts w:hint="eastAsia" w:ascii="宋体" w:cs="宋体"/>
                <w:color w:val="auto"/>
                <w:kern w:val="0"/>
                <w:sz w:val="18"/>
                <w:szCs w:val="18"/>
                <w:highlight w:val="none"/>
              </w:rPr>
              <w:t>对接人工智能安全基座实现AI关联分析，针对告警相关的上下文信息进行智能关联，梳理得出事件性质判定、事件名称与分类、告警关联分析时间线梳理、影响范围分析、下一步处理建议。人机协同处理流程</w:t>
            </w:r>
            <w:r>
              <w:rPr>
                <w:rFonts w:ascii="宋体" w:cs="宋体"/>
                <w:color w:val="auto"/>
                <w:kern w:val="0"/>
                <w:sz w:val="18"/>
                <w:szCs w:val="18"/>
                <w:highlight w:val="none"/>
              </w:rPr>
              <w:t>，</w:t>
            </w:r>
            <w:r>
              <w:rPr>
                <w:rFonts w:hint="eastAsia" w:ascii="宋体" w:cs="宋体"/>
                <w:color w:val="auto"/>
                <w:kern w:val="0"/>
                <w:sz w:val="18"/>
                <w:szCs w:val="18"/>
                <w:highlight w:val="none"/>
              </w:rPr>
              <w:t>AI标记的风险事件自动推送至对应安全分析师，附带完整分析报告与建议</w:t>
            </w:r>
            <w:r>
              <w:rPr>
                <w:rFonts w:ascii="宋体" w:cs="宋体"/>
                <w:color w:val="auto"/>
                <w:kern w:val="0"/>
                <w:sz w:val="18"/>
                <w:szCs w:val="18"/>
                <w:highlight w:val="none"/>
              </w:rPr>
              <w:t>，</w:t>
            </w:r>
            <w:r>
              <w:rPr>
                <w:rFonts w:hint="eastAsia" w:ascii="宋体" w:cs="宋体"/>
                <w:color w:val="auto"/>
                <w:kern w:val="0"/>
                <w:sz w:val="18"/>
                <w:szCs w:val="18"/>
                <w:highlight w:val="none"/>
              </w:rPr>
              <w:t>分析师可直接在平台查阅详情，确认AI判断合理后，一键完成风险升级、事件升级、信息修改等操作，实现 AI 效率与人工判断力的有机结合。模型持续学习</w:t>
            </w:r>
            <w:r>
              <w:rPr>
                <w:rFonts w:ascii="宋体" w:cs="宋体"/>
                <w:color w:val="auto"/>
                <w:kern w:val="0"/>
                <w:sz w:val="18"/>
                <w:szCs w:val="18"/>
                <w:highlight w:val="none"/>
              </w:rPr>
              <w:t>，</w:t>
            </w:r>
            <w:r>
              <w:rPr>
                <w:rFonts w:hint="eastAsia" w:ascii="宋体" w:cs="宋体"/>
                <w:color w:val="auto"/>
                <w:kern w:val="0"/>
                <w:sz w:val="18"/>
                <w:szCs w:val="18"/>
                <w:highlight w:val="none"/>
              </w:rPr>
              <w:t>收集每起事件的最终处置结果与专家反馈，形成专属训练数据集</w:t>
            </w:r>
            <w:r>
              <w:rPr>
                <w:rFonts w:ascii="宋体" w:cs="宋体"/>
                <w:color w:val="auto"/>
                <w:kern w:val="0"/>
                <w:sz w:val="18"/>
                <w:szCs w:val="18"/>
                <w:highlight w:val="none"/>
              </w:rPr>
              <w:t>，</w:t>
            </w:r>
            <w:r>
              <w:rPr>
                <w:rFonts w:hint="eastAsia" w:ascii="宋体" w:cs="宋体"/>
                <w:color w:val="auto"/>
                <w:kern w:val="0"/>
                <w:sz w:val="18"/>
                <w:szCs w:val="18"/>
                <w:highlight w:val="none"/>
              </w:rPr>
              <w:t>针对漏报、误判的特定类型事件（如新型数据泄露场景），持续优化模型识别规则与敏感度，逐步提升分析准确率，成为安全团队可靠的辅助工具</w:t>
            </w:r>
            <w:r>
              <w:rPr>
                <w:rFonts w:ascii="宋体" w:cs="宋体"/>
                <w:color w:val="auto"/>
                <w:kern w:val="0"/>
                <w:sz w:val="18"/>
                <w:szCs w:val="18"/>
                <w:highlight w:val="none"/>
              </w:rPr>
              <w:t>；</w:t>
            </w:r>
          </w:p>
          <w:p w14:paraId="2C5CD39F">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6.</w:t>
            </w:r>
            <w:r>
              <w:rPr>
                <w:rFonts w:hint="eastAsia" w:ascii="宋体" w:cs="宋体"/>
                <w:color w:val="auto"/>
                <w:kern w:val="0"/>
                <w:sz w:val="18"/>
                <w:szCs w:val="18"/>
                <w:highlight w:val="none"/>
              </w:rPr>
              <w:t>安全告警智能总结</w:t>
            </w:r>
            <w:r>
              <w:rPr>
                <w:rFonts w:ascii="宋体" w:cs="宋体"/>
                <w:color w:val="auto"/>
                <w:kern w:val="0"/>
                <w:sz w:val="18"/>
                <w:szCs w:val="18"/>
                <w:highlight w:val="none"/>
              </w:rPr>
              <w:t>：</w:t>
            </w:r>
            <w:r>
              <w:rPr>
                <w:rFonts w:hint="eastAsia" w:ascii="宋体" w:cs="宋体"/>
                <w:color w:val="auto"/>
                <w:kern w:val="0"/>
                <w:sz w:val="18"/>
                <w:szCs w:val="18"/>
                <w:highlight w:val="none"/>
              </w:rPr>
              <w:t>数据安全监测</w:t>
            </w:r>
            <w:r>
              <w:rPr>
                <w:rFonts w:ascii="宋体" w:cs="宋体"/>
                <w:color w:val="auto"/>
                <w:kern w:val="0"/>
                <w:sz w:val="18"/>
                <w:szCs w:val="18"/>
                <w:highlight w:val="none"/>
              </w:rPr>
              <w:t>平台</w:t>
            </w:r>
            <w:r>
              <w:rPr>
                <w:rFonts w:hint="eastAsia" w:ascii="宋体" w:cs="宋体"/>
                <w:color w:val="auto"/>
                <w:kern w:val="0"/>
                <w:sz w:val="18"/>
                <w:szCs w:val="18"/>
                <w:highlight w:val="none"/>
              </w:rPr>
              <w:t>对接人工智能安全基座实现告警智能总结</w:t>
            </w:r>
            <w:r>
              <w:rPr>
                <w:rFonts w:ascii="宋体" w:cs="宋体"/>
                <w:color w:val="auto"/>
                <w:kern w:val="0"/>
                <w:sz w:val="18"/>
                <w:szCs w:val="18"/>
                <w:highlight w:val="none"/>
              </w:rPr>
              <w:t>。</w:t>
            </w:r>
            <w:r>
              <w:rPr>
                <w:rFonts w:hint="eastAsia" w:ascii="宋体" w:cs="宋体"/>
                <w:color w:val="auto"/>
                <w:kern w:val="0"/>
                <w:sz w:val="18"/>
                <w:szCs w:val="18"/>
                <w:highlight w:val="none"/>
              </w:rPr>
              <w:t>针对高风险事件，</w:t>
            </w:r>
            <w:r>
              <w:rPr>
                <w:rFonts w:ascii="宋体" w:cs="宋体"/>
                <w:color w:val="auto"/>
                <w:kern w:val="0"/>
                <w:sz w:val="18"/>
                <w:szCs w:val="18"/>
                <w:highlight w:val="none"/>
              </w:rPr>
              <w:t>实现</w:t>
            </w:r>
            <w:r>
              <w:rPr>
                <w:rFonts w:hint="eastAsia" w:ascii="宋体" w:cs="宋体"/>
                <w:color w:val="auto"/>
                <w:kern w:val="0"/>
                <w:sz w:val="18"/>
                <w:szCs w:val="18"/>
                <w:highlight w:val="none"/>
              </w:rPr>
              <w:t>进一步生成初步的处置建议</w:t>
            </w:r>
            <w:r>
              <w:rPr>
                <w:rFonts w:ascii="宋体" w:cs="宋体"/>
                <w:color w:val="auto"/>
                <w:kern w:val="0"/>
                <w:sz w:val="18"/>
                <w:szCs w:val="18"/>
                <w:highlight w:val="none"/>
              </w:rPr>
              <w:t>，</w:t>
            </w:r>
            <w:r>
              <w:rPr>
                <w:rFonts w:hint="eastAsia" w:ascii="宋体" w:cs="宋体"/>
                <w:color w:val="auto"/>
                <w:kern w:val="0"/>
                <w:sz w:val="18"/>
                <w:szCs w:val="18"/>
                <w:highlight w:val="none"/>
              </w:rPr>
              <w:t>针对疑似数据泄露事件直接给出“封禁涉事账号+启动数据溯源”的建议。针对低风险或误报事件提示 “持续观察”，为安全分析师提供明确决策参考</w:t>
            </w:r>
            <w:r>
              <w:rPr>
                <w:rFonts w:ascii="宋体" w:cs="宋体"/>
                <w:color w:val="auto"/>
                <w:kern w:val="0"/>
                <w:sz w:val="18"/>
                <w:szCs w:val="18"/>
                <w:highlight w:val="none"/>
              </w:rPr>
              <w:t>；</w:t>
            </w:r>
          </w:p>
          <w:p w14:paraId="6E4111BB">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7.</w:t>
            </w:r>
            <w:r>
              <w:rPr>
                <w:rFonts w:hint="eastAsia" w:ascii="宋体" w:cs="宋体"/>
                <w:color w:val="auto"/>
                <w:kern w:val="0"/>
                <w:sz w:val="18"/>
                <w:szCs w:val="18"/>
                <w:highlight w:val="none"/>
              </w:rPr>
              <w:t>智能问答</w:t>
            </w:r>
            <w:r>
              <w:rPr>
                <w:rFonts w:ascii="宋体" w:cs="宋体"/>
                <w:color w:val="auto"/>
                <w:kern w:val="0"/>
                <w:sz w:val="18"/>
                <w:szCs w:val="18"/>
                <w:highlight w:val="none"/>
              </w:rPr>
              <w:t>：</w:t>
            </w:r>
            <w:r>
              <w:rPr>
                <w:rFonts w:hint="eastAsia" w:ascii="宋体" w:cs="宋体"/>
                <w:color w:val="auto"/>
                <w:kern w:val="0"/>
                <w:sz w:val="18"/>
                <w:szCs w:val="18"/>
                <w:highlight w:val="none"/>
              </w:rPr>
              <w:t>数据安全监测</w:t>
            </w:r>
            <w:r>
              <w:rPr>
                <w:rFonts w:ascii="宋体" w:cs="宋体"/>
                <w:color w:val="auto"/>
                <w:kern w:val="0"/>
                <w:sz w:val="18"/>
                <w:szCs w:val="18"/>
                <w:highlight w:val="none"/>
              </w:rPr>
              <w:t>平台</w:t>
            </w:r>
            <w:r>
              <w:rPr>
                <w:rFonts w:hint="eastAsia" w:ascii="宋体" w:cs="宋体"/>
                <w:color w:val="auto"/>
                <w:kern w:val="0"/>
                <w:sz w:val="18"/>
                <w:szCs w:val="18"/>
                <w:highlight w:val="none"/>
              </w:rPr>
              <w:t>对接人工智能安全基座实现智能问答，基于自然语言处理技术和丰富全面的安全知识库，提供了便捷、智能的安全知识查询和问题解答服务。自然语言交互</w:t>
            </w:r>
            <w:r>
              <w:rPr>
                <w:rFonts w:ascii="宋体" w:cs="宋体"/>
                <w:color w:val="auto"/>
                <w:kern w:val="0"/>
                <w:sz w:val="18"/>
                <w:szCs w:val="18"/>
                <w:highlight w:val="none"/>
              </w:rPr>
              <w:t>，</w:t>
            </w:r>
            <w:r>
              <w:rPr>
                <w:rFonts w:hint="eastAsia" w:ascii="宋体" w:cs="宋体"/>
                <w:color w:val="auto"/>
                <w:kern w:val="0"/>
                <w:sz w:val="18"/>
                <w:szCs w:val="18"/>
                <w:highlight w:val="none"/>
              </w:rPr>
              <w:t>提供智能问答小助手窗口，通过语言交互的方式帮助用户快速搜索及总结</w:t>
            </w:r>
            <w:r>
              <w:rPr>
                <w:rFonts w:ascii="宋体" w:cs="宋体"/>
                <w:color w:val="auto"/>
                <w:kern w:val="0"/>
                <w:sz w:val="18"/>
                <w:szCs w:val="18"/>
                <w:highlight w:val="none"/>
              </w:rPr>
              <w:t>，</w:t>
            </w:r>
            <w:r>
              <w:rPr>
                <w:rFonts w:hint="eastAsia" w:ascii="宋体" w:cs="宋体"/>
                <w:color w:val="auto"/>
                <w:kern w:val="0"/>
                <w:sz w:val="18"/>
                <w:szCs w:val="18"/>
                <w:highlight w:val="none"/>
              </w:rPr>
              <w:t>通过AI赋能，结合产品敏感数据、告警、风险、事件等数据，帮助用户梳理当前资产现状、敏感数据情况、风险总结，以及合规条文解读，囊括数据安全通用知识、用户环境中数据安全管理平台数据如分类分级结果、告警、风险和事件数据等。多源数据融合</w:t>
            </w:r>
            <w:r>
              <w:rPr>
                <w:rFonts w:ascii="宋体" w:cs="宋体"/>
                <w:color w:val="auto"/>
                <w:kern w:val="0"/>
                <w:sz w:val="18"/>
                <w:szCs w:val="18"/>
                <w:highlight w:val="none"/>
              </w:rPr>
              <w:t>，</w:t>
            </w:r>
            <w:r>
              <w:rPr>
                <w:rFonts w:hint="eastAsia" w:ascii="宋体" w:cs="宋体"/>
                <w:color w:val="auto"/>
                <w:kern w:val="0"/>
                <w:sz w:val="18"/>
                <w:szCs w:val="18"/>
                <w:highlight w:val="none"/>
              </w:rPr>
              <w:t>根据对问题语义的理解，在后台调用告警研判智能体、分类分级智能体等智能体的数据，整合相关数据，进行深度分析和关联，然后以清晰、易懂的方式呈现答案。</w:t>
            </w:r>
          </w:p>
          <w:p w14:paraId="786627C0">
            <w:pPr>
              <w:widowControl/>
              <w:ind w:firstLine="360" w:firstLineChars="200"/>
              <w:jc w:val="left"/>
              <w:rPr>
                <w:rFonts w:hint="eastAsia" w:ascii="宋体" w:hAnsi="宋体" w:cs="宋体"/>
                <w:color w:val="auto"/>
                <w:kern w:val="0"/>
                <w:sz w:val="18"/>
                <w:szCs w:val="18"/>
                <w:highlight w:val="none"/>
              </w:rPr>
            </w:pPr>
            <w:r>
              <w:rPr>
                <w:rFonts w:ascii="宋体" w:cs="宋体"/>
                <w:color w:val="auto"/>
                <w:kern w:val="0"/>
                <w:sz w:val="18"/>
                <w:szCs w:val="18"/>
                <w:highlight w:val="none"/>
              </w:rPr>
              <w:t>8.</w:t>
            </w:r>
            <w:r>
              <w:rPr>
                <w:rFonts w:hint="eastAsia" w:ascii="宋体" w:cs="宋体"/>
                <w:color w:val="auto"/>
                <w:kern w:val="0"/>
                <w:sz w:val="18"/>
                <w:szCs w:val="18"/>
                <w:highlight w:val="none"/>
              </w:rPr>
              <w:t>智能报告</w:t>
            </w:r>
            <w:r>
              <w:rPr>
                <w:rFonts w:ascii="宋体" w:cs="宋体"/>
                <w:color w:val="auto"/>
                <w:kern w:val="0"/>
                <w:sz w:val="18"/>
                <w:szCs w:val="18"/>
                <w:highlight w:val="none"/>
              </w:rPr>
              <w:t>：</w:t>
            </w:r>
            <w:r>
              <w:rPr>
                <w:rFonts w:hint="eastAsia" w:ascii="宋体" w:cs="宋体"/>
                <w:color w:val="auto"/>
                <w:kern w:val="0"/>
                <w:sz w:val="18"/>
                <w:szCs w:val="18"/>
                <w:highlight w:val="none"/>
              </w:rPr>
              <w:t>数据安全监测</w:t>
            </w:r>
            <w:r>
              <w:rPr>
                <w:rFonts w:ascii="宋体" w:cs="宋体"/>
                <w:color w:val="auto"/>
                <w:kern w:val="0"/>
                <w:sz w:val="18"/>
                <w:szCs w:val="18"/>
                <w:highlight w:val="none"/>
              </w:rPr>
              <w:t>平台</w:t>
            </w:r>
            <w:r>
              <w:rPr>
                <w:rFonts w:hint="eastAsia" w:ascii="宋体" w:cs="宋体"/>
                <w:color w:val="auto"/>
                <w:kern w:val="0"/>
                <w:sz w:val="18"/>
                <w:szCs w:val="18"/>
                <w:highlight w:val="none"/>
              </w:rPr>
              <w:t>对接人工智能安全基座实现智能报告，对重要安全事件，能够生成一份包含事件基本信息、事件影响范围、响应动作、处置结果、处置建议的事件报告，供安全管理人员审阅及下载。智能分析与洞察</w:t>
            </w:r>
            <w:r>
              <w:rPr>
                <w:rFonts w:ascii="宋体" w:cs="宋体"/>
                <w:color w:val="auto"/>
                <w:kern w:val="0"/>
                <w:sz w:val="18"/>
                <w:szCs w:val="18"/>
                <w:highlight w:val="none"/>
              </w:rPr>
              <w:t>，</w:t>
            </w:r>
            <w:r>
              <w:rPr>
                <w:rFonts w:hint="eastAsia" w:ascii="宋体" w:cs="宋体"/>
                <w:color w:val="auto"/>
                <w:kern w:val="0"/>
                <w:sz w:val="18"/>
                <w:szCs w:val="18"/>
                <w:highlight w:val="none"/>
              </w:rPr>
              <w:t>通过统计分析、趋势预测算法，定位风险高发 API 接口、告警类型分布特征、数据泄露主要路径等关键信息，以直观图表呈现，辅助管理层决策。自动化报告撰写</w:t>
            </w:r>
            <w:r>
              <w:rPr>
                <w:rFonts w:ascii="宋体" w:cs="宋体"/>
                <w:color w:val="auto"/>
                <w:kern w:val="0"/>
                <w:sz w:val="18"/>
                <w:szCs w:val="18"/>
                <w:highlight w:val="none"/>
              </w:rPr>
              <w:t>，</w:t>
            </w:r>
            <w:r>
              <w:rPr>
                <w:rFonts w:hint="eastAsia" w:ascii="宋体" w:cs="宋体"/>
                <w:color w:val="auto"/>
                <w:kern w:val="0"/>
                <w:sz w:val="18"/>
                <w:szCs w:val="18"/>
                <w:highlight w:val="none"/>
              </w:rPr>
              <w:t>基于分析结果生成结构化报告，包含摘要、风险趋势分析、风险分析、建议措施等模块，语言客观专业、逻辑清晰，确保报告具备实际参考价值。</w:t>
            </w:r>
          </w:p>
        </w:tc>
        <w:tc>
          <w:tcPr>
            <w:tcW w:w="145" w:type="pct"/>
            <w:tcBorders>
              <w:top w:val="nil"/>
              <w:left w:val="nil"/>
              <w:bottom w:val="single" w:color="auto" w:sz="4" w:space="0"/>
              <w:right w:val="single" w:color="auto" w:sz="4" w:space="0"/>
            </w:tcBorders>
            <w:vAlign w:val="center"/>
          </w:tcPr>
          <w:p w14:paraId="181EF175">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vAlign w:val="center"/>
          </w:tcPr>
          <w:p w14:paraId="15C54D8C">
            <w:pPr>
              <w:widowControl/>
              <w:jc w:val="center"/>
              <w:rPr>
                <w:rFonts w:hint="eastAsia" w:ascii="宋体" w:hAnsi="宋体" w:cs="宋体"/>
                <w:color w:val="auto"/>
                <w:kern w:val="0"/>
                <w:sz w:val="18"/>
                <w:szCs w:val="18"/>
                <w:highlight w:val="none"/>
              </w:rPr>
            </w:pPr>
          </w:p>
        </w:tc>
      </w:tr>
      <w:tr w14:paraId="03A47F01">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vAlign w:val="center"/>
          </w:tcPr>
          <w:p w14:paraId="0B517CA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7</w:t>
            </w:r>
          </w:p>
        </w:tc>
        <w:tc>
          <w:tcPr>
            <w:tcW w:w="428" w:type="pct"/>
            <w:tcBorders>
              <w:top w:val="nil"/>
              <w:left w:val="nil"/>
              <w:bottom w:val="single" w:color="auto" w:sz="4" w:space="0"/>
              <w:right w:val="single" w:color="auto" w:sz="4" w:space="0"/>
            </w:tcBorders>
            <w:vAlign w:val="center"/>
          </w:tcPr>
          <w:p w14:paraId="325447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安全事件关联分析模块</w:t>
            </w:r>
          </w:p>
        </w:tc>
        <w:tc>
          <w:tcPr>
            <w:tcW w:w="3798" w:type="pct"/>
            <w:gridSpan w:val="2"/>
            <w:tcBorders>
              <w:top w:val="nil"/>
              <w:left w:val="nil"/>
              <w:bottom w:val="single" w:color="auto" w:sz="4" w:space="0"/>
              <w:right w:val="single" w:color="auto" w:sz="4" w:space="0"/>
            </w:tcBorders>
          </w:tcPr>
          <w:p w14:paraId="7506C6FB">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1.</w:t>
            </w:r>
            <w:r>
              <w:rPr>
                <w:rFonts w:hint="eastAsia" w:ascii="宋体" w:cs="宋体"/>
                <w:color w:val="auto"/>
                <w:kern w:val="0"/>
                <w:sz w:val="18"/>
                <w:szCs w:val="18"/>
                <w:highlight w:val="none"/>
              </w:rPr>
              <w:t>数据标准化与范式化处理</w:t>
            </w:r>
            <w:r>
              <w:rPr>
                <w:rFonts w:ascii="宋体" w:cs="宋体"/>
                <w:color w:val="auto"/>
                <w:kern w:val="0"/>
                <w:sz w:val="18"/>
                <w:szCs w:val="18"/>
                <w:highlight w:val="none"/>
              </w:rPr>
              <w:t>：</w:t>
            </w:r>
            <w:r>
              <w:rPr>
                <w:rFonts w:hint="eastAsia" w:ascii="宋体" w:cs="宋体"/>
                <w:color w:val="auto"/>
                <w:kern w:val="0"/>
                <w:sz w:val="18"/>
                <w:szCs w:val="18"/>
                <w:highlight w:val="none"/>
              </w:rPr>
              <w:t>由于原始告警数据格式千差万别，本功能负责将采集到的原始日志进行清洗、映射和统一</w:t>
            </w:r>
            <w:r>
              <w:rPr>
                <w:rFonts w:ascii="宋体" w:cs="宋体"/>
                <w:color w:val="auto"/>
                <w:kern w:val="0"/>
                <w:sz w:val="18"/>
                <w:szCs w:val="18"/>
                <w:highlight w:val="none"/>
              </w:rPr>
              <w:t>，</w:t>
            </w:r>
            <w:r>
              <w:rPr>
                <w:rFonts w:hint="eastAsia" w:ascii="宋体" w:cs="宋体"/>
                <w:color w:val="auto"/>
                <w:kern w:val="0"/>
                <w:sz w:val="18"/>
                <w:szCs w:val="18"/>
                <w:highlight w:val="none"/>
              </w:rPr>
              <w:t>系统内置一个可扩展的解析器库，能够识别并解析不同设备的日志，将其中的关键字段（如源/目的IP、端口、时间戳、告警类型、严重等级、用户名等）提取并映射到一个统一的通用信息模型（CIM）中</w:t>
            </w:r>
            <w:r>
              <w:rPr>
                <w:rFonts w:ascii="宋体" w:cs="宋体"/>
                <w:color w:val="auto"/>
                <w:kern w:val="0"/>
                <w:sz w:val="18"/>
                <w:szCs w:val="18"/>
                <w:highlight w:val="none"/>
              </w:rPr>
              <w:t>，</w:t>
            </w:r>
            <w:r>
              <w:rPr>
                <w:rFonts w:hint="eastAsia" w:ascii="宋体" w:cs="宋体"/>
                <w:color w:val="auto"/>
                <w:kern w:val="0"/>
                <w:sz w:val="18"/>
                <w:szCs w:val="18"/>
                <w:highlight w:val="none"/>
              </w:rPr>
              <w:t>如将所有设备中关于“暴力破解”的告警统一归类为“Brute-Force-Attack”，并将所有严重程度统一映射为“低、中、高、严重”四个等级，为后续的关联分析建立一致的数据基础。数据解析</w:t>
            </w:r>
            <w:r>
              <w:rPr>
                <w:rFonts w:ascii="宋体" w:cs="宋体"/>
                <w:color w:val="auto"/>
                <w:kern w:val="0"/>
                <w:sz w:val="18"/>
                <w:szCs w:val="18"/>
                <w:highlight w:val="none"/>
              </w:rPr>
              <w:t>，</w:t>
            </w:r>
            <w:r>
              <w:rPr>
                <w:rFonts w:hint="eastAsia" w:ascii="宋体" w:cs="宋体"/>
                <w:color w:val="auto"/>
                <w:kern w:val="0"/>
                <w:sz w:val="18"/>
                <w:szCs w:val="18"/>
                <w:highlight w:val="none"/>
              </w:rPr>
              <w:t>通过解析插件和解析规则进行数据解析，支持地理信息富化、动态数据映射等数据富化。数据处理</w:t>
            </w:r>
            <w:r>
              <w:rPr>
                <w:rFonts w:ascii="宋体" w:cs="宋体"/>
                <w:color w:val="auto"/>
                <w:kern w:val="0"/>
                <w:sz w:val="18"/>
                <w:szCs w:val="18"/>
                <w:highlight w:val="none"/>
              </w:rPr>
              <w:t>，</w:t>
            </w:r>
            <w:r>
              <w:rPr>
                <w:rFonts w:hint="eastAsia" w:ascii="宋体" w:cs="宋体"/>
                <w:color w:val="auto"/>
                <w:kern w:val="0"/>
                <w:sz w:val="18"/>
                <w:szCs w:val="18"/>
                <w:highlight w:val="none"/>
              </w:rPr>
              <w:t>支持通过流程和插件描述来进行数据处理，从而便于增加输出方式、输出内容</w:t>
            </w:r>
            <w:r>
              <w:rPr>
                <w:rFonts w:ascii="宋体" w:cs="宋体"/>
                <w:color w:val="auto"/>
                <w:kern w:val="0"/>
                <w:sz w:val="18"/>
                <w:szCs w:val="18"/>
                <w:highlight w:val="none"/>
              </w:rPr>
              <w:t>，</w:t>
            </w:r>
            <w:r>
              <w:rPr>
                <w:rFonts w:hint="eastAsia" w:ascii="宋体" w:cs="宋体"/>
                <w:color w:val="auto"/>
                <w:kern w:val="0"/>
                <w:sz w:val="18"/>
                <w:szCs w:val="18"/>
                <w:highlight w:val="none"/>
              </w:rPr>
              <w:t>通过节点拖拽可简单地进行流程编排。支持流程调试，可以看出数据流中间结果和流向</w:t>
            </w:r>
            <w:r>
              <w:rPr>
                <w:rFonts w:ascii="宋体" w:cs="宋体"/>
                <w:color w:val="auto"/>
                <w:kern w:val="0"/>
                <w:sz w:val="18"/>
                <w:szCs w:val="18"/>
                <w:highlight w:val="none"/>
              </w:rPr>
              <w:t>。</w:t>
            </w:r>
            <w:r>
              <w:rPr>
                <w:rFonts w:hint="eastAsia" w:ascii="宋体" w:cs="宋体"/>
                <w:color w:val="auto"/>
                <w:kern w:val="0"/>
                <w:sz w:val="18"/>
                <w:szCs w:val="18"/>
                <w:highlight w:val="none"/>
              </w:rPr>
              <w:t>文件存储环境适配</w:t>
            </w:r>
            <w:r>
              <w:rPr>
                <w:rFonts w:ascii="宋体" w:cs="宋体"/>
                <w:color w:val="auto"/>
                <w:kern w:val="0"/>
                <w:sz w:val="18"/>
                <w:szCs w:val="18"/>
                <w:highlight w:val="none"/>
              </w:rPr>
              <w:t>，</w:t>
            </w:r>
            <w:r>
              <w:rPr>
                <w:rFonts w:hint="eastAsia" w:ascii="宋体" w:cs="宋体"/>
                <w:color w:val="auto"/>
                <w:kern w:val="0"/>
                <w:sz w:val="18"/>
                <w:szCs w:val="18"/>
                <w:highlight w:val="none"/>
              </w:rPr>
              <w:t>平台对接多种存储环境连接及信息读取能力，包括FTP、HDFS等多种文件存储环境；可实现对存储的txt、csv、word、pdf、excel等文件，及png、jpg、jpeg、bmp等图像文件基础信息查阅</w:t>
            </w:r>
            <w:r>
              <w:rPr>
                <w:rFonts w:ascii="宋体" w:cs="宋体"/>
                <w:color w:val="auto"/>
                <w:kern w:val="0"/>
                <w:sz w:val="18"/>
                <w:szCs w:val="18"/>
                <w:highlight w:val="none"/>
              </w:rPr>
              <w:t>；</w:t>
            </w:r>
          </w:p>
          <w:p w14:paraId="374C5D51">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基于规则的初级关联与聚合</w:t>
            </w:r>
            <w:r>
              <w:rPr>
                <w:rFonts w:ascii="宋体" w:cs="宋体"/>
                <w:color w:val="auto"/>
                <w:kern w:val="0"/>
                <w:sz w:val="18"/>
                <w:szCs w:val="18"/>
                <w:highlight w:val="none"/>
              </w:rPr>
              <w:t>：</w:t>
            </w:r>
            <w:r>
              <w:rPr>
                <w:rFonts w:hint="eastAsia" w:ascii="宋体" w:cs="宋体"/>
                <w:color w:val="auto"/>
                <w:kern w:val="0"/>
                <w:sz w:val="18"/>
                <w:szCs w:val="18"/>
                <w:highlight w:val="none"/>
              </w:rPr>
              <w:t>此功能通过预定义的静态规则，对标准化后的告警进行初步的、高效率的关联</w:t>
            </w:r>
            <w:r>
              <w:rPr>
                <w:rFonts w:ascii="宋体" w:cs="宋体"/>
                <w:color w:val="auto"/>
                <w:kern w:val="0"/>
                <w:sz w:val="18"/>
                <w:szCs w:val="18"/>
                <w:highlight w:val="none"/>
              </w:rPr>
              <w:t>，</w:t>
            </w:r>
            <w:r>
              <w:rPr>
                <w:rFonts w:hint="eastAsia" w:ascii="宋体" w:cs="宋体"/>
                <w:color w:val="auto"/>
                <w:kern w:val="0"/>
                <w:sz w:val="18"/>
                <w:szCs w:val="18"/>
                <w:highlight w:val="none"/>
              </w:rPr>
              <w:t>规则可包括时间窗口聚合（如5分钟内来自同一源IP的超过10次登录失败告警，聚合成一条“暴力破解”事件）、重复告警压缩（将同一设备在短时间内产生的相同告警合并为一条，并记录发生次数），以及跨设备逻辑关联（如防火墙检测到外部扫描，紧接着内网主机发生异常外联，可关联为“潜在失陷”事件）。通过对多源日志关联分析</w:t>
            </w:r>
            <w:r>
              <w:rPr>
                <w:rFonts w:ascii="宋体" w:cs="宋体"/>
                <w:color w:val="auto"/>
                <w:kern w:val="0"/>
                <w:sz w:val="18"/>
                <w:szCs w:val="18"/>
                <w:highlight w:val="none"/>
              </w:rPr>
              <w:t>、行为链分析发现安全事件，实现通过</w:t>
            </w:r>
            <w:r>
              <w:rPr>
                <w:rFonts w:hint="eastAsia" w:ascii="宋体" w:cs="宋体"/>
                <w:color w:val="auto"/>
                <w:kern w:val="0"/>
                <w:sz w:val="18"/>
                <w:szCs w:val="18"/>
                <w:highlight w:val="none"/>
              </w:rPr>
              <w:t>特征建模及历史数据分析建立基线模型，以发现数据安全事件。时间分布、内容分布异常事件</w:t>
            </w:r>
            <w:r>
              <w:rPr>
                <w:rFonts w:ascii="宋体" w:cs="宋体"/>
                <w:color w:val="auto"/>
                <w:kern w:val="0"/>
                <w:sz w:val="18"/>
                <w:szCs w:val="18"/>
                <w:highlight w:val="none"/>
              </w:rPr>
              <w:t>，支持</w:t>
            </w:r>
            <w:r>
              <w:rPr>
                <w:rFonts w:hint="eastAsia" w:ascii="宋体" w:cs="宋体"/>
                <w:color w:val="auto"/>
                <w:kern w:val="0"/>
                <w:sz w:val="18"/>
                <w:szCs w:val="18"/>
                <w:highlight w:val="none"/>
              </w:rPr>
              <w:t>通过规则发现数据时间分布异常、内容分布异常的数据安全事件。统计规则建模</w:t>
            </w:r>
            <w:r>
              <w:rPr>
                <w:rFonts w:ascii="宋体" w:cs="宋体"/>
                <w:color w:val="auto"/>
                <w:kern w:val="0"/>
                <w:sz w:val="18"/>
                <w:szCs w:val="18"/>
                <w:highlight w:val="none"/>
              </w:rPr>
              <w:t>，</w:t>
            </w:r>
            <w:r>
              <w:rPr>
                <w:rFonts w:hint="eastAsia" w:ascii="宋体" w:cs="宋体"/>
                <w:color w:val="auto"/>
                <w:kern w:val="0"/>
                <w:sz w:val="18"/>
                <w:szCs w:val="18"/>
                <w:highlight w:val="none"/>
              </w:rPr>
              <w:t>支持通过统计规则建模，在指定的条件范围内发现数据安全事件</w:t>
            </w:r>
            <w:r>
              <w:rPr>
                <w:rFonts w:ascii="宋体" w:cs="宋体"/>
                <w:color w:val="auto"/>
                <w:kern w:val="0"/>
                <w:sz w:val="18"/>
                <w:szCs w:val="18"/>
                <w:highlight w:val="none"/>
              </w:rPr>
              <w:t>；</w:t>
            </w:r>
          </w:p>
          <w:p w14:paraId="524BBB3A">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3.</w:t>
            </w:r>
            <w:r>
              <w:rPr>
                <w:rFonts w:hint="eastAsia" w:ascii="宋体" w:cs="宋体"/>
                <w:color w:val="auto"/>
                <w:kern w:val="0"/>
                <w:sz w:val="18"/>
                <w:szCs w:val="18"/>
                <w:highlight w:val="none"/>
              </w:rPr>
              <w:t>高级情景关联与攻击链建模</w:t>
            </w:r>
            <w:r>
              <w:rPr>
                <w:rFonts w:ascii="宋体" w:cs="宋体"/>
                <w:color w:val="auto"/>
                <w:kern w:val="0"/>
                <w:sz w:val="18"/>
                <w:szCs w:val="18"/>
                <w:highlight w:val="none"/>
              </w:rPr>
              <w:t>：</w:t>
            </w:r>
            <w:r>
              <w:rPr>
                <w:rFonts w:hint="eastAsia" w:ascii="宋体" w:cs="宋体"/>
                <w:color w:val="auto"/>
                <w:kern w:val="0"/>
                <w:sz w:val="18"/>
                <w:szCs w:val="18"/>
                <w:highlight w:val="none"/>
              </w:rPr>
              <w:t>此功能是</w:t>
            </w:r>
            <w:r>
              <w:rPr>
                <w:rFonts w:ascii="宋体" w:cs="宋体"/>
                <w:color w:val="auto"/>
                <w:kern w:val="0"/>
                <w:sz w:val="18"/>
                <w:szCs w:val="18"/>
                <w:highlight w:val="none"/>
              </w:rPr>
              <w:t>安全事件</w:t>
            </w:r>
            <w:r>
              <w:rPr>
                <w:rFonts w:hint="eastAsia" w:ascii="宋体" w:cs="宋体"/>
                <w:color w:val="auto"/>
                <w:kern w:val="0"/>
                <w:sz w:val="18"/>
                <w:szCs w:val="18"/>
                <w:highlight w:val="none"/>
              </w:rPr>
              <w:t>关联分析的核心智能层</w:t>
            </w:r>
            <w:r>
              <w:rPr>
                <w:rFonts w:ascii="宋体" w:cs="宋体"/>
                <w:color w:val="auto"/>
                <w:kern w:val="0"/>
                <w:sz w:val="18"/>
                <w:szCs w:val="18"/>
                <w:highlight w:val="none"/>
              </w:rPr>
              <w:t>，</w:t>
            </w:r>
            <w:r>
              <w:rPr>
                <w:rFonts w:hint="eastAsia" w:ascii="宋体" w:cs="宋体"/>
                <w:color w:val="auto"/>
                <w:kern w:val="0"/>
                <w:sz w:val="18"/>
                <w:szCs w:val="18"/>
                <w:highlight w:val="none"/>
              </w:rPr>
              <w:t>引入攻击链模型（如MITRE ATT&amp;CK框架），通过行为分析算法和场景化规则，将看似无关的低级别告警串联成完整的攻击故事线</w:t>
            </w:r>
            <w:r>
              <w:rPr>
                <w:rFonts w:ascii="宋体" w:cs="宋体"/>
                <w:color w:val="auto"/>
                <w:kern w:val="0"/>
                <w:sz w:val="18"/>
                <w:szCs w:val="18"/>
                <w:highlight w:val="none"/>
              </w:rPr>
              <w:t>，</w:t>
            </w:r>
            <w:r>
              <w:rPr>
                <w:rFonts w:hint="eastAsia" w:ascii="宋体" w:cs="宋体"/>
                <w:color w:val="auto"/>
                <w:kern w:val="0"/>
                <w:sz w:val="18"/>
                <w:szCs w:val="18"/>
                <w:highlight w:val="none"/>
              </w:rPr>
              <w:t>如系统能够识别出“网络扫描 -&gt; 漏洞利用尝试 -&gt; Webshell上传 -&gt; 内网横向移动 -&gt; 数据外传”这一系列行为，并将其关联为一个高风险的“定向攻击”事件。自定义场景</w:t>
            </w:r>
            <w:r>
              <w:rPr>
                <w:rFonts w:ascii="宋体" w:cs="宋体"/>
                <w:color w:val="auto"/>
                <w:kern w:val="0"/>
                <w:sz w:val="18"/>
                <w:szCs w:val="18"/>
                <w:highlight w:val="none"/>
              </w:rPr>
              <w:t>，</w:t>
            </w:r>
            <w:r>
              <w:rPr>
                <w:rFonts w:hint="eastAsia" w:ascii="宋体" w:cs="宋体"/>
                <w:color w:val="auto"/>
                <w:kern w:val="0"/>
                <w:sz w:val="18"/>
                <w:szCs w:val="18"/>
                <w:highlight w:val="none"/>
              </w:rPr>
              <w:t>可灵活地将关心的多个分析规则放到同一个场景中组合显示。人工自建分析规则</w:t>
            </w:r>
            <w:r>
              <w:rPr>
                <w:rFonts w:ascii="宋体" w:cs="宋体"/>
                <w:color w:val="auto"/>
                <w:kern w:val="0"/>
                <w:sz w:val="18"/>
                <w:szCs w:val="18"/>
                <w:highlight w:val="none"/>
              </w:rPr>
              <w:t>，</w:t>
            </w:r>
            <w:r>
              <w:rPr>
                <w:rFonts w:hint="eastAsia" w:ascii="宋体" w:cs="宋体"/>
                <w:color w:val="auto"/>
                <w:kern w:val="0"/>
                <w:sz w:val="18"/>
                <w:szCs w:val="18"/>
                <w:highlight w:val="none"/>
              </w:rPr>
              <w:t>通过人工自建、配置分析脚本的方式生成分析规则。异常数据行为分析引擎</w:t>
            </w:r>
            <w:r>
              <w:rPr>
                <w:rFonts w:ascii="宋体" w:cs="宋体"/>
                <w:color w:val="auto"/>
                <w:kern w:val="0"/>
                <w:sz w:val="18"/>
                <w:szCs w:val="18"/>
                <w:highlight w:val="none"/>
              </w:rPr>
              <w:t>，</w:t>
            </w:r>
            <w:r>
              <w:rPr>
                <w:rFonts w:hint="eastAsia" w:ascii="宋体" w:cs="宋体"/>
                <w:color w:val="auto"/>
                <w:kern w:val="0"/>
                <w:sz w:val="18"/>
                <w:szCs w:val="18"/>
                <w:highlight w:val="none"/>
              </w:rPr>
              <w:t>基于用户行为分析和时序建模，AI实时学习正常访问模式，对偏离基线的异常操作（如非工作时间批量下载、越权访问）进行毫秒级告警，有效防范内部威胁与账号盗用</w:t>
            </w:r>
            <w:r>
              <w:rPr>
                <w:rFonts w:ascii="宋体" w:cs="宋体"/>
                <w:color w:val="auto"/>
                <w:kern w:val="0"/>
                <w:sz w:val="18"/>
                <w:szCs w:val="18"/>
                <w:highlight w:val="none"/>
              </w:rPr>
              <w:t>；</w:t>
            </w:r>
          </w:p>
          <w:p w14:paraId="766E6381">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4.</w:t>
            </w:r>
            <w:r>
              <w:rPr>
                <w:rFonts w:hint="eastAsia" w:ascii="宋体" w:cs="宋体"/>
                <w:color w:val="auto"/>
                <w:kern w:val="0"/>
                <w:sz w:val="18"/>
                <w:szCs w:val="18"/>
                <w:highlight w:val="none"/>
              </w:rPr>
              <w:t>安全事件上下文丰富与优先级判定</w:t>
            </w:r>
            <w:r>
              <w:rPr>
                <w:rFonts w:ascii="宋体" w:cs="宋体"/>
                <w:color w:val="auto"/>
                <w:kern w:val="0"/>
                <w:sz w:val="18"/>
                <w:szCs w:val="18"/>
                <w:highlight w:val="none"/>
              </w:rPr>
              <w:t>：</w:t>
            </w:r>
            <w:r>
              <w:rPr>
                <w:rFonts w:hint="eastAsia" w:ascii="宋体" w:cs="宋体"/>
                <w:color w:val="auto"/>
                <w:kern w:val="0"/>
                <w:sz w:val="18"/>
                <w:szCs w:val="18"/>
                <w:highlight w:val="none"/>
              </w:rPr>
              <w:t>在生成关联事件后，</w:t>
            </w:r>
            <w:r>
              <w:rPr>
                <w:rFonts w:ascii="宋体" w:cs="宋体"/>
                <w:color w:val="auto"/>
                <w:kern w:val="0"/>
                <w:sz w:val="18"/>
                <w:szCs w:val="18"/>
                <w:highlight w:val="none"/>
              </w:rPr>
              <w:t>平台</w:t>
            </w:r>
            <w:r>
              <w:rPr>
                <w:rFonts w:hint="eastAsia" w:ascii="宋体" w:cs="宋体"/>
                <w:color w:val="auto"/>
                <w:kern w:val="0"/>
                <w:sz w:val="18"/>
                <w:szCs w:val="18"/>
                <w:highlight w:val="none"/>
              </w:rPr>
              <w:t>需自动为其补充上下文信息，以辅助分析人员判断</w:t>
            </w:r>
            <w:r>
              <w:rPr>
                <w:rFonts w:ascii="宋体" w:cs="宋体"/>
                <w:color w:val="auto"/>
                <w:kern w:val="0"/>
                <w:sz w:val="18"/>
                <w:szCs w:val="18"/>
                <w:highlight w:val="none"/>
              </w:rPr>
              <w:t>，</w:t>
            </w:r>
            <w:r>
              <w:rPr>
                <w:rFonts w:hint="eastAsia" w:ascii="宋体" w:cs="宋体"/>
                <w:color w:val="auto"/>
                <w:kern w:val="0"/>
                <w:sz w:val="18"/>
                <w:szCs w:val="18"/>
                <w:highlight w:val="none"/>
              </w:rPr>
              <w:t>包括资产信息丰富（将IP地址关联到具体的部门、责任人、业务系统及资产重要性等级）、威胁情报集成（查询内外部威胁情报库，判断IP或域名是否为已知恶意实体）、漏洞信息关联（将攻击行为与目标资产存在的已知漏洞关联）</w:t>
            </w:r>
            <w:r>
              <w:rPr>
                <w:rFonts w:ascii="宋体" w:cs="宋体"/>
                <w:color w:val="auto"/>
                <w:kern w:val="0"/>
                <w:sz w:val="18"/>
                <w:szCs w:val="18"/>
                <w:highlight w:val="none"/>
              </w:rPr>
              <w:t>等，</w:t>
            </w:r>
            <w:r>
              <w:rPr>
                <w:rFonts w:hint="eastAsia" w:ascii="宋体" w:cs="宋体"/>
                <w:color w:val="auto"/>
                <w:kern w:val="0"/>
                <w:sz w:val="18"/>
                <w:szCs w:val="18"/>
                <w:highlight w:val="none"/>
              </w:rPr>
              <w:t>基于这些丰富的上下文，</w:t>
            </w:r>
            <w:r>
              <w:rPr>
                <w:rFonts w:ascii="宋体" w:cs="宋体"/>
                <w:color w:val="auto"/>
                <w:kern w:val="0"/>
                <w:sz w:val="18"/>
                <w:szCs w:val="18"/>
                <w:highlight w:val="none"/>
              </w:rPr>
              <w:t>平台</w:t>
            </w:r>
            <w:r>
              <w:rPr>
                <w:rFonts w:hint="eastAsia" w:ascii="宋体" w:cs="宋体"/>
                <w:color w:val="auto"/>
                <w:kern w:val="0"/>
                <w:sz w:val="18"/>
                <w:szCs w:val="18"/>
                <w:highlight w:val="none"/>
              </w:rPr>
              <w:t>会采用加权评分算法，自动计算并赋予每个安全事件一个动态的风险评分和处置优先级（如“紧急”“高”“中”“低”）。数据资产属性自动关联</w:t>
            </w:r>
            <w:r>
              <w:rPr>
                <w:rFonts w:ascii="宋体" w:cs="宋体"/>
                <w:color w:val="auto"/>
                <w:kern w:val="0"/>
                <w:sz w:val="18"/>
                <w:szCs w:val="18"/>
                <w:highlight w:val="none"/>
              </w:rPr>
              <w:t>，</w:t>
            </w:r>
            <w:r>
              <w:rPr>
                <w:rFonts w:hint="eastAsia" w:ascii="宋体" w:cs="宋体"/>
                <w:color w:val="auto"/>
                <w:kern w:val="0"/>
                <w:sz w:val="18"/>
                <w:szCs w:val="18"/>
                <w:highlight w:val="none"/>
              </w:rPr>
              <w:t>自动聚合人员数字身份、操作业务系统、访问数据标签三元组，当检测到异常行为，自动标注事件影响的业务范围与数据密级，调整优先级。数据影响范围量化评分</w:t>
            </w:r>
            <w:r>
              <w:rPr>
                <w:rFonts w:ascii="宋体" w:cs="宋体"/>
                <w:color w:val="auto"/>
                <w:kern w:val="0"/>
                <w:sz w:val="18"/>
                <w:szCs w:val="18"/>
                <w:highlight w:val="none"/>
              </w:rPr>
              <w:t>，</w:t>
            </w:r>
            <w:r>
              <w:rPr>
                <w:rFonts w:hint="eastAsia" w:ascii="宋体" w:cs="宋体"/>
                <w:color w:val="auto"/>
                <w:kern w:val="0"/>
                <w:sz w:val="18"/>
                <w:szCs w:val="18"/>
                <w:highlight w:val="none"/>
              </w:rPr>
              <w:t>基于三维度动态计算优先级：①数据量级②敏感程度③扩散风险，自动生成0-100分风险值</w:t>
            </w:r>
            <w:r>
              <w:rPr>
                <w:rFonts w:ascii="宋体" w:cs="宋体"/>
                <w:color w:val="auto"/>
                <w:kern w:val="0"/>
                <w:sz w:val="18"/>
                <w:szCs w:val="18"/>
                <w:highlight w:val="none"/>
              </w:rPr>
              <w:t>；</w:t>
            </w:r>
          </w:p>
          <w:p w14:paraId="525B32C1">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5.</w:t>
            </w:r>
            <w:r>
              <w:rPr>
                <w:rFonts w:hint="eastAsia" w:ascii="宋体" w:cs="宋体"/>
                <w:color w:val="auto"/>
                <w:kern w:val="0"/>
                <w:sz w:val="18"/>
                <w:szCs w:val="18"/>
                <w:highlight w:val="none"/>
              </w:rPr>
              <w:t>安全事件可视化</w:t>
            </w:r>
            <w:r>
              <w:rPr>
                <w:rFonts w:ascii="宋体" w:cs="宋体"/>
                <w:color w:val="auto"/>
                <w:kern w:val="0"/>
                <w:sz w:val="18"/>
                <w:szCs w:val="18"/>
                <w:highlight w:val="none"/>
              </w:rPr>
              <w:t>：</w:t>
            </w:r>
            <w:r>
              <w:rPr>
                <w:rFonts w:hint="eastAsia" w:ascii="宋体" w:cs="宋体"/>
                <w:color w:val="auto"/>
                <w:kern w:val="0"/>
                <w:sz w:val="18"/>
                <w:szCs w:val="18"/>
                <w:highlight w:val="none"/>
              </w:rPr>
              <w:t>面向安全运营人员，提供直观、交互式的可视化界面</w:t>
            </w:r>
            <w:r>
              <w:rPr>
                <w:rFonts w:ascii="宋体" w:cs="宋体"/>
                <w:color w:val="auto"/>
                <w:kern w:val="0"/>
                <w:sz w:val="18"/>
                <w:szCs w:val="18"/>
                <w:highlight w:val="none"/>
              </w:rPr>
              <w:t>，</w:t>
            </w:r>
            <w:r>
              <w:rPr>
                <w:rFonts w:hint="eastAsia" w:ascii="宋体" w:cs="宋体"/>
                <w:color w:val="auto"/>
                <w:kern w:val="0"/>
                <w:sz w:val="18"/>
                <w:szCs w:val="18"/>
                <w:highlight w:val="none"/>
              </w:rPr>
              <w:t>以时间线、拓扑图、攻击链视图等方式，清晰</w:t>
            </w:r>
            <w:r>
              <w:rPr>
                <w:rFonts w:hint="eastAsia" w:ascii="宋体" w:cs="宋体"/>
                <w:color w:val="auto"/>
                <w:kern w:val="0"/>
                <w:sz w:val="18"/>
                <w:szCs w:val="18"/>
                <w:highlight w:val="none"/>
                <w:lang w:val="en-US" w:eastAsia="zh-CN"/>
              </w:rPr>
              <w:t>地</w:t>
            </w:r>
            <w:r>
              <w:rPr>
                <w:rFonts w:hint="eastAsia" w:ascii="宋体" w:cs="宋体"/>
                <w:color w:val="auto"/>
                <w:kern w:val="0"/>
                <w:sz w:val="18"/>
                <w:szCs w:val="18"/>
                <w:highlight w:val="none"/>
              </w:rPr>
              <w:t>展示关联后安全事件的完整攻击路径、涉及资产和关键证据。安全事件态势热力图</w:t>
            </w:r>
            <w:r>
              <w:rPr>
                <w:rFonts w:ascii="宋体" w:cs="宋体"/>
                <w:color w:val="auto"/>
                <w:kern w:val="0"/>
                <w:sz w:val="18"/>
                <w:szCs w:val="18"/>
                <w:highlight w:val="none"/>
              </w:rPr>
              <w:t>，</w:t>
            </w:r>
            <w:r>
              <w:rPr>
                <w:rFonts w:hint="eastAsia" w:ascii="宋体" w:cs="宋体"/>
                <w:color w:val="auto"/>
                <w:kern w:val="0"/>
                <w:sz w:val="18"/>
                <w:szCs w:val="18"/>
                <w:highlight w:val="none"/>
              </w:rPr>
              <w:t>按行政区划与政务云资源池（政务外网/专网/互联网区）双维度着色，红色区域自动聚焦近期高发攻击类型，点击下钻可查看该区域近7天TOP3风险部门。数据流转异常路径追踪</w:t>
            </w:r>
            <w:r>
              <w:rPr>
                <w:rFonts w:ascii="宋体" w:cs="宋体"/>
                <w:color w:val="auto"/>
                <w:kern w:val="0"/>
                <w:sz w:val="18"/>
                <w:szCs w:val="18"/>
                <w:highlight w:val="none"/>
              </w:rPr>
              <w:t>，</w:t>
            </w:r>
            <w:r>
              <w:rPr>
                <w:rFonts w:hint="eastAsia" w:ascii="宋体" w:cs="宋体"/>
                <w:color w:val="auto"/>
                <w:kern w:val="0"/>
                <w:sz w:val="18"/>
                <w:szCs w:val="18"/>
                <w:highlight w:val="none"/>
              </w:rPr>
              <w:t>以桑基图动态展示数据流动，异常路径自动闪烁，并叠加载荷量。敏感数据暴露面监控面板</w:t>
            </w:r>
            <w:r>
              <w:rPr>
                <w:rFonts w:ascii="宋体" w:cs="宋体"/>
                <w:color w:val="auto"/>
                <w:kern w:val="0"/>
                <w:sz w:val="18"/>
                <w:szCs w:val="18"/>
                <w:highlight w:val="none"/>
              </w:rPr>
              <w:t>，</w:t>
            </w:r>
            <w:r>
              <w:rPr>
                <w:rFonts w:hint="eastAsia" w:ascii="宋体" w:cs="宋体"/>
                <w:color w:val="auto"/>
                <w:kern w:val="0"/>
                <w:sz w:val="18"/>
                <w:szCs w:val="18"/>
                <w:highlight w:val="none"/>
              </w:rPr>
              <w:t>实时统计三类暴露面：①接口层②存储层③应用层，按部门排名，自动生成整改优先级清单</w:t>
            </w:r>
            <w:r>
              <w:rPr>
                <w:rFonts w:ascii="宋体" w:cs="宋体"/>
                <w:color w:val="auto"/>
                <w:kern w:val="0"/>
                <w:sz w:val="18"/>
                <w:szCs w:val="18"/>
                <w:highlight w:val="none"/>
              </w:rPr>
              <w:t>；</w:t>
            </w:r>
          </w:p>
          <w:p w14:paraId="00994248">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6.</w:t>
            </w:r>
            <w:r>
              <w:rPr>
                <w:rFonts w:hint="eastAsia" w:ascii="宋体" w:cs="宋体"/>
                <w:color w:val="auto"/>
                <w:kern w:val="0"/>
                <w:sz w:val="18"/>
                <w:szCs w:val="18"/>
                <w:highlight w:val="none"/>
              </w:rPr>
              <w:t>关联引擎自学习与优化</w:t>
            </w:r>
            <w:r>
              <w:rPr>
                <w:rFonts w:ascii="宋体" w:cs="宋体"/>
                <w:color w:val="auto"/>
                <w:kern w:val="0"/>
                <w:sz w:val="18"/>
                <w:szCs w:val="18"/>
                <w:highlight w:val="none"/>
              </w:rPr>
              <w:t>：</w:t>
            </w:r>
            <w:r>
              <w:rPr>
                <w:rFonts w:hint="eastAsia" w:ascii="宋体" w:cs="宋体"/>
                <w:color w:val="auto"/>
                <w:kern w:val="0"/>
                <w:sz w:val="18"/>
                <w:szCs w:val="18"/>
                <w:highlight w:val="none"/>
              </w:rPr>
              <w:t>通过持续分析安全分析师对关联事件的确认、误报反馈以及处置结果，利用机器学习技术自动调整关联规则的阈值、权重或发现新的关联模式，</w:t>
            </w:r>
            <w:r>
              <w:rPr>
                <w:rFonts w:ascii="宋体" w:cs="宋体"/>
                <w:color w:val="auto"/>
                <w:kern w:val="0"/>
                <w:sz w:val="18"/>
                <w:szCs w:val="18"/>
                <w:highlight w:val="none"/>
              </w:rPr>
              <w:t>平台</w:t>
            </w:r>
            <w:r>
              <w:rPr>
                <w:rFonts w:hint="eastAsia" w:ascii="宋体" w:cs="宋体"/>
                <w:color w:val="auto"/>
                <w:kern w:val="0"/>
                <w:sz w:val="18"/>
                <w:szCs w:val="18"/>
                <w:highlight w:val="none"/>
              </w:rPr>
              <w:t>提供关联规则和模型的性能监控面板，展示规则命中率、误报率等指标，方便管理员进行手动调优和策略迭代，使整个系统能够不断适应新的威胁形势和网络环境变化。数据访问基线自校准</w:t>
            </w:r>
            <w:r>
              <w:rPr>
                <w:rFonts w:ascii="宋体" w:cs="宋体"/>
                <w:color w:val="auto"/>
                <w:kern w:val="0"/>
                <w:sz w:val="18"/>
                <w:szCs w:val="18"/>
                <w:highlight w:val="none"/>
              </w:rPr>
              <w:t>，</w:t>
            </w:r>
            <w:r>
              <w:rPr>
                <w:rFonts w:hint="eastAsia" w:ascii="宋体" w:cs="宋体"/>
                <w:color w:val="auto"/>
                <w:kern w:val="0"/>
                <w:sz w:val="18"/>
                <w:szCs w:val="18"/>
                <w:highlight w:val="none"/>
              </w:rPr>
              <w:t>通过时序异常检测算法（如LSTM-AD）持续学习各部门数据访问模式：自动识别周期性业务特征（如财政月度结算期高频查询），动态调整基线阈值；对偏离基线的行为（非工作时间批量导出公民身份信息）实时生成风险评分，误报率持续降低15%/月，确保高敏数据操作检出率≥99.5%。策略效果强化学习闭环</w:t>
            </w:r>
            <w:r>
              <w:rPr>
                <w:rFonts w:ascii="宋体" w:cs="宋体"/>
                <w:color w:val="auto"/>
                <w:kern w:val="0"/>
                <w:sz w:val="18"/>
                <w:szCs w:val="18"/>
                <w:highlight w:val="none"/>
              </w:rPr>
              <w:t>，</w:t>
            </w:r>
            <w:r>
              <w:rPr>
                <w:rFonts w:hint="eastAsia" w:ascii="宋体" w:cs="宋体"/>
                <w:color w:val="auto"/>
                <w:kern w:val="0"/>
                <w:sz w:val="18"/>
                <w:szCs w:val="18"/>
                <w:highlight w:val="none"/>
              </w:rPr>
              <w:t>基于策略执行反馈（脱敏规则触发率、访问阻断误伤率、合规审计通过率）构建奖励函数，通过深度Q网络（DQN）自动优化策略参数：例如动态调整敏感字段脱敏强度（身份证号掩码位数），在保障100%合规前提下，业务系统性能损耗降低35%；策略自优化周期从人工周级压缩至小时级，持续逼近数据安全与业务效能最优平衡点</w:t>
            </w:r>
            <w:r>
              <w:rPr>
                <w:rFonts w:ascii="宋体" w:cs="宋体"/>
                <w:color w:val="auto"/>
                <w:kern w:val="0"/>
                <w:sz w:val="18"/>
                <w:szCs w:val="18"/>
                <w:highlight w:val="none"/>
              </w:rPr>
              <w:t>；</w:t>
            </w:r>
          </w:p>
          <w:p w14:paraId="1C03A4E6">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7.</w:t>
            </w:r>
            <w:r>
              <w:rPr>
                <w:rFonts w:hint="eastAsia" w:ascii="宋体" w:cs="宋体"/>
                <w:color w:val="auto"/>
                <w:kern w:val="0"/>
                <w:sz w:val="18"/>
                <w:szCs w:val="18"/>
                <w:highlight w:val="none"/>
              </w:rPr>
              <w:t>自动生成一键处置指令建议</w:t>
            </w:r>
            <w:r>
              <w:rPr>
                <w:rFonts w:ascii="宋体" w:cs="宋体"/>
                <w:color w:val="auto"/>
                <w:kern w:val="0"/>
                <w:sz w:val="18"/>
                <w:szCs w:val="18"/>
                <w:highlight w:val="none"/>
              </w:rPr>
              <w:t>：</w:t>
            </w:r>
            <w:r>
              <w:rPr>
                <w:rFonts w:hint="eastAsia" w:ascii="宋体" w:cs="宋体"/>
                <w:color w:val="auto"/>
                <w:kern w:val="0"/>
                <w:sz w:val="18"/>
                <w:szCs w:val="18"/>
                <w:highlight w:val="none"/>
              </w:rPr>
              <w:t>根据安全运营服务系统soar的规范，支持生成一键处置指令，并推送至安全运营服务系统。安全事件与处置</w:t>
            </w:r>
            <w:r>
              <w:rPr>
                <w:rFonts w:ascii="宋体" w:cs="宋体"/>
                <w:color w:val="auto"/>
                <w:kern w:val="0"/>
                <w:sz w:val="18"/>
                <w:szCs w:val="18"/>
                <w:highlight w:val="none"/>
              </w:rPr>
              <w:t>，</w:t>
            </w:r>
            <w:r>
              <w:rPr>
                <w:rFonts w:hint="eastAsia" w:ascii="宋体" w:cs="宋体"/>
                <w:color w:val="auto"/>
                <w:kern w:val="0"/>
                <w:sz w:val="18"/>
                <w:szCs w:val="18"/>
                <w:highlight w:val="none"/>
              </w:rPr>
              <w:t>针对安全事件，自动检索处置方案库，确定事件处置方案</w:t>
            </w:r>
            <w:r>
              <w:rPr>
                <w:rFonts w:ascii="宋体" w:cs="宋体"/>
                <w:color w:val="auto"/>
                <w:kern w:val="0"/>
                <w:sz w:val="18"/>
                <w:szCs w:val="18"/>
                <w:highlight w:val="none"/>
              </w:rPr>
              <w:t>，</w:t>
            </w:r>
            <w:r>
              <w:rPr>
                <w:rFonts w:hint="eastAsia" w:ascii="宋体" w:cs="宋体"/>
                <w:color w:val="auto"/>
                <w:kern w:val="0"/>
                <w:sz w:val="18"/>
                <w:szCs w:val="18"/>
                <w:highlight w:val="none"/>
              </w:rPr>
              <w:t>对于处置方案库没有的场景，</w:t>
            </w:r>
            <w:r>
              <w:rPr>
                <w:rFonts w:ascii="宋体" w:cs="宋体"/>
                <w:color w:val="auto"/>
                <w:kern w:val="0"/>
                <w:sz w:val="18"/>
                <w:szCs w:val="18"/>
                <w:highlight w:val="none"/>
              </w:rPr>
              <w:t>支持</w:t>
            </w:r>
            <w:r>
              <w:rPr>
                <w:rFonts w:hint="eastAsia" w:ascii="宋体" w:cs="宋体"/>
                <w:color w:val="auto"/>
                <w:kern w:val="0"/>
                <w:sz w:val="18"/>
                <w:szCs w:val="18"/>
                <w:highlight w:val="none"/>
              </w:rPr>
              <w:t>人员补充更新处置方案</w:t>
            </w:r>
            <w:r>
              <w:rPr>
                <w:rFonts w:ascii="宋体" w:cs="宋体"/>
                <w:color w:val="auto"/>
                <w:kern w:val="0"/>
                <w:sz w:val="18"/>
                <w:szCs w:val="18"/>
                <w:highlight w:val="none"/>
              </w:rPr>
              <w:t>。</w:t>
            </w:r>
            <w:r>
              <w:rPr>
                <w:rFonts w:hint="eastAsia" w:ascii="宋体" w:cs="宋体"/>
                <w:color w:val="auto"/>
                <w:kern w:val="0"/>
                <w:sz w:val="18"/>
                <w:szCs w:val="18"/>
                <w:highlight w:val="none"/>
              </w:rPr>
              <w:t>事件通知</w:t>
            </w:r>
            <w:r>
              <w:rPr>
                <w:rFonts w:ascii="宋体" w:cs="宋体"/>
                <w:color w:val="auto"/>
                <w:kern w:val="0"/>
                <w:sz w:val="18"/>
                <w:szCs w:val="18"/>
                <w:highlight w:val="none"/>
              </w:rPr>
              <w:t>，</w:t>
            </w:r>
            <w:r>
              <w:rPr>
                <w:rFonts w:hint="eastAsia" w:ascii="宋体" w:cs="宋体"/>
                <w:color w:val="auto"/>
                <w:kern w:val="0"/>
                <w:sz w:val="18"/>
                <w:szCs w:val="18"/>
                <w:highlight w:val="none"/>
              </w:rPr>
              <w:t>邮件事件通知，事件通知支持自定义模板</w:t>
            </w:r>
            <w:r>
              <w:rPr>
                <w:rFonts w:ascii="宋体" w:cs="宋体"/>
                <w:color w:val="auto"/>
                <w:kern w:val="0"/>
                <w:sz w:val="18"/>
                <w:szCs w:val="18"/>
                <w:highlight w:val="none"/>
              </w:rPr>
              <w:t>，</w:t>
            </w:r>
            <w:r>
              <w:rPr>
                <w:rFonts w:hint="eastAsia" w:ascii="宋体" w:cs="宋体"/>
                <w:color w:val="auto"/>
                <w:kern w:val="0"/>
                <w:sz w:val="18"/>
                <w:szCs w:val="18"/>
                <w:highlight w:val="none"/>
              </w:rPr>
              <w:t>事件处置跟踪记录。</w:t>
            </w:r>
          </w:p>
          <w:p w14:paraId="6896637D">
            <w:pPr>
              <w:widowControl/>
              <w:ind w:firstLine="360" w:firstLineChars="200"/>
              <w:jc w:val="left"/>
              <w:rPr>
                <w:rFonts w:ascii="宋体" w:cs="宋体"/>
                <w:color w:val="auto"/>
                <w:kern w:val="0"/>
                <w:sz w:val="18"/>
                <w:szCs w:val="18"/>
                <w:highlight w:val="none"/>
              </w:rPr>
            </w:pPr>
            <w:r>
              <w:rPr>
                <w:rFonts w:ascii="宋体" w:cs="宋体"/>
                <w:color w:val="auto"/>
                <w:kern w:val="0"/>
                <w:sz w:val="18"/>
                <w:szCs w:val="18"/>
                <w:highlight w:val="none"/>
              </w:rPr>
              <w:t>8.</w:t>
            </w:r>
            <w:r>
              <w:rPr>
                <w:rFonts w:hint="eastAsia" w:ascii="宋体" w:cs="宋体"/>
                <w:color w:val="auto"/>
                <w:kern w:val="0"/>
                <w:sz w:val="18"/>
                <w:szCs w:val="18"/>
                <w:highlight w:val="none"/>
              </w:rPr>
              <w:t>数据安全和网络安全多源异构日志统一采集</w:t>
            </w:r>
            <w:r>
              <w:rPr>
                <w:rFonts w:ascii="宋体" w:cs="宋体"/>
                <w:color w:val="auto"/>
                <w:kern w:val="0"/>
                <w:sz w:val="18"/>
                <w:szCs w:val="18"/>
                <w:highlight w:val="none"/>
              </w:rPr>
              <w:t>：</w:t>
            </w:r>
            <w:r>
              <w:rPr>
                <w:rFonts w:hint="eastAsia" w:ascii="宋体" w:cs="宋体"/>
                <w:color w:val="auto"/>
                <w:kern w:val="0"/>
                <w:sz w:val="18"/>
                <w:szCs w:val="18"/>
                <w:highlight w:val="none"/>
              </w:rPr>
              <w:t>支持数据安全和网络安全日志采集，包括主流网络安全设备日志（如防火墙、IDS/IPS、WAF、流量探针等）、数据安全设备日志（如数据库审计、数据安全监测探针等）的数据采集，为后续范式化处理与安全事件关联分析提供数据基础。</w:t>
            </w:r>
          </w:p>
          <w:p w14:paraId="5B0F3046">
            <w:pPr>
              <w:widowControl/>
              <w:ind w:firstLine="360" w:firstLineChars="200"/>
              <w:jc w:val="left"/>
              <w:rPr>
                <w:rFonts w:hint="eastAsia" w:ascii="宋体" w:hAnsi="宋体" w:cs="宋体"/>
                <w:color w:val="auto"/>
                <w:kern w:val="0"/>
                <w:sz w:val="18"/>
                <w:szCs w:val="18"/>
                <w:highlight w:val="none"/>
              </w:rPr>
            </w:pPr>
            <w:r>
              <w:rPr>
                <w:rFonts w:ascii="宋体" w:cs="宋体"/>
                <w:color w:val="auto"/>
                <w:kern w:val="0"/>
                <w:sz w:val="18"/>
                <w:szCs w:val="18"/>
                <w:highlight w:val="none"/>
              </w:rPr>
              <w:t>9.</w:t>
            </w:r>
            <w:r>
              <w:rPr>
                <w:rFonts w:hint="eastAsia" w:ascii="宋体" w:cs="宋体"/>
                <w:color w:val="auto"/>
                <w:kern w:val="0"/>
                <w:sz w:val="18"/>
                <w:szCs w:val="18"/>
                <w:highlight w:val="none"/>
              </w:rPr>
              <w:t>数据安全与网络安全事件跨域关联</w:t>
            </w:r>
            <w:r>
              <w:rPr>
                <w:rFonts w:ascii="宋体" w:cs="宋体"/>
                <w:color w:val="auto"/>
                <w:kern w:val="0"/>
                <w:sz w:val="18"/>
                <w:szCs w:val="18"/>
                <w:highlight w:val="none"/>
              </w:rPr>
              <w:t>：</w:t>
            </w:r>
            <w:r>
              <w:rPr>
                <w:rFonts w:hint="eastAsia" w:ascii="宋体" w:cs="宋体"/>
                <w:color w:val="auto"/>
                <w:kern w:val="0"/>
                <w:sz w:val="18"/>
                <w:szCs w:val="18"/>
                <w:highlight w:val="none"/>
              </w:rPr>
              <w:t>在触发网络安全高危网络告警（如漏洞利用、Webshell植入、C2通信、内网横向移动等），又产生敏感数据访问或外传的审计记录（如敏感表查询、批量数据导出、API违规调用、异常时段访问等），系统支持将两类证据关联升级为数网融合攻击事件，实现复合攻击场景的还原，支持完整呈现网络攻击阶段与数据窃取阶段的双向攻击链证据，实现数据安全与网络安全事件的跨域关联。</w:t>
            </w:r>
          </w:p>
        </w:tc>
        <w:tc>
          <w:tcPr>
            <w:tcW w:w="145" w:type="pct"/>
            <w:tcBorders>
              <w:top w:val="nil"/>
              <w:left w:val="nil"/>
              <w:bottom w:val="single" w:color="auto" w:sz="4" w:space="0"/>
              <w:right w:val="single" w:color="auto" w:sz="4" w:space="0"/>
            </w:tcBorders>
            <w:vAlign w:val="center"/>
          </w:tcPr>
          <w:p w14:paraId="1B428C40">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vAlign w:val="center"/>
          </w:tcPr>
          <w:p w14:paraId="621A08C2">
            <w:pPr>
              <w:widowControl/>
              <w:jc w:val="center"/>
              <w:rPr>
                <w:rFonts w:hint="eastAsia" w:ascii="宋体" w:hAnsi="宋体" w:cs="宋体"/>
                <w:color w:val="auto"/>
                <w:kern w:val="0"/>
                <w:sz w:val="18"/>
                <w:szCs w:val="18"/>
                <w:highlight w:val="none"/>
              </w:rPr>
            </w:pPr>
          </w:p>
        </w:tc>
      </w:tr>
      <w:tr w14:paraId="0E245BAD">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211BE0D">
            <w:pPr>
              <w:widowControl/>
              <w:jc w:val="left"/>
              <w:rPr>
                <w:rFonts w:hint="eastAsia" w:ascii="宋体" w:hAnsi="宋体" w:cs="宋体"/>
                <w:color w:val="auto"/>
                <w:kern w:val="0"/>
                <w:sz w:val="18"/>
                <w:szCs w:val="18"/>
                <w:highlight w:val="none"/>
              </w:rPr>
            </w:pPr>
            <w:r>
              <w:rPr>
                <w:rFonts w:hint="eastAsia" w:ascii="宋体" w:cs="宋体"/>
                <w:color w:val="auto"/>
                <w:kern w:val="0"/>
                <w:sz w:val="18"/>
                <w:szCs w:val="18"/>
                <w:highlight w:val="none"/>
                <w:lang w:val="en-US" w:eastAsia="zh-CN"/>
              </w:rPr>
              <w:t>1.</w:t>
            </w:r>
            <w:r>
              <w:rPr>
                <w:rFonts w:hint="eastAsia" w:ascii="宋体" w:cs="宋体"/>
                <w:color w:val="auto"/>
                <w:kern w:val="0"/>
                <w:sz w:val="18"/>
                <w:szCs w:val="18"/>
                <w:highlight w:val="none"/>
              </w:rPr>
              <w:t>8</w:t>
            </w:r>
          </w:p>
        </w:tc>
        <w:tc>
          <w:tcPr>
            <w:tcW w:w="428" w:type="pct"/>
            <w:tcBorders>
              <w:top w:val="nil"/>
              <w:left w:val="nil"/>
              <w:bottom w:val="single" w:color="auto" w:sz="4" w:space="0"/>
              <w:right w:val="single" w:color="auto" w:sz="4" w:space="0"/>
            </w:tcBorders>
            <w:noWrap/>
            <w:vAlign w:val="center"/>
          </w:tcPr>
          <w:p w14:paraId="38D6F94F">
            <w:pPr>
              <w:widowControl/>
              <w:jc w:val="left"/>
              <w:rPr>
                <w:rFonts w:hint="eastAsia" w:ascii="宋体" w:hAnsi="宋体" w:cs="宋体"/>
                <w:color w:val="auto"/>
                <w:kern w:val="0"/>
                <w:sz w:val="18"/>
                <w:szCs w:val="18"/>
                <w:highlight w:val="none"/>
              </w:rPr>
            </w:pPr>
            <w:r>
              <w:rPr>
                <w:rFonts w:ascii="宋体" w:cs="宋体"/>
                <w:color w:val="auto"/>
                <w:kern w:val="0"/>
                <w:sz w:val="18"/>
                <w:szCs w:val="18"/>
                <w:highlight w:val="none"/>
              </w:rPr>
              <w:t>接口开发</w:t>
            </w:r>
          </w:p>
        </w:tc>
        <w:tc>
          <w:tcPr>
            <w:tcW w:w="3798" w:type="pct"/>
            <w:gridSpan w:val="2"/>
            <w:tcBorders>
              <w:top w:val="nil"/>
              <w:left w:val="nil"/>
              <w:bottom w:val="single" w:color="auto" w:sz="4" w:space="0"/>
              <w:right w:val="single" w:color="auto" w:sz="4" w:space="0"/>
            </w:tcBorders>
            <w:noWrap/>
          </w:tcPr>
          <w:p w14:paraId="04752556">
            <w:pPr>
              <w:widowControl/>
              <w:ind w:firstLine="360" w:firstLineChars="200"/>
              <w:jc w:val="left"/>
              <w:rPr>
                <w:rFonts w:hint="eastAsia" w:ascii="宋体" w:hAnsi="宋体" w:cs="宋体"/>
                <w:color w:val="auto"/>
                <w:kern w:val="0"/>
                <w:sz w:val="18"/>
                <w:szCs w:val="18"/>
                <w:highlight w:val="none"/>
              </w:rPr>
            </w:pPr>
            <w:r>
              <w:rPr>
                <w:rFonts w:ascii="宋体" w:cs="宋体"/>
                <w:color w:val="auto"/>
                <w:kern w:val="0"/>
                <w:sz w:val="18"/>
                <w:szCs w:val="18"/>
                <w:highlight w:val="none"/>
              </w:rPr>
              <w:t>实现相关接口定制开发，接口应具备兼容性，实现与地市数据安全监测平台（14个地市）、网络安全态势感知平台、数据安全防护能力平台、政务外网终端零信任平台、溯源分析平台、密码资源平台、安全运营平台以及</w:t>
            </w:r>
            <w:r>
              <w:rPr>
                <w:rFonts w:hint="eastAsia" w:ascii="宋体" w:cs="宋体"/>
                <w:color w:val="auto"/>
                <w:kern w:val="0"/>
                <w:sz w:val="18"/>
                <w:szCs w:val="18"/>
                <w:highlight w:val="none"/>
              </w:rPr>
              <w:t>第三方安全设备和管理系统</w:t>
            </w:r>
            <w:r>
              <w:rPr>
                <w:rFonts w:ascii="宋体" w:cs="宋体"/>
                <w:color w:val="auto"/>
                <w:kern w:val="0"/>
                <w:sz w:val="18"/>
                <w:szCs w:val="18"/>
                <w:highlight w:val="none"/>
              </w:rPr>
              <w:t>的对接。</w:t>
            </w:r>
          </w:p>
        </w:tc>
        <w:tc>
          <w:tcPr>
            <w:tcW w:w="145" w:type="pct"/>
            <w:tcBorders>
              <w:top w:val="nil"/>
              <w:left w:val="nil"/>
              <w:bottom w:val="single" w:color="auto" w:sz="4" w:space="0"/>
              <w:right w:val="single" w:color="auto" w:sz="4" w:space="0"/>
            </w:tcBorders>
            <w:noWrap/>
            <w:vAlign w:val="center"/>
          </w:tcPr>
          <w:p w14:paraId="62B73EDE">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4674E7B2">
            <w:pPr>
              <w:widowControl/>
              <w:jc w:val="center"/>
              <w:rPr>
                <w:rFonts w:hint="eastAsia" w:ascii="宋体" w:hAnsi="宋体" w:cs="宋体"/>
                <w:color w:val="auto"/>
                <w:kern w:val="0"/>
                <w:sz w:val="18"/>
                <w:szCs w:val="18"/>
                <w:highlight w:val="none"/>
              </w:rPr>
            </w:pPr>
          </w:p>
        </w:tc>
      </w:tr>
      <w:tr w14:paraId="5C1E56F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B954590">
            <w:pPr>
              <w:widowControl/>
              <w:jc w:val="left"/>
              <w:rPr>
                <w:rFonts w:hint="eastAsia" w:ascii="宋体" w:hAnsi="宋体" w:cs="宋体"/>
                <w:b/>
                <w:bCs/>
                <w:color w:val="auto"/>
                <w:kern w:val="0"/>
                <w:sz w:val="18"/>
                <w:szCs w:val="18"/>
                <w:highlight w:val="none"/>
              </w:rPr>
            </w:pPr>
            <w:r>
              <w:rPr>
                <w:rFonts w:hint="eastAsia" w:ascii="宋体" w:cs="宋体"/>
                <w:b/>
                <w:bCs/>
                <w:color w:val="auto"/>
                <w:kern w:val="0"/>
                <w:sz w:val="18"/>
                <w:szCs w:val="18"/>
                <w:highlight w:val="none"/>
              </w:rPr>
              <w:t>（</w:t>
            </w:r>
            <w:r>
              <w:rPr>
                <w:rFonts w:ascii="宋体" w:cs="宋体"/>
                <w:b/>
                <w:bCs/>
                <w:color w:val="auto"/>
                <w:kern w:val="0"/>
                <w:sz w:val="18"/>
                <w:szCs w:val="18"/>
                <w:highlight w:val="none"/>
              </w:rPr>
              <w:t>二</w:t>
            </w:r>
            <w:r>
              <w:rPr>
                <w:rFonts w:hint="eastAsia" w:asci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noWrap/>
            <w:vAlign w:val="center"/>
          </w:tcPr>
          <w:p w14:paraId="243F2114">
            <w:pPr>
              <w:widowControl/>
              <w:jc w:val="left"/>
              <w:rPr>
                <w:rFonts w:hint="eastAsia" w:ascii="宋体" w:hAnsi="宋体" w:cs="宋体"/>
                <w:b/>
                <w:bCs/>
                <w:color w:val="auto"/>
                <w:kern w:val="0"/>
                <w:sz w:val="18"/>
                <w:szCs w:val="18"/>
                <w:highlight w:val="none"/>
              </w:rPr>
            </w:pPr>
            <w:r>
              <w:rPr>
                <w:rFonts w:hint="eastAsia" w:ascii="宋体" w:cs="宋体"/>
                <w:b/>
                <w:bCs/>
                <w:color w:val="auto"/>
                <w:kern w:val="0"/>
                <w:sz w:val="18"/>
                <w:szCs w:val="18"/>
                <w:highlight w:val="none"/>
              </w:rPr>
              <w:t>配套探针</w:t>
            </w:r>
          </w:p>
        </w:tc>
        <w:tc>
          <w:tcPr>
            <w:tcW w:w="3798" w:type="pct"/>
            <w:gridSpan w:val="2"/>
            <w:tcBorders>
              <w:top w:val="nil"/>
              <w:left w:val="nil"/>
              <w:bottom w:val="single" w:color="auto" w:sz="4" w:space="0"/>
              <w:right w:val="single" w:color="auto" w:sz="4" w:space="0"/>
            </w:tcBorders>
            <w:noWrap/>
            <w:vAlign w:val="center"/>
          </w:tcPr>
          <w:p w14:paraId="38F4864B">
            <w:pPr>
              <w:widowControl/>
              <w:ind w:firstLine="360" w:firstLineChars="200"/>
              <w:jc w:val="left"/>
              <w:rPr>
                <w:rFonts w:hint="eastAsia" w:ascii="宋体" w:hAnsi="宋体" w:cs="宋体"/>
                <w:color w:val="auto"/>
                <w:kern w:val="0"/>
                <w:sz w:val="18"/>
                <w:szCs w:val="18"/>
                <w:highlight w:val="none"/>
              </w:rPr>
            </w:pPr>
            <w:r>
              <w:rPr>
                <w:rFonts w:hint="eastAsia" w:ascii="宋体" w:cs="宋体"/>
                <w:color w:val="auto"/>
                <w:kern w:val="0"/>
                <w:sz w:val="18"/>
                <w:szCs w:val="18"/>
                <w:highlight w:val="none"/>
                <w:lang w:val="en-US" w:eastAsia="zh-CN"/>
              </w:rPr>
              <w:t>相关平台需要部署在国产化资源上，</w:t>
            </w:r>
            <w:r>
              <w:rPr>
                <w:rFonts w:ascii="宋体" w:cs="宋体"/>
                <w:color w:val="auto"/>
                <w:kern w:val="0"/>
                <w:sz w:val="18"/>
                <w:szCs w:val="18"/>
                <w:highlight w:val="none"/>
              </w:rPr>
              <w:t>包含网络安全流量探针软硬件一体化探针5台，网络安全流量探针（软件版）17</w:t>
            </w:r>
            <w:r>
              <w:rPr>
                <w:rFonts w:hint="eastAsia" w:ascii="宋体" w:cs="宋体"/>
                <w:color w:val="auto"/>
                <w:kern w:val="0"/>
                <w:sz w:val="18"/>
                <w:szCs w:val="18"/>
                <w:highlight w:val="none"/>
                <w:lang w:val="en-US" w:eastAsia="zh-CN"/>
              </w:rPr>
              <w:t>台</w:t>
            </w:r>
            <w:r>
              <w:rPr>
                <w:rFonts w:ascii="宋体" w:cs="宋体"/>
                <w:color w:val="auto"/>
                <w:kern w:val="0"/>
                <w:sz w:val="18"/>
                <w:szCs w:val="18"/>
                <w:highlight w:val="none"/>
              </w:rPr>
              <w:t>，数据安全监测探针软硬件一体化探针14台，数据安全监测探针（软件版）2</w:t>
            </w:r>
            <w:r>
              <w:rPr>
                <w:rFonts w:hint="eastAsia" w:ascii="宋体" w:cs="宋体"/>
                <w:color w:val="auto"/>
                <w:kern w:val="0"/>
                <w:sz w:val="18"/>
                <w:szCs w:val="18"/>
                <w:highlight w:val="none"/>
                <w:lang w:val="en-US" w:eastAsia="zh-CN"/>
              </w:rPr>
              <w:t>2台</w:t>
            </w:r>
            <w:r>
              <w:rPr>
                <w:rFonts w:ascii="宋体" w:cs="宋体"/>
                <w:color w:val="auto"/>
                <w:kern w:val="0"/>
                <w:sz w:val="18"/>
                <w:szCs w:val="18"/>
                <w:highlight w:val="none"/>
              </w:rPr>
              <w:t>，</w:t>
            </w:r>
            <w:r>
              <w:rPr>
                <w:rFonts w:hint="eastAsia" w:ascii="宋体" w:hAnsi="宋体" w:cs="宋体"/>
                <w:color w:val="auto"/>
                <w:kern w:val="0"/>
                <w:sz w:val="18"/>
                <w:szCs w:val="18"/>
                <w:highlight w:val="none"/>
              </w:rPr>
              <w:t>前置分析平台</w:t>
            </w:r>
            <w:r>
              <w:rPr>
                <w:rFonts w:ascii="宋体" w:cs="宋体"/>
                <w:color w:val="auto"/>
                <w:kern w:val="0"/>
                <w:sz w:val="18"/>
                <w:szCs w:val="18"/>
                <w:highlight w:val="none"/>
              </w:rPr>
              <w:t>3</w:t>
            </w:r>
            <w:r>
              <w:rPr>
                <w:rFonts w:hint="eastAsia" w:ascii="宋体" w:cs="宋体"/>
                <w:color w:val="auto"/>
                <w:kern w:val="0"/>
                <w:sz w:val="18"/>
                <w:szCs w:val="18"/>
                <w:highlight w:val="none"/>
                <w:lang w:val="en-US" w:eastAsia="zh-CN"/>
              </w:rPr>
              <w:t>台</w:t>
            </w:r>
            <w:r>
              <w:rPr>
                <w:rFonts w:ascii="宋体" w:cs="宋体"/>
                <w:color w:val="auto"/>
                <w:kern w:val="0"/>
                <w:sz w:val="18"/>
                <w:szCs w:val="18"/>
                <w:highlight w:val="none"/>
              </w:rPr>
              <w:t>。</w:t>
            </w:r>
            <w:r>
              <w:rPr>
                <w:rFonts w:hint="eastAsia" w:ascii="宋体" w:cs="宋体"/>
                <w:color w:val="auto"/>
                <w:kern w:val="0"/>
                <w:sz w:val="18"/>
                <w:szCs w:val="18"/>
                <w:highlight w:val="none"/>
                <w:lang w:val="en-US" w:eastAsia="zh-CN"/>
              </w:rPr>
              <w:t>具体参数如下：</w:t>
            </w:r>
          </w:p>
        </w:tc>
        <w:tc>
          <w:tcPr>
            <w:tcW w:w="145" w:type="pct"/>
            <w:tcBorders>
              <w:top w:val="nil"/>
              <w:left w:val="nil"/>
              <w:bottom w:val="single" w:color="auto" w:sz="4" w:space="0"/>
              <w:right w:val="single" w:color="auto" w:sz="4" w:space="0"/>
            </w:tcBorders>
            <w:noWrap/>
            <w:vAlign w:val="center"/>
          </w:tcPr>
          <w:p w14:paraId="742F2BDF">
            <w:pPr>
              <w:widowControl/>
              <w:jc w:val="left"/>
              <w:rPr>
                <w:rFonts w:hint="default" w:ascii="宋体" w:hAnsi="宋体" w:eastAsia="宋体" w:cs="宋体"/>
                <w:color w:val="auto"/>
                <w:kern w:val="0"/>
                <w:sz w:val="18"/>
                <w:szCs w:val="18"/>
                <w:highlight w:val="none"/>
                <w:lang w:val="en-US" w:eastAsia="zh-CN"/>
              </w:rPr>
            </w:pPr>
          </w:p>
        </w:tc>
        <w:tc>
          <w:tcPr>
            <w:tcW w:w="208" w:type="pct"/>
            <w:tcBorders>
              <w:top w:val="nil"/>
              <w:left w:val="nil"/>
              <w:bottom w:val="single" w:color="auto" w:sz="4" w:space="0"/>
              <w:right w:val="single" w:color="auto" w:sz="4" w:space="0"/>
            </w:tcBorders>
            <w:noWrap/>
            <w:vAlign w:val="center"/>
          </w:tcPr>
          <w:p w14:paraId="71D2CF74">
            <w:pPr>
              <w:widowControl/>
              <w:jc w:val="left"/>
              <w:rPr>
                <w:rFonts w:hint="default" w:ascii="宋体" w:hAnsi="宋体" w:eastAsia="宋体" w:cs="宋体"/>
                <w:color w:val="auto"/>
                <w:kern w:val="0"/>
                <w:sz w:val="18"/>
                <w:szCs w:val="18"/>
                <w:highlight w:val="none"/>
                <w:lang w:val="en-US" w:eastAsia="zh-CN"/>
              </w:rPr>
            </w:pPr>
          </w:p>
        </w:tc>
      </w:tr>
      <w:tr w14:paraId="14179A81">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AD3AA48">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rPr>
              <w:t>1</w:t>
            </w:r>
          </w:p>
        </w:tc>
        <w:tc>
          <w:tcPr>
            <w:tcW w:w="428" w:type="pct"/>
            <w:tcBorders>
              <w:top w:val="nil"/>
              <w:left w:val="nil"/>
              <w:bottom w:val="single" w:color="auto" w:sz="4" w:space="0"/>
              <w:right w:val="single" w:color="auto" w:sz="4" w:space="0"/>
            </w:tcBorders>
            <w:noWrap/>
            <w:vAlign w:val="center"/>
          </w:tcPr>
          <w:p w14:paraId="331BE727">
            <w:pPr>
              <w:widowControl/>
              <w:jc w:val="left"/>
              <w:rPr>
                <w:rFonts w:hint="eastAsia" w:ascii="宋体" w:hAnsi="宋体" w:cs="宋体"/>
                <w:color w:val="auto"/>
                <w:kern w:val="0"/>
                <w:sz w:val="18"/>
                <w:szCs w:val="18"/>
                <w:highlight w:val="none"/>
              </w:rPr>
            </w:pPr>
            <w:r>
              <w:rPr>
                <w:rFonts w:ascii="宋体" w:cs="宋体"/>
                <w:color w:val="auto"/>
                <w:kern w:val="0"/>
                <w:sz w:val="18"/>
                <w:szCs w:val="18"/>
                <w:highlight w:val="none"/>
              </w:rPr>
              <w:t>网络安全</w:t>
            </w:r>
            <w:r>
              <w:rPr>
                <w:rFonts w:hint="eastAsia" w:ascii="宋体" w:cs="宋体"/>
                <w:color w:val="auto"/>
                <w:kern w:val="0"/>
                <w:sz w:val="18"/>
                <w:szCs w:val="18"/>
                <w:highlight w:val="none"/>
              </w:rPr>
              <w:t>流量探针（10G）</w:t>
            </w:r>
          </w:p>
        </w:tc>
        <w:tc>
          <w:tcPr>
            <w:tcW w:w="3798" w:type="pct"/>
            <w:gridSpan w:val="2"/>
            <w:tcBorders>
              <w:top w:val="nil"/>
              <w:left w:val="nil"/>
              <w:bottom w:val="single" w:color="auto" w:sz="4" w:space="0"/>
              <w:right w:val="single" w:color="auto" w:sz="4" w:space="0"/>
            </w:tcBorders>
            <w:noWrap/>
            <w:vAlign w:val="center"/>
          </w:tcPr>
          <w:p w14:paraId="3B502222">
            <w:pPr>
              <w:pStyle w:val="32"/>
              <w:spacing w:line="240" w:lineRule="auto"/>
              <w:rPr>
                <w:rFonts w:ascii="宋体"/>
                <w:color w:val="auto"/>
                <w:highlight w:val="none"/>
              </w:rPr>
            </w:pPr>
            <w:r>
              <w:rPr>
                <w:rFonts w:hint="eastAsia" w:ascii="宋体"/>
                <w:color w:val="auto"/>
                <w:highlight w:val="none"/>
              </w:rPr>
              <w:t>★</w:t>
            </w:r>
            <w:r>
              <w:rPr>
                <w:rFonts w:ascii="宋体"/>
                <w:color w:val="auto"/>
                <w:highlight w:val="none"/>
              </w:rPr>
              <w:t>1.</w:t>
            </w:r>
            <w:r>
              <w:rPr>
                <w:rFonts w:ascii="宋体"/>
                <w:color w:val="auto"/>
                <w:highlight w:val="none"/>
              </w:rPr>
              <w:tab/>
            </w:r>
            <w:r>
              <w:rPr>
                <w:rFonts w:hint="eastAsia" w:ascii="宋体"/>
                <w:color w:val="auto"/>
                <w:highlight w:val="none"/>
              </w:rPr>
              <w:t>软硬件一体化探针，同时开启网络流量采集、威胁数据采集和日志上报功能情况下混合流（模拟企业级网络真实场景流量）吞吐量</w:t>
            </w:r>
            <w:r>
              <w:rPr>
                <w:rFonts w:hint="eastAsia" w:ascii="宋体"/>
                <w:color w:val="auto"/>
                <w:highlight w:val="none"/>
                <w:lang w:val="en-US" w:eastAsia="zh-CN"/>
              </w:rPr>
              <w:t>≥</w:t>
            </w:r>
            <w:r>
              <w:rPr>
                <w:rFonts w:ascii="宋体"/>
                <w:color w:val="auto"/>
                <w:highlight w:val="none"/>
              </w:rPr>
              <w:t xml:space="preserve">10Gbps </w:t>
            </w:r>
            <w:r>
              <w:rPr>
                <w:rFonts w:hint="eastAsia" w:ascii="宋体"/>
                <w:color w:val="auto"/>
                <w:highlight w:val="none"/>
              </w:rPr>
              <w:t>，</w:t>
            </w:r>
            <w:r>
              <w:rPr>
                <w:rFonts w:ascii="宋体"/>
                <w:color w:val="auto"/>
                <w:highlight w:val="none"/>
              </w:rPr>
              <w:t>HTTP</w:t>
            </w:r>
            <w:r>
              <w:rPr>
                <w:rFonts w:hint="eastAsia" w:ascii="宋体"/>
                <w:color w:val="auto"/>
                <w:highlight w:val="none"/>
              </w:rPr>
              <w:t>并发连接数</w:t>
            </w:r>
            <w:r>
              <w:rPr>
                <w:rFonts w:hint="eastAsia" w:ascii="宋体"/>
                <w:color w:val="auto"/>
                <w:highlight w:val="none"/>
                <w:lang w:val="en-US" w:eastAsia="zh-CN"/>
              </w:rPr>
              <w:t>≥</w:t>
            </w:r>
            <w:r>
              <w:rPr>
                <w:rFonts w:ascii="宋体"/>
                <w:color w:val="auto"/>
                <w:highlight w:val="none"/>
              </w:rPr>
              <w:t>800</w:t>
            </w:r>
            <w:r>
              <w:rPr>
                <w:rFonts w:hint="eastAsia" w:ascii="宋体"/>
                <w:color w:val="auto"/>
                <w:highlight w:val="none"/>
              </w:rPr>
              <w:t>万</w:t>
            </w:r>
            <w:r>
              <w:rPr>
                <w:rFonts w:hint="eastAsia" w:ascii="宋体"/>
                <w:color w:val="auto"/>
                <w:highlight w:val="none"/>
                <w:lang w:eastAsia="zh-CN"/>
              </w:rPr>
              <w:t>，</w:t>
            </w:r>
            <w:r>
              <w:rPr>
                <w:rFonts w:ascii="宋体"/>
                <w:color w:val="auto"/>
                <w:highlight w:val="none"/>
              </w:rPr>
              <w:t>HTTP</w:t>
            </w:r>
            <w:r>
              <w:rPr>
                <w:rFonts w:hint="eastAsia" w:ascii="宋体"/>
                <w:color w:val="auto"/>
                <w:highlight w:val="none"/>
              </w:rPr>
              <w:t>新建连接速率</w:t>
            </w:r>
            <w:r>
              <w:rPr>
                <w:rFonts w:hint="eastAsia" w:ascii="宋体"/>
                <w:color w:val="auto"/>
                <w:highlight w:val="none"/>
                <w:lang w:val="en-US" w:eastAsia="zh-CN"/>
              </w:rPr>
              <w:t>≥</w:t>
            </w:r>
            <w:r>
              <w:rPr>
                <w:rFonts w:ascii="宋体"/>
                <w:color w:val="auto"/>
                <w:highlight w:val="none"/>
              </w:rPr>
              <w:t>30</w:t>
            </w:r>
            <w:r>
              <w:rPr>
                <w:rFonts w:hint="eastAsia" w:ascii="宋体"/>
                <w:color w:val="auto"/>
                <w:highlight w:val="none"/>
              </w:rPr>
              <w:t>万</w:t>
            </w:r>
            <w:r>
              <w:rPr>
                <w:rFonts w:ascii="宋体"/>
                <w:color w:val="auto"/>
                <w:highlight w:val="none"/>
              </w:rPr>
              <w:t>/</w:t>
            </w:r>
            <w:r>
              <w:rPr>
                <w:rFonts w:hint="eastAsia" w:ascii="宋体"/>
                <w:color w:val="auto"/>
                <w:highlight w:val="none"/>
              </w:rPr>
              <w:t>秒，包含</w:t>
            </w:r>
            <w:r>
              <w:rPr>
                <w:rFonts w:ascii="宋体"/>
                <w:color w:val="auto"/>
                <w:highlight w:val="none"/>
              </w:rPr>
              <w:t>3</w:t>
            </w:r>
            <w:r>
              <w:rPr>
                <w:rFonts w:hint="eastAsia" w:ascii="宋体"/>
                <w:color w:val="auto"/>
                <w:highlight w:val="none"/>
              </w:rPr>
              <w:t>年全功能特征库升级服务，</w:t>
            </w:r>
            <w:r>
              <w:rPr>
                <w:rFonts w:ascii="宋体"/>
                <w:color w:val="auto"/>
                <w:highlight w:val="none"/>
              </w:rPr>
              <w:t>3</w:t>
            </w:r>
            <w:r>
              <w:rPr>
                <w:rFonts w:hint="eastAsia" w:ascii="宋体"/>
                <w:color w:val="auto"/>
                <w:highlight w:val="none"/>
              </w:rPr>
              <w:t>年硬件维修服务。</w:t>
            </w:r>
          </w:p>
          <w:p w14:paraId="2016D1DB">
            <w:pPr>
              <w:pStyle w:val="32"/>
              <w:spacing w:line="240" w:lineRule="auto"/>
              <w:rPr>
                <w:rFonts w:ascii="宋体"/>
                <w:color w:val="auto"/>
                <w:highlight w:val="none"/>
              </w:rPr>
            </w:pPr>
            <w:r>
              <w:rPr>
                <w:rFonts w:hint="eastAsia" w:ascii="宋体"/>
                <w:color w:val="auto"/>
                <w:highlight w:val="none"/>
              </w:rPr>
              <w:t>★</w:t>
            </w:r>
            <w:r>
              <w:rPr>
                <w:rFonts w:ascii="宋体"/>
                <w:color w:val="auto"/>
                <w:highlight w:val="none"/>
              </w:rPr>
              <w:t>2.</w:t>
            </w:r>
            <w:r>
              <w:rPr>
                <w:rFonts w:ascii="宋体"/>
                <w:color w:val="auto"/>
                <w:highlight w:val="none"/>
              </w:rPr>
              <w:tab/>
            </w:r>
            <w:r>
              <w:rPr>
                <w:rFonts w:hint="eastAsia" w:ascii="宋体"/>
                <w:color w:val="auto"/>
                <w:highlight w:val="none"/>
              </w:rPr>
              <w:t>基于国产化硬件平台。</w:t>
            </w:r>
            <w:r>
              <w:rPr>
                <w:rFonts w:ascii="宋体"/>
                <w:color w:val="auto"/>
                <w:highlight w:val="none"/>
              </w:rPr>
              <w:t>2U</w:t>
            </w:r>
            <w:r>
              <w:rPr>
                <w:rFonts w:hint="eastAsia" w:ascii="宋体"/>
                <w:color w:val="auto"/>
                <w:highlight w:val="none"/>
              </w:rPr>
              <w:t>机箱，配置≥</w:t>
            </w:r>
            <w:r>
              <w:rPr>
                <w:rFonts w:ascii="宋体"/>
                <w:color w:val="auto"/>
                <w:highlight w:val="none"/>
              </w:rPr>
              <w:t>24</w:t>
            </w:r>
            <w:r>
              <w:rPr>
                <w:rFonts w:hint="eastAsia" w:ascii="宋体"/>
                <w:color w:val="auto"/>
                <w:highlight w:val="none"/>
              </w:rPr>
              <w:t>核</w:t>
            </w:r>
            <w:r>
              <w:rPr>
                <w:rFonts w:ascii="宋体"/>
                <w:color w:val="auto"/>
                <w:highlight w:val="none"/>
              </w:rPr>
              <w:t>CPU</w:t>
            </w:r>
            <w:r>
              <w:rPr>
                <w:rFonts w:hint="eastAsia" w:ascii="宋体"/>
                <w:color w:val="auto"/>
                <w:highlight w:val="none"/>
              </w:rPr>
              <w:t>，配置≥</w:t>
            </w:r>
            <w:r>
              <w:rPr>
                <w:rFonts w:ascii="宋体"/>
                <w:color w:val="auto"/>
                <w:highlight w:val="none"/>
              </w:rPr>
              <w:t>2*GE</w:t>
            </w:r>
            <w:r>
              <w:rPr>
                <w:rFonts w:hint="eastAsia" w:ascii="宋体"/>
                <w:color w:val="auto"/>
                <w:highlight w:val="none"/>
              </w:rPr>
              <w:t>电口，≥</w:t>
            </w:r>
            <w:r>
              <w:rPr>
                <w:rFonts w:ascii="宋体"/>
                <w:color w:val="auto"/>
                <w:highlight w:val="none"/>
              </w:rPr>
              <w:t>4*10GE</w:t>
            </w:r>
            <w:r>
              <w:rPr>
                <w:rFonts w:hint="eastAsia" w:ascii="宋体"/>
                <w:color w:val="auto"/>
                <w:highlight w:val="none"/>
              </w:rPr>
              <w:t>光口</w:t>
            </w:r>
            <w:r>
              <w:rPr>
                <w:rFonts w:hint="eastAsia" w:ascii="宋体"/>
                <w:color w:val="auto"/>
                <w:highlight w:val="none"/>
                <w:lang w:val="en-US" w:eastAsia="zh-CN"/>
              </w:rPr>
              <w:t>≥</w:t>
            </w:r>
            <w:r>
              <w:rPr>
                <w:rFonts w:ascii="宋体"/>
                <w:color w:val="auto"/>
                <w:highlight w:val="none"/>
              </w:rPr>
              <w:t xml:space="preserve">8TB SATA </w:t>
            </w:r>
            <w:r>
              <w:rPr>
                <w:rFonts w:hint="eastAsia" w:ascii="宋体"/>
                <w:color w:val="auto"/>
                <w:highlight w:val="none"/>
              </w:rPr>
              <w:t>企业级硬盘，冗余电源。</w:t>
            </w:r>
          </w:p>
          <w:p w14:paraId="3784D788">
            <w:pPr>
              <w:pStyle w:val="32"/>
              <w:spacing w:line="240" w:lineRule="auto"/>
              <w:rPr>
                <w:rFonts w:ascii="宋体"/>
                <w:color w:val="auto"/>
                <w:highlight w:val="none"/>
              </w:rPr>
            </w:pPr>
            <w:r>
              <w:rPr>
                <w:rFonts w:ascii="宋体"/>
                <w:color w:val="auto"/>
                <w:highlight w:val="none"/>
              </w:rPr>
              <w:t>3.</w:t>
            </w:r>
            <w:r>
              <w:rPr>
                <w:rFonts w:ascii="宋体"/>
                <w:color w:val="auto"/>
                <w:highlight w:val="none"/>
              </w:rPr>
              <w:tab/>
            </w:r>
            <w:r>
              <w:rPr>
                <w:rFonts w:hint="eastAsia" w:ascii="宋体"/>
                <w:color w:val="auto"/>
                <w:highlight w:val="none"/>
              </w:rPr>
              <w:t>支持手动和</w:t>
            </w:r>
            <w:r>
              <w:rPr>
                <w:rFonts w:ascii="宋体"/>
                <w:color w:val="auto"/>
                <w:highlight w:val="none"/>
              </w:rPr>
              <w:t>FTP</w:t>
            </w:r>
            <w:r>
              <w:rPr>
                <w:rFonts w:hint="eastAsia" w:ascii="宋体"/>
                <w:color w:val="auto"/>
                <w:highlight w:val="none"/>
              </w:rPr>
              <w:t>方式批量导入</w:t>
            </w:r>
            <w:r>
              <w:rPr>
                <w:rFonts w:ascii="宋体"/>
                <w:color w:val="auto"/>
                <w:highlight w:val="none"/>
              </w:rPr>
              <w:t>PCAP</w:t>
            </w:r>
            <w:r>
              <w:rPr>
                <w:rFonts w:hint="eastAsia" w:ascii="宋体"/>
                <w:color w:val="auto"/>
                <w:highlight w:val="none"/>
              </w:rPr>
              <w:t>包对离线流量采集，并记录</w:t>
            </w:r>
            <w:r>
              <w:rPr>
                <w:rFonts w:ascii="宋体"/>
                <w:color w:val="auto"/>
                <w:highlight w:val="none"/>
              </w:rPr>
              <w:t>PCAP</w:t>
            </w:r>
            <w:r>
              <w:rPr>
                <w:rFonts w:hint="eastAsia" w:ascii="宋体"/>
                <w:color w:val="auto"/>
                <w:highlight w:val="none"/>
              </w:rPr>
              <w:t>包导入记录及检测状态。</w:t>
            </w:r>
          </w:p>
          <w:p w14:paraId="66E787BC">
            <w:pPr>
              <w:pStyle w:val="32"/>
              <w:spacing w:line="240" w:lineRule="auto"/>
              <w:rPr>
                <w:rFonts w:ascii="宋体"/>
                <w:color w:val="auto"/>
                <w:highlight w:val="none"/>
              </w:rPr>
            </w:pPr>
            <w:r>
              <w:rPr>
                <w:rFonts w:ascii="宋体"/>
                <w:color w:val="auto"/>
                <w:highlight w:val="none"/>
              </w:rPr>
              <w:t>4.</w:t>
            </w:r>
            <w:r>
              <w:rPr>
                <w:rFonts w:ascii="宋体"/>
                <w:color w:val="auto"/>
                <w:highlight w:val="none"/>
              </w:rPr>
              <w:tab/>
            </w:r>
            <w:r>
              <w:rPr>
                <w:rFonts w:hint="eastAsia" w:ascii="宋体"/>
                <w:color w:val="auto"/>
                <w:highlight w:val="none"/>
              </w:rPr>
              <w:t>支持通过</w:t>
            </w:r>
            <w:r>
              <w:rPr>
                <w:rFonts w:ascii="宋体"/>
                <w:color w:val="auto"/>
                <w:highlight w:val="none"/>
              </w:rPr>
              <w:t>ip</w:t>
            </w:r>
            <w:r>
              <w:rPr>
                <w:rFonts w:hint="eastAsia" w:ascii="宋体"/>
                <w:color w:val="auto"/>
                <w:highlight w:val="none"/>
              </w:rPr>
              <w:t>、</w:t>
            </w:r>
            <w:r>
              <w:rPr>
                <w:rFonts w:ascii="宋体"/>
                <w:color w:val="auto"/>
                <w:highlight w:val="none"/>
              </w:rPr>
              <w:t>ip</w:t>
            </w:r>
            <w:r>
              <w:rPr>
                <w:rFonts w:hint="eastAsia" w:ascii="宋体"/>
                <w:color w:val="auto"/>
                <w:highlight w:val="none"/>
              </w:rPr>
              <w:t>段、端口、协议、</w:t>
            </w:r>
            <w:r>
              <w:rPr>
                <w:rFonts w:ascii="宋体"/>
                <w:color w:val="auto"/>
                <w:highlight w:val="none"/>
              </w:rPr>
              <w:t>VLAN</w:t>
            </w:r>
            <w:r>
              <w:rPr>
                <w:rFonts w:hint="eastAsia" w:ascii="宋体"/>
                <w:color w:val="auto"/>
                <w:highlight w:val="none"/>
              </w:rPr>
              <w:t>等进行流量过滤，过滤条件支持</w:t>
            </w:r>
            <w:r>
              <w:rPr>
                <w:rFonts w:ascii="宋体"/>
                <w:color w:val="auto"/>
                <w:highlight w:val="none"/>
              </w:rPr>
              <w:t>and</w:t>
            </w:r>
            <w:r>
              <w:rPr>
                <w:rFonts w:hint="eastAsia" w:ascii="宋体"/>
                <w:color w:val="auto"/>
                <w:highlight w:val="none"/>
              </w:rPr>
              <w:t>、</w:t>
            </w:r>
            <w:r>
              <w:rPr>
                <w:rFonts w:ascii="宋体"/>
                <w:color w:val="auto"/>
                <w:highlight w:val="none"/>
              </w:rPr>
              <w:t>or</w:t>
            </w:r>
            <w:r>
              <w:rPr>
                <w:rFonts w:hint="eastAsia" w:ascii="宋体"/>
                <w:color w:val="auto"/>
                <w:highlight w:val="none"/>
              </w:rPr>
              <w:t>、</w:t>
            </w:r>
            <w:r>
              <w:rPr>
                <w:rFonts w:ascii="宋体"/>
                <w:color w:val="auto"/>
                <w:highlight w:val="none"/>
              </w:rPr>
              <w:t>not</w:t>
            </w:r>
            <w:r>
              <w:rPr>
                <w:rFonts w:hint="eastAsia" w:ascii="宋体"/>
                <w:color w:val="auto"/>
                <w:highlight w:val="none"/>
              </w:rPr>
              <w:t>等逻辑运算创建的</w:t>
            </w:r>
            <w:r>
              <w:rPr>
                <w:rFonts w:ascii="宋体"/>
                <w:color w:val="auto"/>
                <w:highlight w:val="none"/>
              </w:rPr>
              <w:t>BPF</w:t>
            </w:r>
            <w:r>
              <w:rPr>
                <w:rFonts w:hint="eastAsia" w:ascii="宋体"/>
                <w:color w:val="auto"/>
                <w:highlight w:val="none"/>
              </w:rPr>
              <w:t>过滤语法过滤数据。</w:t>
            </w:r>
          </w:p>
          <w:p w14:paraId="6B818348">
            <w:pPr>
              <w:pStyle w:val="32"/>
              <w:spacing w:line="240" w:lineRule="auto"/>
              <w:rPr>
                <w:rFonts w:ascii="宋体"/>
                <w:color w:val="auto"/>
                <w:highlight w:val="none"/>
              </w:rPr>
            </w:pPr>
            <w:r>
              <w:rPr>
                <w:rFonts w:ascii="宋体"/>
                <w:color w:val="auto"/>
                <w:highlight w:val="none"/>
              </w:rPr>
              <w:t>5.</w:t>
            </w:r>
            <w:r>
              <w:rPr>
                <w:rFonts w:ascii="宋体"/>
                <w:color w:val="auto"/>
                <w:highlight w:val="none"/>
              </w:rPr>
              <w:tab/>
            </w:r>
            <w:r>
              <w:rPr>
                <w:rFonts w:hint="eastAsia" w:ascii="宋体"/>
                <w:color w:val="auto"/>
                <w:highlight w:val="none"/>
              </w:rPr>
              <w:t>支持记录</w:t>
            </w:r>
            <w:r>
              <w:rPr>
                <w:rFonts w:ascii="宋体"/>
                <w:color w:val="auto"/>
                <w:highlight w:val="none"/>
              </w:rPr>
              <w:t>TCP</w:t>
            </w:r>
            <w:r>
              <w:rPr>
                <w:rFonts w:hint="eastAsia" w:ascii="宋体"/>
                <w:color w:val="auto"/>
                <w:highlight w:val="none"/>
              </w:rPr>
              <w:t>，</w:t>
            </w:r>
            <w:r>
              <w:rPr>
                <w:rFonts w:ascii="宋体"/>
                <w:color w:val="auto"/>
                <w:highlight w:val="none"/>
              </w:rPr>
              <w:t>UDP</w:t>
            </w:r>
            <w:r>
              <w:rPr>
                <w:rFonts w:hint="eastAsia" w:ascii="宋体"/>
                <w:color w:val="auto"/>
                <w:highlight w:val="none"/>
              </w:rPr>
              <w:t>，</w:t>
            </w:r>
            <w:r>
              <w:rPr>
                <w:rFonts w:ascii="宋体"/>
                <w:color w:val="auto"/>
                <w:highlight w:val="none"/>
              </w:rPr>
              <w:t>HTTP</w:t>
            </w:r>
            <w:r>
              <w:rPr>
                <w:rFonts w:hint="eastAsia" w:ascii="宋体"/>
                <w:color w:val="auto"/>
                <w:highlight w:val="none"/>
              </w:rPr>
              <w:t>协议流量日志中的负载信息：</w:t>
            </w:r>
            <w:r>
              <w:rPr>
                <w:rFonts w:ascii="宋体"/>
                <w:color w:val="auto"/>
                <w:highlight w:val="none"/>
              </w:rPr>
              <w:t>TCP,UDP</w:t>
            </w:r>
            <w:r>
              <w:rPr>
                <w:rFonts w:hint="eastAsia" w:ascii="宋体"/>
                <w:color w:val="auto"/>
                <w:highlight w:val="none"/>
              </w:rPr>
              <w:t>的上下行负载支持可配，不低于</w:t>
            </w:r>
            <w:r>
              <w:rPr>
                <w:rFonts w:ascii="宋体"/>
                <w:color w:val="auto"/>
                <w:highlight w:val="none"/>
              </w:rPr>
              <w:t>10KB</w:t>
            </w:r>
            <w:r>
              <w:rPr>
                <w:rFonts w:hint="eastAsia" w:ascii="宋体"/>
                <w:color w:val="auto"/>
                <w:highlight w:val="none"/>
              </w:rPr>
              <w:t>。</w:t>
            </w:r>
            <w:r>
              <w:rPr>
                <w:rFonts w:ascii="宋体"/>
                <w:color w:val="auto"/>
                <w:highlight w:val="none"/>
              </w:rPr>
              <w:t>HTTP</w:t>
            </w:r>
            <w:r>
              <w:rPr>
                <w:rFonts w:hint="eastAsia" w:ascii="宋体"/>
                <w:color w:val="auto"/>
                <w:highlight w:val="none"/>
              </w:rPr>
              <w:t>协议的请求头，请求体，响应头，响应体支持长度可配，不低于</w:t>
            </w:r>
            <w:r>
              <w:rPr>
                <w:rFonts w:ascii="宋体"/>
                <w:color w:val="auto"/>
                <w:highlight w:val="none"/>
              </w:rPr>
              <w:t>8KB</w:t>
            </w:r>
            <w:r>
              <w:rPr>
                <w:rFonts w:hint="eastAsia" w:ascii="宋体"/>
                <w:color w:val="auto"/>
                <w:highlight w:val="none"/>
              </w:rPr>
              <w:t>。</w:t>
            </w:r>
          </w:p>
          <w:p w14:paraId="3B94668A">
            <w:pPr>
              <w:pStyle w:val="32"/>
              <w:spacing w:line="240" w:lineRule="auto"/>
              <w:rPr>
                <w:rFonts w:ascii="宋体"/>
                <w:color w:val="auto"/>
                <w:highlight w:val="none"/>
              </w:rPr>
            </w:pPr>
            <w:r>
              <w:rPr>
                <w:rFonts w:ascii="宋体"/>
                <w:color w:val="auto"/>
                <w:highlight w:val="none"/>
              </w:rPr>
              <w:t>6.</w:t>
            </w:r>
            <w:r>
              <w:rPr>
                <w:rFonts w:ascii="宋体"/>
                <w:color w:val="auto"/>
                <w:highlight w:val="none"/>
              </w:rPr>
              <w:tab/>
            </w:r>
            <w:r>
              <w:rPr>
                <w:rFonts w:hint="eastAsia" w:ascii="宋体"/>
                <w:color w:val="auto"/>
                <w:highlight w:val="none"/>
              </w:rPr>
              <w:t>支持常见协议识别并还原网络流量，用于取证分析、威胁发现，支持：</w:t>
            </w:r>
            <w:r>
              <w:rPr>
                <w:rFonts w:ascii="宋体"/>
                <w:color w:val="auto"/>
                <w:highlight w:val="none"/>
              </w:rPr>
              <w:t>tcp</w:t>
            </w:r>
            <w:r>
              <w:rPr>
                <w:rFonts w:hint="eastAsia" w:ascii="宋体"/>
                <w:color w:val="auto"/>
                <w:highlight w:val="none"/>
              </w:rPr>
              <w:t>、</w:t>
            </w:r>
            <w:r>
              <w:rPr>
                <w:rFonts w:ascii="宋体"/>
                <w:color w:val="auto"/>
                <w:highlight w:val="none"/>
              </w:rPr>
              <w:t>udp</w:t>
            </w:r>
            <w:r>
              <w:rPr>
                <w:rFonts w:hint="eastAsia" w:ascii="宋体"/>
                <w:color w:val="auto"/>
                <w:highlight w:val="none"/>
              </w:rPr>
              <w:t>、</w:t>
            </w:r>
            <w:r>
              <w:rPr>
                <w:rFonts w:ascii="宋体"/>
                <w:color w:val="auto"/>
                <w:highlight w:val="none"/>
              </w:rPr>
              <w:t>icmp</w:t>
            </w:r>
            <w:r>
              <w:rPr>
                <w:rFonts w:hint="eastAsia" w:ascii="宋体"/>
                <w:color w:val="auto"/>
                <w:highlight w:val="none"/>
              </w:rPr>
              <w:t>、</w:t>
            </w:r>
            <w:r>
              <w:rPr>
                <w:rFonts w:ascii="宋体"/>
                <w:color w:val="auto"/>
                <w:highlight w:val="none"/>
              </w:rPr>
              <w:t>http</w:t>
            </w:r>
            <w:r>
              <w:rPr>
                <w:rFonts w:hint="eastAsia" w:ascii="宋体"/>
                <w:color w:val="auto"/>
                <w:highlight w:val="none"/>
              </w:rPr>
              <w:t>、</w:t>
            </w:r>
            <w:r>
              <w:rPr>
                <w:rFonts w:ascii="宋体"/>
                <w:color w:val="auto"/>
                <w:highlight w:val="none"/>
              </w:rPr>
              <w:t>dns</w:t>
            </w:r>
            <w:r>
              <w:rPr>
                <w:rFonts w:hint="eastAsia" w:ascii="宋体"/>
                <w:color w:val="auto"/>
                <w:highlight w:val="none"/>
              </w:rPr>
              <w:t>、</w:t>
            </w:r>
            <w:r>
              <w:rPr>
                <w:rFonts w:ascii="宋体"/>
                <w:color w:val="auto"/>
                <w:highlight w:val="none"/>
              </w:rPr>
              <w:t>dhcp</w:t>
            </w:r>
            <w:r>
              <w:rPr>
                <w:rFonts w:hint="eastAsia" w:ascii="宋体"/>
                <w:color w:val="auto"/>
                <w:highlight w:val="none"/>
              </w:rPr>
              <w:t>、</w:t>
            </w:r>
            <w:r>
              <w:rPr>
                <w:rFonts w:ascii="宋体"/>
                <w:color w:val="auto"/>
                <w:highlight w:val="none"/>
              </w:rPr>
              <w:t>smtp</w:t>
            </w:r>
            <w:r>
              <w:rPr>
                <w:rFonts w:hint="eastAsia" w:ascii="宋体"/>
                <w:color w:val="auto"/>
                <w:highlight w:val="none"/>
              </w:rPr>
              <w:t>、</w:t>
            </w:r>
            <w:r>
              <w:rPr>
                <w:rFonts w:ascii="宋体"/>
                <w:color w:val="auto"/>
                <w:highlight w:val="none"/>
              </w:rPr>
              <w:t>pop3</w:t>
            </w:r>
            <w:r>
              <w:rPr>
                <w:rFonts w:hint="eastAsia" w:ascii="宋体"/>
                <w:color w:val="auto"/>
                <w:highlight w:val="none"/>
              </w:rPr>
              <w:t>、</w:t>
            </w:r>
            <w:r>
              <w:rPr>
                <w:rFonts w:ascii="宋体"/>
                <w:color w:val="auto"/>
                <w:highlight w:val="none"/>
              </w:rPr>
              <w:t>imap</w:t>
            </w:r>
            <w:r>
              <w:rPr>
                <w:rFonts w:hint="eastAsia" w:ascii="宋体"/>
                <w:color w:val="auto"/>
                <w:highlight w:val="none"/>
              </w:rPr>
              <w:t>、</w:t>
            </w:r>
            <w:r>
              <w:rPr>
                <w:rFonts w:ascii="宋体"/>
                <w:color w:val="auto"/>
                <w:highlight w:val="none"/>
              </w:rPr>
              <w:t>webmail</w:t>
            </w:r>
            <w:r>
              <w:rPr>
                <w:rFonts w:hint="eastAsia" w:ascii="宋体"/>
                <w:color w:val="auto"/>
                <w:highlight w:val="none"/>
              </w:rPr>
              <w:t>、</w:t>
            </w:r>
            <w:r>
              <w:rPr>
                <w:rFonts w:ascii="宋体"/>
                <w:color w:val="auto"/>
                <w:highlight w:val="none"/>
              </w:rPr>
              <w:t>db2</w:t>
            </w:r>
            <w:r>
              <w:rPr>
                <w:rFonts w:hint="eastAsia" w:ascii="宋体"/>
                <w:color w:val="auto"/>
                <w:highlight w:val="none"/>
              </w:rPr>
              <w:t>、</w:t>
            </w:r>
            <w:r>
              <w:rPr>
                <w:rFonts w:ascii="宋体"/>
                <w:color w:val="auto"/>
                <w:highlight w:val="none"/>
              </w:rPr>
              <w:t>oracle</w:t>
            </w:r>
            <w:r>
              <w:rPr>
                <w:rFonts w:hint="eastAsia" w:ascii="宋体"/>
                <w:color w:val="auto"/>
                <w:highlight w:val="none"/>
              </w:rPr>
              <w:t>、</w:t>
            </w:r>
            <w:r>
              <w:rPr>
                <w:rFonts w:ascii="宋体"/>
                <w:color w:val="auto"/>
                <w:highlight w:val="none"/>
              </w:rPr>
              <w:t>mysql</w:t>
            </w:r>
            <w:r>
              <w:rPr>
                <w:rFonts w:hint="eastAsia" w:ascii="宋体"/>
                <w:color w:val="auto"/>
                <w:highlight w:val="none"/>
              </w:rPr>
              <w:t>、</w:t>
            </w:r>
            <w:r>
              <w:rPr>
                <w:rFonts w:ascii="宋体"/>
                <w:color w:val="auto"/>
                <w:highlight w:val="none"/>
              </w:rPr>
              <w:t>mssql-db</w:t>
            </w:r>
            <w:r>
              <w:rPr>
                <w:rFonts w:hint="eastAsia" w:ascii="宋体"/>
                <w:color w:val="auto"/>
                <w:highlight w:val="none"/>
              </w:rPr>
              <w:t>、</w:t>
            </w:r>
            <w:r>
              <w:rPr>
                <w:rFonts w:ascii="宋体"/>
                <w:color w:val="auto"/>
                <w:highlight w:val="none"/>
              </w:rPr>
              <w:t>sctp</w:t>
            </w:r>
            <w:r>
              <w:rPr>
                <w:rFonts w:hint="eastAsia" w:ascii="宋体"/>
                <w:color w:val="auto"/>
                <w:highlight w:val="none"/>
              </w:rPr>
              <w:t>、</w:t>
            </w:r>
            <w:r>
              <w:rPr>
                <w:rFonts w:ascii="宋体"/>
                <w:color w:val="auto"/>
                <w:highlight w:val="none"/>
              </w:rPr>
              <w:t>sybase</w:t>
            </w:r>
            <w:r>
              <w:rPr>
                <w:rFonts w:hint="eastAsia" w:ascii="宋体"/>
                <w:color w:val="auto"/>
                <w:highlight w:val="none"/>
              </w:rPr>
              <w:t>、</w:t>
            </w:r>
            <w:r>
              <w:rPr>
                <w:rFonts w:ascii="宋体"/>
                <w:color w:val="auto"/>
                <w:highlight w:val="none"/>
              </w:rPr>
              <w:t>smb</w:t>
            </w:r>
            <w:r>
              <w:rPr>
                <w:rFonts w:hint="eastAsia" w:ascii="宋体"/>
                <w:color w:val="auto"/>
                <w:highlight w:val="none"/>
              </w:rPr>
              <w:t>、</w:t>
            </w:r>
            <w:r>
              <w:rPr>
                <w:rFonts w:ascii="宋体"/>
                <w:color w:val="auto"/>
                <w:highlight w:val="none"/>
              </w:rPr>
              <w:t>sip</w:t>
            </w:r>
            <w:r>
              <w:rPr>
                <w:rFonts w:hint="eastAsia" w:ascii="宋体"/>
                <w:color w:val="auto"/>
                <w:highlight w:val="none"/>
              </w:rPr>
              <w:t>、</w:t>
            </w:r>
            <w:r>
              <w:rPr>
                <w:rFonts w:ascii="宋体"/>
                <w:color w:val="auto"/>
                <w:highlight w:val="none"/>
              </w:rPr>
              <w:t>ftp</w:t>
            </w:r>
            <w:r>
              <w:rPr>
                <w:rFonts w:hint="eastAsia" w:ascii="宋体"/>
                <w:color w:val="auto"/>
                <w:highlight w:val="none"/>
              </w:rPr>
              <w:t>、</w:t>
            </w:r>
            <w:r>
              <w:rPr>
                <w:rFonts w:ascii="宋体"/>
                <w:color w:val="auto"/>
                <w:highlight w:val="none"/>
              </w:rPr>
              <w:t>snmp</w:t>
            </w:r>
            <w:r>
              <w:rPr>
                <w:rFonts w:hint="eastAsia" w:ascii="宋体"/>
                <w:color w:val="auto"/>
                <w:highlight w:val="none"/>
              </w:rPr>
              <w:t>、</w:t>
            </w:r>
            <w:r>
              <w:rPr>
                <w:rFonts w:ascii="宋体"/>
                <w:color w:val="auto"/>
                <w:highlight w:val="none"/>
              </w:rPr>
              <w:t>telnet</w:t>
            </w:r>
            <w:r>
              <w:rPr>
                <w:rFonts w:hint="eastAsia" w:ascii="宋体"/>
                <w:color w:val="auto"/>
                <w:highlight w:val="none"/>
              </w:rPr>
              <w:t>、</w:t>
            </w:r>
            <w:r>
              <w:rPr>
                <w:rFonts w:ascii="宋体"/>
                <w:color w:val="auto"/>
                <w:highlight w:val="none"/>
              </w:rPr>
              <w:t>nfs</w:t>
            </w:r>
            <w:r>
              <w:rPr>
                <w:rFonts w:hint="eastAsia" w:ascii="宋体"/>
                <w:color w:val="auto"/>
                <w:highlight w:val="none"/>
              </w:rPr>
              <w:t>、</w:t>
            </w:r>
            <w:r>
              <w:rPr>
                <w:rFonts w:ascii="宋体"/>
                <w:color w:val="auto"/>
                <w:highlight w:val="none"/>
              </w:rPr>
              <w:t>ssl</w:t>
            </w:r>
            <w:r>
              <w:rPr>
                <w:rFonts w:hint="eastAsia" w:ascii="宋体"/>
                <w:color w:val="auto"/>
                <w:highlight w:val="none"/>
              </w:rPr>
              <w:t>、</w:t>
            </w:r>
            <w:r>
              <w:rPr>
                <w:rFonts w:ascii="宋体"/>
                <w:color w:val="auto"/>
                <w:highlight w:val="none"/>
              </w:rPr>
              <w:t>ssh</w:t>
            </w:r>
            <w:r>
              <w:rPr>
                <w:rFonts w:hint="eastAsia" w:ascii="宋体"/>
                <w:color w:val="auto"/>
                <w:highlight w:val="none"/>
              </w:rPr>
              <w:t>、</w:t>
            </w:r>
            <w:r>
              <w:rPr>
                <w:rFonts w:ascii="宋体"/>
                <w:color w:val="auto"/>
                <w:highlight w:val="none"/>
              </w:rPr>
              <w:t>ldap</w:t>
            </w:r>
            <w:r>
              <w:rPr>
                <w:rFonts w:hint="eastAsia" w:ascii="宋体"/>
                <w:color w:val="auto"/>
                <w:highlight w:val="none"/>
              </w:rPr>
              <w:t>、</w:t>
            </w:r>
            <w:r>
              <w:rPr>
                <w:rFonts w:ascii="宋体"/>
                <w:color w:val="auto"/>
                <w:highlight w:val="none"/>
              </w:rPr>
              <w:t>radius</w:t>
            </w:r>
            <w:r>
              <w:rPr>
                <w:rFonts w:hint="eastAsia" w:ascii="宋体"/>
                <w:color w:val="auto"/>
                <w:highlight w:val="none"/>
              </w:rPr>
              <w:t>、</w:t>
            </w:r>
            <w:r>
              <w:rPr>
                <w:rFonts w:ascii="宋体"/>
                <w:color w:val="auto"/>
                <w:highlight w:val="none"/>
              </w:rPr>
              <w:t>kerberos</w:t>
            </w:r>
            <w:r>
              <w:rPr>
                <w:rFonts w:hint="eastAsia" w:ascii="宋体"/>
                <w:color w:val="auto"/>
                <w:highlight w:val="none"/>
              </w:rPr>
              <w:t>、</w:t>
            </w:r>
            <w:r>
              <w:rPr>
                <w:rFonts w:ascii="宋体"/>
                <w:color w:val="auto"/>
                <w:highlight w:val="none"/>
              </w:rPr>
              <w:t>netbios</w:t>
            </w:r>
            <w:r>
              <w:rPr>
                <w:rFonts w:hint="eastAsia" w:ascii="宋体"/>
                <w:color w:val="auto"/>
                <w:highlight w:val="none"/>
              </w:rPr>
              <w:t>、</w:t>
            </w:r>
            <w:r>
              <w:rPr>
                <w:rFonts w:ascii="宋体"/>
                <w:color w:val="auto"/>
                <w:highlight w:val="none"/>
              </w:rPr>
              <w:t>ntp</w:t>
            </w:r>
            <w:r>
              <w:rPr>
                <w:rFonts w:hint="eastAsia" w:ascii="宋体"/>
                <w:color w:val="auto"/>
                <w:highlight w:val="none"/>
              </w:rPr>
              <w:t>、</w:t>
            </w:r>
            <w:r>
              <w:rPr>
                <w:rFonts w:ascii="宋体"/>
                <w:color w:val="auto"/>
                <w:highlight w:val="none"/>
              </w:rPr>
              <w:t>vnc</w:t>
            </w:r>
            <w:r>
              <w:rPr>
                <w:rFonts w:hint="eastAsia" w:ascii="宋体"/>
                <w:color w:val="auto"/>
                <w:highlight w:val="none"/>
              </w:rPr>
              <w:t>、</w:t>
            </w:r>
            <w:r>
              <w:rPr>
                <w:rFonts w:ascii="宋体"/>
                <w:color w:val="auto"/>
                <w:highlight w:val="none"/>
              </w:rPr>
              <w:t>ipv6</w:t>
            </w:r>
            <w:r>
              <w:rPr>
                <w:rFonts w:hint="eastAsia" w:ascii="宋体"/>
                <w:color w:val="auto"/>
                <w:highlight w:val="none"/>
              </w:rPr>
              <w:t>、</w:t>
            </w:r>
            <w:r>
              <w:rPr>
                <w:rFonts w:ascii="宋体"/>
                <w:color w:val="auto"/>
                <w:highlight w:val="none"/>
              </w:rPr>
              <w:t>tidb</w:t>
            </w:r>
            <w:r>
              <w:rPr>
                <w:rFonts w:hint="eastAsia" w:ascii="宋体"/>
                <w:color w:val="auto"/>
                <w:highlight w:val="none"/>
              </w:rPr>
              <w:t>、</w:t>
            </w:r>
            <w:r>
              <w:rPr>
                <w:rFonts w:ascii="宋体"/>
                <w:color w:val="auto"/>
                <w:highlight w:val="none"/>
              </w:rPr>
              <w:t>kingbase</w:t>
            </w:r>
            <w:r>
              <w:rPr>
                <w:rFonts w:hint="eastAsia" w:ascii="宋体"/>
                <w:color w:val="auto"/>
                <w:highlight w:val="none"/>
              </w:rPr>
              <w:t>、</w:t>
            </w:r>
            <w:r>
              <w:rPr>
                <w:rFonts w:ascii="宋体"/>
                <w:color w:val="auto"/>
                <w:highlight w:val="none"/>
              </w:rPr>
              <w:t>mqtt</w:t>
            </w:r>
            <w:r>
              <w:rPr>
                <w:rFonts w:hint="eastAsia" w:ascii="宋体"/>
                <w:color w:val="auto"/>
                <w:highlight w:val="none"/>
              </w:rPr>
              <w:t>等。</w:t>
            </w:r>
          </w:p>
          <w:p w14:paraId="4F4753C1">
            <w:pPr>
              <w:pStyle w:val="32"/>
              <w:spacing w:line="240" w:lineRule="auto"/>
              <w:rPr>
                <w:rFonts w:hint="eastAsia" w:ascii="宋体" w:eastAsia="宋体"/>
                <w:color w:val="auto"/>
                <w:highlight w:val="none"/>
                <w:lang w:eastAsia="zh-CN"/>
              </w:rPr>
            </w:pPr>
            <w:r>
              <w:rPr>
                <w:rFonts w:ascii="宋体"/>
                <w:color w:val="auto"/>
                <w:highlight w:val="none"/>
              </w:rPr>
              <w:t>7.</w:t>
            </w:r>
            <w:r>
              <w:rPr>
                <w:rFonts w:ascii="宋体"/>
                <w:color w:val="auto"/>
                <w:highlight w:val="none"/>
              </w:rPr>
              <w:tab/>
            </w:r>
            <w:r>
              <w:rPr>
                <w:rFonts w:hint="eastAsia" w:ascii="宋体"/>
                <w:color w:val="auto"/>
                <w:highlight w:val="none"/>
              </w:rPr>
              <w:t>支持对</w:t>
            </w:r>
            <w:r>
              <w:rPr>
                <w:rFonts w:ascii="宋体"/>
                <w:color w:val="auto"/>
                <w:highlight w:val="none"/>
              </w:rPr>
              <w:t>HTTP</w:t>
            </w:r>
            <w:r>
              <w:rPr>
                <w:rFonts w:hint="eastAsia" w:ascii="宋体"/>
                <w:color w:val="auto"/>
                <w:highlight w:val="none"/>
              </w:rPr>
              <w:t>、</w:t>
            </w:r>
            <w:r>
              <w:rPr>
                <w:rFonts w:ascii="宋体"/>
                <w:color w:val="auto"/>
                <w:highlight w:val="none"/>
              </w:rPr>
              <w:t>FTP_DATA</w:t>
            </w:r>
            <w:r>
              <w:rPr>
                <w:rFonts w:hint="eastAsia" w:ascii="宋体"/>
                <w:color w:val="auto"/>
                <w:highlight w:val="none"/>
              </w:rPr>
              <w:t>、</w:t>
            </w:r>
            <w:r>
              <w:rPr>
                <w:rFonts w:ascii="宋体"/>
                <w:color w:val="auto"/>
                <w:highlight w:val="none"/>
              </w:rPr>
              <w:t>SMB</w:t>
            </w:r>
            <w:r>
              <w:rPr>
                <w:rFonts w:hint="eastAsia" w:ascii="宋体"/>
                <w:color w:val="auto"/>
                <w:highlight w:val="none"/>
              </w:rPr>
              <w:t>、</w:t>
            </w:r>
            <w:r>
              <w:rPr>
                <w:rFonts w:ascii="宋体"/>
                <w:color w:val="auto"/>
                <w:highlight w:val="none"/>
              </w:rPr>
              <w:t>SMTP</w:t>
            </w:r>
            <w:r>
              <w:rPr>
                <w:rFonts w:hint="eastAsia" w:ascii="宋体"/>
                <w:color w:val="auto"/>
                <w:highlight w:val="none"/>
              </w:rPr>
              <w:t>、</w:t>
            </w:r>
            <w:r>
              <w:rPr>
                <w:rFonts w:ascii="宋体"/>
                <w:color w:val="auto"/>
                <w:highlight w:val="none"/>
              </w:rPr>
              <w:t>POP3</w:t>
            </w:r>
            <w:r>
              <w:rPr>
                <w:rFonts w:hint="eastAsia" w:ascii="宋体"/>
                <w:color w:val="auto"/>
                <w:highlight w:val="none"/>
              </w:rPr>
              <w:t>、</w:t>
            </w:r>
            <w:r>
              <w:rPr>
                <w:rFonts w:ascii="宋体"/>
                <w:color w:val="auto"/>
                <w:highlight w:val="none"/>
              </w:rPr>
              <w:t>WEBMAIL</w:t>
            </w:r>
            <w:r>
              <w:rPr>
                <w:rFonts w:hint="eastAsia" w:ascii="宋体"/>
                <w:color w:val="auto"/>
                <w:highlight w:val="none"/>
              </w:rPr>
              <w:t>、</w:t>
            </w:r>
            <w:r>
              <w:rPr>
                <w:rFonts w:ascii="宋体"/>
                <w:color w:val="auto"/>
                <w:highlight w:val="none"/>
              </w:rPr>
              <w:t>IMAP</w:t>
            </w:r>
            <w:r>
              <w:rPr>
                <w:rFonts w:hint="eastAsia" w:ascii="宋体"/>
                <w:color w:val="auto"/>
                <w:highlight w:val="none"/>
              </w:rPr>
              <w:t>、</w:t>
            </w:r>
            <w:r>
              <w:rPr>
                <w:rFonts w:ascii="宋体"/>
                <w:color w:val="auto"/>
                <w:highlight w:val="none"/>
              </w:rPr>
              <w:t>TFTP</w:t>
            </w:r>
            <w:r>
              <w:rPr>
                <w:rFonts w:hint="eastAsia" w:ascii="宋体"/>
                <w:color w:val="auto"/>
                <w:highlight w:val="none"/>
              </w:rPr>
              <w:t>、</w:t>
            </w:r>
            <w:r>
              <w:rPr>
                <w:rFonts w:ascii="宋体"/>
                <w:color w:val="auto"/>
                <w:highlight w:val="none"/>
              </w:rPr>
              <w:t>NFS</w:t>
            </w:r>
            <w:r>
              <w:rPr>
                <w:rFonts w:hint="eastAsia" w:ascii="宋体"/>
                <w:color w:val="auto"/>
                <w:highlight w:val="none"/>
              </w:rPr>
              <w:t>等类型协议流量中出现文件传输行为进行发现和还原，并记录文件</w:t>
            </w:r>
            <w:r>
              <w:rPr>
                <w:rFonts w:ascii="宋体"/>
                <w:color w:val="auto"/>
                <w:highlight w:val="none"/>
              </w:rPr>
              <w:t>MD5</w:t>
            </w:r>
            <w:r>
              <w:rPr>
                <w:rFonts w:hint="eastAsia" w:ascii="宋体"/>
                <w:color w:val="auto"/>
                <w:highlight w:val="none"/>
              </w:rPr>
              <w:t>发送至分析设备</w:t>
            </w:r>
            <w:r>
              <w:rPr>
                <w:rFonts w:hint="eastAsia" w:ascii="宋体"/>
                <w:color w:val="auto"/>
                <w:highlight w:val="none"/>
                <w:lang w:eastAsia="zh-CN"/>
              </w:rPr>
              <w:t>。</w:t>
            </w:r>
          </w:p>
          <w:p w14:paraId="3251E4B6">
            <w:pPr>
              <w:pStyle w:val="32"/>
              <w:spacing w:line="240" w:lineRule="auto"/>
              <w:rPr>
                <w:rFonts w:ascii="宋体"/>
                <w:color w:val="auto"/>
                <w:highlight w:val="none"/>
              </w:rPr>
            </w:pPr>
            <w:r>
              <w:rPr>
                <w:rFonts w:ascii="宋体"/>
                <w:color w:val="auto"/>
                <w:highlight w:val="none"/>
              </w:rPr>
              <w:t>8.</w:t>
            </w:r>
            <w:r>
              <w:rPr>
                <w:rFonts w:ascii="宋体"/>
                <w:color w:val="auto"/>
                <w:highlight w:val="none"/>
              </w:rPr>
              <w:tab/>
            </w:r>
            <w:r>
              <w:rPr>
                <w:rFonts w:hint="eastAsia" w:ascii="宋体"/>
                <w:color w:val="auto"/>
                <w:highlight w:val="none"/>
              </w:rPr>
              <w:t>支持多层</w:t>
            </w:r>
            <w:r>
              <w:rPr>
                <w:rFonts w:ascii="宋体"/>
                <w:color w:val="auto"/>
                <w:highlight w:val="none"/>
              </w:rPr>
              <w:t xml:space="preserve"> VLAN</w:t>
            </w:r>
            <w:r>
              <w:rPr>
                <w:rFonts w:hint="eastAsia" w:ascii="宋体"/>
                <w:color w:val="auto"/>
                <w:highlight w:val="none"/>
              </w:rPr>
              <w:t>、</w:t>
            </w:r>
            <w:r>
              <w:rPr>
                <w:rFonts w:ascii="宋体"/>
                <w:color w:val="auto"/>
                <w:highlight w:val="none"/>
              </w:rPr>
              <w:t>VXLAN</w:t>
            </w:r>
            <w:r>
              <w:rPr>
                <w:rFonts w:hint="eastAsia" w:ascii="宋体"/>
                <w:color w:val="auto"/>
                <w:highlight w:val="none"/>
              </w:rPr>
              <w:t>、</w:t>
            </w:r>
            <w:r>
              <w:rPr>
                <w:rFonts w:ascii="宋体"/>
                <w:color w:val="auto"/>
                <w:highlight w:val="none"/>
              </w:rPr>
              <w:t>MPLS</w:t>
            </w:r>
            <w:r>
              <w:rPr>
                <w:rFonts w:hint="eastAsia" w:ascii="宋体"/>
                <w:color w:val="auto"/>
                <w:highlight w:val="none"/>
              </w:rPr>
              <w:t>、</w:t>
            </w:r>
            <w:r>
              <w:rPr>
                <w:rFonts w:ascii="宋体"/>
                <w:color w:val="auto"/>
                <w:highlight w:val="none"/>
              </w:rPr>
              <w:t>GRE</w:t>
            </w:r>
            <w:r>
              <w:rPr>
                <w:rFonts w:hint="eastAsia" w:ascii="宋体"/>
                <w:color w:val="auto"/>
                <w:highlight w:val="none"/>
              </w:rPr>
              <w:t>等网络流量的解析检测。云场景下，支持</w:t>
            </w:r>
            <w:r>
              <w:rPr>
                <w:rFonts w:ascii="宋体"/>
                <w:color w:val="auto"/>
                <w:highlight w:val="none"/>
              </w:rPr>
              <w:t>GENEVE</w:t>
            </w:r>
            <w:r>
              <w:rPr>
                <w:rFonts w:hint="eastAsia" w:ascii="宋体"/>
                <w:color w:val="auto"/>
                <w:highlight w:val="none"/>
              </w:rPr>
              <w:t>协议双层隧道封装流量的解析检测。</w:t>
            </w:r>
          </w:p>
          <w:p w14:paraId="0870BC5F">
            <w:pPr>
              <w:pStyle w:val="32"/>
              <w:spacing w:line="240" w:lineRule="auto"/>
              <w:rPr>
                <w:rFonts w:ascii="宋体"/>
                <w:color w:val="auto"/>
                <w:highlight w:val="none"/>
              </w:rPr>
            </w:pPr>
            <w:r>
              <w:rPr>
                <w:rFonts w:ascii="宋体"/>
                <w:color w:val="auto"/>
                <w:highlight w:val="none"/>
              </w:rPr>
              <w:t>9.</w:t>
            </w:r>
            <w:r>
              <w:rPr>
                <w:rFonts w:ascii="宋体"/>
                <w:color w:val="auto"/>
                <w:highlight w:val="none"/>
              </w:rPr>
              <w:tab/>
            </w:r>
            <w:r>
              <w:rPr>
                <w:rFonts w:hint="eastAsia" w:ascii="宋体"/>
                <w:color w:val="auto"/>
                <w:highlight w:val="none"/>
              </w:rPr>
              <w:t>支持配置网络日志外发的标准模式、精简模式、自定义模式，支持外发的网络日志的类型包括：</w:t>
            </w:r>
            <w:r>
              <w:rPr>
                <w:rFonts w:ascii="宋体"/>
                <w:color w:val="auto"/>
                <w:highlight w:val="none"/>
              </w:rPr>
              <w:t>TCP</w:t>
            </w:r>
            <w:r>
              <w:rPr>
                <w:rFonts w:hint="eastAsia" w:ascii="宋体"/>
                <w:color w:val="auto"/>
                <w:highlight w:val="none"/>
              </w:rPr>
              <w:t>流量、</w:t>
            </w:r>
            <w:r>
              <w:rPr>
                <w:rFonts w:ascii="宋体"/>
                <w:color w:val="auto"/>
                <w:highlight w:val="none"/>
              </w:rPr>
              <w:t>UDP</w:t>
            </w:r>
            <w:r>
              <w:rPr>
                <w:rFonts w:hint="eastAsia" w:ascii="宋体"/>
                <w:color w:val="auto"/>
                <w:highlight w:val="none"/>
              </w:rPr>
              <w:t>流量、异常流量、</w:t>
            </w:r>
            <w:r>
              <w:rPr>
                <w:rFonts w:ascii="宋体"/>
                <w:color w:val="auto"/>
                <w:highlight w:val="none"/>
              </w:rPr>
              <w:t>SSL</w:t>
            </w:r>
            <w:r>
              <w:rPr>
                <w:rFonts w:hint="eastAsia" w:ascii="宋体"/>
                <w:color w:val="auto"/>
                <w:highlight w:val="none"/>
              </w:rPr>
              <w:t>加密协商、登录行为、域名解析、文件传输、</w:t>
            </w:r>
            <w:r>
              <w:rPr>
                <w:rFonts w:ascii="宋体"/>
                <w:color w:val="auto"/>
                <w:highlight w:val="none"/>
              </w:rPr>
              <w:t>FTP</w:t>
            </w:r>
            <w:r>
              <w:rPr>
                <w:rFonts w:hint="eastAsia" w:ascii="宋体"/>
                <w:color w:val="auto"/>
                <w:highlight w:val="none"/>
              </w:rPr>
              <w:t>控制通道、</w:t>
            </w:r>
            <w:r>
              <w:rPr>
                <w:rFonts w:ascii="宋体"/>
                <w:color w:val="auto"/>
                <w:highlight w:val="none"/>
              </w:rPr>
              <w:t>LDAP</w:t>
            </w:r>
            <w:r>
              <w:rPr>
                <w:rFonts w:hint="eastAsia" w:ascii="宋体"/>
                <w:color w:val="auto"/>
                <w:highlight w:val="none"/>
              </w:rPr>
              <w:t>行为、</w:t>
            </w:r>
            <w:r>
              <w:rPr>
                <w:rFonts w:ascii="宋体"/>
                <w:color w:val="auto"/>
                <w:highlight w:val="none"/>
              </w:rPr>
              <w:t>web</w:t>
            </w:r>
            <w:r>
              <w:rPr>
                <w:rFonts w:hint="eastAsia" w:ascii="宋体"/>
                <w:color w:val="auto"/>
                <w:highlight w:val="none"/>
              </w:rPr>
              <w:t>访问、邮件行为、数据库操作、</w:t>
            </w:r>
            <w:r>
              <w:rPr>
                <w:rFonts w:ascii="宋体"/>
                <w:color w:val="auto"/>
                <w:highlight w:val="none"/>
              </w:rPr>
              <w:t>telnet</w:t>
            </w:r>
            <w:r>
              <w:rPr>
                <w:rFonts w:hint="eastAsia" w:ascii="宋体"/>
                <w:color w:val="auto"/>
                <w:highlight w:val="none"/>
              </w:rPr>
              <w:t>命令、旁路阻断、</w:t>
            </w:r>
            <w:r>
              <w:rPr>
                <w:rFonts w:ascii="宋体"/>
                <w:color w:val="auto"/>
                <w:highlight w:val="none"/>
              </w:rPr>
              <w:t>MQ</w:t>
            </w:r>
            <w:r>
              <w:rPr>
                <w:rFonts w:hint="eastAsia" w:ascii="宋体"/>
                <w:color w:val="auto"/>
                <w:highlight w:val="none"/>
              </w:rPr>
              <w:t>流量、</w:t>
            </w:r>
            <w:r>
              <w:rPr>
                <w:rFonts w:ascii="宋体"/>
                <w:color w:val="auto"/>
                <w:highlight w:val="none"/>
              </w:rPr>
              <w:t>Radius</w:t>
            </w:r>
            <w:r>
              <w:rPr>
                <w:rFonts w:hint="eastAsia" w:ascii="宋体"/>
                <w:color w:val="auto"/>
                <w:highlight w:val="none"/>
              </w:rPr>
              <w:t>行为、</w:t>
            </w:r>
            <w:r>
              <w:rPr>
                <w:rFonts w:ascii="宋体"/>
                <w:color w:val="auto"/>
                <w:highlight w:val="none"/>
              </w:rPr>
              <w:t>Kerberos</w:t>
            </w:r>
            <w:r>
              <w:rPr>
                <w:rFonts w:hint="eastAsia" w:ascii="宋体"/>
                <w:color w:val="auto"/>
                <w:highlight w:val="none"/>
              </w:rPr>
              <w:t>行为、</w:t>
            </w:r>
            <w:r>
              <w:rPr>
                <w:rFonts w:ascii="宋体"/>
                <w:color w:val="auto"/>
                <w:highlight w:val="none"/>
              </w:rPr>
              <w:t>ICMP</w:t>
            </w:r>
            <w:r>
              <w:rPr>
                <w:rFonts w:hint="eastAsia" w:ascii="宋体"/>
                <w:color w:val="auto"/>
                <w:highlight w:val="none"/>
              </w:rPr>
              <w:t>流量、</w:t>
            </w:r>
            <w:r>
              <w:rPr>
                <w:rFonts w:ascii="宋体"/>
                <w:color w:val="auto"/>
                <w:highlight w:val="none"/>
              </w:rPr>
              <w:t>syn</w:t>
            </w:r>
            <w:r>
              <w:rPr>
                <w:rFonts w:hint="eastAsia" w:ascii="宋体"/>
                <w:color w:val="auto"/>
                <w:highlight w:val="none"/>
              </w:rPr>
              <w:t>流量、</w:t>
            </w:r>
            <w:r>
              <w:rPr>
                <w:rFonts w:ascii="宋体"/>
                <w:color w:val="auto"/>
                <w:highlight w:val="none"/>
              </w:rPr>
              <w:t>DHCP</w:t>
            </w:r>
            <w:r>
              <w:rPr>
                <w:rFonts w:hint="eastAsia" w:ascii="宋体"/>
                <w:color w:val="auto"/>
                <w:highlight w:val="none"/>
              </w:rPr>
              <w:t>解析等</w:t>
            </w:r>
            <w:r>
              <w:rPr>
                <w:rFonts w:ascii="宋体"/>
                <w:color w:val="auto"/>
                <w:highlight w:val="none"/>
              </w:rPr>
              <w:t>20</w:t>
            </w:r>
            <w:r>
              <w:rPr>
                <w:rFonts w:hint="eastAsia" w:ascii="宋体"/>
                <w:color w:val="auto"/>
                <w:highlight w:val="none"/>
              </w:rPr>
              <w:t>种网络日志。每种网络日志，都支持自定义配置外发的字段。</w:t>
            </w:r>
          </w:p>
          <w:p w14:paraId="79EC4138">
            <w:pPr>
              <w:pStyle w:val="32"/>
              <w:spacing w:line="240" w:lineRule="auto"/>
              <w:rPr>
                <w:rFonts w:ascii="宋体"/>
                <w:color w:val="auto"/>
                <w:highlight w:val="none"/>
              </w:rPr>
            </w:pPr>
            <w:r>
              <w:rPr>
                <w:rFonts w:ascii="宋体"/>
                <w:color w:val="auto"/>
                <w:highlight w:val="none"/>
              </w:rPr>
              <w:t>10.</w:t>
            </w:r>
            <w:r>
              <w:rPr>
                <w:rFonts w:ascii="宋体"/>
                <w:color w:val="auto"/>
                <w:highlight w:val="none"/>
              </w:rPr>
              <w:tab/>
            </w:r>
            <w:r>
              <w:rPr>
                <w:rFonts w:hint="eastAsia" w:ascii="宋体"/>
                <w:color w:val="auto"/>
                <w:highlight w:val="none"/>
              </w:rPr>
              <w:t>支持规则更新标记功能，对新增加规则使用标签进行醒目标记展示，新增规则产生的告警在告警详情进行标签标记展示。</w:t>
            </w:r>
          </w:p>
          <w:p w14:paraId="62293182">
            <w:pPr>
              <w:pStyle w:val="32"/>
              <w:spacing w:line="240" w:lineRule="auto"/>
              <w:rPr>
                <w:rFonts w:ascii="宋体"/>
                <w:color w:val="auto"/>
                <w:highlight w:val="none"/>
              </w:rPr>
            </w:pPr>
            <w:r>
              <w:rPr>
                <w:rFonts w:ascii="宋体"/>
                <w:color w:val="auto"/>
                <w:highlight w:val="none"/>
              </w:rPr>
              <w:t>11.</w:t>
            </w:r>
            <w:r>
              <w:rPr>
                <w:rFonts w:ascii="宋体"/>
                <w:color w:val="auto"/>
                <w:highlight w:val="none"/>
              </w:rPr>
              <w:tab/>
            </w:r>
            <w:r>
              <w:rPr>
                <w:rFonts w:hint="eastAsia" w:ascii="宋体"/>
                <w:color w:val="auto"/>
                <w:highlight w:val="none"/>
              </w:rPr>
              <w:t>支持检测模式的标准模式、精简模式、自定义模式的切换；支持手动配置各类检测引擎、机器学习模型的开关。</w:t>
            </w:r>
          </w:p>
          <w:p w14:paraId="7CAD15F0">
            <w:pPr>
              <w:pStyle w:val="32"/>
              <w:spacing w:line="240" w:lineRule="auto"/>
              <w:rPr>
                <w:rFonts w:ascii="宋体"/>
                <w:color w:val="auto"/>
                <w:highlight w:val="none"/>
              </w:rPr>
            </w:pPr>
            <w:r>
              <w:rPr>
                <w:rFonts w:ascii="宋体"/>
                <w:color w:val="auto"/>
                <w:highlight w:val="none"/>
              </w:rPr>
              <w:t>12.</w:t>
            </w:r>
            <w:r>
              <w:rPr>
                <w:rFonts w:ascii="宋体"/>
                <w:color w:val="auto"/>
                <w:highlight w:val="none"/>
              </w:rPr>
              <w:tab/>
            </w:r>
            <w:r>
              <w:rPr>
                <w:rFonts w:hint="eastAsia" w:ascii="宋体"/>
                <w:color w:val="auto"/>
                <w:highlight w:val="none"/>
              </w:rPr>
              <w:t>支持常见攻击行为检测，支持</w:t>
            </w:r>
            <w:r>
              <w:rPr>
                <w:rFonts w:ascii="宋体"/>
                <w:color w:val="auto"/>
                <w:highlight w:val="none"/>
              </w:rPr>
              <w:t>HTTP</w:t>
            </w:r>
            <w:r>
              <w:rPr>
                <w:rFonts w:hint="eastAsia" w:ascii="宋体"/>
                <w:color w:val="auto"/>
                <w:highlight w:val="none"/>
              </w:rPr>
              <w:t>双向流量动态检测，检出类型包括：</w:t>
            </w:r>
            <w:r>
              <w:rPr>
                <w:rFonts w:ascii="宋体"/>
                <w:color w:val="auto"/>
                <w:highlight w:val="none"/>
              </w:rPr>
              <w:t>SQL</w:t>
            </w:r>
            <w:r>
              <w:rPr>
                <w:rFonts w:hint="eastAsia" w:ascii="宋体"/>
                <w:color w:val="auto"/>
                <w:highlight w:val="none"/>
              </w:rPr>
              <w:t>注入，命令执行，代码执行，跨站脚本攻击，权限绕过，暴力破解，扫描工具，数据库攻击，敏感信息泄露，挖矿检测，蠕虫传播，目录遍历，文件包含等。</w:t>
            </w:r>
          </w:p>
          <w:p w14:paraId="3B768D55">
            <w:pPr>
              <w:pStyle w:val="32"/>
              <w:spacing w:line="240" w:lineRule="auto"/>
              <w:rPr>
                <w:rFonts w:ascii="宋体"/>
                <w:color w:val="auto"/>
                <w:highlight w:val="none"/>
              </w:rPr>
            </w:pPr>
            <w:r>
              <w:rPr>
                <w:rFonts w:ascii="宋体"/>
                <w:color w:val="auto"/>
                <w:highlight w:val="none"/>
              </w:rPr>
              <w:t>13.</w:t>
            </w:r>
            <w:r>
              <w:rPr>
                <w:rFonts w:ascii="宋体"/>
                <w:color w:val="auto"/>
                <w:highlight w:val="none"/>
              </w:rPr>
              <w:tab/>
            </w:r>
            <w:r>
              <w:rPr>
                <w:rFonts w:hint="eastAsia" w:ascii="宋体"/>
                <w:color w:val="auto"/>
                <w:highlight w:val="none"/>
              </w:rPr>
              <w:t>支持基于工具特征的</w:t>
            </w:r>
            <w:r>
              <w:rPr>
                <w:rFonts w:ascii="宋体"/>
                <w:color w:val="auto"/>
                <w:highlight w:val="none"/>
              </w:rPr>
              <w:t>WebShell</w:t>
            </w:r>
            <w:r>
              <w:rPr>
                <w:rFonts w:hint="eastAsia" w:ascii="宋体"/>
                <w:color w:val="auto"/>
                <w:highlight w:val="none"/>
              </w:rPr>
              <w:t>检测，检出类型包括：中国菜刀、蚁剑、冰蝎、哥斯拉、小马生成器</w:t>
            </w:r>
            <w:r>
              <w:rPr>
                <w:rFonts w:ascii="宋体"/>
                <w:color w:val="auto"/>
                <w:highlight w:val="none"/>
              </w:rPr>
              <w:t>webshell</w:t>
            </w:r>
            <w:r>
              <w:rPr>
                <w:rFonts w:hint="eastAsia" w:ascii="宋体"/>
                <w:color w:val="auto"/>
                <w:highlight w:val="none"/>
              </w:rPr>
              <w:t>上传攻击检测，</w:t>
            </w:r>
            <w:r>
              <w:rPr>
                <w:rFonts w:ascii="宋体"/>
                <w:color w:val="auto"/>
                <w:highlight w:val="none"/>
              </w:rPr>
              <w:t>HTTP</w:t>
            </w:r>
            <w:r>
              <w:rPr>
                <w:rFonts w:hint="eastAsia" w:ascii="宋体"/>
                <w:color w:val="auto"/>
                <w:highlight w:val="none"/>
              </w:rPr>
              <w:t>代理程序等。</w:t>
            </w:r>
          </w:p>
          <w:p w14:paraId="2BA70CDD">
            <w:pPr>
              <w:pStyle w:val="32"/>
              <w:spacing w:line="240" w:lineRule="auto"/>
              <w:rPr>
                <w:rFonts w:hint="eastAsia" w:ascii="宋体" w:eastAsia="宋体"/>
                <w:color w:val="auto"/>
                <w:highlight w:val="none"/>
                <w:lang w:eastAsia="zh-CN"/>
              </w:rPr>
            </w:pPr>
            <w:r>
              <w:rPr>
                <w:rFonts w:ascii="宋体"/>
                <w:color w:val="auto"/>
                <w:highlight w:val="none"/>
              </w:rPr>
              <w:t>14.</w:t>
            </w:r>
            <w:r>
              <w:rPr>
                <w:rFonts w:ascii="宋体"/>
                <w:color w:val="auto"/>
                <w:highlight w:val="none"/>
              </w:rPr>
              <w:tab/>
            </w:r>
            <w:r>
              <w:rPr>
                <w:rFonts w:hint="eastAsia" w:ascii="宋体"/>
                <w:color w:val="auto"/>
                <w:highlight w:val="none"/>
              </w:rPr>
              <w:t>支持网络攻击检测，检出类型包括：各种协议的账号暴力破解，</w:t>
            </w:r>
            <w:r>
              <w:rPr>
                <w:rFonts w:ascii="宋体"/>
                <w:color w:val="auto"/>
                <w:highlight w:val="none"/>
              </w:rPr>
              <w:t>Mysql UDF</w:t>
            </w:r>
            <w:r>
              <w:rPr>
                <w:rFonts w:hint="eastAsia" w:ascii="宋体"/>
                <w:color w:val="auto"/>
                <w:highlight w:val="none"/>
              </w:rPr>
              <w:t>提权攻击、</w:t>
            </w:r>
            <w:r>
              <w:rPr>
                <w:rFonts w:ascii="宋体"/>
                <w:color w:val="auto"/>
                <w:highlight w:val="none"/>
              </w:rPr>
              <w:t>Microsoft Windows NetLogon</w:t>
            </w:r>
            <w:r>
              <w:rPr>
                <w:rFonts w:hint="eastAsia" w:ascii="宋体"/>
                <w:color w:val="auto"/>
                <w:highlight w:val="none"/>
              </w:rPr>
              <w:t>权限提升漏洞攻击，向日葵、</w:t>
            </w:r>
            <w:r>
              <w:rPr>
                <w:rFonts w:ascii="宋体"/>
                <w:color w:val="auto"/>
                <w:highlight w:val="none"/>
              </w:rPr>
              <w:t>TeamViewer</w:t>
            </w:r>
            <w:r>
              <w:rPr>
                <w:rFonts w:hint="eastAsia" w:ascii="宋体"/>
                <w:color w:val="auto"/>
                <w:highlight w:val="none"/>
              </w:rPr>
              <w:t>，</w:t>
            </w:r>
            <w:r>
              <w:rPr>
                <w:rFonts w:ascii="宋体"/>
                <w:color w:val="auto"/>
                <w:highlight w:val="none"/>
              </w:rPr>
              <w:t>psexec</w:t>
            </w:r>
            <w:r>
              <w:rPr>
                <w:rFonts w:hint="eastAsia" w:ascii="宋体"/>
                <w:color w:val="auto"/>
                <w:highlight w:val="none"/>
              </w:rPr>
              <w:t>远程执行、</w:t>
            </w:r>
            <w:r>
              <w:rPr>
                <w:rFonts w:ascii="宋体"/>
                <w:color w:val="auto"/>
                <w:highlight w:val="none"/>
              </w:rPr>
              <w:t>smbexec</w:t>
            </w:r>
            <w:r>
              <w:rPr>
                <w:rFonts w:hint="eastAsia" w:ascii="宋体"/>
                <w:color w:val="auto"/>
                <w:highlight w:val="none"/>
              </w:rPr>
              <w:t>在目标上远程执行命令，</w:t>
            </w:r>
            <w:r>
              <w:rPr>
                <w:rFonts w:ascii="宋体"/>
                <w:color w:val="auto"/>
                <w:highlight w:val="none"/>
              </w:rPr>
              <w:t>DCSync_DCShadow</w:t>
            </w:r>
            <w:r>
              <w:rPr>
                <w:rFonts w:hint="eastAsia" w:ascii="宋体"/>
                <w:color w:val="auto"/>
                <w:highlight w:val="none"/>
              </w:rPr>
              <w:t>疑似攻击、域用户口令爆破行为、域内密码喷洒攻击，</w:t>
            </w:r>
            <w:r>
              <w:rPr>
                <w:rFonts w:ascii="宋体"/>
                <w:color w:val="auto"/>
                <w:highlight w:val="none"/>
              </w:rPr>
              <w:t>njRat</w:t>
            </w:r>
            <w:r>
              <w:rPr>
                <w:rFonts w:hint="eastAsia" w:ascii="宋体"/>
                <w:color w:val="auto"/>
                <w:highlight w:val="none"/>
              </w:rPr>
              <w:t>后门程序变种通信行为、</w:t>
            </w:r>
            <w:r>
              <w:rPr>
                <w:rFonts w:ascii="宋体"/>
                <w:color w:val="auto"/>
                <w:highlight w:val="none"/>
              </w:rPr>
              <w:t>Cobaltstrike HTTPS beacon</w:t>
            </w:r>
            <w:r>
              <w:rPr>
                <w:rFonts w:hint="eastAsia" w:ascii="宋体"/>
                <w:color w:val="auto"/>
                <w:highlight w:val="none"/>
              </w:rPr>
              <w:t>通信等</w:t>
            </w:r>
            <w:r>
              <w:rPr>
                <w:rFonts w:hint="eastAsia" w:ascii="宋体"/>
                <w:color w:val="auto"/>
                <w:highlight w:val="none"/>
                <w:lang w:eastAsia="zh-CN"/>
              </w:rPr>
              <w:t>。</w:t>
            </w:r>
          </w:p>
          <w:p w14:paraId="208F6C5A">
            <w:pPr>
              <w:pStyle w:val="32"/>
              <w:spacing w:line="240" w:lineRule="auto"/>
              <w:rPr>
                <w:rFonts w:hint="eastAsia" w:ascii="宋体" w:hAnsi="宋体" w:cs="宋体"/>
                <w:color w:val="auto"/>
                <w:highlight w:val="none"/>
              </w:rPr>
            </w:pPr>
            <w:r>
              <w:rPr>
                <w:rFonts w:ascii="宋体"/>
                <w:color w:val="auto"/>
                <w:highlight w:val="none"/>
              </w:rPr>
              <w:t>15.</w:t>
            </w:r>
            <w:r>
              <w:rPr>
                <w:rFonts w:ascii="宋体"/>
                <w:color w:val="auto"/>
                <w:highlight w:val="none"/>
              </w:rPr>
              <w:tab/>
            </w:r>
            <w:r>
              <w:rPr>
                <w:rFonts w:hint="eastAsia" w:ascii="宋体"/>
                <w:color w:val="auto"/>
                <w:highlight w:val="none"/>
              </w:rPr>
              <w:t>支持隐秘信道检测。检测类型包括：</w:t>
            </w:r>
            <w:r>
              <w:rPr>
                <w:rFonts w:ascii="宋体"/>
                <w:color w:val="auto"/>
                <w:highlight w:val="none"/>
              </w:rPr>
              <w:t>ICMP</w:t>
            </w:r>
            <w:r>
              <w:rPr>
                <w:rFonts w:hint="eastAsia" w:ascii="宋体"/>
                <w:color w:val="auto"/>
                <w:highlight w:val="none"/>
              </w:rPr>
              <w:t>、</w:t>
            </w:r>
            <w:r>
              <w:rPr>
                <w:rFonts w:ascii="宋体"/>
                <w:color w:val="auto"/>
                <w:highlight w:val="none"/>
              </w:rPr>
              <w:t>DNS</w:t>
            </w:r>
            <w:r>
              <w:rPr>
                <w:rFonts w:hint="eastAsia" w:ascii="宋体"/>
                <w:color w:val="auto"/>
                <w:highlight w:val="none"/>
              </w:rPr>
              <w:t>协议等隐蔽隧道攻击检测，恶意软件加密通信的检测，加密</w:t>
            </w:r>
            <w:r>
              <w:rPr>
                <w:rFonts w:ascii="宋体"/>
                <w:color w:val="auto"/>
                <w:highlight w:val="none"/>
              </w:rPr>
              <w:t>web</w:t>
            </w:r>
            <w:r>
              <w:rPr>
                <w:rFonts w:hint="eastAsia" w:ascii="宋体"/>
                <w:color w:val="auto"/>
                <w:highlight w:val="none"/>
              </w:rPr>
              <w:t>应用的流量检测，非法应用加密通信的检测，</w:t>
            </w:r>
            <w:r>
              <w:rPr>
                <w:rFonts w:ascii="宋体"/>
                <w:color w:val="auto"/>
                <w:highlight w:val="none"/>
              </w:rPr>
              <w:t>SSL</w:t>
            </w:r>
            <w:r>
              <w:rPr>
                <w:rFonts w:hint="eastAsia" w:ascii="宋体"/>
                <w:color w:val="auto"/>
                <w:highlight w:val="none"/>
              </w:rPr>
              <w:t>加密协议相关的漏洞与攻击的检测，加密通道攻击行为检测，支持</w:t>
            </w:r>
            <w:r>
              <w:rPr>
                <w:rFonts w:ascii="宋体"/>
                <w:color w:val="auto"/>
                <w:highlight w:val="none"/>
              </w:rPr>
              <w:t>JA3</w:t>
            </w:r>
            <w:r>
              <w:rPr>
                <w:rFonts w:hint="eastAsia" w:ascii="宋体"/>
                <w:color w:val="auto"/>
                <w:highlight w:val="none"/>
              </w:rPr>
              <w:t>指纹检测。</w:t>
            </w:r>
          </w:p>
        </w:tc>
        <w:tc>
          <w:tcPr>
            <w:tcW w:w="145" w:type="pct"/>
            <w:tcBorders>
              <w:top w:val="nil"/>
              <w:left w:val="nil"/>
              <w:bottom w:val="single" w:color="auto" w:sz="4" w:space="0"/>
              <w:right w:val="single" w:color="auto" w:sz="4" w:space="0"/>
            </w:tcBorders>
            <w:vAlign w:val="center"/>
          </w:tcPr>
          <w:p w14:paraId="5178058B">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rPr>
              <w:t>5</w:t>
            </w:r>
          </w:p>
        </w:tc>
        <w:tc>
          <w:tcPr>
            <w:tcW w:w="208" w:type="pct"/>
            <w:tcBorders>
              <w:top w:val="nil"/>
              <w:left w:val="nil"/>
              <w:bottom w:val="single" w:color="auto" w:sz="4" w:space="0"/>
              <w:right w:val="single" w:color="auto" w:sz="4" w:space="0"/>
            </w:tcBorders>
            <w:vAlign w:val="center"/>
          </w:tcPr>
          <w:p w14:paraId="4E00E46E">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rPr>
              <w:t>台</w:t>
            </w:r>
          </w:p>
        </w:tc>
      </w:tr>
      <w:tr w14:paraId="4D5F67F0">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95308CC">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rPr>
              <w:t>2</w:t>
            </w:r>
          </w:p>
        </w:tc>
        <w:tc>
          <w:tcPr>
            <w:tcW w:w="428" w:type="pct"/>
            <w:tcBorders>
              <w:top w:val="nil"/>
              <w:left w:val="nil"/>
              <w:bottom w:val="single" w:color="auto" w:sz="4" w:space="0"/>
              <w:right w:val="single" w:color="auto" w:sz="4" w:space="0"/>
            </w:tcBorders>
            <w:noWrap/>
            <w:vAlign w:val="center"/>
          </w:tcPr>
          <w:p w14:paraId="33A9E9F1">
            <w:pPr>
              <w:widowControl/>
              <w:wordWrap w:val="0"/>
              <w:rPr>
                <w:rFonts w:hint="eastAsia" w:ascii="宋体" w:hAnsi="宋体" w:cs="宋体"/>
                <w:color w:val="auto"/>
                <w:kern w:val="0"/>
                <w:sz w:val="18"/>
                <w:szCs w:val="18"/>
                <w:highlight w:val="none"/>
              </w:rPr>
            </w:pPr>
            <w:r>
              <w:rPr>
                <w:rFonts w:ascii="宋体" w:cs="宋体"/>
                <w:color w:val="auto"/>
                <w:kern w:val="0"/>
                <w:sz w:val="18"/>
                <w:szCs w:val="18"/>
                <w:highlight w:val="none"/>
              </w:rPr>
              <w:t>网络安全</w:t>
            </w:r>
            <w:r>
              <w:rPr>
                <w:rFonts w:hint="eastAsia" w:ascii="宋体" w:cs="宋体"/>
                <w:color w:val="auto"/>
                <w:kern w:val="0"/>
                <w:sz w:val="18"/>
                <w:szCs w:val="18"/>
                <w:highlight w:val="none"/>
              </w:rPr>
              <w:t>流量探针（10G</w:t>
            </w:r>
            <w:r>
              <w:rPr>
                <w:rFonts w:hint="eastAsia" w:ascii="宋体" w:cs="宋体"/>
                <w:strike w:val="0"/>
                <w:color w:val="auto"/>
                <w:kern w:val="0"/>
                <w:sz w:val="18"/>
                <w:szCs w:val="18"/>
                <w:highlight w:val="none"/>
              </w:rPr>
              <w:t>软件</w:t>
            </w:r>
            <w:r>
              <w:rPr>
                <w:rFonts w:hint="eastAsia" w:ascii="宋体" w:cs="宋体"/>
                <w:color w:val="auto"/>
                <w:kern w:val="0"/>
                <w:sz w:val="18"/>
                <w:szCs w:val="18"/>
                <w:highlight w:val="none"/>
              </w:rPr>
              <w:t>）</w:t>
            </w:r>
          </w:p>
        </w:tc>
        <w:tc>
          <w:tcPr>
            <w:tcW w:w="3798" w:type="pct"/>
            <w:gridSpan w:val="2"/>
            <w:tcBorders>
              <w:top w:val="nil"/>
              <w:left w:val="nil"/>
              <w:bottom w:val="single" w:color="auto" w:sz="4" w:space="0"/>
              <w:right w:val="single" w:color="auto" w:sz="4" w:space="0"/>
            </w:tcBorders>
            <w:noWrap/>
            <w:vAlign w:val="center"/>
          </w:tcPr>
          <w:p w14:paraId="63D54B19">
            <w:pPr>
              <w:rPr>
                <w:rFonts w:ascii="宋体"/>
                <w:color w:val="auto"/>
                <w:sz w:val="18"/>
                <w:szCs w:val="18"/>
                <w:highlight w:val="none"/>
              </w:rPr>
            </w:pPr>
            <w:r>
              <w:rPr>
                <w:rFonts w:hint="eastAsia" w:ascii="宋体"/>
                <w:color w:val="auto"/>
                <w:highlight w:val="none"/>
              </w:rPr>
              <w:t>★</w:t>
            </w:r>
            <w:r>
              <w:rPr>
                <w:rFonts w:ascii="宋体"/>
                <w:color w:val="auto"/>
                <w:sz w:val="18"/>
                <w:szCs w:val="18"/>
                <w:highlight w:val="none"/>
              </w:rPr>
              <w:t>1.</w:t>
            </w:r>
            <w:r>
              <w:rPr>
                <w:rFonts w:ascii="宋体"/>
                <w:color w:val="auto"/>
                <w:sz w:val="18"/>
                <w:szCs w:val="18"/>
                <w:highlight w:val="none"/>
              </w:rPr>
              <w:tab/>
            </w:r>
            <w:r>
              <w:rPr>
                <w:rFonts w:hint="eastAsia" w:ascii="宋体"/>
                <w:color w:val="auto"/>
                <w:sz w:val="18"/>
                <w:szCs w:val="18"/>
                <w:highlight w:val="none"/>
              </w:rPr>
              <w:t>软件版。同时开启网络流量采集、威胁数据采集和日志上报功能情况下混合流</w:t>
            </w:r>
            <w:r>
              <w:rPr>
                <w:rFonts w:hint="eastAsia" w:ascii="宋体"/>
                <w:color w:val="auto"/>
                <w:sz w:val="18"/>
                <w:szCs w:val="18"/>
                <w:highlight w:val="none"/>
                <w:lang w:val="en-US" w:eastAsia="zh-CN"/>
              </w:rPr>
              <w:t>,</w:t>
            </w:r>
            <w:r>
              <w:rPr>
                <w:rFonts w:hint="eastAsia" w:ascii="宋体"/>
                <w:color w:val="auto"/>
                <w:sz w:val="18"/>
                <w:szCs w:val="18"/>
                <w:highlight w:val="none"/>
              </w:rPr>
              <w:t>吞吐量</w:t>
            </w:r>
            <w:r>
              <w:rPr>
                <w:rFonts w:hint="eastAsia" w:ascii="宋体"/>
                <w:color w:val="auto"/>
                <w:sz w:val="18"/>
                <w:szCs w:val="18"/>
                <w:highlight w:val="none"/>
                <w:lang w:val="en-US" w:eastAsia="zh-CN"/>
              </w:rPr>
              <w:t>≥</w:t>
            </w:r>
            <w:r>
              <w:rPr>
                <w:rFonts w:ascii="宋体"/>
                <w:color w:val="auto"/>
                <w:sz w:val="18"/>
                <w:szCs w:val="18"/>
                <w:highlight w:val="none"/>
              </w:rPr>
              <w:t xml:space="preserve">10Gbps </w:t>
            </w:r>
            <w:r>
              <w:rPr>
                <w:rFonts w:hint="eastAsia" w:ascii="宋体"/>
                <w:color w:val="auto"/>
                <w:sz w:val="18"/>
                <w:szCs w:val="18"/>
                <w:highlight w:val="none"/>
              </w:rPr>
              <w:t>，</w:t>
            </w:r>
            <w:r>
              <w:rPr>
                <w:rFonts w:ascii="宋体"/>
                <w:color w:val="auto"/>
                <w:sz w:val="18"/>
                <w:szCs w:val="18"/>
                <w:highlight w:val="none"/>
              </w:rPr>
              <w:t>HTTP</w:t>
            </w:r>
            <w:r>
              <w:rPr>
                <w:rFonts w:hint="eastAsia" w:ascii="宋体"/>
                <w:color w:val="auto"/>
                <w:sz w:val="18"/>
                <w:szCs w:val="18"/>
                <w:highlight w:val="none"/>
              </w:rPr>
              <w:t>并发连接数</w:t>
            </w:r>
            <w:r>
              <w:rPr>
                <w:rFonts w:hint="eastAsia" w:ascii="宋体"/>
                <w:color w:val="auto"/>
                <w:sz w:val="18"/>
                <w:szCs w:val="18"/>
                <w:highlight w:val="none"/>
                <w:lang w:val="en-US" w:eastAsia="zh-CN"/>
              </w:rPr>
              <w:t>≥</w:t>
            </w:r>
            <w:r>
              <w:rPr>
                <w:rFonts w:ascii="宋体"/>
                <w:color w:val="auto"/>
                <w:sz w:val="18"/>
                <w:szCs w:val="18"/>
                <w:highlight w:val="none"/>
              </w:rPr>
              <w:t>800</w:t>
            </w:r>
            <w:r>
              <w:rPr>
                <w:rFonts w:hint="eastAsia" w:ascii="宋体"/>
                <w:color w:val="auto"/>
                <w:sz w:val="18"/>
                <w:szCs w:val="18"/>
                <w:highlight w:val="none"/>
              </w:rPr>
              <w:t>万</w:t>
            </w:r>
            <w:r>
              <w:rPr>
                <w:rFonts w:ascii="宋体"/>
                <w:color w:val="auto"/>
                <w:sz w:val="18"/>
                <w:szCs w:val="18"/>
                <w:highlight w:val="none"/>
              </w:rPr>
              <w:t xml:space="preserve"> HTTP</w:t>
            </w:r>
            <w:r>
              <w:rPr>
                <w:rFonts w:hint="eastAsia" w:ascii="宋体"/>
                <w:color w:val="auto"/>
                <w:sz w:val="18"/>
                <w:szCs w:val="18"/>
                <w:highlight w:val="none"/>
              </w:rPr>
              <w:t>新建连接速率</w:t>
            </w:r>
            <w:r>
              <w:rPr>
                <w:rFonts w:hint="eastAsia" w:ascii="宋体"/>
                <w:color w:val="auto"/>
                <w:sz w:val="18"/>
                <w:szCs w:val="18"/>
                <w:highlight w:val="none"/>
                <w:lang w:val="en-US" w:eastAsia="zh-CN"/>
              </w:rPr>
              <w:t>≥</w:t>
            </w:r>
            <w:r>
              <w:rPr>
                <w:rFonts w:ascii="宋体"/>
                <w:color w:val="auto"/>
                <w:sz w:val="18"/>
                <w:szCs w:val="18"/>
                <w:highlight w:val="none"/>
              </w:rPr>
              <w:t>30</w:t>
            </w:r>
            <w:r>
              <w:rPr>
                <w:rFonts w:hint="eastAsia" w:ascii="宋体"/>
                <w:color w:val="auto"/>
                <w:sz w:val="18"/>
                <w:szCs w:val="18"/>
                <w:highlight w:val="none"/>
              </w:rPr>
              <w:t>万</w:t>
            </w:r>
            <w:r>
              <w:rPr>
                <w:rFonts w:ascii="宋体"/>
                <w:color w:val="auto"/>
                <w:sz w:val="18"/>
                <w:szCs w:val="18"/>
                <w:highlight w:val="none"/>
              </w:rPr>
              <w:t>/</w:t>
            </w:r>
            <w:r>
              <w:rPr>
                <w:rFonts w:hint="eastAsia" w:ascii="宋体"/>
                <w:color w:val="auto"/>
                <w:sz w:val="18"/>
                <w:szCs w:val="18"/>
                <w:highlight w:val="none"/>
              </w:rPr>
              <w:t>秒，包含</w:t>
            </w:r>
            <w:r>
              <w:rPr>
                <w:rFonts w:ascii="宋体"/>
                <w:color w:val="auto"/>
                <w:sz w:val="18"/>
                <w:szCs w:val="18"/>
                <w:highlight w:val="none"/>
              </w:rPr>
              <w:t>3</w:t>
            </w:r>
            <w:r>
              <w:rPr>
                <w:rFonts w:hint="eastAsia" w:ascii="宋体"/>
                <w:color w:val="auto"/>
                <w:sz w:val="18"/>
                <w:szCs w:val="18"/>
                <w:highlight w:val="none"/>
              </w:rPr>
              <w:t>年全功能特征库升级服务。</w:t>
            </w:r>
          </w:p>
          <w:p w14:paraId="5D7038D0">
            <w:pPr>
              <w:rPr>
                <w:rFonts w:ascii="宋体"/>
                <w:color w:val="auto"/>
                <w:sz w:val="18"/>
                <w:szCs w:val="18"/>
                <w:highlight w:val="none"/>
              </w:rPr>
            </w:pPr>
            <w:r>
              <w:rPr>
                <w:rFonts w:hint="eastAsia" w:ascii="宋体"/>
                <w:color w:val="auto"/>
                <w:highlight w:val="none"/>
              </w:rPr>
              <w:t>★</w:t>
            </w:r>
            <w:r>
              <w:rPr>
                <w:rFonts w:ascii="宋体"/>
                <w:color w:val="auto"/>
                <w:sz w:val="18"/>
                <w:szCs w:val="18"/>
                <w:highlight w:val="none"/>
              </w:rPr>
              <w:t>2.</w:t>
            </w:r>
            <w:r>
              <w:rPr>
                <w:rFonts w:ascii="宋体"/>
                <w:color w:val="auto"/>
                <w:sz w:val="18"/>
                <w:szCs w:val="18"/>
                <w:highlight w:val="none"/>
              </w:rPr>
              <w:tab/>
            </w:r>
            <w:r>
              <w:rPr>
                <w:rFonts w:hint="eastAsia" w:ascii="宋体"/>
                <w:color w:val="auto"/>
                <w:sz w:val="18"/>
                <w:szCs w:val="18"/>
                <w:highlight w:val="none"/>
              </w:rPr>
              <w:t>支持手动和</w:t>
            </w:r>
            <w:r>
              <w:rPr>
                <w:rFonts w:ascii="宋体"/>
                <w:color w:val="auto"/>
                <w:sz w:val="18"/>
                <w:szCs w:val="18"/>
                <w:highlight w:val="none"/>
              </w:rPr>
              <w:t>FTP</w:t>
            </w:r>
            <w:r>
              <w:rPr>
                <w:rFonts w:hint="eastAsia" w:ascii="宋体"/>
                <w:color w:val="auto"/>
                <w:sz w:val="18"/>
                <w:szCs w:val="18"/>
                <w:highlight w:val="none"/>
              </w:rPr>
              <w:t>方式批量导入</w:t>
            </w:r>
            <w:r>
              <w:rPr>
                <w:rFonts w:ascii="宋体"/>
                <w:color w:val="auto"/>
                <w:sz w:val="18"/>
                <w:szCs w:val="18"/>
                <w:highlight w:val="none"/>
              </w:rPr>
              <w:t>PCAP</w:t>
            </w:r>
            <w:r>
              <w:rPr>
                <w:rFonts w:hint="eastAsia" w:ascii="宋体"/>
                <w:color w:val="auto"/>
                <w:sz w:val="18"/>
                <w:szCs w:val="18"/>
                <w:highlight w:val="none"/>
              </w:rPr>
              <w:t>包对离线流量采集，并记录</w:t>
            </w:r>
            <w:r>
              <w:rPr>
                <w:rFonts w:ascii="宋体"/>
                <w:color w:val="auto"/>
                <w:sz w:val="18"/>
                <w:szCs w:val="18"/>
                <w:highlight w:val="none"/>
              </w:rPr>
              <w:t>PCAP</w:t>
            </w:r>
            <w:r>
              <w:rPr>
                <w:rFonts w:hint="eastAsia" w:ascii="宋体"/>
                <w:color w:val="auto"/>
                <w:sz w:val="18"/>
                <w:szCs w:val="18"/>
                <w:highlight w:val="none"/>
              </w:rPr>
              <w:t>包导入记录及检测状态。</w:t>
            </w:r>
          </w:p>
          <w:p w14:paraId="18CE3B14">
            <w:pPr>
              <w:rPr>
                <w:rFonts w:ascii="宋体"/>
                <w:color w:val="auto"/>
                <w:sz w:val="18"/>
                <w:szCs w:val="18"/>
                <w:highlight w:val="none"/>
              </w:rPr>
            </w:pPr>
            <w:r>
              <w:rPr>
                <w:rFonts w:ascii="宋体"/>
                <w:color w:val="auto"/>
                <w:sz w:val="18"/>
                <w:szCs w:val="18"/>
                <w:highlight w:val="none"/>
              </w:rPr>
              <w:t>3.</w:t>
            </w:r>
            <w:r>
              <w:rPr>
                <w:rFonts w:ascii="宋体"/>
                <w:color w:val="auto"/>
                <w:sz w:val="18"/>
                <w:szCs w:val="18"/>
                <w:highlight w:val="none"/>
              </w:rPr>
              <w:tab/>
            </w:r>
            <w:r>
              <w:rPr>
                <w:rFonts w:hint="eastAsia" w:ascii="宋体"/>
                <w:color w:val="auto"/>
                <w:sz w:val="18"/>
                <w:szCs w:val="18"/>
                <w:highlight w:val="none"/>
              </w:rPr>
              <w:t>支持通过</w:t>
            </w:r>
            <w:r>
              <w:rPr>
                <w:rFonts w:ascii="宋体"/>
                <w:color w:val="auto"/>
                <w:sz w:val="18"/>
                <w:szCs w:val="18"/>
                <w:highlight w:val="none"/>
              </w:rPr>
              <w:t>ip</w:t>
            </w:r>
            <w:r>
              <w:rPr>
                <w:rFonts w:hint="eastAsia" w:ascii="宋体"/>
                <w:color w:val="auto"/>
                <w:sz w:val="18"/>
                <w:szCs w:val="18"/>
                <w:highlight w:val="none"/>
              </w:rPr>
              <w:t>、</w:t>
            </w:r>
            <w:r>
              <w:rPr>
                <w:rFonts w:ascii="宋体"/>
                <w:color w:val="auto"/>
                <w:sz w:val="18"/>
                <w:szCs w:val="18"/>
                <w:highlight w:val="none"/>
              </w:rPr>
              <w:t>ip</w:t>
            </w:r>
            <w:r>
              <w:rPr>
                <w:rFonts w:hint="eastAsia" w:ascii="宋体"/>
                <w:color w:val="auto"/>
                <w:sz w:val="18"/>
                <w:szCs w:val="18"/>
                <w:highlight w:val="none"/>
              </w:rPr>
              <w:t>段、端口、协议、</w:t>
            </w:r>
            <w:r>
              <w:rPr>
                <w:rFonts w:ascii="宋体"/>
                <w:color w:val="auto"/>
                <w:sz w:val="18"/>
                <w:szCs w:val="18"/>
                <w:highlight w:val="none"/>
              </w:rPr>
              <w:t>VLAN</w:t>
            </w:r>
            <w:r>
              <w:rPr>
                <w:rFonts w:hint="eastAsia" w:ascii="宋体"/>
                <w:color w:val="auto"/>
                <w:sz w:val="18"/>
                <w:szCs w:val="18"/>
                <w:highlight w:val="none"/>
              </w:rPr>
              <w:t>等进行流量过滤，过滤条件支持</w:t>
            </w:r>
            <w:r>
              <w:rPr>
                <w:rFonts w:ascii="宋体"/>
                <w:color w:val="auto"/>
                <w:sz w:val="18"/>
                <w:szCs w:val="18"/>
                <w:highlight w:val="none"/>
              </w:rPr>
              <w:t>and</w:t>
            </w:r>
            <w:r>
              <w:rPr>
                <w:rFonts w:hint="eastAsia" w:ascii="宋体"/>
                <w:color w:val="auto"/>
                <w:sz w:val="18"/>
                <w:szCs w:val="18"/>
                <w:highlight w:val="none"/>
              </w:rPr>
              <w:t>、</w:t>
            </w:r>
            <w:r>
              <w:rPr>
                <w:rFonts w:ascii="宋体"/>
                <w:color w:val="auto"/>
                <w:sz w:val="18"/>
                <w:szCs w:val="18"/>
                <w:highlight w:val="none"/>
              </w:rPr>
              <w:t>or</w:t>
            </w:r>
            <w:r>
              <w:rPr>
                <w:rFonts w:hint="eastAsia" w:ascii="宋体"/>
                <w:color w:val="auto"/>
                <w:sz w:val="18"/>
                <w:szCs w:val="18"/>
                <w:highlight w:val="none"/>
              </w:rPr>
              <w:t>、</w:t>
            </w:r>
            <w:r>
              <w:rPr>
                <w:rFonts w:ascii="宋体"/>
                <w:color w:val="auto"/>
                <w:sz w:val="18"/>
                <w:szCs w:val="18"/>
                <w:highlight w:val="none"/>
              </w:rPr>
              <w:t>not</w:t>
            </w:r>
            <w:r>
              <w:rPr>
                <w:rFonts w:hint="eastAsia" w:ascii="宋体"/>
                <w:color w:val="auto"/>
                <w:sz w:val="18"/>
                <w:szCs w:val="18"/>
                <w:highlight w:val="none"/>
              </w:rPr>
              <w:t>等逻辑运算创建的</w:t>
            </w:r>
            <w:r>
              <w:rPr>
                <w:rFonts w:ascii="宋体"/>
                <w:color w:val="auto"/>
                <w:sz w:val="18"/>
                <w:szCs w:val="18"/>
                <w:highlight w:val="none"/>
              </w:rPr>
              <w:t>BPF</w:t>
            </w:r>
            <w:r>
              <w:rPr>
                <w:rFonts w:hint="eastAsia" w:ascii="宋体"/>
                <w:color w:val="auto"/>
                <w:sz w:val="18"/>
                <w:szCs w:val="18"/>
                <w:highlight w:val="none"/>
              </w:rPr>
              <w:t>过滤语法过滤数据。</w:t>
            </w:r>
          </w:p>
          <w:p w14:paraId="5277BB44">
            <w:pPr>
              <w:rPr>
                <w:rFonts w:ascii="宋体"/>
                <w:color w:val="auto"/>
                <w:sz w:val="18"/>
                <w:szCs w:val="18"/>
                <w:highlight w:val="none"/>
              </w:rPr>
            </w:pPr>
            <w:r>
              <w:rPr>
                <w:rFonts w:ascii="宋体"/>
                <w:color w:val="auto"/>
                <w:sz w:val="18"/>
                <w:szCs w:val="18"/>
                <w:highlight w:val="none"/>
              </w:rPr>
              <w:t>4.</w:t>
            </w:r>
            <w:r>
              <w:rPr>
                <w:rFonts w:ascii="宋体"/>
                <w:color w:val="auto"/>
                <w:sz w:val="18"/>
                <w:szCs w:val="18"/>
                <w:highlight w:val="none"/>
              </w:rPr>
              <w:tab/>
            </w:r>
            <w:r>
              <w:rPr>
                <w:rFonts w:hint="eastAsia" w:ascii="宋体"/>
                <w:color w:val="auto"/>
                <w:sz w:val="18"/>
                <w:szCs w:val="18"/>
                <w:highlight w:val="none"/>
              </w:rPr>
              <w:t>支持记录</w:t>
            </w:r>
            <w:r>
              <w:rPr>
                <w:rFonts w:ascii="宋体"/>
                <w:color w:val="auto"/>
                <w:sz w:val="18"/>
                <w:szCs w:val="18"/>
                <w:highlight w:val="none"/>
              </w:rPr>
              <w:t>TCP</w:t>
            </w:r>
            <w:r>
              <w:rPr>
                <w:rFonts w:hint="eastAsia" w:ascii="宋体"/>
                <w:color w:val="auto"/>
                <w:sz w:val="18"/>
                <w:szCs w:val="18"/>
                <w:highlight w:val="none"/>
              </w:rPr>
              <w:t>，</w:t>
            </w:r>
            <w:r>
              <w:rPr>
                <w:rFonts w:ascii="宋体"/>
                <w:color w:val="auto"/>
                <w:sz w:val="18"/>
                <w:szCs w:val="18"/>
                <w:highlight w:val="none"/>
              </w:rPr>
              <w:t>UDP</w:t>
            </w:r>
            <w:r>
              <w:rPr>
                <w:rFonts w:hint="eastAsia" w:ascii="宋体"/>
                <w:color w:val="auto"/>
                <w:sz w:val="18"/>
                <w:szCs w:val="18"/>
                <w:highlight w:val="none"/>
              </w:rPr>
              <w:t>，</w:t>
            </w:r>
            <w:r>
              <w:rPr>
                <w:rFonts w:ascii="宋体"/>
                <w:color w:val="auto"/>
                <w:sz w:val="18"/>
                <w:szCs w:val="18"/>
                <w:highlight w:val="none"/>
              </w:rPr>
              <w:t>HTTP</w:t>
            </w:r>
            <w:r>
              <w:rPr>
                <w:rFonts w:hint="eastAsia" w:ascii="宋体"/>
                <w:color w:val="auto"/>
                <w:sz w:val="18"/>
                <w:szCs w:val="18"/>
                <w:highlight w:val="none"/>
              </w:rPr>
              <w:t>协议流量日志中的负载信息：</w:t>
            </w:r>
            <w:r>
              <w:rPr>
                <w:rFonts w:ascii="宋体"/>
                <w:color w:val="auto"/>
                <w:sz w:val="18"/>
                <w:szCs w:val="18"/>
                <w:highlight w:val="none"/>
              </w:rPr>
              <w:t>TCP,UDP</w:t>
            </w:r>
            <w:r>
              <w:rPr>
                <w:rFonts w:hint="eastAsia" w:ascii="宋体"/>
                <w:color w:val="auto"/>
                <w:sz w:val="18"/>
                <w:szCs w:val="18"/>
                <w:highlight w:val="none"/>
              </w:rPr>
              <w:t>的上下行负载支持可配，不低于</w:t>
            </w:r>
            <w:r>
              <w:rPr>
                <w:rFonts w:ascii="宋体"/>
                <w:color w:val="auto"/>
                <w:sz w:val="18"/>
                <w:szCs w:val="18"/>
                <w:highlight w:val="none"/>
              </w:rPr>
              <w:t>10KB</w:t>
            </w:r>
            <w:r>
              <w:rPr>
                <w:rFonts w:hint="eastAsia" w:ascii="宋体"/>
                <w:color w:val="auto"/>
                <w:sz w:val="18"/>
                <w:szCs w:val="18"/>
                <w:highlight w:val="none"/>
              </w:rPr>
              <w:t>。</w:t>
            </w:r>
            <w:r>
              <w:rPr>
                <w:rFonts w:ascii="宋体"/>
                <w:color w:val="auto"/>
                <w:sz w:val="18"/>
                <w:szCs w:val="18"/>
                <w:highlight w:val="none"/>
              </w:rPr>
              <w:t>HTTP</w:t>
            </w:r>
            <w:r>
              <w:rPr>
                <w:rFonts w:hint="eastAsia" w:ascii="宋体"/>
                <w:color w:val="auto"/>
                <w:sz w:val="18"/>
                <w:szCs w:val="18"/>
                <w:highlight w:val="none"/>
              </w:rPr>
              <w:t>协议的请求头，请求体，响应头，响应体支持长度可配，不低于</w:t>
            </w:r>
            <w:r>
              <w:rPr>
                <w:rFonts w:ascii="宋体"/>
                <w:color w:val="auto"/>
                <w:sz w:val="18"/>
                <w:szCs w:val="18"/>
                <w:highlight w:val="none"/>
              </w:rPr>
              <w:t>8KB</w:t>
            </w:r>
            <w:r>
              <w:rPr>
                <w:rFonts w:hint="eastAsia" w:ascii="宋体"/>
                <w:color w:val="auto"/>
                <w:sz w:val="18"/>
                <w:szCs w:val="18"/>
                <w:highlight w:val="none"/>
              </w:rPr>
              <w:t>。</w:t>
            </w:r>
          </w:p>
          <w:p w14:paraId="1DE9ABB1">
            <w:pPr>
              <w:rPr>
                <w:rFonts w:ascii="宋体"/>
                <w:color w:val="auto"/>
                <w:sz w:val="18"/>
                <w:szCs w:val="18"/>
                <w:highlight w:val="none"/>
              </w:rPr>
            </w:pPr>
            <w:r>
              <w:rPr>
                <w:rFonts w:ascii="宋体"/>
                <w:color w:val="auto"/>
                <w:sz w:val="18"/>
                <w:szCs w:val="18"/>
                <w:highlight w:val="none"/>
              </w:rPr>
              <w:t>5.</w:t>
            </w:r>
            <w:r>
              <w:rPr>
                <w:rFonts w:ascii="宋体"/>
                <w:color w:val="auto"/>
                <w:sz w:val="18"/>
                <w:szCs w:val="18"/>
                <w:highlight w:val="none"/>
              </w:rPr>
              <w:tab/>
            </w:r>
            <w:r>
              <w:rPr>
                <w:rFonts w:hint="eastAsia" w:ascii="宋体"/>
                <w:color w:val="auto"/>
                <w:sz w:val="18"/>
                <w:szCs w:val="18"/>
                <w:highlight w:val="none"/>
              </w:rPr>
              <w:t>支持常见协议识别并还原网络流量，用于取证分析、威胁发现，支持：</w:t>
            </w:r>
            <w:r>
              <w:rPr>
                <w:rFonts w:ascii="宋体"/>
                <w:color w:val="auto"/>
                <w:sz w:val="18"/>
                <w:szCs w:val="18"/>
                <w:highlight w:val="none"/>
              </w:rPr>
              <w:t>tcp</w:t>
            </w:r>
            <w:r>
              <w:rPr>
                <w:rFonts w:hint="eastAsia" w:ascii="宋体"/>
                <w:color w:val="auto"/>
                <w:sz w:val="18"/>
                <w:szCs w:val="18"/>
                <w:highlight w:val="none"/>
              </w:rPr>
              <w:t>、</w:t>
            </w:r>
            <w:r>
              <w:rPr>
                <w:rFonts w:ascii="宋体"/>
                <w:color w:val="auto"/>
                <w:sz w:val="18"/>
                <w:szCs w:val="18"/>
                <w:highlight w:val="none"/>
              </w:rPr>
              <w:t>udp</w:t>
            </w:r>
            <w:r>
              <w:rPr>
                <w:rFonts w:hint="eastAsia" w:ascii="宋体"/>
                <w:color w:val="auto"/>
                <w:sz w:val="18"/>
                <w:szCs w:val="18"/>
                <w:highlight w:val="none"/>
              </w:rPr>
              <w:t>、</w:t>
            </w:r>
            <w:r>
              <w:rPr>
                <w:rFonts w:ascii="宋体"/>
                <w:color w:val="auto"/>
                <w:sz w:val="18"/>
                <w:szCs w:val="18"/>
                <w:highlight w:val="none"/>
              </w:rPr>
              <w:t>icmp</w:t>
            </w:r>
            <w:r>
              <w:rPr>
                <w:rFonts w:hint="eastAsia" w:ascii="宋体"/>
                <w:color w:val="auto"/>
                <w:sz w:val="18"/>
                <w:szCs w:val="18"/>
                <w:highlight w:val="none"/>
              </w:rPr>
              <w:t>、</w:t>
            </w:r>
            <w:r>
              <w:rPr>
                <w:rFonts w:ascii="宋体"/>
                <w:color w:val="auto"/>
                <w:sz w:val="18"/>
                <w:szCs w:val="18"/>
                <w:highlight w:val="none"/>
              </w:rPr>
              <w:t>http</w:t>
            </w:r>
            <w:r>
              <w:rPr>
                <w:rFonts w:hint="eastAsia" w:ascii="宋体"/>
                <w:color w:val="auto"/>
                <w:sz w:val="18"/>
                <w:szCs w:val="18"/>
                <w:highlight w:val="none"/>
              </w:rPr>
              <w:t>、</w:t>
            </w:r>
            <w:r>
              <w:rPr>
                <w:rFonts w:ascii="宋体"/>
                <w:color w:val="auto"/>
                <w:sz w:val="18"/>
                <w:szCs w:val="18"/>
                <w:highlight w:val="none"/>
              </w:rPr>
              <w:t>dns</w:t>
            </w:r>
            <w:r>
              <w:rPr>
                <w:rFonts w:hint="eastAsia" w:ascii="宋体"/>
                <w:color w:val="auto"/>
                <w:sz w:val="18"/>
                <w:szCs w:val="18"/>
                <w:highlight w:val="none"/>
              </w:rPr>
              <w:t>、</w:t>
            </w:r>
            <w:r>
              <w:rPr>
                <w:rFonts w:ascii="宋体"/>
                <w:color w:val="auto"/>
                <w:sz w:val="18"/>
                <w:szCs w:val="18"/>
                <w:highlight w:val="none"/>
              </w:rPr>
              <w:t>dhcp</w:t>
            </w:r>
            <w:r>
              <w:rPr>
                <w:rFonts w:hint="eastAsia" w:ascii="宋体"/>
                <w:color w:val="auto"/>
                <w:sz w:val="18"/>
                <w:szCs w:val="18"/>
                <w:highlight w:val="none"/>
              </w:rPr>
              <w:t>、</w:t>
            </w:r>
            <w:r>
              <w:rPr>
                <w:rFonts w:ascii="宋体"/>
                <w:color w:val="auto"/>
                <w:sz w:val="18"/>
                <w:szCs w:val="18"/>
                <w:highlight w:val="none"/>
              </w:rPr>
              <w:t>smtp</w:t>
            </w:r>
            <w:r>
              <w:rPr>
                <w:rFonts w:hint="eastAsia" w:ascii="宋体"/>
                <w:color w:val="auto"/>
                <w:sz w:val="18"/>
                <w:szCs w:val="18"/>
                <w:highlight w:val="none"/>
              </w:rPr>
              <w:t>、</w:t>
            </w:r>
            <w:r>
              <w:rPr>
                <w:rFonts w:ascii="宋体"/>
                <w:color w:val="auto"/>
                <w:sz w:val="18"/>
                <w:szCs w:val="18"/>
                <w:highlight w:val="none"/>
              </w:rPr>
              <w:t>pop3</w:t>
            </w:r>
            <w:r>
              <w:rPr>
                <w:rFonts w:hint="eastAsia" w:ascii="宋体"/>
                <w:color w:val="auto"/>
                <w:sz w:val="18"/>
                <w:szCs w:val="18"/>
                <w:highlight w:val="none"/>
              </w:rPr>
              <w:t>、</w:t>
            </w:r>
            <w:r>
              <w:rPr>
                <w:rFonts w:ascii="宋体"/>
                <w:color w:val="auto"/>
                <w:sz w:val="18"/>
                <w:szCs w:val="18"/>
                <w:highlight w:val="none"/>
              </w:rPr>
              <w:t>imap</w:t>
            </w:r>
            <w:r>
              <w:rPr>
                <w:rFonts w:hint="eastAsia" w:ascii="宋体"/>
                <w:color w:val="auto"/>
                <w:sz w:val="18"/>
                <w:szCs w:val="18"/>
                <w:highlight w:val="none"/>
              </w:rPr>
              <w:t>、</w:t>
            </w:r>
            <w:r>
              <w:rPr>
                <w:rFonts w:ascii="宋体"/>
                <w:color w:val="auto"/>
                <w:sz w:val="18"/>
                <w:szCs w:val="18"/>
                <w:highlight w:val="none"/>
              </w:rPr>
              <w:t>webmail</w:t>
            </w:r>
            <w:r>
              <w:rPr>
                <w:rFonts w:hint="eastAsia" w:ascii="宋体"/>
                <w:color w:val="auto"/>
                <w:sz w:val="18"/>
                <w:szCs w:val="18"/>
                <w:highlight w:val="none"/>
              </w:rPr>
              <w:t>、</w:t>
            </w:r>
            <w:r>
              <w:rPr>
                <w:rFonts w:ascii="宋体"/>
                <w:color w:val="auto"/>
                <w:sz w:val="18"/>
                <w:szCs w:val="18"/>
                <w:highlight w:val="none"/>
              </w:rPr>
              <w:t>db2</w:t>
            </w:r>
            <w:r>
              <w:rPr>
                <w:rFonts w:hint="eastAsia" w:ascii="宋体"/>
                <w:color w:val="auto"/>
                <w:sz w:val="18"/>
                <w:szCs w:val="18"/>
                <w:highlight w:val="none"/>
              </w:rPr>
              <w:t>、</w:t>
            </w:r>
            <w:r>
              <w:rPr>
                <w:rFonts w:ascii="宋体"/>
                <w:color w:val="auto"/>
                <w:sz w:val="18"/>
                <w:szCs w:val="18"/>
                <w:highlight w:val="none"/>
              </w:rPr>
              <w:t>oracle</w:t>
            </w:r>
            <w:r>
              <w:rPr>
                <w:rFonts w:hint="eastAsia" w:ascii="宋体"/>
                <w:color w:val="auto"/>
                <w:sz w:val="18"/>
                <w:szCs w:val="18"/>
                <w:highlight w:val="none"/>
              </w:rPr>
              <w:t>、</w:t>
            </w:r>
            <w:r>
              <w:rPr>
                <w:rFonts w:ascii="宋体"/>
                <w:color w:val="auto"/>
                <w:sz w:val="18"/>
                <w:szCs w:val="18"/>
                <w:highlight w:val="none"/>
              </w:rPr>
              <w:t>mysql</w:t>
            </w:r>
            <w:r>
              <w:rPr>
                <w:rFonts w:hint="eastAsia" w:ascii="宋体"/>
                <w:color w:val="auto"/>
                <w:sz w:val="18"/>
                <w:szCs w:val="18"/>
                <w:highlight w:val="none"/>
              </w:rPr>
              <w:t>、</w:t>
            </w:r>
            <w:r>
              <w:rPr>
                <w:rFonts w:ascii="宋体"/>
                <w:color w:val="auto"/>
                <w:sz w:val="18"/>
                <w:szCs w:val="18"/>
                <w:highlight w:val="none"/>
              </w:rPr>
              <w:t>mssql-db</w:t>
            </w:r>
            <w:r>
              <w:rPr>
                <w:rFonts w:hint="eastAsia" w:ascii="宋体"/>
                <w:color w:val="auto"/>
                <w:sz w:val="18"/>
                <w:szCs w:val="18"/>
                <w:highlight w:val="none"/>
              </w:rPr>
              <w:t>、</w:t>
            </w:r>
            <w:r>
              <w:rPr>
                <w:rFonts w:ascii="宋体"/>
                <w:color w:val="auto"/>
                <w:sz w:val="18"/>
                <w:szCs w:val="18"/>
                <w:highlight w:val="none"/>
              </w:rPr>
              <w:t>sctp</w:t>
            </w:r>
            <w:r>
              <w:rPr>
                <w:rFonts w:hint="eastAsia" w:ascii="宋体"/>
                <w:color w:val="auto"/>
                <w:sz w:val="18"/>
                <w:szCs w:val="18"/>
                <w:highlight w:val="none"/>
              </w:rPr>
              <w:t>、</w:t>
            </w:r>
            <w:r>
              <w:rPr>
                <w:rFonts w:ascii="宋体"/>
                <w:color w:val="auto"/>
                <w:sz w:val="18"/>
                <w:szCs w:val="18"/>
                <w:highlight w:val="none"/>
              </w:rPr>
              <w:t>sybase</w:t>
            </w:r>
            <w:r>
              <w:rPr>
                <w:rFonts w:hint="eastAsia" w:ascii="宋体"/>
                <w:color w:val="auto"/>
                <w:sz w:val="18"/>
                <w:szCs w:val="18"/>
                <w:highlight w:val="none"/>
              </w:rPr>
              <w:t>、</w:t>
            </w:r>
            <w:r>
              <w:rPr>
                <w:rFonts w:ascii="宋体"/>
                <w:color w:val="auto"/>
                <w:sz w:val="18"/>
                <w:szCs w:val="18"/>
                <w:highlight w:val="none"/>
              </w:rPr>
              <w:t>smb</w:t>
            </w:r>
            <w:r>
              <w:rPr>
                <w:rFonts w:hint="eastAsia" w:ascii="宋体"/>
                <w:color w:val="auto"/>
                <w:sz w:val="18"/>
                <w:szCs w:val="18"/>
                <w:highlight w:val="none"/>
              </w:rPr>
              <w:t>、</w:t>
            </w:r>
            <w:r>
              <w:rPr>
                <w:rFonts w:ascii="宋体"/>
                <w:color w:val="auto"/>
                <w:sz w:val="18"/>
                <w:szCs w:val="18"/>
                <w:highlight w:val="none"/>
              </w:rPr>
              <w:t>sip</w:t>
            </w:r>
            <w:r>
              <w:rPr>
                <w:rFonts w:hint="eastAsia" w:ascii="宋体"/>
                <w:color w:val="auto"/>
                <w:sz w:val="18"/>
                <w:szCs w:val="18"/>
                <w:highlight w:val="none"/>
              </w:rPr>
              <w:t>、</w:t>
            </w:r>
            <w:r>
              <w:rPr>
                <w:rFonts w:ascii="宋体"/>
                <w:color w:val="auto"/>
                <w:sz w:val="18"/>
                <w:szCs w:val="18"/>
                <w:highlight w:val="none"/>
              </w:rPr>
              <w:t>ftp</w:t>
            </w:r>
            <w:r>
              <w:rPr>
                <w:rFonts w:hint="eastAsia" w:ascii="宋体"/>
                <w:color w:val="auto"/>
                <w:sz w:val="18"/>
                <w:szCs w:val="18"/>
                <w:highlight w:val="none"/>
              </w:rPr>
              <w:t>、</w:t>
            </w:r>
            <w:r>
              <w:rPr>
                <w:rFonts w:ascii="宋体"/>
                <w:color w:val="auto"/>
                <w:sz w:val="18"/>
                <w:szCs w:val="18"/>
                <w:highlight w:val="none"/>
              </w:rPr>
              <w:t>snmp</w:t>
            </w:r>
            <w:r>
              <w:rPr>
                <w:rFonts w:hint="eastAsia" w:ascii="宋体"/>
                <w:color w:val="auto"/>
                <w:sz w:val="18"/>
                <w:szCs w:val="18"/>
                <w:highlight w:val="none"/>
              </w:rPr>
              <w:t>、</w:t>
            </w:r>
            <w:r>
              <w:rPr>
                <w:rFonts w:ascii="宋体"/>
                <w:color w:val="auto"/>
                <w:sz w:val="18"/>
                <w:szCs w:val="18"/>
                <w:highlight w:val="none"/>
              </w:rPr>
              <w:t>telnet</w:t>
            </w:r>
            <w:r>
              <w:rPr>
                <w:rFonts w:hint="eastAsia" w:ascii="宋体"/>
                <w:color w:val="auto"/>
                <w:sz w:val="18"/>
                <w:szCs w:val="18"/>
                <w:highlight w:val="none"/>
              </w:rPr>
              <w:t>、</w:t>
            </w:r>
            <w:r>
              <w:rPr>
                <w:rFonts w:ascii="宋体"/>
                <w:color w:val="auto"/>
                <w:sz w:val="18"/>
                <w:szCs w:val="18"/>
                <w:highlight w:val="none"/>
              </w:rPr>
              <w:t>nfs</w:t>
            </w:r>
            <w:r>
              <w:rPr>
                <w:rFonts w:hint="eastAsia" w:ascii="宋体"/>
                <w:color w:val="auto"/>
                <w:sz w:val="18"/>
                <w:szCs w:val="18"/>
                <w:highlight w:val="none"/>
              </w:rPr>
              <w:t>、</w:t>
            </w:r>
            <w:r>
              <w:rPr>
                <w:rFonts w:ascii="宋体"/>
                <w:color w:val="auto"/>
                <w:sz w:val="18"/>
                <w:szCs w:val="18"/>
                <w:highlight w:val="none"/>
              </w:rPr>
              <w:t>ssl</w:t>
            </w:r>
            <w:r>
              <w:rPr>
                <w:rFonts w:hint="eastAsia" w:ascii="宋体"/>
                <w:color w:val="auto"/>
                <w:sz w:val="18"/>
                <w:szCs w:val="18"/>
                <w:highlight w:val="none"/>
              </w:rPr>
              <w:t>、</w:t>
            </w:r>
            <w:r>
              <w:rPr>
                <w:rFonts w:ascii="宋体"/>
                <w:color w:val="auto"/>
                <w:sz w:val="18"/>
                <w:szCs w:val="18"/>
                <w:highlight w:val="none"/>
              </w:rPr>
              <w:t>ssh</w:t>
            </w:r>
            <w:r>
              <w:rPr>
                <w:rFonts w:hint="eastAsia" w:ascii="宋体"/>
                <w:color w:val="auto"/>
                <w:sz w:val="18"/>
                <w:szCs w:val="18"/>
                <w:highlight w:val="none"/>
              </w:rPr>
              <w:t>、</w:t>
            </w:r>
            <w:r>
              <w:rPr>
                <w:rFonts w:ascii="宋体"/>
                <w:color w:val="auto"/>
                <w:sz w:val="18"/>
                <w:szCs w:val="18"/>
                <w:highlight w:val="none"/>
              </w:rPr>
              <w:t>ldap</w:t>
            </w:r>
            <w:r>
              <w:rPr>
                <w:rFonts w:hint="eastAsia" w:ascii="宋体"/>
                <w:color w:val="auto"/>
                <w:sz w:val="18"/>
                <w:szCs w:val="18"/>
                <w:highlight w:val="none"/>
              </w:rPr>
              <w:t>、</w:t>
            </w:r>
            <w:r>
              <w:rPr>
                <w:rFonts w:ascii="宋体"/>
                <w:color w:val="auto"/>
                <w:sz w:val="18"/>
                <w:szCs w:val="18"/>
                <w:highlight w:val="none"/>
              </w:rPr>
              <w:t>radius</w:t>
            </w:r>
            <w:r>
              <w:rPr>
                <w:rFonts w:hint="eastAsia" w:ascii="宋体"/>
                <w:color w:val="auto"/>
                <w:sz w:val="18"/>
                <w:szCs w:val="18"/>
                <w:highlight w:val="none"/>
              </w:rPr>
              <w:t>、</w:t>
            </w:r>
            <w:r>
              <w:rPr>
                <w:rFonts w:ascii="宋体"/>
                <w:color w:val="auto"/>
                <w:sz w:val="18"/>
                <w:szCs w:val="18"/>
                <w:highlight w:val="none"/>
              </w:rPr>
              <w:t>kerberos</w:t>
            </w:r>
            <w:r>
              <w:rPr>
                <w:rFonts w:hint="eastAsia" w:ascii="宋体"/>
                <w:color w:val="auto"/>
                <w:sz w:val="18"/>
                <w:szCs w:val="18"/>
                <w:highlight w:val="none"/>
              </w:rPr>
              <w:t>、</w:t>
            </w:r>
            <w:r>
              <w:rPr>
                <w:rFonts w:ascii="宋体"/>
                <w:color w:val="auto"/>
                <w:sz w:val="18"/>
                <w:szCs w:val="18"/>
                <w:highlight w:val="none"/>
              </w:rPr>
              <w:t>netbios</w:t>
            </w:r>
            <w:r>
              <w:rPr>
                <w:rFonts w:hint="eastAsia" w:ascii="宋体"/>
                <w:color w:val="auto"/>
                <w:sz w:val="18"/>
                <w:szCs w:val="18"/>
                <w:highlight w:val="none"/>
              </w:rPr>
              <w:t>、</w:t>
            </w:r>
            <w:r>
              <w:rPr>
                <w:rFonts w:ascii="宋体"/>
                <w:color w:val="auto"/>
                <w:sz w:val="18"/>
                <w:szCs w:val="18"/>
                <w:highlight w:val="none"/>
              </w:rPr>
              <w:t>ntp</w:t>
            </w:r>
            <w:r>
              <w:rPr>
                <w:rFonts w:hint="eastAsia" w:ascii="宋体"/>
                <w:color w:val="auto"/>
                <w:sz w:val="18"/>
                <w:szCs w:val="18"/>
                <w:highlight w:val="none"/>
              </w:rPr>
              <w:t>、</w:t>
            </w:r>
            <w:r>
              <w:rPr>
                <w:rFonts w:ascii="宋体"/>
                <w:color w:val="auto"/>
                <w:sz w:val="18"/>
                <w:szCs w:val="18"/>
                <w:highlight w:val="none"/>
              </w:rPr>
              <w:t>vnc</w:t>
            </w:r>
            <w:r>
              <w:rPr>
                <w:rFonts w:hint="eastAsia" w:ascii="宋体"/>
                <w:color w:val="auto"/>
                <w:sz w:val="18"/>
                <w:szCs w:val="18"/>
                <w:highlight w:val="none"/>
              </w:rPr>
              <w:t>、</w:t>
            </w:r>
            <w:r>
              <w:rPr>
                <w:rFonts w:ascii="宋体"/>
                <w:color w:val="auto"/>
                <w:sz w:val="18"/>
                <w:szCs w:val="18"/>
                <w:highlight w:val="none"/>
              </w:rPr>
              <w:t>ipv6</w:t>
            </w:r>
            <w:r>
              <w:rPr>
                <w:rFonts w:hint="eastAsia" w:ascii="宋体"/>
                <w:color w:val="auto"/>
                <w:sz w:val="18"/>
                <w:szCs w:val="18"/>
                <w:highlight w:val="none"/>
              </w:rPr>
              <w:t>、</w:t>
            </w:r>
            <w:r>
              <w:rPr>
                <w:rFonts w:ascii="宋体"/>
                <w:color w:val="auto"/>
                <w:sz w:val="18"/>
                <w:szCs w:val="18"/>
                <w:highlight w:val="none"/>
              </w:rPr>
              <w:t>tidb</w:t>
            </w:r>
            <w:r>
              <w:rPr>
                <w:rFonts w:hint="eastAsia" w:ascii="宋体"/>
                <w:color w:val="auto"/>
                <w:sz w:val="18"/>
                <w:szCs w:val="18"/>
                <w:highlight w:val="none"/>
              </w:rPr>
              <w:t>、</w:t>
            </w:r>
            <w:r>
              <w:rPr>
                <w:rFonts w:ascii="宋体"/>
                <w:color w:val="auto"/>
                <w:sz w:val="18"/>
                <w:szCs w:val="18"/>
                <w:highlight w:val="none"/>
              </w:rPr>
              <w:t>kingbase</w:t>
            </w:r>
            <w:r>
              <w:rPr>
                <w:rFonts w:hint="eastAsia" w:ascii="宋体"/>
                <w:color w:val="auto"/>
                <w:sz w:val="18"/>
                <w:szCs w:val="18"/>
                <w:highlight w:val="none"/>
              </w:rPr>
              <w:t>、</w:t>
            </w:r>
            <w:r>
              <w:rPr>
                <w:rFonts w:ascii="宋体"/>
                <w:color w:val="auto"/>
                <w:sz w:val="18"/>
                <w:szCs w:val="18"/>
                <w:highlight w:val="none"/>
              </w:rPr>
              <w:t>mqtt</w:t>
            </w:r>
            <w:r>
              <w:rPr>
                <w:rFonts w:hint="eastAsia" w:ascii="宋体"/>
                <w:color w:val="auto"/>
                <w:sz w:val="18"/>
                <w:szCs w:val="18"/>
                <w:highlight w:val="none"/>
              </w:rPr>
              <w:t>等。</w:t>
            </w:r>
          </w:p>
          <w:p w14:paraId="60783483">
            <w:pPr>
              <w:rPr>
                <w:rFonts w:hint="eastAsia" w:ascii="宋体" w:eastAsia="宋体"/>
                <w:color w:val="auto"/>
                <w:sz w:val="18"/>
                <w:szCs w:val="18"/>
                <w:highlight w:val="none"/>
                <w:lang w:eastAsia="zh-CN"/>
              </w:rPr>
            </w:pPr>
            <w:r>
              <w:rPr>
                <w:rFonts w:ascii="宋体"/>
                <w:color w:val="auto"/>
                <w:sz w:val="18"/>
                <w:szCs w:val="18"/>
                <w:highlight w:val="none"/>
              </w:rPr>
              <w:t>6.</w:t>
            </w:r>
            <w:r>
              <w:rPr>
                <w:rFonts w:ascii="宋体"/>
                <w:color w:val="auto"/>
                <w:sz w:val="18"/>
                <w:szCs w:val="18"/>
                <w:highlight w:val="none"/>
              </w:rPr>
              <w:tab/>
            </w:r>
            <w:r>
              <w:rPr>
                <w:rFonts w:hint="eastAsia" w:ascii="宋体"/>
                <w:color w:val="auto"/>
                <w:sz w:val="18"/>
                <w:szCs w:val="18"/>
                <w:highlight w:val="none"/>
              </w:rPr>
              <w:t>支持对</w:t>
            </w:r>
            <w:r>
              <w:rPr>
                <w:rFonts w:ascii="宋体"/>
                <w:color w:val="auto"/>
                <w:sz w:val="18"/>
                <w:szCs w:val="18"/>
                <w:highlight w:val="none"/>
              </w:rPr>
              <w:t>HTTP</w:t>
            </w:r>
            <w:r>
              <w:rPr>
                <w:rFonts w:hint="eastAsia" w:ascii="宋体"/>
                <w:color w:val="auto"/>
                <w:sz w:val="18"/>
                <w:szCs w:val="18"/>
                <w:highlight w:val="none"/>
              </w:rPr>
              <w:t>、</w:t>
            </w:r>
            <w:r>
              <w:rPr>
                <w:rFonts w:ascii="宋体"/>
                <w:color w:val="auto"/>
                <w:sz w:val="18"/>
                <w:szCs w:val="18"/>
                <w:highlight w:val="none"/>
              </w:rPr>
              <w:t>FTP_DATA</w:t>
            </w:r>
            <w:r>
              <w:rPr>
                <w:rFonts w:hint="eastAsia" w:ascii="宋体"/>
                <w:color w:val="auto"/>
                <w:sz w:val="18"/>
                <w:szCs w:val="18"/>
                <w:highlight w:val="none"/>
              </w:rPr>
              <w:t>、</w:t>
            </w:r>
            <w:r>
              <w:rPr>
                <w:rFonts w:ascii="宋体"/>
                <w:color w:val="auto"/>
                <w:sz w:val="18"/>
                <w:szCs w:val="18"/>
                <w:highlight w:val="none"/>
              </w:rPr>
              <w:t>SMB</w:t>
            </w:r>
            <w:r>
              <w:rPr>
                <w:rFonts w:hint="eastAsia" w:ascii="宋体"/>
                <w:color w:val="auto"/>
                <w:sz w:val="18"/>
                <w:szCs w:val="18"/>
                <w:highlight w:val="none"/>
              </w:rPr>
              <w:t>、</w:t>
            </w:r>
            <w:r>
              <w:rPr>
                <w:rFonts w:ascii="宋体"/>
                <w:color w:val="auto"/>
                <w:sz w:val="18"/>
                <w:szCs w:val="18"/>
                <w:highlight w:val="none"/>
              </w:rPr>
              <w:t>SMTP</w:t>
            </w:r>
            <w:r>
              <w:rPr>
                <w:rFonts w:hint="eastAsia" w:ascii="宋体"/>
                <w:color w:val="auto"/>
                <w:sz w:val="18"/>
                <w:szCs w:val="18"/>
                <w:highlight w:val="none"/>
              </w:rPr>
              <w:t>、</w:t>
            </w:r>
            <w:r>
              <w:rPr>
                <w:rFonts w:ascii="宋体"/>
                <w:color w:val="auto"/>
                <w:sz w:val="18"/>
                <w:szCs w:val="18"/>
                <w:highlight w:val="none"/>
              </w:rPr>
              <w:t>POP3</w:t>
            </w:r>
            <w:r>
              <w:rPr>
                <w:rFonts w:hint="eastAsia" w:ascii="宋体"/>
                <w:color w:val="auto"/>
                <w:sz w:val="18"/>
                <w:szCs w:val="18"/>
                <w:highlight w:val="none"/>
              </w:rPr>
              <w:t>、</w:t>
            </w:r>
            <w:r>
              <w:rPr>
                <w:rFonts w:ascii="宋体"/>
                <w:color w:val="auto"/>
                <w:sz w:val="18"/>
                <w:szCs w:val="18"/>
                <w:highlight w:val="none"/>
              </w:rPr>
              <w:t>WEBMAIL</w:t>
            </w:r>
            <w:r>
              <w:rPr>
                <w:rFonts w:hint="eastAsia" w:ascii="宋体"/>
                <w:color w:val="auto"/>
                <w:sz w:val="18"/>
                <w:szCs w:val="18"/>
                <w:highlight w:val="none"/>
              </w:rPr>
              <w:t>、</w:t>
            </w:r>
            <w:r>
              <w:rPr>
                <w:rFonts w:ascii="宋体"/>
                <w:color w:val="auto"/>
                <w:sz w:val="18"/>
                <w:szCs w:val="18"/>
                <w:highlight w:val="none"/>
              </w:rPr>
              <w:t>IMAP</w:t>
            </w:r>
            <w:r>
              <w:rPr>
                <w:rFonts w:hint="eastAsia" w:ascii="宋体"/>
                <w:color w:val="auto"/>
                <w:sz w:val="18"/>
                <w:szCs w:val="18"/>
                <w:highlight w:val="none"/>
              </w:rPr>
              <w:t>、</w:t>
            </w:r>
            <w:r>
              <w:rPr>
                <w:rFonts w:ascii="宋体"/>
                <w:color w:val="auto"/>
                <w:sz w:val="18"/>
                <w:szCs w:val="18"/>
                <w:highlight w:val="none"/>
              </w:rPr>
              <w:t>TFTP</w:t>
            </w:r>
            <w:r>
              <w:rPr>
                <w:rFonts w:hint="eastAsia" w:ascii="宋体"/>
                <w:color w:val="auto"/>
                <w:sz w:val="18"/>
                <w:szCs w:val="18"/>
                <w:highlight w:val="none"/>
              </w:rPr>
              <w:t>、</w:t>
            </w:r>
            <w:r>
              <w:rPr>
                <w:rFonts w:ascii="宋体"/>
                <w:color w:val="auto"/>
                <w:sz w:val="18"/>
                <w:szCs w:val="18"/>
                <w:highlight w:val="none"/>
              </w:rPr>
              <w:t>NFS</w:t>
            </w:r>
            <w:r>
              <w:rPr>
                <w:rFonts w:hint="eastAsia" w:ascii="宋体"/>
                <w:color w:val="auto"/>
                <w:sz w:val="18"/>
                <w:szCs w:val="18"/>
                <w:highlight w:val="none"/>
              </w:rPr>
              <w:t>等类型协议流量中出现文件传输行为进行发现和还原，并记录文件</w:t>
            </w:r>
            <w:r>
              <w:rPr>
                <w:rFonts w:ascii="宋体"/>
                <w:color w:val="auto"/>
                <w:sz w:val="18"/>
                <w:szCs w:val="18"/>
                <w:highlight w:val="none"/>
              </w:rPr>
              <w:t>MD5</w:t>
            </w:r>
            <w:r>
              <w:rPr>
                <w:rFonts w:hint="eastAsia" w:ascii="宋体"/>
                <w:color w:val="auto"/>
                <w:sz w:val="18"/>
                <w:szCs w:val="18"/>
                <w:highlight w:val="none"/>
              </w:rPr>
              <w:t>发送至分析设备</w:t>
            </w:r>
            <w:r>
              <w:rPr>
                <w:rFonts w:hint="eastAsia" w:ascii="宋体"/>
                <w:color w:val="auto"/>
                <w:sz w:val="18"/>
                <w:szCs w:val="18"/>
                <w:highlight w:val="none"/>
                <w:lang w:eastAsia="zh-CN"/>
              </w:rPr>
              <w:t>。</w:t>
            </w:r>
          </w:p>
          <w:p w14:paraId="23A20C42">
            <w:pPr>
              <w:rPr>
                <w:rFonts w:ascii="宋体"/>
                <w:color w:val="auto"/>
                <w:sz w:val="18"/>
                <w:szCs w:val="18"/>
                <w:highlight w:val="none"/>
              </w:rPr>
            </w:pPr>
            <w:r>
              <w:rPr>
                <w:rFonts w:ascii="宋体"/>
                <w:color w:val="auto"/>
                <w:sz w:val="18"/>
                <w:szCs w:val="18"/>
                <w:highlight w:val="none"/>
              </w:rPr>
              <w:t>7.</w:t>
            </w:r>
            <w:r>
              <w:rPr>
                <w:rFonts w:ascii="宋体"/>
                <w:color w:val="auto"/>
                <w:sz w:val="18"/>
                <w:szCs w:val="18"/>
                <w:highlight w:val="none"/>
              </w:rPr>
              <w:tab/>
            </w:r>
            <w:r>
              <w:rPr>
                <w:rFonts w:hint="eastAsia" w:ascii="宋体"/>
                <w:color w:val="auto"/>
                <w:sz w:val="18"/>
                <w:szCs w:val="18"/>
                <w:highlight w:val="none"/>
              </w:rPr>
              <w:t>支持多层</w:t>
            </w:r>
            <w:r>
              <w:rPr>
                <w:rFonts w:ascii="宋体"/>
                <w:color w:val="auto"/>
                <w:sz w:val="18"/>
                <w:szCs w:val="18"/>
                <w:highlight w:val="none"/>
              </w:rPr>
              <w:t xml:space="preserve"> VLAN</w:t>
            </w:r>
            <w:r>
              <w:rPr>
                <w:rFonts w:hint="eastAsia" w:ascii="宋体"/>
                <w:color w:val="auto"/>
                <w:sz w:val="18"/>
                <w:szCs w:val="18"/>
                <w:highlight w:val="none"/>
              </w:rPr>
              <w:t>、</w:t>
            </w:r>
            <w:r>
              <w:rPr>
                <w:rFonts w:ascii="宋体"/>
                <w:color w:val="auto"/>
                <w:sz w:val="18"/>
                <w:szCs w:val="18"/>
                <w:highlight w:val="none"/>
              </w:rPr>
              <w:t>VXLAN</w:t>
            </w:r>
            <w:r>
              <w:rPr>
                <w:rFonts w:hint="eastAsia" w:ascii="宋体"/>
                <w:color w:val="auto"/>
                <w:sz w:val="18"/>
                <w:szCs w:val="18"/>
                <w:highlight w:val="none"/>
              </w:rPr>
              <w:t>、</w:t>
            </w:r>
            <w:r>
              <w:rPr>
                <w:rFonts w:ascii="宋体"/>
                <w:color w:val="auto"/>
                <w:sz w:val="18"/>
                <w:szCs w:val="18"/>
                <w:highlight w:val="none"/>
              </w:rPr>
              <w:t>MPLS</w:t>
            </w:r>
            <w:r>
              <w:rPr>
                <w:rFonts w:hint="eastAsia" w:ascii="宋体"/>
                <w:color w:val="auto"/>
                <w:sz w:val="18"/>
                <w:szCs w:val="18"/>
                <w:highlight w:val="none"/>
              </w:rPr>
              <w:t>、</w:t>
            </w:r>
            <w:r>
              <w:rPr>
                <w:rFonts w:ascii="宋体"/>
                <w:color w:val="auto"/>
                <w:sz w:val="18"/>
                <w:szCs w:val="18"/>
                <w:highlight w:val="none"/>
              </w:rPr>
              <w:t>GRE</w:t>
            </w:r>
            <w:r>
              <w:rPr>
                <w:rFonts w:hint="eastAsia" w:ascii="宋体"/>
                <w:color w:val="auto"/>
                <w:sz w:val="18"/>
                <w:szCs w:val="18"/>
                <w:highlight w:val="none"/>
              </w:rPr>
              <w:t>等网络流量的解析检测。云场景下，支持</w:t>
            </w:r>
            <w:r>
              <w:rPr>
                <w:rFonts w:ascii="宋体"/>
                <w:color w:val="auto"/>
                <w:sz w:val="18"/>
                <w:szCs w:val="18"/>
                <w:highlight w:val="none"/>
              </w:rPr>
              <w:t>GENEVE</w:t>
            </w:r>
            <w:r>
              <w:rPr>
                <w:rFonts w:hint="eastAsia" w:ascii="宋体"/>
                <w:color w:val="auto"/>
                <w:sz w:val="18"/>
                <w:szCs w:val="18"/>
                <w:highlight w:val="none"/>
              </w:rPr>
              <w:t>协议双层隧道封装流量的解析检测。</w:t>
            </w:r>
          </w:p>
          <w:p w14:paraId="5C7462F1">
            <w:pPr>
              <w:rPr>
                <w:rFonts w:ascii="宋体"/>
                <w:color w:val="auto"/>
                <w:sz w:val="18"/>
                <w:szCs w:val="18"/>
                <w:highlight w:val="none"/>
              </w:rPr>
            </w:pPr>
            <w:r>
              <w:rPr>
                <w:rFonts w:ascii="宋体"/>
                <w:color w:val="auto"/>
                <w:sz w:val="18"/>
                <w:szCs w:val="18"/>
                <w:highlight w:val="none"/>
              </w:rPr>
              <w:t>8.</w:t>
            </w:r>
            <w:r>
              <w:rPr>
                <w:rFonts w:ascii="宋体"/>
                <w:color w:val="auto"/>
                <w:sz w:val="18"/>
                <w:szCs w:val="18"/>
                <w:highlight w:val="none"/>
              </w:rPr>
              <w:tab/>
            </w:r>
            <w:r>
              <w:rPr>
                <w:rFonts w:hint="eastAsia" w:ascii="宋体"/>
                <w:color w:val="auto"/>
                <w:sz w:val="18"/>
                <w:szCs w:val="18"/>
                <w:highlight w:val="none"/>
              </w:rPr>
              <w:t>支持配置网络日志外发的标准模式、精简模式、自定义模式，支持外发的网络日志的类型包括：</w:t>
            </w:r>
            <w:r>
              <w:rPr>
                <w:rFonts w:ascii="宋体"/>
                <w:color w:val="auto"/>
                <w:sz w:val="18"/>
                <w:szCs w:val="18"/>
                <w:highlight w:val="none"/>
              </w:rPr>
              <w:t>TCP</w:t>
            </w:r>
            <w:r>
              <w:rPr>
                <w:rFonts w:hint="eastAsia" w:ascii="宋体"/>
                <w:color w:val="auto"/>
                <w:sz w:val="18"/>
                <w:szCs w:val="18"/>
                <w:highlight w:val="none"/>
              </w:rPr>
              <w:t>流量、</w:t>
            </w:r>
            <w:r>
              <w:rPr>
                <w:rFonts w:ascii="宋体"/>
                <w:color w:val="auto"/>
                <w:sz w:val="18"/>
                <w:szCs w:val="18"/>
                <w:highlight w:val="none"/>
              </w:rPr>
              <w:t>UDP</w:t>
            </w:r>
            <w:r>
              <w:rPr>
                <w:rFonts w:hint="eastAsia" w:ascii="宋体"/>
                <w:color w:val="auto"/>
                <w:sz w:val="18"/>
                <w:szCs w:val="18"/>
                <w:highlight w:val="none"/>
              </w:rPr>
              <w:t>流量、异常流量、</w:t>
            </w:r>
            <w:r>
              <w:rPr>
                <w:rFonts w:ascii="宋体"/>
                <w:color w:val="auto"/>
                <w:sz w:val="18"/>
                <w:szCs w:val="18"/>
                <w:highlight w:val="none"/>
              </w:rPr>
              <w:t>SSL</w:t>
            </w:r>
            <w:r>
              <w:rPr>
                <w:rFonts w:hint="eastAsia" w:ascii="宋体"/>
                <w:color w:val="auto"/>
                <w:sz w:val="18"/>
                <w:szCs w:val="18"/>
                <w:highlight w:val="none"/>
              </w:rPr>
              <w:t>加密协商、登录行为、域名解析、文件传输、</w:t>
            </w:r>
            <w:r>
              <w:rPr>
                <w:rFonts w:ascii="宋体"/>
                <w:color w:val="auto"/>
                <w:sz w:val="18"/>
                <w:szCs w:val="18"/>
                <w:highlight w:val="none"/>
              </w:rPr>
              <w:t>FTP</w:t>
            </w:r>
            <w:r>
              <w:rPr>
                <w:rFonts w:hint="eastAsia" w:ascii="宋体"/>
                <w:color w:val="auto"/>
                <w:sz w:val="18"/>
                <w:szCs w:val="18"/>
                <w:highlight w:val="none"/>
              </w:rPr>
              <w:t>控制通道、</w:t>
            </w:r>
            <w:r>
              <w:rPr>
                <w:rFonts w:ascii="宋体"/>
                <w:color w:val="auto"/>
                <w:sz w:val="18"/>
                <w:szCs w:val="18"/>
                <w:highlight w:val="none"/>
              </w:rPr>
              <w:t>LDAP</w:t>
            </w:r>
            <w:r>
              <w:rPr>
                <w:rFonts w:hint="eastAsia" w:ascii="宋体"/>
                <w:color w:val="auto"/>
                <w:sz w:val="18"/>
                <w:szCs w:val="18"/>
                <w:highlight w:val="none"/>
              </w:rPr>
              <w:t>行为、</w:t>
            </w:r>
            <w:r>
              <w:rPr>
                <w:rFonts w:ascii="宋体"/>
                <w:color w:val="auto"/>
                <w:sz w:val="18"/>
                <w:szCs w:val="18"/>
                <w:highlight w:val="none"/>
              </w:rPr>
              <w:t>web</w:t>
            </w:r>
            <w:r>
              <w:rPr>
                <w:rFonts w:hint="eastAsia" w:ascii="宋体"/>
                <w:color w:val="auto"/>
                <w:sz w:val="18"/>
                <w:szCs w:val="18"/>
                <w:highlight w:val="none"/>
              </w:rPr>
              <w:t>访问、邮件行为、数据库操作、</w:t>
            </w:r>
            <w:r>
              <w:rPr>
                <w:rFonts w:ascii="宋体"/>
                <w:color w:val="auto"/>
                <w:sz w:val="18"/>
                <w:szCs w:val="18"/>
                <w:highlight w:val="none"/>
              </w:rPr>
              <w:t>telnet</w:t>
            </w:r>
            <w:r>
              <w:rPr>
                <w:rFonts w:hint="eastAsia" w:ascii="宋体"/>
                <w:color w:val="auto"/>
                <w:sz w:val="18"/>
                <w:szCs w:val="18"/>
                <w:highlight w:val="none"/>
              </w:rPr>
              <w:t>命令、旁路阻断、</w:t>
            </w:r>
            <w:r>
              <w:rPr>
                <w:rFonts w:ascii="宋体"/>
                <w:color w:val="auto"/>
                <w:sz w:val="18"/>
                <w:szCs w:val="18"/>
                <w:highlight w:val="none"/>
              </w:rPr>
              <w:t>MQ</w:t>
            </w:r>
            <w:r>
              <w:rPr>
                <w:rFonts w:hint="eastAsia" w:ascii="宋体"/>
                <w:color w:val="auto"/>
                <w:sz w:val="18"/>
                <w:szCs w:val="18"/>
                <w:highlight w:val="none"/>
              </w:rPr>
              <w:t>流量、</w:t>
            </w:r>
            <w:r>
              <w:rPr>
                <w:rFonts w:ascii="宋体"/>
                <w:color w:val="auto"/>
                <w:sz w:val="18"/>
                <w:szCs w:val="18"/>
                <w:highlight w:val="none"/>
              </w:rPr>
              <w:t>Radius</w:t>
            </w:r>
            <w:r>
              <w:rPr>
                <w:rFonts w:hint="eastAsia" w:ascii="宋体"/>
                <w:color w:val="auto"/>
                <w:sz w:val="18"/>
                <w:szCs w:val="18"/>
                <w:highlight w:val="none"/>
              </w:rPr>
              <w:t>行为、</w:t>
            </w:r>
            <w:r>
              <w:rPr>
                <w:rFonts w:ascii="宋体"/>
                <w:color w:val="auto"/>
                <w:sz w:val="18"/>
                <w:szCs w:val="18"/>
                <w:highlight w:val="none"/>
              </w:rPr>
              <w:t>Kerberos</w:t>
            </w:r>
            <w:r>
              <w:rPr>
                <w:rFonts w:hint="eastAsia" w:ascii="宋体"/>
                <w:color w:val="auto"/>
                <w:sz w:val="18"/>
                <w:szCs w:val="18"/>
                <w:highlight w:val="none"/>
              </w:rPr>
              <w:t>行为、</w:t>
            </w:r>
            <w:r>
              <w:rPr>
                <w:rFonts w:ascii="宋体"/>
                <w:color w:val="auto"/>
                <w:sz w:val="18"/>
                <w:szCs w:val="18"/>
                <w:highlight w:val="none"/>
              </w:rPr>
              <w:t>ICMP</w:t>
            </w:r>
            <w:r>
              <w:rPr>
                <w:rFonts w:hint="eastAsia" w:ascii="宋体"/>
                <w:color w:val="auto"/>
                <w:sz w:val="18"/>
                <w:szCs w:val="18"/>
                <w:highlight w:val="none"/>
              </w:rPr>
              <w:t>流量、</w:t>
            </w:r>
            <w:r>
              <w:rPr>
                <w:rFonts w:ascii="宋体"/>
                <w:color w:val="auto"/>
                <w:sz w:val="18"/>
                <w:szCs w:val="18"/>
                <w:highlight w:val="none"/>
              </w:rPr>
              <w:t>syn</w:t>
            </w:r>
            <w:r>
              <w:rPr>
                <w:rFonts w:hint="eastAsia" w:ascii="宋体"/>
                <w:color w:val="auto"/>
                <w:sz w:val="18"/>
                <w:szCs w:val="18"/>
                <w:highlight w:val="none"/>
              </w:rPr>
              <w:t>流量、</w:t>
            </w:r>
            <w:r>
              <w:rPr>
                <w:rFonts w:ascii="宋体"/>
                <w:color w:val="auto"/>
                <w:sz w:val="18"/>
                <w:szCs w:val="18"/>
                <w:highlight w:val="none"/>
              </w:rPr>
              <w:t>DHCP</w:t>
            </w:r>
            <w:r>
              <w:rPr>
                <w:rFonts w:hint="eastAsia" w:ascii="宋体"/>
                <w:color w:val="auto"/>
                <w:sz w:val="18"/>
                <w:szCs w:val="18"/>
                <w:highlight w:val="none"/>
              </w:rPr>
              <w:t>解析等</w:t>
            </w:r>
            <w:r>
              <w:rPr>
                <w:rFonts w:ascii="宋体"/>
                <w:color w:val="auto"/>
                <w:sz w:val="18"/>
                <w:szCs w:val="18"/>
                <w:highlight w:val="none"/>
              </w:rPr>
              <w:t>20</w:t>
            </w:r>
            <w:r>
              <w:rPr>
                <w:rFonts w:hint="eastAsia" w:ascii="宋体"/>
                <w:color w:val="auto"/>
                <w:sz w:val="18"/>
                <w:szCs w:val="18"/>
                <w:highlight w:val="none"/>
              </w:rPr>
              <w:t>种网络日志。每种网络日志，都支持自定义配置外发的字段。</w:t>
            </w:r>
          </w:p>
          <w:p w14:paraId="522C7D44">
            <w:pPr>
              <w:rPr>
                <w:rFonts w:ascii="宋体"/>
                <w:color w:val="auto"/>
                <w:sz w:val="18"/>
                <w:szCs w:val="18"/>
                <w:highlight w:val="none"/>
              </w:rPr>
            </w:pPr>
            <w:r>
              <w:rPr>
                <w:rFonts w:ascii="宋体"/>
                <w:color w:val="auto"/>
                <w:sz w:val="18"/>
                <w:szCs w:val="18"/>
                <w:highlight w:val="none"/>
              </w:rPr>
              <w:t>9.</w:t>
            </w:r>
            <w:r>
              <w:rPr>
                <w:rFonts w:ascii="宋体"/>
                <w:color w:val="auto"/>
                <w:sz w:val="18"/>
                <w:szCs w:val="18"/>
                <w:highlight w:val="none"/>
              </w:rPr>
              <w:tab/>
            </w:r>
            <w:r>
              <w:rPr>
                <w:rFonts w:hint="eastAsia" w:ascii="宋体"/>
                <w:color w:val="auto"/>
                <w:sz w:val="18"/>
                <w:szCs w:val="18"/>
                <w:highlight w:val="none"/>
              </w:rPr>
              <w:t>支持规则更新标记功能，对新增加规则使用标签进行醒目标记展示，新增规则产生的告警在告警详情进行标签标记展示。</w:t>
            </w:r>
          </w:p>
          <w:p w14:paraId="48BB3307">
            <w:pPr>
              <w:rPr>
                <w:rFonts w:ascii="宋体"/>
                <w:color w:val="auto"/>
                <w:sz w:val="18"/>
                <w:szCs w:val="18"/>
                <w:highlight w:val="none"/>
              </w:rPr>
            </w:pPr>
            <w:r>
              <w:rPr>
                <w:rFonts w:ascii="宋体"/>
                <w:color w:val="auto"/>
                <w:sz w:val="18"/>
                <w:szCs w:val="18"/>
                <w:highlight w:val="none"/>
              </w:rPr>
              <w:t>10.</w:t>
            </w:r>
            <w:r>
              <w:rPr>
                <w:rFonts w:ascii="宋体"/>
                <w:color w:val="auto"/>
                <w:sz w:val="18"/>
                <w:szCs w:val="18"/>
                <w:highlight w:val="none"/>
              </w:rPr>
              <w:tab/>
            </w:r>
            <w:r>
              <w:rPr>
                <w:rFonts w:hint="eastAsia" w:ascii="宋体"/>
                <w:color w:val="auto"/>
                <w:sz w:val="18"/>
                <w:szCs w:val="18"/>
                <w:highlight w:val="none"/>
              </w:rPr>
              <w:t>支持检测模式的标准模式、精简模式、自定义模式的切换；支持手动配置各类检测引擎、机器学习模型的开关。</w:t>
            </w:r>
          </w:p>
          <w:p w14:paraId="63A93F8A">
            <w:pPr>
              <w:rPr>
                <w:rFonts w:ascii="宋体"/>
                <w:color w:val="auto"/>
                <w:sz w:val="18"/>
                <w:szCs w:val="18"/>
                <w:highlight w:val="none"/>
              </w:rPr>
            </w:pPr>
            <w:r>
              <w:rPr>
                <w:rFonts w:ascii="宋体"/>
                <w:color w:val="auto"/>
                <w:sz w:val="18"/>
                <w:szCs w:val="18"/>
                <w:highlight w:val="none"/>
              </w:rPr>
              <w:t>11.</w:t>
            </w:r>
            <w:r>
              <w:rPr>
                <w:rFonts w:ascii="宋体"/>
                <w:color w:val="auto"/>
                <w:sz w:val="18"/>
                <w:szCs w:val="18"/>
                <w:highlight w:val="none"/>
              </w:rPr>
              <w:tab/>
            </w:r>
            <w:r>
              <w:rPr>
                <w:rFonts w:hint="eastAsia" w:ascii="宋体"/>
                <w:color w:val="auto"/>
                <w:sz w:val="18"/>
                <w:szCs w:val="18"/>
                <w:highlight w:val="none"/>
              </w:rPr>
              <w:t>支持常见攻击行为检测，支持</w:t>
            </w:r>
            <w:r>
              <w:rPr>
                <w:rFonts w:ascii="宋体"/>
                <w:color w:val="auto"/>
                <w:sz w:val="18"/>
                <w:szCs w:val="18"/>
                <w:highlight w:val="none"/>
              </w:rPr>
              <w:t>HTTP</w:t>
            </w:r>
            <w:r>
              <w:rPr>
                <w:rFonts w:hint="eastAsia" w:ascii="宋体"/>
                <w:color w:val="auto"/>
                <w:sz w:val="18"/>
                <w:szCs w:val="18"/>
                <w:highlight w:val="none"/>
              </w:rPr>
              <w:t>双向流量动态检测，检出类型包括：</w:t>
            </w:r>
            <w:r>
              <w:rPr>
                <w:rFonts w:ascii="宋体"/>
                <w:color w:val="auto"/>
                <w:sz w:val="18"/>
                <w:szCs w:val="18"/>
                <w:highlight w:val="none"/>
              </w:rPr>
              <w:t>SQL</w:t>
            </w:r>
            <w:r>
              <w:rPr>
                <w:rFonts w:hint="eastAsia" w:ascii="宋体"/>
                <w:color w:val="auto"/>
                <w:sz w:val="18"/>
                <w:szCs w:val="18"/>
                <w:highlight w:val="none"/>
              </w:rPr>
              <w:t>注入，命令执行，代码执行，跨站脚本攻击，权限绕过，暴力破解，扫描工具，数据库攻击，敏感信息泄露，挖矿检测，蠕虫传播，目录遍历，文件包含等。</w:t>
            </w:r>
          </w:p>
          <w:p w14:paraId="31920B12">
            <w:pPr>
              <w:rPr>
                <w:rFonts w:ascii="宋体"/>
                <w:color w:val="auto"/>
                <w:sz w:val="18"/>
                <w:szCs w:val="18"/>
                <w:highlight w:val="none"/>
              </w:rPr>
            </w:pPr>
            <w:r>
              <w:rPr>
                <w:rFonts w:ascii="宋体"/>
                <w:color w:val="auto"/>
                <w:sz w:val="18"/>
                <w:szCs w:val="18"/>
                <w:highlight w:val="none"/>
              </w:rPr>
              <w:t>12.</w:t>
            </w:r>
            <w:r>
              <w:rPr>
                <w:rFonts w:ascii="宋体"/>
                <w:color w:val="auto"/>
                <w:sz w:val="18"/>
                <w:szCs w:val="18"/>
                <w:highlight w:val="none"/>
              </w:rPr>
              <w:tab/>
            </w:r>
            <w:r>
              <w:rPr>
                <w:rFonts w:hint="eastAsia" w:ascii="宋体"/>
                <w:color w:val="auto"/>
                <w:sz w:val="18"/>
                <w:szCs w:val="18"/>
                <w:highlight w:val="none"/>
              </w:rPr>
              <w:t>支持基于工具特征的</w:t>
            </w:r>
            <w:r>
              <w:rPr>
                <w:rFonts w:ascii="宋体"/>
                <w:color w:val="auto"/>
                <w:sz w:val="18"/>
                <w:szCs w:val="18"/>
                <w:highlight w:val="none"/>
              </w:rPr>
              <w:t>WebShell</w:t>
            </w:r>
            <w:r>
              <w:rPr>
                <w:rFonts w:hint="eastAsia" w:ascii="宋体"/>
                <w:color w:val="auto"/>
                <w:sz w:val="18"/>
                <w:szCs w:val="18"/>
                <w:highlight w:val="none"/>
              </w:rPr>
              <w:t>检测，检出类型包括：中国菜刀、蚁剑、冰蝎、哥斯拉、小马生成器</w:t>
            </w:r>
            <w:r>
              <w:rPr>
                <w:rFonts w:ascii="宋体"/>
                <w:color w:val="auto"/>
                <w:sz w:val="18"/>
                <w:szCs w:val="18"/>
                <w:highlight w:val="none"/>
              </w:rPr>
              <w:t>webshell</w:t>
            </w:r>
            <w:r>
              <w:rPr>
                <w:rFonts w:hint="eastAsia" w:ascii="宋体"/>
                <w:color w:val="auto"/>
                <w:sz w:val="18"/>
                <w:szCs w:val="18"/>
                <w:highlight w:val="none"/>
              </w:rPr>
              <w:t>上传攻击检测，</w:t>
            </w:r>
            <w:r>
              <w:rPr>
                <w:rFonts w:ascii="宋体"/>
                <w:color w:val="auto"/>
                <w:sz w:val="18"/>
                <w:szCs w:val="18"/>
                <w:highlight w:val="none"/>
              </w:rPr>
              <w:t>HTTP</w:t>
            </w:r>
            <w:r>
              <w:rPr>
                <w:rFonts w:hint="eastAsia" w:ascii="宋体"/>
                <w:color w:val="auto"/>
                <w:sz w:val="18"/>
                <w:szCs w:val="18"/>
                <w:highlight w:val="none"/>
              </w:rPr>
              <w:t>代理程序等。</w:t>
            </w:r>
          </w:p>
          <w:p w14:paraId="68FB091B">
            <w:pPr>
              <w:rPr>
                <w:rFonts w:ascii="宋体"/>
                <w:color w:val="auto"/>
                <w:sz w:val="18"/>
                <w:szCs w:val="18"/>
                <w:highlight w:val="none"/>
              </w:rPr>
            </w:pPr>
            <w:r>
              <w:rPr>
                <w:rFonts w:ascii="宋体"/>
                <w:color w:val="auto"/>
                <w:sz w:val="18"/>
                <w:szCs w:val="18"/>
                <w:highlight w:val="none"/>
              </w:rPr>
              <w:t>13.</w:t>
            </w:r>
            <w:r>
              <w:rPr>
                <w:rFonts w:ascii="宋体"/>
                <w:color w:val="auto"/>
                <w:sz w:val="18"/>
                <w:szCs w:val="18"/>
                <w:highlight w:val="none"/>
              </w:rPr>
              <w:tab/>
            </w:r>
            <w:r>
              <w:rPr>
                <w:rFonts w:hint="eastAsia" w:ascii="宋体"/>
                <w:color w:val="auto"/>
                <w:sz w:val="18"/>
                <w:szCs w:val="18"/>
                <w:highlight w:val="none"/>
              </w:rPr>
              <w:t>支持网络攻击检测，检出类型包括：各种协议的账号暴力破解，</w:t>
            </w:r>
            <w:r>
              <w:rPr>
                <w:rFonts w:ascii="宋体"/>
                <w:color w:val="auto"/>
                <w:sz w:val="18"/>
                <w:szCs w:val="18"/>
                <w:highlight w:val="none"/>
              </w:rPr>
              <w:t>Mysql UDF</w:t>
            </w:r>
            <w:r>
              <w:rPr>
                <w:rFonts w:hint="eastAsia" w:ascii="宋体"/>
                <w:color w:val="auto"/>
                <w:sz w:val="18"/>
                <w:szCs w:val="18"/>
                <w:highlight w:val="none"/>
              </w:rPr>
              <w:t>提权攻击、</w:t>
            </w:r>
            <w:r>
              <w:rPr>
                <w:rFonts w:ascii="宋体"/>
                <w:color w:val="auto"/>
                <w:sz w:val="18"/>
                <w:szCs w:val="18"/>
                <w:highlight w:val="none"/>
              </w:rPr>
              <w:t>Microsoft Windows NetLogon</w:t>
            </w:r>
            <w:r>
              <w:rPr>
                <w:rFonts w:hint="eastAsia" w:ascii="宋体"/>
                <w:color w:val="auto"/>
                <w:sz w:val="18"/>
                <w:szCs w:val="18"/>
                <w:highlight w:val="none"/>
              </w:rPr>
              <w:t>权限提升漏洞攻击，向日葵、</w:t>
            </w:r>
            <w:r>
              <w:rPr>
                <w:rFonts w:ascii="宋体"/>
                <w:color w:val="auto"/>
                <w:sz w:val="18"/>
                <w:szCs w:val="18"/>
                <w:highlight w:val="none"/>
              </w:rPr>
              <w:t>TeamViewer</w:t>
            </w:r>
            <w:r>
              <w:rPr>
                <w:rFonts w:hint="eastAsia" w:ascii="宋体"/>
                <w:color w:val="auto"/>
                <w:sz w:val="18"/>
                <w:szCs w:val="18"/>
                <w:highlight w:val="none"/>
              </w:rPr>
              <w:t>，</w:t>
            </w:r>
            <w:r>
              <w:rPr>
                <w:rFonts w:ascii="宋体"/>
                <w:color w:val="auto"/>
                <w:sz w:val="18"/>
                <w:szCs w:val="18"/>
                <w:highlight w:val="none"/>
              </w:rPr>
              <w:t>psexec</w:t>
            </w:r>
            <w:r>
              <w:rPr>
                <w:rFonts w:hint="eastAsia" w:ascii="宋体"/>
                <w:color w:val="auto"/>
                <w:sz w:val="18"/>
                <w:szCs w:val="18"/>
                <w:highlight w:val="none"/>
              </w:rPr>
              <w:t>远程执行、</w:t>
            </w:r>
            <w:r>
              <w:rPr>
                <w:rFonts w:ascii="宋体"/>
                <w:color w:val="auto"/>
                <w:sz w:val="18"/>
                <w:szCs w:val="18"/>
                <w:highlight w:val="none"/>
              </w:rPr>
              <w:t>smbexec</w:t>
            </w:r>
            <w:r>
              <w:rPr>
                <w:rFonts w:hint="eastAsia" w:ascii="宋体"/>
                <w:color w:val="auto"/>
                <w:sz w:val="18"/>
                <w:szCs w:val="18"/>
                <w:highlight w:val="none"/>
              </w:rPr>
              <w:t>在目标上远程执行命令，</w:t>
            </w:r>
            <w:r>
              <w:rPr>
                <w:rFonts w:ascii="宋体"/>
                <w:color w:val="auto"/>
                <w:sz w:val="18"/>
                <w:szCs w:val="18"/>
                <w:highlight w:val="none"/>
              </w:rPr>
              <w:t>DCSync_DCShadow</w:t>
            </w:r>
            <w:r>
              <w:rPr>
                <w:rFonts w:hint="eastAsia" w:ascii="宋体"/>
                <w:color w:val="auto"/>
                <w:sz w:val="18"/>
                <w:szCs w:val="18"/>
                <w:highlight w:val="none"/>
              </w:rPr>
              <w:t>疑似攻击、域用户口令爆破行为、域内密码喷洒攻击，</w:t>
            </w:r>
            <w:r>
              <w:rPr>
                <w:rFonts w:ascii="宋体"/>
                <w:color w:val="auto"/>
                <w:sz w:val="18"/>
                <w:szCs w:val="18"/>
                <w:highlight w:val="none"/>
              </w:rPr>
              <w:t>njRat</w:t>
            </w:r>
            <w:r>
              <w:rPr>
                <w:rFonts w:hint="eastAsia" w:ascii="宋体"/>
                <w:color w:val="auto"/>
                <w:sz w:val="18"/>
                <w:szCs w:val="18"/>
                <w:highlight w:val="none"/>
              </w:rPr>
              <w:t>后门程序变种通信行为、</w:t>
            </w:r>
            <w:r>
              <w:rPr>
                <w:rFonts w:ascii="宋体"/>
                <w:color w:val="auto"/>
                <w:sz w:val="18"/>
                <w:szCs w:val="18"/>
                <w:highlight w:val="none"/>
              </w:rPr>
              <w:t>Cobaltstrike HTTPS beacon</w:t>
            </w:r>
            <w:r>
              <w:rPr>
                <w:rFonts w:hint="eastAsia" w:ascii="宋体"/>
                <w:color w:val="auto"/>
                <w:sz w:val="18"/>
                <w:szCs w:val="18"/>
                <w:highlight w:val="none"/>
              </w:rPr>
              <w:t>通信等</w:t>
            </w:r>
          </w:p>
          <w:p w14:paraId="3E5EEA24">
            <w:pPr>
              <w:rPr>
                <w:rFonts w:ascii="宋体"/>
                <w:color w:val="auto"/>
                <w:sz w:val="18"/>
                <w:szCs w:val="18"/>
                <w:highlight w:val="none"/>
              </w:rPr>
            </w:pPr>
            <w:r>
              <w:rPr>
                <w:rFonts w:ascii="宋体"/>
                <w:color w:val="auto"/>
                <w:sz w:val="18"/>
                <w:szCs w:val="18"/>
                <w:highlight w:val="none"/>
              </w:rPr>
              <w:t>14.</w:t>
            </w:r>
            <w:r>
              <w:rPr>
                <w:rFonts w:ascii="宋体"/>
                <w:color w:val="auto"/>
                <w:sz w:val="18"/>
                <w:szCs w:val="18"/>
                <w:highlight w:val="none"/>
              </w:rPr>
              <w:tab/>
            </w:r>
            <w:r>
              <w:rPr>
                <w:rFonts w:hint="eastAsia" w:ascii="宋体"/>
                <w:color w:val="auto"/>
                <w:sz w:val="18"/>
                <w:szCs w:val="18"/>
                <w:highlight w:val="none"/>
              </w:rPr>
              <w:t>支持隐秘信道检测。检测类型包括：</w:t>
            </w:r>
            <w:r>
              <w:rPr>
                <w:rFonts w:ascii="宋体"/>
                <w:color w:val="auto"/>
                <w:sz w:val="18"/>
                <w:szCs w:val="18"/>
                <w:highlight w:val="none"/>
              </w:rPr>
              <w:t>ICMP</w:t>
            </w:r>
            <w:r>
              <w:rPr>
                <w:rFonts w:hint="eastAsia" w:ascii="宋体"/>
                <w:color w:val="auto"/>
                <w:sz w:val="18"/>
                <w:szCs w:val="18"/>
                <w:highlight w:val="none"/>
              </w:rPr>
              <w:t>、</w:t>
            </w:r>
            <w:r>
              <w:rPr>
                <w:rFonts w:ascii="宋体"/>
                <w:color w:val="auto"/>
                <w:sz w:val="18"/>
                <w:szCs w:val="18"/>
                <w:highlight w:val="none"/>
              </w:rPr>
              <w:t>DNS</w:t>
            </w:r>
            <w:r>
              <w:rPr>
                <w:rFonts w:hint="eastAsia" w:ascii="宋体"/>
                <w:color w:val="auto"/>
                <w:sz w:val="18"/>
                <w:szCs w:val="18"/>
                <w:highlight w:val="none"/>
              </w:rPr>
              <w:t>协议等隐蔽隧道攻击检测，恶意软件加密通信的检测，加密</w:t>
            </w:r>
            <w:r>
              <w:rPr>
                <w:rFonts w:ascii="宋体"/>
                <w:color w:val="auto"/>
                <w:sz w:val="18"/>
                <w:szCs w:val="18"/>
                <w:highlight w:val="none"/>
              </w:rPr>
              <w:t>web</w:t>
            </w:r>
            <w:r>
              <w:rPr>
                <w:rFonts w:hint="eastAsia" w:ascii="宋体"/>
                <w:color w:val="auto"/>
                <w:sz w:val="18"/>
                <w:szCs w:val="18"/>
                <w:highlight w:val="none"/>
              </w:rPr>
              <w:t>应用的流量检测，非法应用加密通信的检测，</w:t>
            </w:r>
            <w:r>
              <w:rPr>
                <w:rFonts w:ascii="宋体"/>
                <w:color w:val="auto"/>
                <w:sz w:val="18"/>
                <w:szCs w:val="18"/>
                <w:highlight w:val="none"/>
              </w:rPr>
              <w:t>SSL</w:t>
            </w:r>
            <w:r>
              <w:rPr>
                <w:rFonts w:hint="eastAsia" w:ascii="宋体"/>
                <w:color w:val="auto"/>
                <w:sz w:val="18"/>
                <w:szCs w:val="18"/>
                <w:highlight w:val="none"/>
              </w:rPr>
              <w:t>加密协议相关的漏洞与攻击的检测，加密通道攻击行为检测，支持</w:t>
            </w:r>
            <w:r>
              <w:rPr>
                <w:rFonts w:ascii="宋体"/>
                <w:color w:val="auto"/>
                <w:sz w:val="18"/>
                <w:szCs w:val="18"/>
                <w:highlight w:val="none"/>
              </w:rPr>
              <w:t>JA3</w:t>
            </w:r>
            <w:r>
              <w:rPr>
                <w:rFonts w:hint="eastAsia" w:ascii="宋体"/>
                <w:color w:val="auto"/>
                <w:sz w:val="18"/>
                <w:szCs w:val="18"/>
                <w:highlight w:val="none"/>
              </w:rPr>
              <w:t>指纹检测。</w:t>
            </w:r>
          </w:p>
          <w:p w14:paraId="64C09000">
            <w:pPr>
              <w:rPr>
                <w:rFonts w:ascii="宋体"/>
                <w:color w:val="auto"/>
                <w:sz w:val="18"/>
                <w:szCs w:val="18"/>
                <w:highlight w:val="none"/>
              </w:rPr>
            </w:pPr>
            <w:r>
              <w:rPr>
                <w:rFonts w:ascii="宋体"/>
                <w:color w:val="auto"/>
                <w:sz w:val="18"/>
                <w:szCs w:val="18"/>
                <w:highlight w:val="none"/>
              </w:rPr>
              <w:t>15.</w:t>
            </w:r>
            <w:r>
              <w:rPr>
                <w:rFonts w:ascii="宋体"/>
                <w:color w:val="auto"/>
                <w:sz w:val="18"/>
                <w:szCs w:val="18"/>
                <w:highlight w:val="none"/>
              </w:rPr>
              <w:tab/>
            </w:r>
            <w:r>
              <w:rPr>
                <w:rFonts w:hint="eastAsia" w:ascii="宋体"/>
                <w:color w:val="auto"/>
                <w:sz w:val="18"/>
                <w:szCs w:val="18"/>
                <w:highlight w:val="none"/>
              </w:rPr>
              <w:t>支持灵活开启机器学习模型，增强检测精度，模型至少包括：</w:t>
            </w:r>
            <w:r>
              <w:rPr>
                <w:rFonts w:ascii="宋体"/>
                <w:color w:val="auto"/>
                <w:sz w:val="18"/>
                <w:szCs w:val="18"/>
                <w:highlight w:val="none"/>
              </w:rPr>
              <w:t>ICMP</w:t>
            </w:r>
            <w:r>
              <w:rPr>
                <w:rFonts w:hint="eastAsia" w:ascii="宋体"/>
                <w:color w:val="auto"/>
                <w:sz w:val="18"/>
                <w:szCs w:val="18"/>
                <w:highlight w:val="none"/>
              </w:rPr>
              <w:t>隧道检测、</w:t>
            </w:r>
            <w:r>
              <w:rPr>
                <w:rFonts w:ascii="宋体"/>
                <w:color w:val="auto"/>
                <w:sz w:val="18"/>
                <w:szCs w:val="18"/>
                <w:highlight w:val="none"/>
              </w:rPr>
              <w:t>DNSTunnel</w:t>
            </w:r>
            <w:r>
              <w:rPr>
                <w:rFonts w:hint="eastAsia" w:ascii="宋体"/>
                <w:color w:val="auto"/>
                <w:sz w:val="18"/>
                <w:szCs w:val="18"/>
                <w:highlight w:val="none"/>
              </w:rPr>
              <w:t>检测、</w:t>
            </w:r>
            <w:r>
              <w:rPr>
                <w:rFonts w:ascii="宋体"/>
                <w:color w:val="auto"/>
                <w:sz w:val="18"/>
                <w:szCs w:val="18"/>
                <w:highlight w:val="none"/>
              </w:rPr>
              <w:t>HTTP</w:t>
            </w:r>
            <w:r>
              <w:rPr>
                <w:rFonts w:hint="eastAsia" w:ascii="宋体"/>
                <w:color w:val="auto"/>
                <w:sz w:val="18"/>
                <w:szCs w:val="18"/>
                <w:highlight w:val="none"/>
              </w:rPr>
              <w:t>隧道检测、</w:t>
            </w:r>
            <w:r>
              <w:rPr>
                <w:rFonts w:ascii="宋体"/>
                <w:color w:val="auto"/>
                <w:sz w:val="18"/>
                <w:szCs w:val="18"/>
                <w:highlight w:val="none"/>
              </w:rPr>
              <w:t>CS</w:t>
            </w:r>
            <w:r>
              <w:rPr>
                <w:rFonts w:hint="eastAsia" w:ascii="宋体"/>
                <w:color w:val="auto"/>
                <w:sz w:val="18"/>
                <w:szCs w:val="18"/>
                <w:highlight w:val="none"/>
              </w:rPr>
              <w:t>流量检测、</w:t>
            </w:r>
            <w:r>
              <w:rPr>
                <w:rFonts w:ascii="宋体"/>
                <w:color w:val="auto"/>
                <w:sz w:val="18"/>
                <w:szCs w:val="18"/>
                <w:highlight w:val="none"/>
              </w:rPr>
              <w:t>MSF</w:t>
            </w:r>
            <w:r>
              <w:rPr>
                <w:rFonts w:hint="eastAsia" w:ascii="宋体"/>
                <w:color w:val="auto"/>
                <w:sz w:val="18"/>
                <w:szCs w:val="18"/>
                <w:highlight w:val="none"/>
              </w:rPr>
              <w:t>检测、挖矿流量检测、代理流量检测、暗网流量检测、弱口令检测、</w:t>
            </w:r>
            <w:r>
              <w:rPr>
                <w:rFonts w:ascii="宋体"/>
                <w:color w:val="auto"/>
                <w:sz w:val="18"/>
                <w:szCs w:val="18"/>
                <w:highlight w:val="none"/>
              </w:rPr>
              <w:t>SSH</w:t>
            </w:r>
            <w:r>
              <w:rPr>
                <w:rFonts w:hint="eastAsia" w:ascii="宋体"/>
                <w:color w:val="auto"/>
                <w:sz w:val="18"/>
                <w:szCs w:val="18"/>
                <w:highlight w:val="none"/>
              </w:rPr>
              <w:t>爆破登录成功检测。</w:t>
            </w:r>
          </w:p>
          <w:p w14:paraId="3079633E">
            <w:pPr>
              <w:rPr>
                <w:rFonts w:hint="eastAsia" w:ascii="宋体" w:hAnsi="宋体"/>
                <w:color w:val="auto"/>
                <w:sz w:val="18"/>
                <w:szCs w:val="18"/>
                <w:highlight w:val="none"/>
              </w:rPr>
            </w:pPr>
            <w:r>
              <w:rPr>
                <w:rFonts w:ascii="宋体"/>
                <w:color w:val="auto"/>
                <w:sz w:val="18"/>
                <w:szCs w:val="18"/>
                <w:highlight w:val="none"/>
              </w:rPr>
              <w:t>16.</w:t>
            </w:r>
            <w:r>
              <w:rPr>
                <w:rFonts w:ascii="宋体"/>
                <w:color w:val="auto"/>
                <w:sz w:val="18"/>
                <w:szCs w:val="18"/>
                <w:highlight w:val="none"/>
              </w:rPr>
              <w:tab/>
            </w:r>
            <w:r>
              <w:rPr>
                <w:rFonts w:hint="eastAsia" w:ascii="宋体"/>
                <w:color w:val="auto"/>
                <w:sz w:val="18"/>
                <w:szCs w:val="18"/>
                <w:highlight w:val="none"/>
              </w:rPr>
              <w:t>支持远控</w:t>
            </w:r>
            <w:r>
              <w:rPr>
                <w:rFonts w:ascii="宋体"/>
                <w:color w:val="auto"/>
                <w:sz w:val="18"/>
                <w:szCs w:val="18"/>
                <w:highlight w:val="none"/>
              </w:rPr>
              <w:t>/</w:t>
            </w:r>
            <w:r>
              <w:rPr>
                <w:rFonts w:hint="eastAsia" w:ascii="宋体"/>
                <w:color w:val="auto"/>
                <w:sz w:val="18"/>
                <w:szCs w:val="18"/>
                <w:highlight w:val="none"/>
              </w:rPr>
              <w:t>远程工具检测，工具类型包括：向日葵、</w:t>
            </w:r>
            <w:r>
              <w:rPr>
                <w:rFonts w:ascii="宋体"/>
                <w:color w:val="auto"/>
                <w:sz w:val="18"/>
                <w:szCs w:val="18"/>
                <w:highlight w:val="none"/>
              </w:rPr>
              <w:t>ToDesk</w:t>
            </w:r>
            <w:r>
              <w:rPr>
                <w:rFonts w:hint="eastAsia" w:ascii="宋体"/>
                <w:color w:val="auto"/>
                <w:sz w:val="18"/>
                <w:szCs w:val="18"/>
                <w:highlight w:val="none"/>
              </w:rPr>
              <w:t>、</w:t>
            </w:r>
            <w:r>
              <w:rPr>
                <w:rFonts w:ascii="宋体"/>
                <w:color w:val="auto"/>
                <w:sz w:val="18"/>
                <w:szCs w:val="18"/>
                <w:highlight w:val="none"/>
              </w:rPr>
              <w:t>Sorillus</w:t>
            </w:r>
            <w:r>
              <w:rPr>
                <w:rFonts w:hint="eastAsia" w:ascii="宋体"/>
                <w:color w:val="auto"/>
                <w:sz w:val="18"/>
                <w:szCs w:val="18"/>
                <w:highlight w:val="none"/>
              </w:rPr>
              <w:t>、</w:t>
            </w:r>
            <w:r>
              <w:rPr>
                <w:rFonts w:ascii="宋体"/>
                <w:color w:val="auto"/>
                <w:sz w:val="18"/>
                <w:szCs w:val="18"/>
                <w:highlight w:val="none"/>
              </w:rPr>
              <w:t>Stowaway</w:t>
            </w:r>
            <w:r>
              <w:rPr>
                <w:rFonts w:hint="eastAsia" w:ascii="宋体"/>
                <w:color w:val="auto"/>
                <w:sz w:val="18"/>
                <w:szCs w:val="18"/>
                <w:highlight w:val="none"/>
              </w:rPr>
              <w:t>、</w:t>
            </w:r>
            <w:r>
              <w:rPr>
                <w:rFonts w:ascii="宋体"/>
                <w:color w:val="auto"/>
                <w:sz w:val="18"/>
                <w:szCs w:val="18"/>
                <w:highlight w:val="none"/>
              </w:rPr>
              <w:t>CcRemote</w:t>
            </w:r>
            <w:r>
              <w:rPr>
                <w:rFonts w:hint="eastAsia" w:ascii="宋体"/>
                <w:color w:val="auto"/>
                <w:sz w:val="18"/>
                <w:szCs w:val="18"/>
                <w:highlight w:val="none"/>
              </w:rPr>
              <w:t>、</w:t>
            </w:r>
            <w:r>
              <w:rPr>
                <w:rFonts w:ascii="宋体"/>
                <w:color w:val="auto"/>
                <w:sz w:val="18"/>
                <w:szCs w:val="18"/>
                <w:highlight w:val="none"/>
              </w:rPr>
              <w:t>DWservice</w:t>
            </w:r>
            <w:r>
              <w:rPr>
                <w:rFonts w:hint="eastAsia" w:ascii="宋体"/>
                <w:color w:val="auto"/>
                <w:sz w:val="18"/>
                <w:szCs w:val="18"/>
                <w:highlight w:val="none"/>
              </w:rPr>
              <w:t>等</w:t>
            </w:r>
            <w:r>
              <w:rPr>
                <w:rFonts w:hint="eastAsia" w:ascii="宋体"/>
                <w:color w:val="auto"/>
                <w:sz w:val="18"/>
                <w:szCs w:val="18"/>
                <w:highlight w:val="none"/>
                <w:lang w:eastAsia="zh-CN"/>
              </w:rPr>
              <w:t>。</w:t>
            </w:r>
          </w:p>
        </w:tc>
        <w:tc>
          <w:tcPr>
            <w:tcW w:w="145" w:type="pct"/>
            <w:tcBorders>
              <w:top w:val="nil"/>
              <w:left w:val="nil"/>
              <w:bottom w:val="single" w:color="auto" w:sz="4" w:space="0"/>
              <w:right w:val="single" w:color="auto" w:sz="4" w:space="0"/>
            </w:tcBorders>
            <w:vAlign w:val="center"/>
          </w:tcPr>
          <w:p w14:paraId="10F4BA8B">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rPr>
              <w:t>17</w:t>
            </w:r>
          </w:p>
        </w:tc>
        <w:tc>
          <w:tcPr>
            <w:tcW w:w="208" w:type="pct"/>
            <w:tcBorders>
              <w:top w:val="nil"/>
              <w:left w:val="nil"/>
              <w:bottom w:val="single" w:color="auto" w:sz="4" w:space="0"/>
              <w:right w:val="single" w:color="auto" w:sz="4" w:space="0"/>
            </w:tcBorders>
            <w:vAlign w:val="center"/>
          </w:tcPr>
          <w:p w14:paraId="43C162CA">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lang w:val="en-US" w:eastAsia="zh-CN"/>
              </w:rPr>
              <w:t>台</w:t>
            </w:r>
          </w:p>
        </w:tc>
      </w:tr>
      <w:tr w14:paraId="1C93B82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17808867">
            <w:pPr>
              <w:widowControl/>
              <w:jc w:val="center"/>
              <w:rPr>
                <w:rFonts w:hint="eastAsia" w:ascii="宋体" w:hAnsi="宋体" w:cs="宋体"/>
                <w:color w:val="auto"/>
                <w:kern w:val="0"/>
                <w:sz w:val="18"/>
                <w:szCs w:val="18"/>
                <w:highlight w:val="none"/>
              </w:rPr>
            </w:pPr>
            <w:r>
              <w:rPr>
                <w:rFonts w:ascii="宋体" w:cs="宋体"/>
                <w:color w:val="auto"/>
                <w:kern w:val="0"/>
                <w:sz w:val="18"/>
                <w:szCs w:val="18"/>
                <w:highlight w:val="none"/>
              </w:rPr>
              <w:t>3</w:t>
            </w:r>
          </w:p>
        </w:tc>
        <w:tc>
          <w:tcPr>
            <w:tcW w:w="428" w:type="pct"/>
            <w:tcBorders>
              <w:top w:val="nil"/>
              <w:left w:val="nil"/>
              <w:bottom w:val="single" w:color="auto" w:sz="4" w:space="0"/>
              <w:right w:val="single" w:color="auto" w:sz="4" w:space="0"/>
            </w:tcBorders>
            <w:noWrap/>
            <w:vAlign w:val="center"/>
          </w:tcPr>
          <w:p w14:paraId="08EFACE1">
            <w:pPr>
              <w:widowControl/>
              <w:jc w:val="left"/>
              <w:rPr>
                <w:rFonts w:hint="eastAsia" w:ascii="宋体" w:hAnsi="宋体" w:cs="宋体"/>
                <w:color w:val="auto"/>
                <w:kern w:val="0"/>
                <w:sz w:val="18"/>
                <w:szCs w:val="18"/>
                <w:highlight w:val="none"/>
              </w:rPr>
            </w:pPr>
            <w:r>
              <w:rPr>
                <w:rFonts w:hint="eastAsia" w:ascii="宋体" w:cs="宋体"/>
                <w:color w:val="auto"/>
                <w:kern w:val="0"/>
                <w:sz w:val="18"/>
                <w:szCs w:val="18"/>
                <w:highlight w:val="none"/>
              </w:rPr>
              <w:t>数据安全监测探针</w:t>
            </w:r>
          </w:p>
        </w:tc>
        <w:tc>
          <w:tcPr>
            <w:tcW w:w="3798" w:type="pct"/>
            <w:gridSpan w:val="2"/>
            <w:tcBorders>
              <w:top w:val="nil"/>
              <w:left w:val="nil"/>
              <w:bottom w:val="single" w:color="auto" w:sz="4" w:space="0"/>
              <w:right w:val="single" w:color="auto" w:sz="4" w:space="0"/>
            </w:tcBorders>
            <w:noWrap/>
            <w:vAlign w:val="center"/>
          </w:tcPr>
          <w:p w14:paraId="56B200F3">
            <w:pPr>
              <w:rPr>
                <w:rFonts w:ascii="宋体"/>
                <w:color w:val="auto"/>
                <w:sz w:val="18"/>
                <w:szCs w:val="18"/>
                <w:highlight w:val="none"/>
              </w:rPr>
            </w:pPr>
            <w:r>
              <w:rPr>
                <w:rFonts w:ascii="宋体"/>
                <w:color w:val="auto"/>
                <w:sz w:val="18"/>
                <w:szCs w:val="18"/>
                <w:highlight w:val="none"/>
              </w:rPr>
              <w:t>1.</w:t>
            </w:r>
            <w:r>
              <w:rPr>
                <w:rFonts w:ascii="宋体"/>
                <w:color w:val="auto"/>
                <w:sz w:val="18"/>
                <w:szCs w:val="18"/>
                <w:highlight w:val="none"/>
              </w:rPr>
              <w:tab/>
            </w:r>
            <w:r>
              <w:rPr>
                <w:rFonts w:hint="eastAsia" w:ascii="宋体"/>
                <w:color w:val="auto"/>
                <w:sz w:val="18"/>
                <w:szCs w:val="18"/>
                <w:highlight w:val="none"/>
              </w:rPr>
              <w:t>软硬件一体化探针，提供了动态数据资产发现和数据流转风险发现的技术手段和方法，解决动态数据资产梳理不清，数据流转风险、数据窃取风险、可疑访问风险、数据跨境流转检查的可知、可视、可查等问题；</w:t>
            </w:r>
            <w:r>
              <w:rPr>
                <w:rFonts w:hint="eastAsia" w:ascii="宋体" w:cs="宋体"/>
                <w:color w:val="auto"/>
                <w:kern w:val="0"/>
                <w:sz w:val="18"/>
                <w:szCs w:val="18"/>
                <w:highlight w:val="none"/>
              </w:rPr>
              <w:t>探针同时支持数据流转风险发现、API风险检测、数据出境监测等功能，</w:t>
            </w:r>
            <w:r>
              <w:rPr>
                <w:rFonts w:hint="eastAsia" w:ascii="宋体"/>
                <w:color w:val="auto"/>
                <w:sz w:val="18"/>
                <w:szCs w:val="18"/>
                <w:highlight w:val="none"/>
              </w:rPr>
              <w:t>最大支持性能网络吞吐</w:t>
            </w:r>
            <w:r>
              <w:rPr>
                <w:rFonts w:hint="eastAsia" w:ascii="宋体"/>
                <w:color w:val="auto"/>
                <w:sz w:val="18"/>
                <w:szCs w:val="18"/>
                <w:highlight w:val="none"/>
                <w:lang w:val="en-US" w:eastAsia="zh-CN"/>
              </w:rPr>
              <w:t>≥</w:t>
            </w:r>
            <w:r>
              <w:rPr>
                <w:rFonts w:ascii="宋体"/>
                <w:color w:val="auto"/>
                <w:sz w:val="18"/>
                <w:szCs w:val="18"/>
                <w:highlight w:val="none"/>
              </w:rPr>
              <w:t>10Gbps</w:t>
            </w:r>
            <w:r>
              <w:rPr>
                <w:rFonts w:hint="eastAsia" w:ascii="宋体"/>
                <w:color w:val="auto"/>
                <w:sz w:val="18"/>
                <w:szCs w:val="18"/>
                <w:highlight w:val="none"/>
              </w:rPr>
              <w:t>，报价中包括</w:t>
            </w:r>
            <w:r>
              <w:rPr>
                <w:rFonts w:ascii="宋体"/>
                <w:color w:val="auto"/>
                <w:sz w:val="18"/>
                <w:szCs w:val="18"/>
                <w:highlight w:val="none"/>
              </w:rPr>
              <w:t>3</w:t>
            </w:r>
            <w:r>
              <w:rPr>
                <w:rFonts w:hint="eastAsia" w:ascii="宋体"/>
                <w:color w:val="auto"/>
                <w:sz w:val="18"/>
                <w:szCs w:val="18"/>
                <w:highlight w:val="none"/>
              </w:rPr>
              <w:t>年知识库升级服务，</w:t>
            </w:r>
            <w:r>
              <w:rPr>
                <w:rFonts w:ascii="宋体"/>
                <w:color w:val="auto"/>
                <w:sz w:val="18"/>
                <w:szCs w:val="18"/>
                <w:highlight w:val="none"/>
              </w:rPr>
              <w:t>3</w:t>
            </w:r>
            <w:r>
              <w:rPr>
                <w:rFonts w:hint="eastAsia" w:ascii="宋体"/>
                <w:color w:val="auto"/>
                <w:sz w:val="18"/>
                <w:szCs w:val="18"/>
                <w:highlight w:val="none"/>
              </w:rPr>
              <w:t>年硬件维修服务。</w:t>
            </w:r>
          </w:p>
          <w:p w14:paraId="47A97E14">
            <w:pPr>
              <w:rPr>
                <w:rFonts w:ascii="宋体"/>
                <w:color w:val="auto"/>
                <w:sz w:val="18"/>
                <w:szCs w:val="18"/>
                <w:highlight w:val="none"/>
              </w:rPr>
            </w:pPr>
            <w:r>
              <w:rPr>
                <w:rFonts w:ascii="宋体"/>
                <w:color w:val="auto"/>
                <w:sz w:val="18"/>
                <w:szCs w:val="18"/>
                <w:highlight w:val="none"/>
              </w:rPr>
              <w:t>2.</w:t>
            </w:r>
            <w:r>
              <w:rPr>
                <w:rFonts w:ascii="宋体"/>
                <w:color w:val="auto"/>
                <w:sz w:val="18"/>
                <w:szCs w:val="18"/>
                <w:highlight w:val="none"/>
              </w:rPr>
              <w:tab/>
            </w:r>
            <w:r>
              <w:rPr>
                <w:rFonts w:hint="eastAsia" w:ascii="宋体"/>
                <w:color w:val="auto"/>
                <w:sz w:val="18"/>
                <w:szCs w:val="18"/>
                <w:highlight w:val="none"/>
              </w:rPr>
              <w:t>基于国产化硬件平台。</w:t>
            </w:r>
            <w:r>
              <w:rPr>
                <w:rFonts w:ascii="宋体"/>
                <w:color w:val="auto"/>
                <w:sz w:val="18"/>
                <w:szCs w:val="18"/>
                <w:highlight w:val="none"/>
              </w:rPr>
              <w:t>2U</w:t>
            </w:r>
            <w:r>
              <w:rPr>
                <w:rFonts w:hint="eastAsia" w:ascii="宋体"/>
                <w:color w:val="auto"/>
                <w:sz w:val="18"/>
                <w:szCs w:val="18"/>
                <w:highlight w:val="none"/>
              </w:rPr>
              <w:t>机箱；冗余电源；硬盘</w:t>
            </w:r>
            <w:r>
              <w:rPr>
                <w:rFonts w:hint="eastAsia" w:ascii="宋体"/>
                <w:color w:val="auto"/>
                <w:sz w:val="18"/>
                <w:szCs w:val="18"/>
                <w:highlight w:val="none"/>
                <w:lang w:val="en-US" w:eastAsia="zh-CN"/>
              </w:rPr>
              <w:t>≥4T</w:t>
            </w:r>
            <w:r>
              <w:rPr>
                <w:rFonts w:hint="eastAsia" w:ascii="宋体"/>
                <w:color w:val="auto"/>
                <w:sz w:val="18"/>
                <w:szCs w:val="18"/>
                <w:highlight w:val="none"/>
              </w:rPr>
              <w:t>，配置≥</w:t>
            </w:r>
            <w:r>
              <w:rPr>
                <w:rFonts w:ascii="宋体"/>
                <w:color w:val="auto"/>
                <w:sz w:val="18"/>
                <w:szCs w:val="18"/>
                <w:highlight w:val="none"/>
              </w:rPr>
              <w:t>6</w:t>
            </w:r>
            <w:r>
              <w:rPr>
                <w:rFonts w:hint="eastAsia" w:ascii="宋体"/>
                <w:color w:val="auto"/>
                <w:sz w:val="18"/>
                <w:szCs w:val="18"/>
                <w:highlight w:val="none"/>
              </w:rPr>
              <w:t>个千兆电口，≥</w:t>
            </w:r>
            <w:r>
              <w:rPr>
                <w:rFonts w:ascii="宋体"/>
                <w:color w:val="auto"/>
                <w:sz w:val="18"/>
                <w:szCs w:val="18"/>
                <w:highlight w:val="none"/>
              </w:rPr>
              <w:t>2</w:t>
            </w:r>
            <w:r>
              <w:rPr>
                <w:rFonts w:hint="eastAsia" w:ascii="宋体"/>
                <w:color w:val="auto"/>
                <w:sz w:val="18"/>
                <w:szCs w:val="18"/>
                <w:highlight w:val="none"/>
              </w:rPr>
              <w:t>个万兆光口。</w:t>
            </w:r>
          </w:p>
          <w:p w14:paraId="2C0045B7">
            <w:pPr>
              <w:rPr>
                <w:rFonts w:ascii="宋体"/>
                <w:color w:val="auto"/>
                <w:sz w:val="18"/>
                <w:szCs w:val="18"/>
                <w:highlight w:val="none"/>
              </w:rPr>
            </w:pPr>
            <w:r>
              <w:rPr>
                <w:rFonts w:ascii="宋体"/>
                <w:color w:val="auto"/>
                <w:sz w:val="18"/>
                <w:szCs w:val="18"/>
                <w:highlight w:val="none"/>
              </w:rPr>
              <w:t>3.</w:t>
            </w:r>
            <w:r>
              <w:rPr>
                <w:rFonts w:ascii="宋体"/>
                <w:color w:val="auto"/>
                <w:sz w:val="18"/>
                <w:szCs w:val="18"/>
                <w:highlight w:val="none"/>
              </w:rPr>
              <w:tab/>
            </w:r>
            <w:r>
              <w:rPr>
                <w:rFonts w:hint="eastAsia" w:ascii="宋体"/>
                <w:color w:val="auto"/>
                <w:sz w:val="18"/>
                <w:szCs w:val="18"/>
                <w:highlight w:val="none"/>
              </w:rPr>
              <w:t>应支持空载荷过滤，支持对采集的流量的上下行载荷长度设置。</w:t>
            </w:r>
          </w:p>
          <w:p w14:paraId="266A7580">
            <w:pPr>
              <w:rPr>
                <w:rFonts w:ascii="宋体"/>
                <w:color w:val="auto"/>
                <w:sz w:val="18"/>
                <w:szCs w:val="18"/>
                <w:highlight w:val="none"/>
              </w:rPr>
            </w:pPr>
            <w:r>
              <w:rPr>
                <w:rFonts w:ascii="宋体"/>
                <w:color w:val="auto"/>
                <w:sz w:val="18"/>
                <w:szCs w:val="18"/>
                <w:highlight w:val="none"/>
              </w:rPr>
              <w:t>4.</w:t>
            </w:r>
            <w:r>
              <w:rPr>
                <w:rFonts w:ascii="宋体"/>
                <w:color w:val="auto"/>
                <w:sz w:val="18"/>
                <w:szCs w:val="18"/>
                <w:highlight w:val="none"/>
              </w:rPr>
              <w:tab/>
            </w:r>
            <w:r>
              <w:rPr>
                <w:rFonts w:hint="eastAsia" w:ascii="宋体"/>
                <w:color w:val="auto"/>
                <w:sz w:val="18"/>
                <w:szCs w:val="18"/>
                <w:highlight w:val="none"/>
              </w:rPr>
              <w:t>支持半结构化数据检测分析，包含</w:t>
            </w:r>
            <w:r>
              <w:rPr>
                <w:rFonts w:ascii="宋体"/>
                <w:color w:val="auto"/>
                <w:sz w:val="18"/>
                <w:szCs w:val="18"/>
                <w:highlight w:val="none"/>
              </w:rPr>
              <w:t>FROM</w:t>
            </w:r>
            <w:r>
              <w:rPr>
                <w:rFonts w:hint="eastAsia" w:ascii="宋体"/>
                <w:color w:val="auto"/>
                <w:sz w:val="18"/>
                <w:szCs w:val="18"/>
                <w:highlight w:val="none"/>
              </w:rPr>
              <w:t>、</w:t>
            </w:r>
            <w:r>
              <w:rPr>
                <w:rFonts w:ascii="宋体"/>
                <w:color w:val="auto"/>
                <w:sz w:val="18"/>
                <w:szCs w:val="18"/>
                <w:highlight w:val="none"/>
              </w:rPr>
              <w:t>XML</w:t>
            </w:r>
            <w:r>
              <w:rPr>
                <w:rFonts w:hint="eastAsia" w:ascii="宋体"/>
                <w:color w:val="auto"/>
                <w:sz w:val="18"/>
                <w:szCs w:val="18"/>
                <w:highlight w:val="none"/>
              </w:rPr>
              <w:t>、</w:t>
            </w:r>
            <w:r>
              <w:rPr>
                <w:rFonts w:ascii="宋体"/>
                <w:color w:val="auto"/>
                <w:sz w:val="18"/>
                <w:szCs w:val="18"/>
                <w:highlight w:val="none"/>
              </w:rPr>
              <w:t>JSON</w:t>
            </w:r>
            <w:r>
              <w:rPr>
                <w:rFonts w:hint="eastAsia" w:ascii="宋体"/>
                <w:color w:val="auto"/>
                <w:sz w:val="18"/>
                <w:szCs w:val="18"/>
                <w:highlight w:val="none"/>
              </w:rPr>
              <w:t>、</w:t>
            </w:r>
            <w:r>
              <w:rPr>
                <w:rFonts w:ascii="宋体"/>
                <w:color w:val="auto"/>
                <w:sz w:val="18"/>
                <w:szCs w:val="18"/>
                <w:highlight w:val="none"/>
              </w:rPr>
              <w:t>MIME</w:t>
            </w:r>
            <w:r>
              <w:rPr>
                <w:rFonts w:hint="eastAsia" w:ascii="宋体"/>
                <w:color w:val="auto"/>
                <w:sz w:val="18"/>
                <w:szCs w:val="18"/>
                <w:highlight w:val="none"/>
              </w:rPr>
              <w:t>等</w:t>
            </w:r>
          </w:p>
          <w:p w14:paraId="39EBF563">
            <w:pPr>
              <w:rPr>
                <w:rFonts w:ascii="宋体"/>
                <w:color w:val="auto"/>
                <w:sz w:val="18"/>
                <w:szCs w:val="18"/>
                <w:highlight w:val="none"/>
              </w:rPr>
            </w:pPr>
            <w:r>
              <w:rPr>
                <w:rFonts w:ascii="宋体"/>
                <w:color w:val="auto"/>
                <w:sz w:val="18"/>
                <w:szCs w:val="18"/>
                <w:highlight w:val="none"/>
              </w:rPr>
              <w:t>5.</w:t>
            </w:r>
            <w:r>
              <w:rPr>
                <w:rFonts w:ascii="宋体"/>
                <w:color w:val="auto"/>
                <w:sz w:val="18"/>
                <w:szCs w:val="18"/>
                <w:highlight w:val="none"/>
              </w:rPr>
              <w:tab/>
            </w:r>
            <w:r>
              <w:rPr>
                <w:rFonts w:hint="eastAsia" w:ascii="宋体"/>
                <w:color w:val="auto"/>
                <w:sz w:val="18"/>
                <w:szCs w:val="18"/>
                <w:highlight w:val="none"/>
              </w:rPr>
              <w:t>支持个人敏感信息规则，包含身份证号、军官证号、护照号、港澳通行证号、银行卡号、银行卡类型、开户行、驾驶证档案编号等，支持种类不得低于</w:t>
            </w:r>
            <w:r>
              <w:rPr>
                <w:rFonts w:ascii="宋体"/>
                <w:color w:val="auto"/>
                <w:sz w:val="18"/>
                <w:szCs w:val="18"/>
                <w:highlight w:val="none"/>
              </w:rPr>
              <w:t>28</w:t>
            </w:r>
            <w:r>
              <w:rPr>
                <w:rFonts w:hint="eastAsia" w:ascii="宋体"/>
                <w:color w:val="auto"/>
                <w:sz w:val="18"/>
                <w:szCs w:val="18"/>
                <w:highlight w:val="none"/>
              </w:rPr>
              <w:t>种</w:t>
            </w:r>
          </w:p>
          <w:p w14:paraId="0F5B7FB3">
            <w:pPr>
              <w:rPr>
                <w:rFonts w:ascii="宋体"/>
                <w:color w:val="auto"/>
                <w:sz w:val="18"/>
                <w:szCs w:val="18"/>
                <w:highlight w:val="none"/>
              </w:rPr>
            </w:pPr>
            <w:r>
              <w:rPr>
                <w:rFonts w:ascii="宋体"/>
                <w:color w:val="auto"/>
                <w:sz w:val="18"/>
                <w:szCs w:val="18"/>
                <w:highlight w:val="none"/>
              </w:rPr>
              <w:t>6.</w:t>
            </w:r>
            <w:r>
              <w:rPr>
                <w:rFonts w:ascii="宋体"/>
                <w:color w:val="auto"/>
                <w:sz w:val="18"/>
                <w:szCs w:val="18"/>
                <w:highlight w:val="none"/>
              </w:rPr>
              <w:tab/>
            </w:r>
            <w:r>
              <w:rPr>
                <w:rFonts w:hint="eastAsia" w:ascii="宋体"/>
                <w:color w:val="auto"/>
                <w:sz w:val="18"/>
                <w:szCs w:val="18"/>
                <w:highlight w:val="none"/>
              </w:rPr>
              <w:t>支持个人信息规则，包含出生日期、年龄、电话号码、电子邮件地址、职业资格证书编号、毕业证书编号、学位证书编号、</w:t>
            </w:r>
            <w:r>
              <w:rPr>
                <w:rFonts w:ascii="宋体"/>
                <w:color w:val="auto"/>
                <w:sz w:val="18"/>
                <w:szCs w:val="18"/>
                <w:highlight w:val="none"/>
              </w:rPr>
              <w:t>IMEI</w:t>
            </w:r>
            <w:r>
              <w:rPr>
                <w:rFonts w:hint="eastAsia" w:ascii="宋体"/>
                <w:color w:val="auto"/>
                <w:sz w:val="18"/>
                <w:szCs w:val="18"/>
                <w:highlight w:val="none"/>
              </w:rPr>
              <w:t>、</w:t>
            </w:r>
            <w:r>
              <w:rPr>
                <w:rFonts w:ascii="宋体"/>
                <w:color w:val="auto"/>
                <w:sz w:val="18"/>
                <w:szCs w:val="18"/>
                <w:highlight w:val="none"/>
              </w:rPr>
              <w:t>SIM</w:t>
            </w:r>
            <w:r>
              <w:rPr>
                <w:rFonts w:hint="eastAsia" w:ascii="宋体"/>
                <w:color w:val="auto"/>
                <w:sz w:val="18"/>
                <w:szCs w:val="18"/>
                <w:highlight w:val="none"/>
              </w:rPr>
              <w:t>卡号、经纬度、不动产单元号、产权号等，支持种类不得低于</w:t>
            </w:r>
            <w:r>
              <w:rPr>
                <w:rFonts w:ascii="宋体"/>
                <w:color w:val="auto"/>
                <w:sz w:val="18"/>
                <w:szCs w:val="18"/>
                <w:highlight w:val="none"/>
              </w:rPr>
              <w:t>70</w:t>
            </w:r>
            <w:r>
              <w:rPr>
                <w:rFonts w:hint="eastAsia" w:ascii="宋体"/>
                <w:color w:val="auto"/>
                <w:sz w:val="18"/>
                <w:szCs w:val="18"/>
                <w:highlight w:val="none"/>
              </w:rPr>
              <w:t>种</w:t>
            </w:r>
          </w:p>
          <w:p w14:paraId="4D952B99">
            <w:pPr>
              <w:rPr>
                <w:rFonts w:ascii="宋体"/>
                <w:color w:val="auto"/>
                <w:sz w:val="18"/>
                <w:szCs w:val="18"/>
                <w:highlight w:val="none"/>
              </w:rPr>
            </w:pPr>
            <w:r>
              <w:rPr>
                <w:rFonts w:ascii="宋体"/>
                <w:color w:val="auto"/>
                <w:sz w:val="18"/>
                <w:szCs w:val="18"/>
                <w:highlight w:val="none"/>
              </w:rPr>
              <w:t>7.</w:t>
            </w:r>
            <w:r>
              <w:rPr>
                <w:rFonts w:ascii="宋体"/>
                <w:color w:val="auto"/>
                <w:sz w:val="18"/>
                <w:szCs w:val="18"/>
                <w:highlight w:val="none"/>
              </w:rPr>
              <w:tab/>
            </w:r>
            <w:r>
              <w:rPr>
                <w:rFonts w:hint="eastAsia" w:ascii="宋体"/>
                <w:color w:val="auto"/>
                <w:sz w:val="18"/>
                <w:szCs w:val="18"/>
                <w:highlight w:val="none"/>
              </w:rPr>
              <w:t>支持重要数据规则，包含</w:t>
            </w:r>
            <w:r>
              <w:rPr>
                <w:rFonts w:ascii="宋体"/>
                <w:color w:val="auto"/>
                <w:sz w:val="18"/>
                <w:szCs w:val="18"/>
                <w:highlight w:val="none"/>
              </w:rPr>
              <w:t xml:space="preserve"> </w:t>
            </w:r>
            <w:r>
              <w:rPr>
                <w:rFonts w:hint="eastAsia" w:ascii="宋体"/>
                <w:color w:val="auto"/>
                <w:sz w:val="18"/>
                <w:szCs w:val="18"/>
                <w:highlight w:val="none"/>
              </w:rPr>
              <w:t>金融信息（不动产权证号、银行账户、出口贸易编号、汇率、业务流水号、交易币种、交易金额、收款人类型、客户类型、客户名称、客户代码、产品名称、产权人名称、银行代码、金融许可证号）、汽车信息（车架号、车牌号、发动机型号）等，支持种类不得低于</w:t>
            </w:r>
            <w:r>
              <w:rPr>
                <w:rFonts w:ascii="宋体"/>
                <w:color w:val="auto"/>
                <w:sz w:val="18"/>
                <w:szCs w:val="18"/>
                <w:highlight w:val="none"/>
              </w:rPr>
              <w:t>50</w:t>
            </w:r>
            <w:r>
              <w:rPr>
                <w:rFonts w:hint="eastAsia" w:ascii="宋体"/>
                <w:color w:val="auto"/>
                <w:sz w:val="18"/>
                <w:szCs w:val="18"/>
                <w:highlight w:val="none"/>
              </w:rPr>
              <w:t>种。</w:t>
            </w:r>
          </w:p>
          <w:p w14:paraId="5E7067EA">
            <w:pPr>
              <w:rPr>
                <w:rFonts w:hint="eastAsia" w:ascii="宋体"/>
                <w:color w:val="auto"/>
                <w:sz w:val="18"/>
                <w:szCs w:val="18"/>
                <w:highlight w:val="none"/>
              </w:rPr>
            </w:pPr>
            <w:r>
              <w:rPr>
                <w:rFonts w:ascii="宋体"/>
                <w:color w:val="auto"/>
                <w:sz w:val="18"/>
                <w:szCs w:val="18"/>
                <w:highlight w:val="none"/>
              </w:rPr>
              <w:t>8.</w:t>
            </w:r>
            <w:r>
              <w:rPr>
                <w:rFonts w:ascii="宋体"/>
                <w:color w:val="auto"/>
                <w:sz w:val="18"/>
                <w:szCs w:val="18"/>
                <w:highlight w:val="none"/>
              </w:rPr>
              <w:tab/>
            </w:r>
            <w:r>
              <w:rPr>
                <w:rFonts w:hint="eastAsia" w:ascii="宋体"/>
                <w:color w:val="auto"/>
                <w:sz w:val="18"/>
                <w:szCs w:val="18"/>
                <w:highlight w:val="none"/>
              </w:rPr>
              <w:t>支持自定义敏感数据检测规则，定义规则内容包括但不限于数据类别、敏感级别、匹配条件等字段，规则类型需支持正则和关键字两种方式。</w:t>
            </w:r>
          </w:p>
          <w:p w14:paraId="6AFE2332">
            <w:pPr>
              <w:rPr>
                <w:rFonts w:ascii="宋体"/>
                <w:color w:val="auto"/>
                <w:sz w:val="18"/>
                <w:szCs w:val="18"/>
                <w:highlight w:val="none"/>
              </w:rPr>
            </w:pPr>
            <w:r>
              <w:rPr>
                <w:rFonts w:ascii="宋体"/>
                <w:color w:val="auto"/>
                <w:sz w:val="18"/>
                <w:szCs w:val="18"/>
                <w:highlight w:val="none"/>
              </w:rPr>
              <w:t>9.</w:t>
            </w:r>
            <w:r>
              <w:rPr>
                <w:rFonts w:ascii="宋体"/>
                <w:color w:val="auto"/>
                <w:sz w:val="18"/>
                <w:szCs w:val="18"/>
                <w:highlight w:val="none"/>
              </w:rPr>
              <w:tab/>
            </w:r>
            <w:r>
              <w:rPr>
                <w:rFonts w:hint="eastAsia" w:ascii="宋体"/>
                <w:color w:val="auto"/>
                <w:sz w:val="18"/>
                <w:szCs w:val="18"/>
                <w:highlight w:val="none"/>
              </w:rPr>
              <w:t>支持在敏感数据告警日志、数据流转风险日志、数据窃取风险日志、可疑访问风险日志中体现</w:t>
            </w:r>
            <w:r>
              <w:rPr>
                <w:rFonts w:ascii="宋体"/>
                <w:color w:val="auto"/>
                <w:sz w:val="18"/>
                <w:szCs w:val="18"/>
                <w:highlight w:val="none"/>
              </w:rPr>
              <w:t>API</w:t>
            </w:r>
            <w:r>
              <w:rPr>
                <w:rFonts w:hint="eastAsia" w:ascii="宋体"/>
                <w:color w:val="auto"/>
                <w:sz w:val="18"/>
                <w:szCs w:val="18"/>
                <w:highlight w:val="none"/>
              </w:rPr>
              <w:t>、源</w:t>
            </w:r>
            <w:r>
              <w:rPr>
                <w:rFonts w:ascii="宋体"/>
                <w:color w:val="auto"/>
                <w:sz w:val="18"/>
                <w:szCs w:val="18"/>
                <w:highlight w:val="none"/>
              </w:rPr>
              <w:t>IP</w:t>
            </w:r>
            <w:r>
              <w:rPr>
                <w:rFonts w:hint="eastAsia" w:ascii="宋体"/>
                <w:color w:val="auto"/>
                <w:sz w:val="18"/>
                <w:szCs w:val="18"/>
                <w:highlight w:val="none"/>
              </w:rPr>
              <w:t>、目的</w:t>
            </w:r>
            <w:r>
              <w:rPr>
                <w:rFonts w:ascii="宋体"/>
                <w:color w:val="auto"/>
                <w:sz w:val="18"/>
                <w:szCs w:val="18"/>
                <w:highlight w:val="none"/>
              </w:rPr>
              <w:t>IP</w:t>
            </w:r>
            <w:r>
              <w:rPr>
                <w:rFonts w:hint="eastAsia" w:ascii="宋体"/>
                <w:color w:val="auto"/>
                <w:sz w:val="18"/>
                <w:szCs w:val="18"/>
                <w:highlight w:val="none"/>
              </w:rPr>
              <w:t>、源国家</w:t>
            </w:r>
            <w:r>
              <w:rPr>
                <w:rFonts w:ascii="宋体"/>
                <w:color w:val="auto"/>
                <w:sz w:val="18"/>
                <w:szCs w:val="18"/>
                <w:highlight w:val="none"/>
              </w:rPr>
              <w:t>/</w:t>
            </w:r>
            <w:r>
              <w:rPr>
                <w:rFonts w:hint="eastAsia" w:ascii="宋体"/>
                <w:color w:val="auto"/>
                <w:sz w:val="18"/>
                <w:szCs w:val="18"/>
                <w:highlight w:val="none"/>
              </w:rPr>
              <w:t>地区、目的国家</w:t>
            </w:r>
            <w:r>
              <w:rPr>
                <w:rFonts w:ascii="宋体"/>
                <w:color w:val="auto"/>
                <w:sz w:val="18"/>
                <w:szCs w:val="18"/>
                <w:highlight w:val="none"/>
              </w:rPr>
              <w:t>/</w:t>
            </w:r>
            <w:r>
              <w:rPr>
                <w:rFonts w:hint="eastAsia" w:ascii="宋体"/>
                <w:color w:val="auto"/>
                <w:sz w:val="18"/>
                <w:szCs w:val="18"/>
                <w:highlight w:val="none"/>
              </w:rPr>
              <w:t>地区、传输方向、数据类型等。</w:t>
            </w:r>
          </w:p>
          <w:p w14:paraId="409BDA6B">
            <w:pPr>
              <w:rPr>
                <w:rFonts w:ascii="宋体"/>
                <w:color w:val="auto"/>
                <w:sz w:val="18"/>
                <w:szCs w:val="18"/>
                <w:highlight w:val="none"/>
              </w:rPr>
            </w:pPr>
            <w:r>
              <w:rPr>
                <w:rFonts w:ascii="宋体"/>
                <w:color w:val="auto"/>
                <w:sz w:val="18"/>
                <w:szCs w:val="18"/>
                <w:highlight w:val="none"/>
              </w:rPr>
              <w:t>10.</w:t>
            </w:r>
            <w:r>
              <w:rPr>
                <w:rFonts w:ascii="宋体"/>
                <w:color w:val="auto"/>
                <w:sz w:val="18"/>
                <w:szCs w:val="18"/>
                <w:highlight w:val="none"/>
              </w:rPr>
              <w:tab/>
            </w:r>
            <w:r>
              <w:rPr>
                <w:rFonts w:hint="eastAsia" w:ascii="宋体"/>
                <w:color w:val="auto"/>
                <w:sz w:val="18"/>
                <w:szCs w:val="18"/>
                <w:highlight w:val="none"/>
              </w:rPr>
              <w:t>应支持以流转途径维度查看数据流转情况，展现内容包括应用名称、访问用户数、行业类型、数据标签、访问数据量、首次访问时间、最新访问时间等。</w:t>
            </w:r>
          </w:p>
          <w:p w14:paraId="3F201C94">
            <w:pPr>
              <w:rPr>
                <w:rFonts w:ascii="宋体"/>
                <w:color w:val="auto"/>
                <w:sz w:val="18"/>
                <w:szCs w:val="18"/>
                <w:highlight w:val="none"/>
              </w:rPr>
            </w:pPr>
            <w:r>
              <w:rPr>
                <w:rFonts w:ascii="宋体"/>
                <w:color w:val="auto"/>
                <w:sz w:val="18"/>
                <w:szCs w:val="18"/>
                <w:highlight w:val="none"/>
              </w:rPr>
              <w:t>11.</w:t>
            </w:r>
            <w:r>
              <w:rPr>
                <w:rFonts w:ascii="宋体"/>
                <w:color w:val="auto"/>
                <w:sz w:val="18"/>
                <w:szCs w:val="18"/>
                <w:highlight w:val="none"/>
              </w:rPr>
              <w:tab/>
            </w:r>
            <w:r>
              <w:rPr>
                <w:rFonts w:hint="eastAsia" w:ascii="宋体"/>
                <w:color w:val="auto"/>
                <w:sz w:val="18"/>
                <w:szCs w:val="18"/>
                <w:highlight w:val="none"/>
              </w:rPr>
              <w:t>应支持以受害者维度展现数据窃取风险，展现内容包括受害者、风险名称、风险等级，首次告警时间，最新告警时间等。</w:t>
            </w:r>
          </w:p>
          <w:p w14:paraId="17AD2384">
            <w:pPr>
              <w:rPr>
                <w:rFonts w:ascii="宋体"/>
                <w:color w:val="auto"/>
                <w:sz w:val="18"/>
                <w:szCs w:val="18"/>
                <w:highlight w:val="none"/>
              </w:rPr>
            </w:pPr>
            <w:r>
              <w:rPr>
                <w:rFonts w:ascii="宋体"/>
                <w:color w:val="auto"/>
                <w:sz w:val="18"/>
                <w:szCs w:val="18"/>
                <w:highlight w:val="none"/>
              </w:rPr>
              <w:t>12.</w:t>
            </w:r>
            <w:r>
              <w:rPr>
                <w:rFonts w:hint="eastAsia" w:ascii="宋体"/>
                <w:color w:val="auto"/>
                <w:sz w:val="18"/>
                <w:szCs w:val="18"/>
                <w:highlight w:val="none"/>
              </w:rPr>
              <w:t>应支持以访问者维度展现可疑访问风险，展现内容包括访问者、风险名称、风险等级等。</w:t>
            </w:r>
          </w:p>
          <w:p w14:paraId="42E3304D">
            <w:pPr>
              <w:rPr>
                <w:rFonts w:ascii="宋体"/>
                <w:color w:val="auto"/>
                <w:sz w:val="18"/>
                <w:szCs w:val="18"/>
                <w:highlight w:val="none"/>
              </w:rPr>
            </w:pPr>
            <w:r>
              <w:rPr>
                <w:rFonts w:ascii="宋体"/>
                <w:color w:val="auto"/>
                <w:sz w:val="18"/>
                <w:szCs w:val="18"/>
                <w:highlight w:val="none"/>
              </w:rPr>
              <w:t>13.</w:t>
            </w:r>
            <w:r>
              <w:rPr>
                <w:rFonts w:ascii="宋体"/>
                <w:color w:val="auto"/>
                <w:sz w:val="18"/>
                <w:szCs w:val="18"/>
                <w:highlight w:val="none"/>
              </w:rPr>
              <w:tab/>
            </w:r>
            <w:r>
              <w:rPr>
                <w:rFonts w:hint="eastAsia" w:ascii="宋体"/>
                <w:color w:val="auto"/>
                <w:sz w:val="18"/>
                <w:szCs w:val="18"/>
                <w:highlight w:val="none"/>
              </w:rPr>
              <w:t>数据外发通信模式支持但不限于</w:t>
            </w:r>
            <w:r>
              <w:rPr>
                <w:rFonts w:ascii="宋体"/>
                <w:color w:val="auto"/>
                <w:sz w:val="18"/>
                <w:szCs w:val="18"/>
                <w:highlight w:val="none"/>
              </w:rPr>
              <w:t>KAFKA</w:t>
            </w:r>
            <w:r>
              <w:rPr>
                <w:rFonts w:hint="eastAsia" w:ascii="宋体"/>
                <w:color w:val="auto"/>
                <w:sz w:val="18"/>
                <w:szCs w:val="18"/>
                <w:highlight w:val="none"/>
              </w:rPr>
              <w:t>、</w:t>
            </w:r>
            <w:r>
              <w:rPr>
                <w:rFonts w:ascii="宋体"/>
                <w:color w:val="auto"/>
                <w:sz w:val="18"/>
                <w:szCs w:val="18"/>
                <w:highlight w:val="none"/>
              </w:rPr>
              <w:t>SYSLOG</w:t>
            </w:r>
            <w:r>
              <w:rPr>
                <w:rFonts w:hint="eastAsia" w:ascii="宋体"/>
                <w:color w:val="auto"/>
                <w:sz w:val="18"/>
                <w:szCs w:val="18"/>
                <w:highlight w:val="none"/>
              </w:rPr>
              <w:t>等协议。支持灵活配置日志外发，日志类别可配置。需支持与数据安全监测平台安全对接，上传相关数据安全</w:t>
            </w:r>
            <w:r>
              <w:rPr>
                <w:rFonts w:hint="eastAsia" w:ascii="宋体"/>
                <w:color w:val="auto"/>
                <w:sz w:val="18"/>
                <w:szCs w:val="18"/>
                <w:highlight w:val="none"/>
                <w:lang w:val="en-US" w:eastAsia="zh-CN"/>
              </w:rPr>
              <w:t>监</w:t>
            </w:r>
            <w:r>
              <w:rPr>
                <w:rFonts w:hint="eastAsia" w:ascii="宋体"/>
                <w:color w:val="auto"/>
                <w:sz w:val="18"/>
                <w:szCs w:val="18"/>
                <w:highlight w:val="none"/>
              </w:rPr>
              <w:t>测数据，实现数据安全分析。</w:t>
            </w:r>
          </w:p>
          <w:p w14:paraId="74DD003A">
            <w:pPr>
              <w:rPr>
                <w:rFonts w:ascii="宋体"/>
                <w:color w:val="auto"/>
                <w:sz w:val="18"/>
                <w:szCs w:val="18"/>
                <w:highlight w:val="none"/>
              </w:rPr>
            </w:pPr>
            <w:r>
              <w:rPr>
                <w:rFonts w:ascii="宋体"/>
                <w:color w:val="auto"/>
                <w:sz w:val="18"/>
                <w:szCs w:val="18"/>
                <w:highlight w:val="none"/>
              </w:rPr>
              <w:t>14.</w:t>
            </w:r>
            <w:r>
              <w:rPr>
                <w:rFonts w:ascii="宋体"/>
                <w:color w:val="auto"/>
                <w:sz w:val="18"/>
                <w:szCs w:val="18"/>
                <w:highlight w:val="none"/>
              </w:rPr>
              <w:tab/>
            </w:r>
            <w:r>
              <w:rPr>
                <w:rFonts w:hint="eastAsia" w:ascii="宋体"/>
                <w:color w:val="auto"/>
                <w:sz w:val="18"/>
                <w:szCs w:val="18"/>
                <w:highlight w:val="none"/>
              </w:rPr>
              <w:t>系统提供二次开发接口，接口形式为</w:t>
            </w:r>
            <w:r>
              <w:rPr>
                <w:rFonts w:ascii="宋体"/>
                <w:color w:val="auto"/>
                <w:sz w:val="18"/>
                <w:szCs w:val="18"/>
                <w:highlight w:val="none"/>
              </w:rPr>
              <w:t>Restful API</w:t>
            </w:r>
            <w:r>
              <w:rPr>
                <w:rFonts w:hint="eastAsia" w:ascii="宋体"/>
                <w:color w:val="auto"/>
                <w:sz w:val="18"/>
                <w:szCs w:val="18"/>
                <w:highlight w:val="none"/>
              </w:rPr>
              <w:t>，提供功能配置、统计等接口。</w:t>
            </w:r>
          </w:p>
          <w:p w14:paraId="6C983A53">
            <w:pPr>
              <w:rPr>
                <w:rFonts w:ascii="宋体"/>
                <w:color w:val="auto"/>
                <w:sz w:val="18"/>
                <w:szCs w:val="18"/>
                <w:highlight w:val="none"/>
              </w:rPr>
            </w:pPr>
            <w:r>
              <w:rPr>
                <w:rFonts w:hint="eastAsia" w:ascii="宋体"/>
                <w:color w:val="auto"/>
                <w:sz w:val="18"/>
                <w:szCs w:val="18"/>
                <w:highlight w:val="none"/>
              </w:rPr>
              <w:t>15.</w:t>
            </w:r>
            <w:r>
              <w:rPr>
                <w:rFonts w:hint="eastAsia" w:ascii="宋体"/>
                <w:color w:val="auto"/>
                <w:sz w:val="18"/>
                <w:szCs w:val="18"/>
                <w:highlight w:val="none"/>
              </w:rPr>
              <w:tab/>
            </w:r>
            <w:r>
              <w:rPr>
                <w:rFonts w:hint="eastAsia" w:ascii="宋体"/>
                <w:color w:val="auto"/>
                <w:sz w:val="18"/>
                <w:szCs w:val="18"/>
                <w:highlight w:val="none"/>
              </w:rPr>
              <w:t>支持敏感数据API告警，支持在敏感数据告警日志中体现API、源IP、目的IP、源国家/地区、目的国家/地区、传输方向、数据类型等。</w:t>
            </w:r>
          </w:p>
          <w:p w14:paraId="705FD715">
            <w:pPr>
              <w:rPr>
                <w:rFonts w:ascii="宋体"/>
                <w:color w:val="auto"/>
                <w:sz w:val="18"/>
                <w:szCs w:val="18"/>
                <w:highlight w:val="none"/>
              </w:rPr>
            </w:pPr>
            <w:r>
              <w:rPr>
                <w:rFonts w:hint="eastAsia" w:ascii="宋体"/>
                <w:color w:val="auto"/>
                <w:sz w:val="18"/>
                <w:szCs w:val="18"/>
                <w:highlight w:val="none"/>
              </w:rPr>
              <w:t>16.</w:t>
            </w:r>
            <w:r>
              <w:rPr>
                <w:rFonts w:hint="eastAsia" w:ascii="宋体"/>
                <w:color w:val="auto"/>
                <w:sz w:val="18"/>
                <w:szCs w:val="18"/>
                <w:highlight w:val="none"/>
              </w:rPr>
              <w:tab/>
            </w:r>
            <w:r>
              <w:rPr>
                <w:rFonts w:hint="eastAsia" w:ascii="宋体"/>
                <w:color w:val="auto"/>
                <w:sz w:val="18"/>
                <w:szCs w:val="18"/>
                <w:highlight w:val="none"/>
              </w:rPr>
              <w:t>支持API接口数据流转风险检测，支持在数据流转风险日志中体现API、流转方向、应用名称、应用HOST、风险等级、HTTP请求头、HTTP请求体等。</w:t>
            </w:r>
          </w:p>
          <w:p w14:paraId="69EB009B">
            <w:pPr>
              <w:rPr>
                <w:rFonts w:ascii="宋体"/>
                <w:color w:val="auto"/>
                <w:sz w:val="18"/>
                <w:szCs w:val="18"/>
                <w:highlight w:val="none"/>
              </w:rPr>
            </w:pPr>
            <w:r>
              <w:rPr>
                <w:rFonts w:hint="eastAsia" w:ascii="宋体"/>
                <w:color w:val="auto"/>
                <w:sz w:val="18"/>
                <w:szCs w:val="18"/>
                <w:highlight w:val="none"/>
              </w:rPr>
              <w:t>17.</w:t>
            </w:r>
            <w:r>
              <w:rPr>
                <w:rFonts w:hint="eastAsia" w:ascii="宋体"/>
                <w:color w:val="auto"/>
                <w:sz w:val="18"/>
                <w:szCs w:val="18"/>
                <w:highlight w:val="none"/>
              </w:rPr>
              <w:tab/>
            </w:r>
            <w:r>
              <w:rPr>
                <w:rFonts w:hint="eastAsia" w:ascii="宋体"/>
                <w:color w:val="auto"/>
                <w:sz w:val="18"/>
                <w:szCs w:val="18"/>
                <w:highlight w:val="none"/>
              </w:rPr>
              <w:t>支持API接口数据窃取风险检测，支持在数据窃取风险日志中体现API、应用名称、应用HOST、攻击者、受害者、风险等级、HTTP请求头、HTTP请求体等。</w:t>
            </w:r>
          </w:p>
          <w:p w14:paraId="401003FC">
            <w:pPr>
              <w:rPr>
                <w:rFonts w:ascii="宋体"/>
                <w:color w:val="auto"/>
                <w:sz w:val="18"/>
                <w:szCs w:val="18"/>
                <w:highlight w:val="none"/>
              </w:rPr>
            </w:pPr>
            <w:r>
              <w:rPr>
                <w:rFonts w:hint="eastAsia" w:ascii="宋体"/>
                <w:color w:val="auto"/>
                <w:sz w:val="18"/>
                <w:szCs w:val="18"/>
                <w:highlight w:val="none"/>
              </w:rPr>
              <w:t>18.</w:t>
            </w:r>
            <w:r>
              <w:rPr>
                <w:rFonts w:hint="eastAsia" w:ascii="宋体"/>
                <w:color w:val="auto"/>
                <w:sz w:val="18"/>
                <w:szCs w:val="18"/>
                <w:highlight w:val="none"/>
              </w:rPr>
              <w:tab/>
            </w:r>
            <w:r>
              <w:rPr>
                <w:rFonts w:hint="eastAsia" w:ascii="宋体"/>
                <w:color w:val="auto"/>
                <w:sz w:val="18"/>
                <w:szCs w:val="18"/>
                <w:highlight w:val="none"/>
              </w:rPr>
              <w:t xml:space="preserve">支持可疑API接口访问风险检测，支持在可疑访问风险日志中体现API、应用名称、应用HOST、风险等级、HTTP请求头、HTTP请求体等。 </w:t>
            </w:r>
          </w:p>
          <w:p w14:paraId="3BC06C6C">
            <w:pPr>
              <w:rPr>
                <w:rFonts w:ascii="宋体"/>
                <w:color w:val="auto"/>
                <w:sz w:val="18"/>
                <w:szCs w:val="18"/>
                <w:highlight w:val="none"/>
              </w:rPr>
            </w:pPr>
            <w:r>
              <w:rPr>
                <w:rFonts w:hint="eastAsia" w:ascii="宋体"/>
                <w:color w:val="auto"/>
                <w:sz w:val="18"/>
                <w:szCs w:val="18"/>
                <w:highlight w:val="none"/>
              </w:rPr>
              <w:t>19.</w:t>
            </w:r>
            <w:r>
              <w:rPr>
                <w:rFonts w:hint="eastAsia" w:ascii="宋体"/>
                <w:color w:val="auto"/>
                <w:sz w:val="18"/>
                <w:szCs w:val="18"/>
                <w:highlight w:val="none"/>
              </w:rPr>
              <w:tab/>
            </w:r>
            <w:r>
              <w:rPr>
                <w:rFonts w:hint="eastAsia" w:ascii="宋体"/>
                <w:color w:val="auto"/>
                <w:sz w:val="18"/>
                <w:szCs w:val="18"/>
                <w:highlight w:val="none"/>
              </w:rPr>
              <w:t>支持个人信息检测出境记录，记录个人信息数据出境的流出IP、数据量大小、数据标签、总条数、关联流入地址数、首次访问时间、最新访问时间、操作等；支持根据出境纬度、出境地区等来进行检索查询。</w:t>
            </w:r>
          </w:p>
          <w:p w14:paraId="3A0D1C0B">
            <w:pPr>
              <w:rPr>
                <w:rFonts w:ascii="宋体"/>
                <w:color w:val="auto"/>
                <w:sz w:val="18"/>
                <w:szCs w:val="18"/>
                <w:highlight w:val="none"/>
              </w:rPr>
            </w:pPr>
            <w:r>
              <w:rPr>
                <w:rFonts w:hint="eastAsia" w:ascii="宋体"/>
                <w:color w:val="auto"/>
                <w:sz w:val="18"/>
                <w:szCs w:val="18"/>
                <w:highlight w:val="none"/>
              </w:rPr>
              <w:t>20.</w:t>
            </w:r>
            <w:r>
              <w:rPr>
                <w:rFonts w:hint="eastAsia" w:ascii="宋体"/>
                <w:color w:val="auto"/>
                <w:sz w:val="18"/>
                <w:szCs w:val="18"/>
                <w:highlight w:val="none"/>
              </w:rPr>
              <w:tab/>
            </w:r>
            <w:r>
              <w:rPr>
                <w:rFonts w:hint="eastAsia" w:ascii="宋体"/>
                <w:color w:val="auto"/>
                <w:sz w:val="18"/>
                <w:szCs w:val="18"/>
                <w:highlight w:val="none"/>
              </w:rPr>
              <w:t>支持敏感个人信息检测出境记录，记录敏感个人信息数据出境的流出IP、数据量大小、数据标签、总条数、去重后条数、关联流入地址数、首次访问时间、最新访问时间、操作等；支持根据出境地区等来进行检索查询。</w:t>
            </w:r>
          </w:p>
          <w:p w14:paraId="2BFF20A0">
            <w:pPr>
              <w:rPr>
                <w:rFonts w:ascii="宋体"/>
                <w:color w:val="auto"/>
                <w:sz w:val="18"/>
                <w:szCs w:val="18"/>
                <w:highlight w:val="none"/>
              </w:rPr>
            </w:pPr>
            <w:r>
              <w:rPr>
                <w:rFonts w:hint="eastAsia" w:ascii="宋体"/>
                <w:color w:val="auto"/>
                <w:sz w:val="18"/>
                <w:szCs w:val="18"/>
                <w:highlight w:val="none"/>
              </w:rPr>
              <w:t>21.</w:t>
            </w:r>
            <w:r>
              <w:rPr>
                <w:rFonts w:hint="eastAsia" w:ascii="宋体"/>
                <w:color w:val="auto"/>
                <w:sz w:val="18"/>
                <w:szCs w:val="18"/>
                <w:highlight w:val="none"/>
              </w:rPr>
              <w:tab/>
            </w:r>
            <w:r>
              <w:rPr>
                <w:rFonts w:hint="eastAsia" w:ascii="宋体"/>
                <w:color w:val="auto"/>
                <w:sz w:val="18"/>
                <w:szCs w:val="18"/>
                <w:highlight w:val="none"/>
              </w:rPr>
              <w:t>支持重要数据检测出境记录，记录重要数据出境的流出IP、数据量大小、数据标签、总条数、关联流入地址数、首次访问时间、最新访问时间、操作等；支持根据出境地区等来进行检索查询。</w:t>
            </w:r>
          </w:p>
          <w:p w14:paraId="0C37FF2A">
            <w:pPr>
              <w:rPr>
                <w:rFonts w:ascii="宋体"/>
                <w:color w:val="auto"/>
                <w:sz w:val="18"/>
                <w:szCs w:val="18"/>
                <w:highlight w:val="none"/>
              </w:rPr>
            </w:pPr>
            <w:r>
              <w:rPr>
                <w:rFonts w:hint="eastAsia" w:ascii="宋体"/>
                <w:color w:val="auto"/>
                <w:sz w:val="18"/>
                <w:szCs w:val="18"/>
                <w:highlight w:val="none"/>
              </w:rPr>
              <w:t>22.</w:t>
            </w:r>
            <w:r>
              <w:rPr>
                <w:rFonts w:hint="eastAsia" w:ascii="宋体"/>
                <w:color w:val="auto"/>
                <w:sz w:val="18"/>
                <w:szCs w:val="18"/>
                <w:highlight w:val="none"/>
              </w:rPr>
              <w:tab/>
            </w:r>
            <w:r>
              <w:rPr>
                <w:rFonts w:hint="eastAsia" w:ascii="宋体"/>
                <w:color w:val="auto"/>
                <w:sz w:val="18"/>
                <w:szCs w:val="18"/>
                <w:highlight w:val="none"/>
              </w:rPr>
              <w:t>支持未分级分类数据检测出境记录，记录未分级分类数据出境的流出IP、数据量大小、数据标签、总条数、关联流入地址数、首次访问时间、最新访问时间、操作等；支持根据出境地区等来进行检索查询。</w:t>
            </w:r>
          </w:p>
          <w:p w14:paraId="41B624F3">
            <w:pPr>
              <w:rPr>
                <w:rFonts w:ascii="宋体"/>
                <w:color w:val="auto"/>
                <w:sz w:val="18"/>
                <w:szCs w:val="18"/>
                <w:highlight w:val="none"/>
              </w:rPr>
            </w:pPr>
            <w:r>
              <w:rPr>
                <w:rFonts w:hint="eastAsia" w:ascii="宋体"/>
                <w:color w:val="auto"/>
                <w:sz w:val="18"/>
                <w:szCs w:val="18"/>
                <w:highlight w:val="none"/>
              </w:rPr>
              <w:t>23.</w:t>
            </w:r>
            <w:r>
              <w:rPr>
                <w:rFonts w:hint="eastAsia" w:ascii="宋体"/>
                <w:color w:val="auto"/>
                <w:sz w:val="18"/>
                <w:szCs w:val="18"/>
                <w:highlight w:val="none"/>
              </w:rPr>
              <w:tab/>
            </w:r>
            <w:r>
              <w:rPr>
                <w:rFonts w:hint="eastAsia" w:ascii="宋体"/>
                <w:color w:val="auto"/>
                <w:sz w:val="18"/>
                <w:szCs w:val="18"/>
                <w:highlight w:val="none"/>
              </w:rPr>
              <w:t>个人信息出境趋势：支持通过跨境个人信息趋势图，将个人信息检测出境记录可视化，便于从数量上直观看出个人信息跨境异常。</w:t>
            </w:r>
          </w:p>
          <w:p w14:paraId="065E9309">
            <w:pPr>
              <w:rPr>
                <w:rFonts w:ascii="宋体"/>
                <w:color w:val="auto"/>
                <w:sz w:val="18"/>
                <w:szCs w:val="18"/>
                <w:highlight w:val="none"/>
              </w:rPr>
            </w:pPr>
            <w:r>
              <w:rPr>
                <w:rFonts w:hint="eastAsia" w:ascii="宋体"/>
                <w:color w:val="auto"/>
                <w:sz w:val="18"/>
                <w:szCs w:val="18"/>
                <w:highlight w:val="none"/>
              </w:rPr>
              <w:t>24.</w:t>
            </w:r>
            <w:r>
              <w:rPr>
                <w:rFonts w:hint="eastAsia" w:ascii="宋体"/>
                <w:color w:val="auto"/>
                <w:sz w:val="18"/>
                <w:szCs w:val="18"/>
                <w:highlight w:val="none"/>
              </w:rPr>
              <w:tab/>
            </w:r>
            <w:r>
              <w:rPr>
                <w:rFonts w:hint="eastAsia" w:ascii="宋体"/>
                <w:color w:val="auto"/>
                <w:sz w:val="18"/>
                <w:szCs w:val="18"/>
                <w:highlight w:val="none"/>
              </w:rPr>
              <w:t>敏感个人信息出境趋势：支持通过跨境敏感个人信息趋势图，将敏感个人信息检测出境记录可视化，便于从数量上直观看出敏感个人信息跨境异常。</w:t>
            </w:r>
          </w:p>
          <w:p w14:paraId="01E635D0">
            <w:pPr>
              <w:rPr>
                <w:rFonts w:ascii="宋体"/>
                <w:color w:val="auto"/>
                <w:sz w:val="18"/>
                <w:szCs w:val="18"/>
                <w:highlight w:val="none"/>
              </w:rPr>
            </w:pPr>
            <w:r>
              <w:rPr>
                <w:rFonts w:hint="eastAsia" w:ascii="宋体"/>
                <w:color w:val="auto"/>
                <w:sz w:val="18"/>
                <w:szCs w:val="18"/>
                <w:highlight w:val="none"/>
              </w:rPr>
              <w:t>25.</w:t>
            </w:r>
            <w:r>
              <w:rPr>
                <w:rFonts w:hint="eastAsia" w:ascii="宋体"/>
                <w:color w:val="auto"/>
                <w:sz w:val="18"/>
                <w:szCs w:val="18"/>
                <w:highlight w:val="none"/>
              </w:rPr>
              <w:tab/>
            </w:r>
            <w:r>
              <w:rPr>
                <w:rFonts w:hint="eastAsia" w:ascii="宋体"/>
                <w:color w:val="auto"/>
                <w:sz w:val="18"/>
                <w:szCs w:val="18"/>
                <w:highlight w:val="none"/>
              </w:rPr>
              <w:t>重要数据出境趋势：支持通过跨境重要数据趋势图，将重要数据检测出境记录可视化，便于从数量上直观看出重要数据跨境异常。</w:t>
            </w:r>
          </w:p>
          <w:p w14:paraId="6E0047C3">
            <w:pPr>
              <w:rPr>
                <w:rFonts w:ascii="宋体"/>
                <w:color w:val="auto"/>
                <w:sz w:val="18"/>
                <w:szCs w:val="18"/>
                <w:highlight w:val="none"/>
              </w:rPr>
            </w:pPr>
            <w:r>
              <w:rPr>
                <w:rFonts w:hint="eastAsia" w:ascii="宋体"/>
                <w:color w:val="auto"/>
                <w:sz w:val="18"/>
                <w:szCs w:val="18"/>
                <w:highlight w:val="none"/>
              </w:rPr>
              <w:t>26.</w:t>
            </w:r>
            <w:r>
              <w:rPr>
                <w:rFonts w:hint="eastAsia" w:ascii="宋体"/>
                <w:color w:val="auto"/>
                <w:sz w:val="18"/>
                <w:szCs w:val="18"/>
                <w:highlight w:val="none"/>
              </w:rPr>
              <w:tab/>
            </w:r>
            <w:r>
              <w:rPr>
                <w:rFonts w:hint="eastAsia" w:ascii="宋体"/>
                <w:color w:val="auto"/>
                <w:sz w:val="18"/>
                <w:szCs w:val="18"/>
                <w:highlight w:val="none"/>
              </w:rPr>
              <w:t>未分级分类数据出境趋势：支持通过未分级分类数据趋势图，将未分级分类数据检测出境记录可视化，便于从数量上直观看出未分级分类数据跨境异常。</w:t>
            </w:r>
          </w:p>
          <w:p w14:paraId="66D8688E">
            <w:pPr>
              <w:rPr>
                <w:rFonts w:hint="eastAsia" w:ascii="宋体" w:hAnsi="宋体"/>
                <w:color w:val="auto"/>
                <w:sz w:val="18"/>
                <w:szCs w:val="18"/>
                <w:highlight w:val="none"/>
              </w:rPr>
            </w:pPr>
            <w:r>
              <w:rPr>
                <w:rFonts w:hint="eastAsia" w:ascii="宋体"/>
                <w:color w:val="auto"/>
                <w:sz w:val="18"/>
                <w:szCs w:val="18"/>
                <w:highlight w:val="none"/>
              </w:rPr>
              <w:t>27.</w:t>
            </w:r>
            <w:r>
              <w:rPr>
                <w:rFonts w:hint="eastAsia" w:ascii="宋体"/>
                <w:color w:val="auto"/>
                <w:sz w:val="18"/>
                <w:szCs w:val="18"/>
                <w:highlight w:val="none"/>
              </w:rPr>
              <w:tab/>
            </w:r>
            <w:r>
              <w:rPr>
                <w:rFonts w:hint="eastAsia" w:ascii="宋体"/>
                <w:color w:val="auto"/>
                <w:sz w:val="18"/>
                <w:szCs w:val="18"/>
                <w:highlight w:val="none"/>
              </w:rPr>
              <w:t>跨境可视化展示：支持展示跨境数据总量、跨境数据流量、跨境个人信息、重要数据总量及条数展示。展示跨境个人信息占比图、境内外发及境外访问的跨境个人信息数据流出top5主机、跨境个人信息数据流入top5地区图。展示跨境敏感个人信息占比图、境内外发及境外访问的跨境敏感个人信息数据流出top5主机、跨境敏感个人信息数据流入top5地区图。展示跨境重要数据占比图、境内外发及境外访问的跨境重要数据流出top5主机、跨境重要数据流入top5地区图。</w:t>
            </w:r>
          </w:p>
        </w:tc>
        <w:tc>
          <w:tcPr>
            <w:tcW w:w="145" w:type="pct"/>
            <w:tcBorders>
              <w:top w:val="nil"/>
              <w:left w:val="nil"/>
              <w:bottom w:val="single" w:color="auto" w:sz="4" w:space="0"/>
              <w:right w:val="single" w:color="auto" w:sz="4" w:space="0"/>
            </w:tcBorders>
            <w:vAlign w:val="center"/>
          </w:tcPr>
          <w:p w14:paraId="7A3D6230">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rPr>
              <w:t>14</w:t>
            </w:r>
          </w:p>
        </w:tc>
        <w:tc>
          <w:tcPr>
            <w:tcW w:w="208" w:type="pct"/>
            <w:tcBorders>
              <w:top w:val="nil"/>
              <w:left w:val="nil"/>
              <w:bottom w:val="single" w:color="auto" w:sz="4" w:space="0"/>
              <w:right w:val="single" w:color="auto" w:sz="4" w:space="0"/>
            </w:tcBorders>
            <w:vAlign w:val="center"/>
          </w:tcPr>
          <w:p w14:paraId="03C6C4E7">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rPr>
              <w:t>台</w:t>
            </w:r>
          </w:p>
        </w:tc>
      </w:tr>
      <w:tr w14:paraId="7E55E8E8">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6444BEC">
            <w:pPr>
              <w:widowControl/>
              <w:jc w:val="center"/>
              <w:rPr>
                <w:rFonts w:hint="eastAsia" w:ascii="宋体" w:hAnsi="宋体" w:cs="宋体"/>
                <w:color w:val="auto"/>
                <w:kern w:val="0"/>
                <w:sz w:val="18"/>
                <w:szCs w:val="18"/>
                <w:highlight w:val="none"/>
              </w:rPr>
            </w:pPr>
            <w:r>
              <w:rPr>
                <w:rFonts w:ascii="宋体" w:cs="宋体"/>
                <w:color w:val="auto"/>
                <w:kern w:val="0"/>
                <w:sz w:val="18"/>
                <w:szCs w:val="18"/>
                <w:highlight w:val="none"/>
              </w:rPr>
              <w:t>4</w:t>
            </w:r>
          </w:p>
        </w:tc>
        <w:tc>
          <w:tcPr>
            <w:tcW w:w="428" w:type="pct"/>
            <w:tcBorders>
              <w:top w:val="nil"/>
              <w:left w:val="nil"/>
              <w:bottom w:val="single" w:color="auto" w:sz="4" w:space="0"/>
              <w:right w:val="single" w:color="auto" w:sz="4" w:space="0"/>
            </w:tcBorders>
            <w:noWrap/>
            <w:vAlign w:val="center"/>
          </w:tcPr>
          <w:p w14:paraId="55A43AB6">
            <w:pPr>
              <w:widowControl/>
              <w:jc w:val="left"/>
              <w:rPr>
                <w:rFonts w:hint="eastAsia" w:ascii="宋体" w:hAnsi="宋体" w:cs="宋体"/>
                <w:color w:val="auto"/>
                <w:kern w:val="0"/>
                <w:sz w:val="18"/>
                <w:szCs w:val="18"/>
                <w:highlight w:val="none"/>
              </w:rPr>
            </w:pPr>
            <w:r>
              <w:rPr>
                <w:rFonts w:hint="eastAsia" w:ascii="宋体" w:cs="宋体"/>
                <w:color w:val="auto"/>
                <w:kern w:val="0"/>
                <w:sz w:val="18"/>
                <w:szCs w:val="18"/>
                <w:highlight w:val="none"/>
              </w:rPr>
              <w:t>数据安全监测探针（软件）</w:t>
            </w:r>
          </w:p>
        </w:tc>
        <w:tc>
          <w:tcPr>
            <w:tcW w:w="3798" w:type="pct"/>
            <w:gridSpan w:val="2"/>
            <w:tcBorders>
              <w:top w:val="nil"/>
              <w:left w:val="nil"/>
              <w:bottom w:val="single" w:color="auto" w:sz="4" w:space="0"/>
              <w:right w:val="single" w:color="auto" w:sz="4" w:space="0"/>
            </w:tcBorders>
            <w:noWrap/>
            <w:vAlign w:val="center"/>
          </w:tcPr>
          <w:p w14:paraId="571FE523">
            <w:pPr>
              <w:rPr>
                <w:rFonts w:ascii="宋体"/>
                <w:color w:val="auto"/>
                <w:sz w:val="18"/>
                <w:szCs w:val="18"/>
                <w:highlight w:val="none"/>
              </w:rPr>
            </w:pPr>
            <w:r>
              <w:rPr>
                <w:rFonts w:ascii="宋体"/>
                <w:color w:val="auto"/>
                <w:sz w:val="18"/>
                <w:szCs w:val="18"/>
                <w:highlight w:val="none"/>
              </w:rPr>
              <w:t>1.</w:t>
            </w:r>
            <w:r>
              <w:rPr>
                <w:rFonts w:ascii="宋体"/>
                <w:color w:val="auto"/>
                <w:sz w:val="18"/>
                <w:szCs w:val="18"/>
                <w:highlight w:val="none"/>
              </w:rPr>
              <w:tab/>
            </w:r>
            <w:r>
              <w:rPr>
                <w:rFonts w:hint="eastAsia" w:ascii="宋体"/>
                <w:color w:val="auto"/>
                <w:sz w:val="18"/>
                <w:szCs w:val="18"/>
                <w:highlight w:val="none"/>
              </w:rPr>
              <w:t>软件化部署。提供了动态数据资产发现和数据流转风险发现的技术手段和方法，解决动态数据资产梳理不清，数据流转风险、数据窃取风险、可疑访问风险、数据跨境流转检查的可知、可视、可查等问题</w:t>
            </w:r>
            <w:r>
              <w:rPr>
                <w:rFonts w:ascii="宋体"/>
                <w:color w:val="auto"/>
                <w:sz w:val="18"/>
                <w:szCs w:val="18"/>
                <w:highlight w:val="none"/>
              </w:rPr>
              <w:t xml:space="preserve"> </w:t>
            </w:r>
            <w:r>
              <w:rPr>
                <w:rFonts w:hint="eastAsia" w:ascii="宋体"/>
                <w:color w:val="auto"/>
                <w:sz w:val="18"/>
                <w:szCs w:val="18"/>
                <w:highlight w:val="none"/>
              </w:rPr>
              <w:t>；探针同时支持数据流转风险发现、API风险检测、数据出境监测等功能;最大支持性能网络吞吐</w:t>
            </w:r>
            <w:r>
              <w:rPr>
                <w:rFonts w:hint="eastAsia" w:ascii="宋体"/>
                <w:color w:val="auto"/>
                <w:sz w:val="18"/>
                <w:szCs w:val="18"/>
                <w:highlight w:val="none"/>
                <w:lang w:val="en-US" w:eastAsia="zh-CN"/>
              </w:rPr>
              <w:t>≥</w:t>
            </w:r>
            <w:r>
              <w:rPr>
                <w:rFonts w:ascii="宋体"/>
                <w:color w:val="auto"/>
                <w:sz w:val="18"/>
                <w:szCs w:val="18"/>
                <w:highlight w:val="none"/>
              </w:rPr>
              <w:t>10Gbps</w:t>
            </w:r>
            <w:r>
              <w:rPr>
                <w:rFonts w:hint="eastAsia" w:ascii="宋体"/>
                <w:color w:val="auto"/>
                <w:sz w:val="18"/>
                <w:szCs w:val="18"/>
                <w:highlight w:val="none"/>
                <w:lang w:eastAsia="zh-CN"/>
              </w:rPr>
              <w:t>，</w:t>
            </w:r>
            <w:r>
              <w:rPr>
                <w:rFonts w:hint="eastAsia" w:ascii="宋体"/>
                <w:color w:val="auto"/>
                <w:sz w:val="18"/>
                <w:szCs w:val="18"/>
                <w:highlight w:val="none"/>
              </w:rPr>
              <w:t>包括</w:t>
            </w:r>
            <w:r>
              <w:rPr>
                <w:rFonts w:ascii="宋体"/>
                <w:color w:val="auto"/>
                <w:sz w:val="18"/>
                <w:szCs w:val="18"/>
                <w:highlight w:val="none"/>
              </w:rPr>
              <w:t>3</w:t>
            </w:r>
            <w:r>
              <w:rPr>
                <w:rFonts w:hint="eastAsia" w:ascii="宋体"/>
                <w:color w:val="auto"/>
                <w:sz w:val="18"/>
                <w:szCs w:val="18"/>
                <w:highlight w:val="none"/>
              </w:rPr>
              <w:t>年知识库升级服务。</w:t>
            </w:r>
          </w:p>
          <w:p w14:paraId="5C8ECE15">
            <w:pPr>
              <w:rPr>
                <w:rFonts w:ascii="宋体"/>
                <w:color w:val="auto"/>
                <w:sz w:val="18"/>
                <w:szCs w:val="18"/>
                <w:highlight w:val="none"/>
              </w:rPr>
            </w:pPr>
            <w:r>
              <w:rPr>
                <w:rFonts w:ascii="宋体"/>
                <w:color w:val="auto"/>
                <w:sz w:val="18"/>
                <w:szCs w:val="18"/>
                <w:highlight w:val="none"/>
              </w:rPr>
              <w:t>2.</w:t>
            </w:r>
            <w:r>
              <w:rPr>
                <w:rFonts w:ascii="宋体"/>
                <w:color w:val="auto"/>
                <w:sz w:val="18"/>
                <w:szCs w:val="18"/>
                <w:highlight w:val="none"/>
              </w:rPr>
              <w:tab/>
            </w:r>
            <w:r>
              <w:rPr>
                <w:rFonts w:hint="eastAsia" w:ascii="宋体"/>
                <w:color w:val="auto"/>
                <w:sz w:val="18"/>
                <w:szCs w:val="18"/>
                <w:highlight w:val="none"/>
              </w:rPr>
              <w:t>应支持空载荷过滤，支持对采集的流量的上下行载荷长度设置。</w:t>
            </w:r>
          </w:p>
          <w:p w14:paraId="49AA1042">
            <w:pPr>
              <w:rPr>
                <w:rFonts w:ascii="宋体"/>
                <w:color w:val="auto"/>
                <w:sz w:val="18"/>
                <w:szCs w:val="18"/>
                <w:highlight w:val="none"/>
              </w:rPr>
            </w:pPr>
            <w:r>
              <w:rPr>
                <w:rFonts w:ascii="宋体"/>
                <w:color w:val="auto"/>
                <w:sz w:val="18"/>
                <w:szCs w:val="18"/>
                <w:highlight w:val="none"/>
              </w:rPr>
              <w:t>3.</w:t>
            </w:r>
            <w:r>
              <w:rPr>
                <w:rFonts w:ascii="宋体"/>
                <w:color w:val="auto"/>
                <w:sz w:val="18"/>
                <w:szCs w:val="18"/>
                <w:highlight w:val="none"/>
              </w:rPr>
              <w:tab/>
            </w:r>
            <w:r>
              <w:rPr>
                <w:rFonts w:hint="eastAsia" w:ascii="宋体"/>
                <w:color w:val="auto"/>
                <w:sz w:val="18"/>
                <w:szCs w:val="18"/>
                <w:highlight w:val="none"/>
              </w:rPr>
              <w:t>支持</w:t>
            </w:r>
            <w:r>
              <w:rPr>
                <w:rFonts w:ascii="宋体"/>
                <w:color w:val="auto"/>
                <w:sz w:val="18"/>
                <w:szCs w:val="18"/>
                <w:highlight w:val="none"/>
              </w:rPr>
              <w:t>JSON/XML</w:t>
            </w:r>
            <w:r>
              <w:rPr>
                <w:rFonts w:hint="eastAsia" w:ascii="宋体"/>
                <w:color w:val="auto"/>
                <w:sz w:val="18"/>
                <w:szCs w:val="18"/>
                <w:highlight w:val="none"/>
              </w:rPr>
              <w:t>内容提取及分析等，可结合用户业务数据特点进行深度内容分析，判断当前文件内容是否包含敏感信息（法律法规政策规定或者自定义配置的相关敏感数据），并产生敏感信息文件告警，为数据安全的进一步处理提供依据。</w:t>
            </w:r>
          </w:p>
          <w:p w14:paraId="415839A5">
            <w:pPr>
              <w:rPr>
                <w:rFonts w:ascii="宋体"/>
                <w:color w:val="auto"/>
                <w:sz w:val="18"/>
                <w:szCs w:val="18"/>
                <w:highlight w:val="none"/>
              </w:rPr>
            </w:pPr>
            <w:r>
              <w:rPr>
                <w:rFonts w:ascii="宋体"/>
                <w:color w:val="auto"/>
                <w:sz w:val="18"/>
                <w:szCs w:val="18"/>
                <w:highlight w:val="none"/>
              </w:rPr>
              <w:t>4.</w:t>
            </w:r>
            <w:r>
              <w:rPr>
                <w:rFonts w:ascii="宋体"/>
                <w:color w:val="auto"/>
                <w:sz w:val="18"/>
                <w:szCs w:val="18"/>
                <w:highlight w:val="none"/>
              </w:rPr>
              <w:tab/>
            </w:r>
            <w:r>
              <w:rPr>
                <w:rFonts w:hint="eastAsia" w:ascii="宋体"/>
                <w:color w:val="auto"/>
                <w:sz w:val="18"/>
                <w:szCs w:val="18"/>
                <w:highlight w:val="none"/>
              </w:rPr>
              <w:t>支持半结构化数据检测分析，包含</w:t>
            </w:r>
            <w:r>
              <w:rPr>
                <w:rFonts w:ascii="宋体"/>
                <w:color w:val="auto"/>
                <w:sz w:val="18"/>
                <w:szCs w:val="18"/>
                <w:highlight w:val="none"/>
              </w:rPr>
              <w:t>FROM</w:t>
            </w:r>
            <w:r>
              <w:rPr>
                <w:rFonts w:hint="eastAsia" w:ascii="宋体"/>
                <w:color w:val="auto"/>
                <w:sz w:val="18"/>
                <w:szCs w:val="18"/>
                <w:highlight w:val="none"/>
              </w:rPr>
              <w:t>、</w:t>
            </w:r>
            <w:r>
              <w:rPr>
                <w:rFonts w:ascii="宋体"/>
                <w:color w:val="auto"/>
                <w:sz w:val="18"/>
                <w:szCs w:val="18"/>
                <w:highlight w:val="none"/>
              </w:rPr>
              <w:t>XML</w:t>
            </w:r>
            <w:r>
              <w:rPr>
                <w:rFonts w:hint="eastAsia" w:ascii="宋体"/>
                <w:color w:val="auto"/>
                <w:sz w:val="18"/>
                <w:szCs w:val="18"/>
                <w:highlight w:val="none"/>
              </w:rPr>
              <w:t>、</w:t>
            </w:r>
            <w:r>
              <w:rPr>
                <w:rFonts w:ascii="宋体"/>
                <w:color w:val="auto"/>
                <w:sz w:val="18"/>
                <w:szCs w:val="18"/>
                <w:highlight w:val="none"/>
              </w:rPr>
              <w:t>JSON</w:t>
            </w:r>
            <w:r>
              <w:rPr>
                <w:rFonts w:hint="eastAsia" w:ascii="宋体"/>
                <w:color w:val="auto"/>
                <w:sz w:val="18"/>
                <w:szCs w:val="18"/>
                <w:highlight w:val="none"/>
              </w:rPr>
              <w:t>、</w:t>
            </w:r>
            <w:r>
              <w:rPr>
                <w:rFonts w:ascii="宋体"/>
                <w:color w:val="auto"/>
                <w:sz w:val="18"/>
                <w:szCs w:val="18"/>
                <w:highlight w:val="none"/>
              </w:rPr>
              <w:t>MIME</w:t>
            </w:r>
            <w:r>
              <w:rPr>
                <w:rFonts w:hint="eastAsia" w:ascii="宋体"/>
                <w:color w:val="auto"/>
                <w:sz w:val="18"/>
                <w:szCs w:val="18"/>
                <w:highlight w:val="none"/>
              </w:rPr>
              <w:t>等</w:t>
            </w:r>
          </w:p>
          <w:p w14:paraId="7E2E6FE5">
            <w:pPr>
              <w:rPr>
                <w:rFonts w:ascii="宋体"/>
                <w:color w:val="auto"/>
                <w:sz w:val="18"/>
                <w:szCs w:val="18"/>
                <w:highlight w:val="none"/>
              </w:rPr>
            </w:pPr>
            <w:r>
              <w:rPr>
                <w:rFonts w:ascii="宋体"/>
                <w:color w:val="auto"/>
                <w:sz w:val="18"/>
                <w:szCs w:val="18"/>
                <w:highlight w:val="none"/>
              </w:rPr>
              <w:t>5.</w:t>
            </w:r>
            <w:r>
              <w:rPr>
                <w:rFonts w:ascii="宋体"/>
                <w:color w:val="auto"/>
                <w:sz w:val="18"/>
                <w:szCs w:val="18"/>
                <w:highlight w:val="none"/>
              </w:rPr>
              <w:tab/>
            </w:r>
            <w:r>
              <w:rPr>
                <w:rFonts w:hint="eastAsia" w:ascii="宋体"/>
                <w:color w:val="auto"/>
                <w:sz w:val="18"/>
                <w:szCs w:val="18"/>
                <w:highlight w:val="none"/>
              </w:rPr>
              <w:t>支持个人敏感信息规则，包含身份证号、军官证号、护照号、港澳通行证号、银行卡号、银行卡类型、开户行、驾驶证档案编号等，支持种类不得低于</w:t>
            </w:r>
            <w:r>
              <w:rPr>
                <w:rFonts w:ascii="宋体"/>
                <w:color w:val="auto"/>
                <w:sz w:val="18"/>
                <w:szCs w:val="18"/>
                <w:highlight w:val="none"/>
              </w:rPr>
              <w:t>28</w:t>
            </w:r>
            <w:r>
              <w:rPr>
                <w:rFonts w:hint="eastAsia" w:ascii="宋体"/>
                <w:color w:val="auto"/>
                <w:sz w:val="18"/>
                <w:szCs w:val="18"/>
                <w:highlight w:val="none"/>
              </w:rPr>
              <w:t>种</w:t>
            </w:r>
          </w:p>
          <w:p w14:paraId="169DD195">
            <w:pPr>
              <w:rPr>
                <w:rFonts w:hint="eastAsia" w:ascii="宋体" w:eastAsia="宋体"/>
                <w:color w:val="auto"/>
                <w:sz w:val="18"/>
                <w:szCs w:val="18"/>
                <w:highlight w:val="none"/>
                <w:lang w:val="en-US" w:eastAsia="zh-CN"/>
              </w:rPr>
            </w:pPr>
            <w:r>
              <w:rPr>
                <w:rFonts w:ascii="宋体"/>
                <w:color w:val="auto"/>
                <w:sz w:val="18"/>
                <w:szCs w:val="18"/>
                <w:highlight w:val="none"/>
              </w:rPr>
              <w:t>6.</w:t>
            </w:r>
            <w:r>
              <w:rPr>
                <w:rFonts w:ascii="宋体"/>
                <w:color w:val="auto"/>
                <w:sz w:val="18"/>
                <w:szCs w:val="18"/>
                <w:highlight w:val="none"/>
              </w:rPr>
              <w:tab/>
            </w:r>
            <w:r>
              <w:rPr>
                <w:rFonts w:hint="eastAsia" w:ascii="宋体"/>
                <w:color w:val="auto"/>
                <w:sz w:val="18"/>
                <w:szCs w:val="18"/>
                <w:highlight w:val="none"/>
              </w:rPr>
              <w:t>支持个人信息规则，包含出生日期、年龄、电话号码、电子邮件地址、职业资格证书编号、毕业证书编号、学位证书编号、</w:t>
            </w:r>
            <w:r>
              <w:rPr>
                <w:rFonts w:ascii="宋体"/>
                <w:color w:val="auto"/>
                <w:sz w:val="18"/>
                <w:szCs w:val="18"/>
                <w:highlight w:val="none"/>
              </w:rPr>
              <w:t>IMEI</w:t>
            </w:r>
            <w:r>
              <w:rPr>
                <w:rFonts w:hint="eastAsia" w:ascii="宋体"/>
                <w:color w:val="auto"/>
                <w:sz w:val="18"/>
                <w:szCs w:val="18"/>
                <w:highlight w:val="none"/>
              </w:rPr>
              <w:t>、</w:t>
            </w:r>
            <w:r>
              <w:rPr>
                <w:rFonts w:ascii="宋体"/>
                <w:color w:val="auto"/>
                <w:sz w:val="18"/>
                <w:szCs w:val="18"/>
                <w:highlight w:val="none"/>
              </w:rPr>
              <w:t>SIM</w:t>
            </w:r>
            <w:r>
              <w:rPr>
                <w:rFonts w:hint="eastAsia" w:ascii="宋体"/>
                <w:color w:val="auto"/>
                <w:sz w:val="18"/>
                <w:szCs w:val="18"/>
                <w:highlight w:val="none"/>
              </w:rPr>
              <w:t>卡号、经纬度、不动产单元号、产权号等，支持种类不得低于</w:t>
            </w:r>
            <w:r>
              <w:rPr>
                <w:rFonts w:ascii="宋体"/>
                <w:color w:val="auto"/>
                <w:sz w:val="18"/>
                <w:szCs w:val="18"/>
                <w:highlight w:val="none"/>
              </w:rPr>
              <w:t>70</w:t>
            </w:r>
            <w:r>
              <w:rPr>
                <w:rFonts w:hint="eastAsia" w:ascii="宋体"/>
                <w:color w:val="auto"/>
                <w:sz w:val="18"/>
                <w:szCs w:val="18"/>
                <w:highlight w:val="none"/>
              </w:rPr>
              <w:t>种</w:t>
            </w:r>
            <w:r>
              <w:rPr>
                <w:rFonts w:hint="eastAsia" w:ascii="宋体"/>
                <w:color w:val="auto"/>
                <w:sz w:val="18"/>
                <w:szCs w:val="18"/>
                <w:highlight w:val="none"/>
                <w:lang w:eastAsia="zh-CN"/>
              </w:rPr>
              <w:t>。</w:t>
            </w:r>
          </w:p>
          <w:p w14:paraId="56EA8032">
            <w:pPr>
              <w:rPr>
                <w:rFonts w:ascii="宋体"/>
                <w:color w:val="auto"/>
                <w:sz w:val="18"/>
                <w:szCs w:val="18"/>
                <w:highlight w:val="none"/>
              </w:rPr>
            </w:pPr>
            <w:r>
              <w:rPr>
                <w:rFonts w:ascii="宋体"/>
                <w:color w:val="auto"/>
                <w:sz w:val="18"/>
                <w:szCs w:val="18"/>
                <w:highlight w:val="none"/>
              </w:rPr>
              <w:t>7.</w:t>
            </w:r>
            <w:r>
              <w:rPr>
                <w:rFonts w:ascii="宋体"/>
                <w:color w:val="auto"/>
                <w:sz w:val="18"/>
                <w:szCs w:val="18"/>
                <w:highlight w:val="none"/>
              </w:rPr>
              <w:tab/>
            </w:r>
            <w:r>
              <w:rPr>
                <w:rFonts w:hint="eastAsia" w:ascii="宋体"/>
                <w:color w:val="auto"/>
                <w:sz w:val="18"/>
                <w:szCs w:val="18"/>
                <w:highlight w:val="none"/>
              </w:rPr>
              <w:t>支持重要数据规则，包含</w:t>
            </w:r>
            <w:r>
              <w:rPr>
                <w:rFonts w:ascii="宋体"/>
                <w:color w:val="auto"/>
                <w:sz w:val="18"/>
                <w:szCs w:val="18"/>
                <w:highlight w:val="none"/>
              </w:rPr>
              <w:t xml:space="preserve"> </w:t>
            </w:r>
            <w:r>
              <w:rPr>
                <w:rFonts w:hint="eastAsia" w:ascii="宋体"/>
                <w:color w:val="auto"/>
                <w:sz w:val="18"/>
                <w:szCs w:val="18"/>
                <w:highlight w:val="none"/>
              </w:rPr>
              <w:t>金融信息（不动产权证号、银行账户、出口贸易编号、汇率、业务流水号、交易币种、交易金额、收款人类型、客户类型、客户名称、客户代码、产品名称、产权人名称、银行代码、金融许可证号）、汽车信息（车架号、车牌号、发动机型号）等，支持种类不得低于</w:t>
            </w:r>
            <w:r>
              <w:rPr>
                <w:rFonts w:ascii="宋体"/>
                <w:color w:val="auto"/>
                <w:sz w:val="18"/>
                <w:szCs w:val="18"/>
                <w:highlight w:val="none"/>
              </w:rPr>
              <w:t>50</w:t>
            </w:r>
            <w:r>
              <w:rPr>
                <w:rFonts w:hint="eastAsia" w:ascii="宋体"/>
                <w:color w:val="auto"/>
                <w:sz w:val="18"/>
                <w:szCs w:val="18"/>
                <w:highlight w:val="none"/>
              </w:rPr>
              <w:t>种。</w:t>
            </w:r>
          </w:p>
          <w:p w14:paraId="2EEC0986">
            <w:pPr>
              <w:rPr>
                <w:rFonts w:ascii="宋体"/>
                <w:color w:val="auto"/>
                <w:sz w:val="18"/>
                <w:szCs w:val="18"/>
                <w:highlight w:val="none"/>
              </w:rPr>
            </w:pPr>
            <w:r>
              <w:rPr>
                <w:rFonts w:ascii="宋体"/>
                <w:color w:val="auto"/>
                <w:sz w:val="18"/>
                <w:szCs w:val="18"/>
                <w:highlight w:val="none"/>
              </w:rPr>
              <w:t>8.</w:t>
            </w:r>
            <w:r>
              <w:rPr>
                <w:rFonts w:ascii="宋体"/>
                <w:color w:val="auto"/>
                <w:sz w:val="18"/>
                <w:szCs w:val="18"/>
                <w:highlight w:val="none"/>
              </w:rPr>
              <w:tab/>
            </w:r>
            <w:r>
              <w:rPr>
                <w:rFonts w:hint="eastAsia" w:ascii="宋体"/>
                <w:color w:val="auto"/>
                <w:sz w:val="18"/>
                <w:szCs w:val="18"/>
                <w:highlight w:val="none"/>
              </w:rPr>
              <w:t>支持自定义敏感数据检测规则，定义规则内容包括但不限于数据类别、敏感级别、匹配条件等字段，规则类型需支持正则和关键字两种方式。</w:t>
            </w:r>
          </w:p>
          <w:p w14:paraId="1A83E2D6">
            <w:pPr>
              <w:rPr>
                <w:rFonts w:ascii="宋体"/>
                <w:color w:val="auto"/>
                <w:sz w:val="18"/>
                <w:szCs w:val="18"/>
                <w:highlight w:val="none"/>
              </w:rPr>
            </w:pPr>
            <w:r>
              <w:rPr>
                <w:rFonts w:ascii="宋体"/>
                <w:color w:val="auto"/>
                <w:sz w:val="18"/>
                <w:szCs w:val="18"/>
                <w:highlight w:val="none"/>
              </w:rPr>
              <w:t>9.</w:t>
            </w:r>
            <w:r>
              <w:rPr>
                <w:rFonts w:hint="eastAsia" w:ascii="宋体"/>
                <w:color w:val="auto"/>
                <w:sz w:val="18"/>
                <w:szCs w:val="18"/>
                <w:highlight w:val="none"/>
              </w:rPr>
              <w:t>支持在敏感数据告警日志、数据流转风险日志、数据窃取风险日志、可疑访问风险日志中体现</w:t>
            </w:r>
            <w:r>
              <w:rPr>
                <w:rFonts w:ascii="宋体"/>
                <w:color w:val="auto"/>
                <w:sz w:val="18"/>
                <w:szCs w:val="18"/>
                <w:highlight w:val="none"/>
              </w:rPr>
              <w:t>API</w:t>
            </w:r>
            <w:r>
              <w:rPr>
                <w:rFonts w:hint="eastAsia" w:ascii="宋体"/>
                <w:color w:val="auto"/>
                <w:sz w:val="18"/>
                <w:szCs w:val="18"/>
                <w:highlight w:val="none"/>
              </w:rPr>
              <w:t>、源</w:t>
            </w:r>
            <w:r>
              <w:rPr>
                <w:rFonts w:ascii="宋体"/>
                <w:color w:val="auto"/>
                <w:sz w:val="18"/>
                <w:szCs w:val="18"/>
                <w:highlight w:val="none"/>
              </w:rPr>
              <w:t>IP</w:t>
            </w:r>
            <w:r>
              <w:rPr>
                <w:rFonts w:hint="eastAsia" w:ascii="宋体"/>
                <w:color w:val="auto"/>
                <w:sz w:val="18"/>
                <w:szCs w:val="18"/>
                <w:highlight w:val="none"/>
              </w:rPr>
              <w:t>、目的</w:t>
            </w:r>
            <w:r>
              <w:rPr>
                <w:rFonts w:ascii="宋体"/>
                <w:color w:val="auto"/>
                <w:sz w:val="18"/>
                <w:szCs w:val="18"/>
                <w:highlight w:val="none"/>
              </w:rPr>
              <w:t>IP</w:t>
            </w:r>
            <w:r>
              <w:rPr>
                <w:rFonts w:hint="eastAsia" w:ascii="宋体"/>
                <w:color w:val="auto"/>
                <w:sz w:val="18"/>
                <w:szCs w:val="18"/>
                <w:highlight w:val="none"/>
              </w:rPr>
              <w:t>、源国家</w:t>
            </w:r>
            <w:r>
              <w:rPr>
                <w:rFonts w:ascii="宋体"/>
                <w:color w:val="auto"/>
                <w:sz w:val="18"/>
                <w:szCs w:val="18"/>
                <w:highlight w:val="none"/>
              </w:rPr>
              <w:t>/</w:t>
            </w:r>
            <w:r>
              <w:rPr>
                <w:rFonts w:hint="eastAsia" w:ascii="宋体"/>
                <w:color w:val="auto"/>
                <w:sz w:val="18"/>
                <w:szCs w:val="18"/>
                <w:highlight w:val="none"/>
              </w:rPr>
              <w:t>地区、目的国家</w:t>
            </w:r>
            <w:r>
              <w:rPr>
                <w:rFonts w:ascii="宋体"/>
                <w:color w:val="auto"/>
                <w:sz w:val="18"/>
                <w:szCs w:val="18"/>
                <w:highlight w:val="none"/>
              </w:rPr>
              <w:t>/</w:t>
            </w:r>
            <w:r>
              <w:rPr>
                <w:rFonts w:hint="eastAsia" w:ascii="宋体"/>
                <w:color w:val="auto"/>
                <w:sz w:val="18"/>
                <w:szCs w:val="18"/>
                <w:highlight w:val="none"/>
              </w:rPr>
              <w:t>地区、传输方向、数据类型等。</w:t>
            </w:r>
          </w:p>
          <w:p w14:paraId="2FE32049">
            <w:pPr>
              <w:rPr>
                <w:rFonts w:ascii="宋体"/>
                <w:color w:val="auto"/>
                <w:sz w:val="18"/>
                <w:szCs w:val="18"/>
                <w:highlight w:val="none"/>
              </w:rPr>
            </w:pPr>
            <w:r>
              <w:rPr>
                <w:rFonts w:ascii="宋体"/>
                <w:color w:val="auto"/>
                <w:sz w:val="18"/>
                <w:szCs w:val="18"/>
                <w:highlight w:val="none"/>
              </w:rPr>
              <w:t>10.</w:t>
            </w:r>
            <w:r>
              <w:rPr>
                <w:rFonts w:ascii="宋体"/>
                <w:color w:val="auto"/>
                <w:sz w:val="18"/>
                <w:szCs w:val="18"/>
                <w:highlight w:val="none"/>
              </w:rPr>
              <w:tab/>
            </w:r>
            <w:r>
              <w:rPr>
                <w:rFonts w:hint="eastAsia" w:ascii="宋体"/>
                <w:color w:val="auto"/>
                <w:sz w:val="18"/>
                <w:szCs w:val="18"/>
                <w:highlight w:val="none"/>
              </w:rPr>
              <w:t>应支持以流转途径维度查看数据流转情况，展现内容包括应用名称、访问用户数、行业类型、数据标签、首次访问时间、最新访问时间等。</w:t>
            </w:r>
          </w:p>
          <w:p w14:paraId="0ECAAE19">
            <w:pPr>
              <w:rPr>
                <w:rFonts w:ascii="宋体"/>
                <w:color w:val="auto"/>
                <w:sz w:val="18"/>
                <w:szCs w:val="18"/>
                <w:highlight w:val="none"/>
              </w:rPr>
            </w:pPr>
            <w:r>
              <w:rPr>
                <w:rFonts w:ascii="宋体"/>
                <w:color w:val="auto"/>
                <w:sz w:val="18"/>
                <w:szCs w:val="18"/>
                <w:highlight w:val="none"/>
              </w:rPr>
              <w:t>11.</w:t>
            </w:r>
            <w:r>
              <w:rPr>
                <w:rFonts w:ascii="宋体"/>
                <w:color w:val="auto"/>
                <w:sz w:val="18"/>
                <w:szCs w:val="18"/>
                <w:highlight w:val="none"/>
              </w:rPr>
              <w:tab/>
            </w:r>
            <w:r>
              <w:rPr>
                <w:rFonts w:hint="eastAsia" w:ascii="宋体"/>
                <w:color w:val="auto"/>
                <w:sz w:val="18"/>
                <w:szCs w:val="18"/>
                <w:highlight w:val="none"/>
              </w:rPr>
              <w:t>应支持以用户维度查看数据流转情况，展现内容包括访问用户、关联应用数、数据类别、敏感等级、数据标签等。</w:t>
            </w:r>
          </w:p>
          <w:p w14:paraId="573E7B43">
            <w:pPr>
              <w:rPr>
                <w:rFonts w:ascii="宋体"/>
                <w:color w:val="auto"/>
                <w:sz w:val="18"/>
                <w:szCs w:val="18"/>
                <w:highlight w:val="none"/>
              </w:rPr>
            </w:pPr>
            <w:r>
              <w:rPr>
                <w:rFonts w:ascii="宋体"/>
                <w:color w:val="auto"/>
                <w:sz w:val="18"/>
                <w:szCs w:val="18"/>
                <w:highlight w:val="none"/>
              </w:rPr>
              <w:t>12.</w:t>
            </w:r>
            <w:r>
              <w:rPr>
                <w:rFonts w:ascii="宋体"/>
                <w:color w:val="auto"/>
                <w:sz w:val="18"/>
                <w:szCs w:val="18"/>
                <w:highlight w:val="none"/>
              </w:rPr>
              <w:tab/>
            </w:r>
            <w:r>
              <w:rPr>
                <w:rFonts w:hint="eastAsia" w:ascii="宋体"/>
                <w:color w:val="auto"/>
                <w:sz w:val="18"/>
                <w:szCs w:val="18"/>
                <w:highlight w:val="none"/>
              </w:rPr>
              <w:t>应支持以受害者维度展现数据窃取风险，展现内容包括受害者、风险名称、风险等级，首次告警时间，最新告警时间等。</w:t>
            </w:r>
          </w:p>
          <w:p w14:paraId="783E5A11">
            <w:pPr>
              <w:rPr>
                <w:rFonts w:ascii="宋体"/>
                <w:color w:val="auto"/>
                <w:sz w:val="18"/>
                <w:szCs w:val="18"/>
                <w:highlight w:val="none"/>
              </w:rPr>
            </w:pPr>
            <w:r>
              <w:rPr>
                <w:rFonts w:ascii="宋体"/>
                <w:color w:val="auto"/>
                <w:sz w:val="18"/>
                <w:szCs w:val="18"/>
                <w:highlight w:val="none"/>
              </w:rPr>
              <w:t>13.</w:t>
            </w:r>
            <w:r>
              <w:rPr>
                <w:rFonts w:ascii="宋体"/>
                <w:color w:val="auto"/>
                <w:sz w:val="18"/>
                <w:szCs w:val="18"/>
                <w:highlight w:val="none"/>
              </w:rPr>
              <w:tab/>
            </w:r>
            <w:r>
              <w:rPr>
                <w:rFonts w:hint="eastAsia" w:ascii="宋体"/>
                <w:color w:val="auto"/>
                <w:sz w:val="18"/>
                <w:szCs w:val="18"/>
                <w:highlight w:val="none"/>
              </w:rPr>
              <w:t>应支持以访问者维度展现可疑访问风险，展现内容包括访问者、风险名称、风险等级等。</w:t>
            </w:r>
          </w:p>
          <w:p w14:paraId="018EF9C1">
            <w:pPr>
              <w:rPr>
                <w:rFonts w:ascii="宋体"/>
                <w:color w:val="auto"/>
                <w:sz w:val="18"/>
                <w:szCs w:val="18"/>
                <w:highlight w:val="none"/>
              </w:rPr>
            </w:pPr>
            <w:r>
              <w:rPr>
                <w:rFonts w:ascii="宋体"/>
                <w:color w:val="auto"/>
                <w:sz w:val="18"/>
                <w:szCs w:val="18"/>
                <w:highlight w:val="none"/>
              </w:rPr>
              <w:t>14.</w:t>
            </w:r>
            <w:r>
              <w:rPr>
                <w:rFonts w:ascii="宋体"/>
                <w:color w:val="auto"/>
                <w:sz w:val="18"/>
                <w:szCs w:val="18"/>
                <w:highlight w:val="none"/>
              </w:rPr>
              <w:tab/>
            </w:r>
            <w:r>
              <w:rPr>
                <w:rFonts w:hint="eastAsia" w:ascii="宋体"/>
                <w:color w:val="auto"/>
                <w:sz w:val="18"/>
                <w:szCs w:val="18"/>
                <w:highlight w:val="none"/>
              </w:rPr>
              <w:t>数据外发通信模式支持但不限于</w:t>
            </w:r>
            <w:r>
              <w:rPr>
                <w:rFonts w:ascii="宋体"/>
                <w:color w:val="auto"/>
                <w:sz w:val="18"/>
                <w:szCs w:val="18"/>
                <w:highlight w:val="none"/>
              </w:rPr>
              <w:t>KAFKA</w:t>
            </w:r>
            <w:r>
              <w:rPr>
                <w:rFonts w:hint="eastAsia" w:ascii="宋体"/>
                <w:color w:val="auto"/>
                <w:sz w:val="18"/>
                <w:szCs w:val="18"/>
                <w:highlight w:val="none"/>
              </w:rPr>
              <w:t>、</w:t>
            </w:r>
            <w:r>
              <w:rPr>
                <w:rFonts w:ascii="宋体"/>
                <w:color w:val="auto"/>
                <w:sz w:val="18"/>
                <w:szCs w:val="18"/>
                <w:highlight w:val="none"/>
              </w:rPr>
              <w:t>SYSLOG</w:t>
            </w:r>
            <w:r>
              <w:rPr>
                <w:rFonts w:hint="eastAsia" w:ascii="宋体"/>
                <w:color w:val="auto"/>
                <w:sz w:val="18"/>
                <w:szCs w:val="18"/>
                <w:highlight w:val="none"/>
              </w:rPr>
              <w:t>等协议。支持灵活配置日志外发，日志类别可配置。需支持与数据安全监测平台安全对接，上传相关数据安全检测数据，实现数据安全分析。</w:t>
            </w:r>
          </w:p>
          <w:p w14:paraId="33379F6E">
            <w:pPr>
              <w:rPr>
                <w:rFonts w:ascii="宋体"/>
                <w:color w:val="auto"/>
                <w:sz w:val="18"/>
                <w:szCs w:val="18"/>
                <w:highlight w:val="none"/>
              </w:rPr>
            </w:pPr>
            <w:r>
              <w:rPr>
                <w:rFonts w:ascii="宋体"/>
                <w:color w:val="auto"/>
                <w:sz w:val="18"/>
                <w:szCs w:val="18"/>
                <w:highlight w:val="none"/>
              </w:rPr>
              <w:t>15.</w:t>
            </w:r>
            <w:r>
              <w:rPr>
                <w:rFonts w:ascii="宋体"/>
                <w:color w:val="auto"/>
                <w:sz w:val="18"/>
                <w:szCs w:val="18"/>
                <w:highlight w:val="none"/>
              </w:rPr>
              <w:tab/>
            </w:r>
            <w:r>
              <w:rPr>
                <w:rFonts w:hint="eastAsia" w:ascii="宋体"/>
                <w:color w:val="auto"/>
                <w:sz w:val="18"/>
                <w:szCs w:val="18"/>
                <w:highlight w:val="none"/>
              </w:rPr>
              <w:t>系统提供二次开发接口，接口形式为</w:t>
            </w:r>
            <w:r>
              <w:rPr>
                <w:rFonts w:ascii="宋体"/>
                <w:color w:val="auto"/>
                <w:sz w:val="18"/>
                <w:szCs w:val="18"/>
                <w:highlight w:val="none"/>
              </w:rPr>
              <w:t>Restful API</w:t>
            </w:r>
            <w:r>
              <w:rPr>
                <w:rFonts w:hint="eastAsia" w:ascii="宋体"/>
                <w:color w:val="auto"/>
                <w:sz w:val="18"/>
                <w:szCs w:val="18"/>
                <w:highlight w:val="none"/>
              </w:rPr>
              <w:t>，提供功能配置、统计等接口。</w:t>
            </w:r>
          </w:p>
          <w:p w14:paraId="0105DE12">
            <w:pPr>
              <w:rPr>
                <w:rFonts w:ascii="宋体"/>
                <w:color w:val="auto"/>
                <w:sz w:val="18"/>
                <w:szCs w:val="18"/>
                <w:highlight w:val="none"/>
              </w:rPr>
            </w:pPr>
            <w:r>
              <w:rPr>
                <w:rFonts w:hint="eastAsia" w:ascii="宋体"/>
                <w:color w:val="auto"/>
                <w:sz w:val="18"/>
                <w:szCs w:val="18"/>
                <w:highlight w:val="none"/>
              </w:rPr>
              <w:t>16.</w:t>
            </w:r>
            <w:r>
              <w:rPr>
                <w:rFonts w:hint="eastAsia" w:ascii="宋体"/>
                <w:color w:val="auto"/>
                <w:sz w:val="18"/>
                <w:szCs w:val="18"/>
                <w:highlight w:val="none"/>
              </w:rPr>
              <w:tab/>
            </w:r>
            <w:r>
              <w:rPr>
                <w:rFonts w:hint="eastAsia" w:ascii="宋体"/>
                <w:color w:val="auto"/>
                <w:sz w:val="18"/>
                <w:szCs w:val="18"/>
                <w:highlight w:val="none"/>
              </w:rPr>
              <w:t>支持敏感数据API告警，支持在敏感数据告警日志中体现API、源IP、目的IP、源国家/地区、目的国家/地区、传输方向、数据类型等。</w:t>
            </w:r>
          </w:p>
          <w:p w14:paraId="7F20D9C2">
            <w:pPr>
              <w:rPr>
                <w:rFonts w:ascii="宋体"/>
                <w:color w:val="auto"/>
                <w:sz w:val="18"/>
                <w:szCs w:val="18"/>
                <w:highlight w:val="none"/>
              </w:rPr>
            </w:pPr>
            <w:r>
              <w:rPr>
                <w:rFonts w:hint="eastAsia" w:ascii="宋体"/>
                <w:color w:val="auto"/>
                <w:sz w:val="18"/>
                <w:szCs w:val="18"/>
                <w:highlight w:val="none"/>
              </w:rPr>
              <w:t>17.</w:t>
            </w:r>
            <w:r>
              <w:rPr>
                <w:rFonts w:hint="eastAsia" w:ascii="宋体"/>
                <w:color w:val="auto"/>
                <w:sz w:val="18"/>
                <w:szCs w:val="18"/>
                <w:highlight w:val="none"/>
              </w:rPr>
              <w:tab/>
            </w:r>
            <w:r>
              <w:rPr>
                <w:rFonts w:hint="eastAsia" w:ascii="宋体"/>
                <w:color w:val="auto"/>
                <w:sz w:val="18"/>
                <w:szCs w:val="18"/>
                <w:highlight w:val="none"/>
              </w:rPr>
              <w:t>支持API接口数据流转风险检测，支持在数据流转风险日志中体现API、流转方向、应用名称、应用HOST、风险等级、HTTP请求头、HTTP请求体等。</w:t>
            </w:r>
          </w:p>
          <w:p w14:paraId="7B53BBE6">
            <w:pPr>
              <w:rPr>
                <w:rFonts w:ascii="宋体"/>
                <w:color w:val="auto"/>
                <w:sz w:val="18"/>
                <w:szCs w:val="18"/>
                <w:highlight w:val="none"/>
              </w:rPr>
            </w:pPr>
            <w:r>
              <w:rPr>
                <w:rFonts w:hint="eastAsia" w:ascii="宋体"/>
                <w:color w:val="auto"/>
                <w:sz w:val="18"/>
                <w:szCs w:val="18"/>
                <w:highlight w:val="none"/>
              </w:rPr>
              <w:t>18.</w:t>
            </w:r>
            <w:r>
              <w:rPr>
                <w:rFonts w:hint="eastAsia" w:ascii="宋体"/>
                <w:color w:val="auto"/>
                <w:sz w:val="18"/>
                <w:szCs w:val="18"/>
                <w:highlight w:val="none"/>
              </w:rPr>
              <w:tab/>
            </w:r>
            <w:r>
              <w:rPr>
                <w:rFonts w:hint="eastAsia" w:ascii="宋体"/>
                <w:color w:val="auto"/>
                <w:sz w:val="18"/>
                <w:szCs w:val="18"/>
                <w:highlight w:val="none"/>
              </w:rPr>
              <w:t>支持API接口数据窃取风险检测，支持在数据窃取风险日志中体现API、应用名称、应用HOST、攻击者、受害者、风险等级、HTTP请求头、HTTP请求体等。</w:t>
            </w:r>
          </w:p>
          <w:p w14:paraId="61DBC1DE">
            <w:pPr>
              <w:rPr>
                <w:rFonts w:ascii="宋体"/>
                <w:color w:val="auto"/>
                <w:sz w:val="18"/>
                <w:szCs w:val="18"/>
                <w:highlight w:val="none"/>
              </w:rPr>
            </w:pPr>
            <w:r>
              <w:rPr>
                <w:rFonts w:hint="eastAsia" w:ascii="宋体"/>
                <w:color w:val="auto"/>
                <w:sz w:val="18"/>
                <w:szCs w:val="18"/>
                <w:highlight w:val="none"/>
              </w:rPr>
              <w:t>19.</w:t>
            </w:r>
            <w:r>
              <w:rPr>
                <w:rFonts w:hint="eastAsia" w:ascii="宋体"/>
                <w:color w:val="auto"/>
                <w:sz w:val="18"/>
                <w:szCs w:val="18"/>
                <w:highlight w:val="none"/>
              </w:rPr>
              <w:tab/>
            </w:r>
            <w:r>
              <w:rPr>
                <w:rFonts w:hint="eastAsia" w:ascii="宋体"/>
                <w:color w:val="auto"/>
                <w:sz w:val="18"/>
                <w:szCs w:val="18"/>
                <w:highlight w:val="none"/>
              </w:rPr>
              <w:t xml:space="preserve">支持可疑API接口访问风险检测，支持在可疑访问风险日志中体现API、应用名称、应用HOST、风险等级、HTTP请求头、HTTP请求体等。 </w:t>
            </w:r>
          </w:p>
          <w:p w14:paraId="184127DF">
            <w:pPr>
              <w:rPr>
                <w:rFonts w:ascii="宋体"/>
                <w:color w:val="auto"/>
                <w:sz w:val="18"/>
                <w:szCs w:val="18"/>
                <w:highlight w:val="none"/>
              </w:rPr>
            </w:pPr>
            <w:r>
              <w:rPr>
                <w:rFonts w:hint="eastAsia" w:ascii="宋体"/>
                <w:color w:val="auto"/>
                <w:sz w:val="18"/>
                <w:szCs w:val="18"/>
                <w:highlight w:val="none"/>
              </w:rPr>
              <w:t>20.</w:t>
            </w:r>
            <w:r>
              <w:rPr>
                <w:rFonts w:hint="eastAsia" w:ascii="宋体"/>
                <w:color w:val="auto"/>
                <w:sz w:val="18"/>
                <w:szCs w:val="18"/>
                <w:highlight w:val="none"/>
              </w:rPr>
              <w:tab/>
            </w:r>
            <w:r>
              <w:rPr>
                <w:rFonts w:hint="eastAsia" w:ascii="宋体"/>
                <w:color w:val="auto"/>
                <w:sz w:val="18"/>
                <w:szCs w:val="18"/>
                <w:highlight w:val="none"/>
              </w:rPr>
              <w:t>支持个人信息检测出境记录，记录个人信息数据出境的流出IP、数据量大小、数据标签、总条数、关联流入地址数、首次访问时间、最新访问时间、操作等；支持根据出境地区等来进行检索查询。</w:t>
            </w:r>
          </w:p>
          <w:p w14:paraId="1F06E66F">
            <w:pPr>
              <w:rPr>
                <w:rFonts w:ascii="宋体"/>
                <w:color w:val="auto"/>
                <w:sz w:val="18"/>
                <w:szCs w:val="18"/>
                <w:highlight w:val="none"/>
              </w:rPr>
            </w:pPr>
            <w:r>
              <w:rPr>
                <w:rFonts w:hint="eastAsia" w:ascii="宋体"/>
                <w:color w:val="auto"/>
                <w:sz w:val="18"/>
                <w:szCs w:val="18"/>
                <w:highlight w:val="none"/>
              </w:rPr>
              <w:t>21.</w:t>
            </w:r>
            <w:r>
              <w:rPr>
                <w:rFonts w:hint="eastAsia" w:ascii="宋体"/>
                <w:color w:val="auto"/>
                <w:sz w:val="18"/>
                <w:szCs w:val="18"/>
                <w:highlight w:val="none"/>
              </w:rPr>
              <w:tab/>
            </w:r>
            <w:r>
              <w:rPr>
                <w:rFonts w:hint="eastAsia" w:ascii="宋体"/>
                <w:color w:val="auto"/>
                <w:sz w:val="18"/>
                <w:szCs w:val="18"/>
                <w:highlight w:val="none"/>
              </w:rPr>
              <w:t>支持敏感个人信息检测出境记录，记录敏感个人信息数据出境的流出IP、数据量大小、数据标签、总条数、关联流入地址数、首次访问时间、最新访问时间、操作等；支持根据出境地区等来进行检索查询。</w:t>
            </w:r>
          </w:p>
          <w:p w14:paraId="37549382">
            <w:pPr>
              <w:rPr>
                <w:rFonts w:ascii="宋体"/>
                <w:color w:val="auto"/>
                <w:sz w:val="18"/>
                <w:szCs w:val="18"/>
                <w:highlight w:val="none"/>
              </w:rPr>
            </w:pPr>
            <w:r>
              <w:rPr>
                <w:rFonts w:hint="eastAsia" w:ascii="宋体"/>
                <w:color w:val="auto"/>
                <w:sz w:val="18"/>
                <w:szCs w:val="18"/>
                <w:highlight w:val="none"/>
              </w:rPr>
              <w:t>22.</w:t>
            </w:r>
            <w:r>
              <w:rPr>
                <w:rFonts w:hint="eastAsia" w:ascii="宋体"/>
                <w:color w:val="auto"/>
                <w:sz w:val="18"/>
                <w:szCs w:val="18"/>
                <w:highlight w:val="none"/>
              </w:rPr>
              <w:tab/>
            </w:r>
            <w:r>
              <w:rPr>
                <w:rFonts w:hint="eastAsia" w:ascii="宋体"/>
                <w:color w:val="auto"/>
                <w:sz w:val="18"/>
                <w:szCs w:val="18"/>
                <w:highlight w:val="none"/>
              </w:rPr>
              <w:t>支持重要数据检测出境记录，记录重要数据出境的流出IP、数据量大小、数据标签、总条数、关联流入地址数、首次访问时间、最新访问时间、操作等；支持根据出境地区等来进行检索查询。</w:t>
            </w:r>
          </w:p>
          <w:p w14:paraId="6B26D69B">
            <w:pPr>
              <w:rPr>
                <w:rFonts w:ascii="宋体"/>
                <w:color w:val="auto"/>
                <w:sz w:val="18"/>
                <w:szCs w:val="18"/>
                <w:highlight w:val="none"/>
              </w:rPr>
            </w:pPr>
            <w:r>
              <w:rPr>
                <w:rFonts w:hint="eastAsia" w:ascii="宋体"/>
                <w:color w:val="auto"/>
                <w:sz w:val="18"/>
                <w:szCs w:val="18"/>
                <w:highlight w:val="none"/>
              </w:rPr>
              <w:t>23.</w:t>
            </w:r>
            <w:r>
              <w:rPr>
                <w:rFonts w:hint="eastAsia" w:ascii="宋体"/>
                <w:color w:val="auto"/>
                <w:sz w:val="18"/>
                <w:szCs w:val="18"/>
                <w:highlight w:val="none"/>
              </w:rPr>
              <w:tab/>
            </w:r>
            <w:r>
              <w:rPr>
                <w:rFonts w:hint="eastAsia" w:ascii="宋体"/>
                <w:color w:val="auto"/>
                <w:sz w:val="18"/>
                <w:szCs w:val="18"/>
                <w:highlight w:val="none"/>
              </w:rPr>
              <w:t>支持未分级分类数据检测出境记录，记录未分级分类数据出境的流出IP、数据量大小、数据标签、总条数、关联流入地址数、首次访问时间、最新访问时间、操作等；支持根据出境地区等来进行检索查询。</w:t>
            </w:r>
          </w:p>
          <w:p w14:paraId="7832A584">
            <w:pPr>
              <w:rPr>
                <w:rFonts w:ascii="宋体"/>
                <w:color w:val="auto"/>
                <w:sz w:val="18"/>
                <w:szCs w:val="18"/>
                <w:highlight w:val="none"/>
              </w:rPr>
            </w:pPr>
            <w:r>
              <w:rPr>
                <w:rFonts w:hint="eastAsia" w:ascii="宋体"/>
                <w:color w:val="auto"/>
                <w:sz w:val="18"/>
                <w:szCs w:val="18"/>
                <w:highlight w:val="none"/>
              </w:rPr>
              <w:t>24.</w:t>
            </w:r>
            <w:r>
              <w:rPr>
                <w:rFonts w:hint="eastAsia" w:ascii="宋体"/>
                <w:color w:val="auto"/>
                <w:sz w:val="18"/>
                <w:szCs w:val="18"/>
                <w:highlight w:val="none"/>
              </w:rPr>
              <w:tab/>
            </w:r>
            <w:r>
              <w:rPr>
                <w:rFonts w:hint="eastAsia" w:ascii="宋体"/>
                <w:color w:val="auto"/>
                <w:sz w:val="18"/>
                <w:szCs w:val="18"/>
                <w:highlight w:val="none"/>
              </w:rPr>
              <w:t>个人信息出境趋势：支持通过跨境个人信息趋势图，将个人信息检测出境记录可视化，便于从数量上直观看出个人信息跨境异常。</w:t>
            </w:r>
          </w:p>
          <w:p w14:paraId="697F5439">
            <w:pPr>
              <w:rPr>
                <w:rFonts w:ascii="宋体"/>
                <w:color w:val="auto"/>
                <w:sz w:val="18"/>
                <w:szCs w:val="18"/>
                <w:highlight w:val="none"/>
              </w:rPr>
            </w:pPr>
            <w:r>
              <w:rPr>
                <w:rFonts w:hint="eastAsia" w:ascii="宋体"/>
                <w:color w:val="auto"/>
                <w:sz w:val="18"/>
                <w:szCs w:val="18"/>
                <w:highlight w:val="none"/>
              </w:rPr>
              <w:t>25.</w:t>
            </w:r>
            <w:r>
              <w:rPr>
                <w:rFonts w:hint="eastAsia" w:ascii="宋体"/>
                <w:color w:val="auto"/>
                <w:sz w:val="18"/>
                <w:szCs w:val="18"/>
                <w:highlight w:val="none"/>
              </w:rPr>
              <w:tab/>
            </w:r>
            <w:r>
              <w:rPr>
                <w:rFonts w:hint="eastAsia" w:ascii="宋体"/>
                <w:color w:val="auto"/>
                <w:sz w:val="18"/>
                <w:szCs w:val="18"/>
                <w:highlight w:val="none"/>
              </w:rPr>
              <w:t>敏感个人信息出境趋势：支持通过跨境敏感个人信息趋势图，将敏感个人信息检测出境记录可视化，便于从数量上直观看出敏感个人信息跨境异常。</w:t>
            </w:r>
          </w:p>
          <w:p w14:paraId="6EF3D1FC">
            <w:pPr>
              <w:rPr>
                <w:rFonts w:ascii="宋体"/>
                <w:color w:val="auto"/>
                <w:sz w:val="18"/>
                <w:szCs w:val="18"/>
                <w:highlight w:val="none"/>
              </w:rPr>
            </w:pPr>
            <w:r>
              <w:rPr>
                <w:rFonts w:hint="eastAsia" w:ascii="宋体"/>
                <w:color w:val="auto"/>
                <w:sz w:val="18"/>
                <w:szCs w:val="18"/>
                <w:highlight w:val="none"/>
              </w:rPr>
              <w:t>26.</w:t>
            </w:r>
            <w:r>
              <w:rPr>
                <w:rFonts w:hint="eastAsia" w:ascii="宋体"/>
                <w:color w:val="auto"/>
                <w:sz w:val="18"/>
                <w:szCs w:val="18"/>
                <w:highlight w:val="none"/>
              </w:rPr>
              <w:tab/>
            </w:r>
            <w:r>
              <w:rPr>
                <w:rFonts w:hint="eastAsia" w:ascii="宋体"/>
                <w:color w:val="auto"/>
                <w:sz w:val="18"/>
                <w:szCs w:val="18"/>
                <w:highlight w:val="none"/>
              </w:rPr>
              <w:t>重要数据出境趋势：支持通过跨境重要数据趋势图，将重要数据检测出境记录可视化，便于从数量上直观看出重要数据跨境异常。</w:t>
            </w:r>
          </w:p>
          <w:p w14:paraId="0A28F9C7">
            <w:pPr>
              <w:rPr>
                <w:rFonts w:ascii="宋体"/>
                <w:color w:val="auto"/>
                <w:sz w:val="18"/>
                <w:szCs w:val="18"/>
                <w:highlight w:val="none"/>
              </w:rPr>
            </w:pPr>
            <w:r>
              <w:rPr>
                <w:rFonts w:hint="eastAsia" w:ascii="宋体"/>
                <w:color w:val="auto"/>
                <w:sz w:val="18"/>
                <w:szCs w:val="18"/>
                <w:highlight w:val="none"/>
              </w:rPr>
              <w:t>27.</w:t>
            </w:r>
            <w:r>
              <w:rPr>
                <w:rFonts w:hint="eastAsia" w:ascii="宋体"/>
                <w:color w:val="auto"/>
                <w:sz w:val="18"/>
                <w:szCs w:val="18"/>
                <w:highlight w:val="none"/>
              </w:rPr>
              <w:tab/>
            </w:r>
            <w:r>
              <w:rPr>
                <w:rFonts w:hint="eastAsia" w:ascii="宋体"/>
                <w:color w:val="auto"/>
                <w:sz w:val="18"/>
                <w:szCs w:val="18"/>
                <w:highlight w:val="none"/>
              </w:rPr>
              <w:t>未分级分类数据出境趋势：支持通过未分级分类数据趋势图，将未分级分类数据检测出境记录可视化，便于从数量上直观看出未分级分类数据跨境异常。</w:t>
            </w:r>
          </w:p>
          <w:p w14:paraId="66B919CC">
            <w:pPr>
              <w:rPr>
                <w:rFonts w:hint="eastAsia" w:ascii="宋体" w:hAnsi="宋体"/>
                <w:color w:val="auto"/>
                <w:sz w:val="18"/>
                <w:szCs w:val="18"/>
                <w:highlight w:val="none"/>
              </w:rPr>
            </w:pPr>
            <w:r>
              <w:rPr>
                <w:rFonts w:hint="eastAsia" w:ascii="宋体"/>
                <w:color w:val="auto"/>
                <w:sz w:val="18"/>
                <w:szCs w:val="18"/>
                <w:highlight w:val="none"/>
              </w:rPr>
              <w:t>28.</w:t>
            </w:r>
            <w:r>
              <w:rPr>
                <w:rFonts w:hint="eastAsia" w:ascii="宋体"/>
                <w:color w:val="auto"/>
                <w:sz w:val="18"/>
                <w:szCs w:val="18"/>
                <w:highlight w:val="none"/>
              </w:rPr>
              <w:tab/>
            </w:r>
            <w:r>
              <w:rPr>
                <w:rFonts w:hint="eastAsia" w:ascii="宋体"/>
                <w:color w:val="auto"/>
                <w:sz w:val="18"/>
                <w:szCs w:val="18"/>
                <w:highlight w:val="none"/>
              </w:rPr>
              <w:t>跨境可视化展示：支持展示跨境数据总量、跨境数据流量、跨境个人信息、重要数据总量及条数展示。展示跨境个人信息占比图、境内外发及境外访问的跨境个人信息数据流出top5主机、跨境个人信息数据流入top5地区图。展示跨境敏感个人信息占比图、境内外发及境外访问的跨境敏感个人信息数据流出top5主机、跨境敏感个人信息数据流入top5地区图。展示跨境重要数据占比图、境内外发及境外访问的跨境重要数据流出top5主机、跨境重要数据流入top5地区图。</w:t>
            </w:r>
          </w:p>
        </w:tc>
        <w:tc>
          <w:tcPr>
            <w:tcW w:w="145" w:type="pct"/>
            <w:tcBorders>
              <w:top w:val="nil"/>
              <w:left w:val="nil"/>
              <w:bottom w:val="single" w:color="auto" w:sz="4" w:space="0"/>
              <w:right w:val="single" w:color="auto" w:sz="4" w:space="0"/>
            </w:tcBorders>
            <w:vAlign w:val="center"/>
          </w:tcPr>
          <w:p w14:paraId="4E65FBB2">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rPr>
              <w:t>22</w:t>
            </w:r>
          </w:p>
        </w:tc>
        <w:tc>
          <w:tcPr>
            <w:tcW w:w="208" w:type="pct"/>
            <w:tcBorders>
              <w:top w:val="nil"/>
              <w:left w:val="nil"/>
              <w:bottom w:val="single" w:color="auto" w:sz="4" w:space="0"/>
              <w:right w:val="single" w:color="auto" w:sz="4" w:space="0"/>
            </w:tcBorders>
            <w:vAlign w:val="center"/>
          </w:tcPr>
          <w:p w14:paraId="6F576E36">
            <w:pPr>
              <w:widowControl/>
              <w:jc w:val="center"/>
              <w:rPr>
                <w:rFonts w:hint="eastAsia" w:ascii="宋体" w:hAnsi="宋体" w:cs="宋体"/>
                <w:color w:val="auto"/>
                <w:kern w:val="0"/>
                <w:sz w:val="18"/>
                <w:szCs w:val="18"/>
                <w:highlight w:val="none"/>
              </w:rPr>
            </w:pPr>
            <w:r>
              <w:rPr>
                <w:rFonts w:hint="eastAsia" w:ascii="宋体" w:cs="宋体"/>
                <w:color w:val="auto"/>
                <w:kern w:val="0"/>
                <w:sz w:val="18"/>
                <w:szCs w:val="18"/>
                <w:highlight w:val="none"/>
                <w:lang w:val="en-US" w:eastAsia="zh-CN"/>
              </w:rPr>
              <w:t>台</w:t>
            </w:r>
          </w:p>
        </w:tc>
      </w:tr>
      <w:tr w14:paraId="0E84500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3AF2E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2.3</w:t>
            </w:r>
          </w:p>
        </w:tc>
        <w:tc>
          <w:tcPr>
            <w:tcW w:w="428" w:type="pct"/>
            <w:tcBorders>
              <w:top w:val="nil"/>
              <w:left w:val="nil"/>
              <w:bottom w:val="single" w:color="auto" w:sz="4" w:space="0"/>
              <w:right w:val="single" w:color="auto" w:sz="4" w:space="0"/>
            </w:tcBorders>
            <w:noWrap/>
            <w:vAlign w:val="center"/>
          </w:tcPr>
          <w:p w14:paraId="1DA6BB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前置分析平台（数据安全监测）</w:t>
            </w:r>
          </w:p>
        </w:tc>
        <w:tc>
          <w:tcPr>
            <w:tcW w:w="3798" w:type="pct"/>
            <w:gridSpan w:val="2"/>
            <w:tcBorders>
              <w:top w:val="nil"/>
              <w:left w:val="nil"/>
              <w:bottom w:val="single" w:color="auto" w:sz="4" w:space="0"/>
              <w:right w:val="single" w:color="auto" w:sz="4" w:space="0"/>
            </w:tcBorders>
            <w:noWrap/>
            <w:vAlign w:val="center"/>
          </w:tcPr>
          <w:p w14:paraId="634C733C">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1、软件化部署。</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支持国产化服务器部署，按要求部署在相关国产化服务器上，提供相关授权文件。</w:t>
            </w:r>
            <w:r>
              <w:rPr>
                <w:rFonts w:hint="eastAsia" w:ascii="宋体" w:hAnsi="宋体" w:cs="宋体"/>
                <w:color w:val="auto"/>
                <w:kern w:val="0"/>
                <w:sz w:val="18"/>
                <w:szCs w:val="18"/>
                <w:highlight w:val="none"/>
              </w:rPr>
              <w:t>提供Syslog、SNMP Trap、Netflow、JDBC、WMI、FTP、SFTP、agent等采集方式，支持对网络设备、主机系统等安全日志以及业务信息等多种数据源的采集，汇聚局部数据传输至数据安全监测平台。</w:t>
            </w:r>
          </w:p>
          <w:p w14:paraId="1F97654F">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2、前置平台传输至数据安全监测平台的数据支持加密、加盐哈希功能，以验证数据的机密性与完整性。</w:t>
            </w:r>
          </w:p>
          <w:p w14:paraId="6CA9FD15">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3、数据安全监测平台支持对前置平台进行统一管理与集中配置，包括启停配置、端口Topic配置等集中管理功能。</w:t>
            </w:r>
          </w:p>
          <w:p w14:paraId="6DC1E6FB">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4、支持对前置平台的运行进行统一监控，支持以趋势图展示最近24小时、最近7天的转发速率、采集速率趋势，支持集中统计前置平台总数、在线/离线数量，支持监控各个前置平台CPU、内存、硬盘与性能信息。</w:t>
            </w:r>
          </w:p>
        </w:tc>
        <w:tc>
          <w:tcPr>
            <w:tcW w:w="145" w:type="pct"/>
            <w:tcBorders>
              <w:top w:val="nil"/>
              <w:left w:val="nil"/>
              <w:bottom w:val="single" w:color="auto" w:sz="4" w:space="0"/>
              <w:right w:val="single" w:color="auto" w:sz="4" w:space="0"/>
            </w:tcBorders>
            <w:vAlign w:val="center"/>
          </w:tcPr>
          <w:p w14:paraId="1003F3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208" w:type="pct"/>
            <w:tcBorders>
              <w:top w:val="nil"/>
              <w:left w:val="nil"/>
              <w:bottom w:val="single" w:color="auto" w:sz="4" w:space="0"/>
              <w:right w:val="single" w:color="auto" w:sz="4" w:space="0"/>
            </w:tcBorders>
            <w:vAlign w:val="center"/>
          </w:tcPr>
          <w:p w14:paraId="774EC9C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台</w:t>
            </w:r>
          </w:p>
        </w:tc>
      </w:tr>
      <w:tr w14:paraId="6CAEC6E0">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EE237DE">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四</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noWrap/>
            <w:vAlign w:val="center"/>
          </w:tcPr>
          <w:p w14:paraId="1D393323">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数据安全防护能力平台</w:t>
            </w:r>
          </w:p>
        </w:tc>
        <w:tc>
          <w:tcPr>
            <w:tcW w:w="3798" w:type="pct"/>
            <w:gridSpan w:val="2"/>
            <w:tcBorders>
              <w:top w:val="nil"/>
              <w:left w:val="nil"/>
              <w:bottom w:val="single" w:color="auto" w:sz="4" w:space="0"/>
              <w:right w:val="single" w:color="auto" w:sz="4" w:space="0"/>
            </w:tcBorders>
            <w:noWrap/>
            <w:vAlign w:val="center"/>
          </w:tcPr>
          <w:p w14:paraId="475A80C2">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建设数据安全防护能力平台，为政务云上不少于600个数据库实例提供分级分类、数据访问控制</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数据脱敏、数据水印等4种数据安全防护能力</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由政务云使用单位利用数据安全防护能力平台的能力开展数据安全防护工作，充分调用安全智能体赋能数据安全防护能力平台，实现应用系统的数据在传输、使用、共享、存储等环节统一安全管控，并按照要求上报数据拦截情况的告警信息至数据安全监测平台实现统一数据安全监管。数据安全防护能力平台包括数据安全防护管控平台</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以及资产识别与分类分级、数据访问控制、数据脱敏、数据水印等安全组件</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具体技术功能要点如下：</w:t>
            </w:r>
          </w:p>
        </w:tc>
        <w:tc>
          <w:tcPr>
            <w:tcW w:w="145" w:type="pct"/>
            <w:tcBorders>
              <w:top w:val="nil"/>
              <w:left w:val="nil"/>
              <w:bottom w:val="single" w:color="auto" w:sz="4" w:space="0"/>
              <w:right w:val="single" w:color="auto" w:sz="4" w:space="0"/>
            </w:tcBorders>
            <w:noWrap/>
            <w:vAlign w:val="center"/>
          </w:tcPr>
          <w:p w14:paraId="63A4F3F7">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67A90E29">
            <w:pPr>
              <w:widowControl/>
              <w:jc w:val="left"/>
              <w:rPr>
                <w:rFonts w:hint="eastAsia" w:ascii="宋体" w:hAnsi="宋体" w:cs="宋体"/>
                <w:color w:val="auto"/>
                <w:kern w:val="0"/>
                <w:sz w:val="18"/>
                <w:szCs w:val="18"/>
                <w:highlight w:val="none"/>
              </w:rPr>
            </w:pPr>
          </w:p>
        </w:tc>
      </w:tr>
      <w:tr w14:paraId="32E4300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1E6489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w:t>
            </w:r>
          </w:p>
        </w:tc>
        <w:tc>
          <w:tcPr>
            <w:tcW w:w="428" w:type="pct"/>
            <w:tcBorders>
              <w:top w:val="nil"/>
              <w:left w:val="nil"/>
              <w:bottom w:val="single" w:color="auto" w:sz="4" w:space="0"/>
              <w:right w:val="single" w:color="auto" w:sz="4" w:space="0"/>
            </w:tcBorders>
            <w:noWrap/>
            <w:vAlign w:val="center"/>
          </w:tcPr>
          <w:p w14:paraId="72BE387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数据安全防护管控平台</w:t>
            </w:r>
          </w:p>
        </w:tc>
        <w:tc>
          <w:tcPr>
            <w:tcW w:w="3798" w:type="pct"/>
            <w:gridSpan w:val="2"/>
            <w:tcBorders>
              <w:top w:val="nil"/>
              <w:left w:val="nil"/>
              <w:bottom w:val="single" w:color="auto" w:sz="4" w:space="0"/>
              <w:right w:val="single" w:color="auto" w:sz="4" w:space="0"/>
            </w:tcBorders>
            <w:noWrap/>
            <w:vAlign w:val="center"/>
          </w:tcPr>
          <w:p w14:paraId="7C9E57D9">
            <w:pPr>
              <w:widowControl/>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据安全防护管控平台以软件化部署，通过调度数据安全能力组件，形成智能应对数据安全事件的行动能力，促进数据安全的防护从被动挨打到主动出击，实现数据安全分析、安全威胁事件的研判和响应的自动化。</w:t>
            </w:r>
          </w:p>
          <w:p w14:paraId="4A3887C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一、整体功能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1.部署及安全管控：支持在多区域部署数据安全资源池，并由数据安全防护管控平台统一纳管，同时支持云平台多区域的对接。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2.多区域管理：支持将数据安全组件连接</w:t>
            </w:r>
            <w:r>
              <w:rPr>
                <w:rFonts w:hint="eastAsia" w:ascii="宋体" w:hAnsi="宋体" w:cs="宋体"/>
                <w:color w:val="auto"/>
                <w:kern w:val="0"/>
                <w:sz w:val="18"/>
                <w:szCs w:val="18"/>
                <w:highlight w:val="none"/>
                <w:lang w:val="en-US" w:eastAsia="zh-CN"/>
              </w:rPr>
              <w:t>到</w:t>
            </w:r>
            <w:r>
              <w:rPr>
                <w:rFonts w:hint="eastAsia" w:ascii="宋体" w:hAnsi="宋体" w:cs="宋体"/>
                <w:color w:val="auto"/>
                <w:kern w:val="0"/>
                <w:sz w:val="18"/>
                <w:szCs w:val="18"/>
                <w:highlight w:val="none"/>
              </w:rPr>
              <w:t>数据安全资源池的管理网络。实现多区域部署模式下，不同区域的安全组件通过管理网统一访问和管理。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3.租户授权管理：支持按租户分别导入租户总包授权，每个授权文件只能用于一个租户或者用于系统；租户的授权相互之间不能混用。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4.资源概览：安全组件已使用的授权数量、剩余授权数量，服务健康状态、待审核订单数和租户数。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5.威胁趋势：支持展示最近安全威胁的类型的TOP 10，以及每种安全威胁的变化的趋势。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6.帮助文档：支持在数据安全防护管控平台顶部菜单栏访问帮助文档，包括平台的使用手册，初始化推荐配置等。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7.资源监控概览：支持对数据安全资源池设备的总览性展示，包括配置摘要信息、服务健康状态、设备资源监控告警情况、物理资源使用和分配情况、IP使用情况、TOP5 CPU使用率最高设备、TOP5 内存使用率最高设备、TOP5 磁盘分区使用率最高设备等情况的概览；支持导出。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8.安全资源单机监控：支持通过安全组件的API读取安全组件实例的资源利用率，支持自定义时间段内的CPU使用率、内存使用率、磁盘使用率（多磁盘）的趋势图；支持导出。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9.安全资源列表：支持列出全部物理资源和虚拟资源信息，可展示单机实时服务状态、实时告警数量、实时CPU/内存/磁盘使用率；支持按不同维度筛选和搜索；支持导出。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10.安全服务状态监控：增加底层服务的监控告警，如ELK服务、LMS服务、底层云服务和一些关键进程，对服务健康进行监控和告警。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告警策略：展示告警策略基本信息；支持新建、编辑、复制、删除、启用和停用告警策略；支持按时间和类型等维度筛选和搜索策略；支持预定义告警策略模板；支持资源监控告警、授权告警、日志存储告警、设备变更告警、安全威胁事件告警等不同告警类型和相应具体指标的设置和选择，可选择目标告警设备和告警接收邮件等；支持查看策略详情并看到关联具体策略的告警事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12.告警事件：支持匹配告警策略产生告警事件，分别以邮件和在线展示对用户进行告警。支持过去1天、7天和30天的告警威胁分布情况图表和列表数据展示；支持全部告警事件列表导出；告警事件可根据时间和不同维度进行筛选和搜索；支持查看告警事件详情且链接跳转到相关告警来源页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13.报表：支持新建、编辑、复制、删除报表模板；支持单次或定时报表模板类型的选择，定时报表根据设置时间定期自动生成报表。支持PDF、HTML、WORD等形式的报表，可在线生成和邮件发送报表。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14.历史报表：列表显示正在生成和已经生成的报表，支持已生成报表的预览、下载和删除。支持根据报表类型、报表模板、报表状态等进行筛选和搜索。邮件支持附件报表和通过链接登录查看报表。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15.日志存档：允许管理员修改日志存储策略，包括查看剩余存储容量、设置日志存储时长、过期日志处理方式、设置存储达到上限处置。支持日志转发策略，可以为不同的租户、不同的安全组件类型设置转发服务器。实现租户级的日志转发服务。日志转发支持选择发送处理过的日志或原始日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16.系统升级：支持通过安装包离线升级，通过浏览器上传升级包后可升级主程序版本。支持对升级包文件和当前版本的匹配关系进行校验。支持对升级进行记录，方便后期排查问题使用。</w:t>
            </w:r>
          </w:p>
          <w:p w14:paraId="380BEAC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17.平台支持对数据安全组件的告警、日志信息进行统一采集与集中展示；支持按租户查看归属于自身的相关数据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二、数据安全组件管理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1.组件概览：租户支持查看当前租户已经开通的安全组件和组件关联的资产的数量。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2.组件介绍：支持用户通过数据安全防护管控平台在线申请安全组件。数据安全资源池可以查看各安全组件的介绍，包括：组件特点、规格描述，使用场景等。组件介绍页面可以下载每个组件的用户使用手册。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3.组件操作：通过数据安全防护管控平台直接控制安全组件实例开机、关机、重启、删除等，并支持查看安全组件的状态。支持安全组件的批量开机、关机、重启操作。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4.组件许可变更：支持租户通过订单实现安全组件授权许可的扩容（授权数量增加）、续费（授权时长增加）。</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服务申请与管理：支持用户通过自助服务门户提交数据安全资源的申请，用户可以选择所需的安全资源类型、规格、数量等参数，并填写申请描述。系统自动记录申请信息，并支持用户对申请状态进行查询和跟踪。</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申请审批流程：提供申请审批功能，支持系统管理员对用户的申请进行审核。管理员可以查看申请详情，审批通过或拒绝申请，并向用户发送审批结果通知。审批流程支持自定义配置，满足不同业务场景下的审批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新组件上传与发布：支持系统管理员上传新的数据安全组件，管理员可以通过上传界面选择组件文件，并填写组件的基本信息（如名称、版本、描述等）。上传完成后，管理员可以将组件发布到数据安全市场，供用户使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8.组件版本管理：提供数据安全组件的版本管理功能，支持管理员对组件的不同版本进行管理。管理员可以查看组件的版本历史，发布新版本，回退到旧版本，确保组件的稳定性和可用性。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组件状态监控与维护：实时监控数据安全组件的状态，包括组件的运行状态、使用情况、故障信息等。系统自动记录组件的状态日志，管理员可以通过日志查看组件的运行情况，及时发现和处理组件故障，确保组件的正常运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10.资源上架：支持管理员将新的安全资源添加到资源池中，进行上架操作。管理员可以填写资源的基本信息、配置资源的参数，并设置资源的可用状态，确保资源能够被用户正常使用。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11.资源下架：支持管理员将不再需要的安全资源从资源池中移除，进行下架操作。管理员可以设置资源的下架原因，并通知相关用户，确保资源的下架过程平稳过渡。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12.资源更新与维护：提供安全资源的更新和维护功能，支持管理员对资源进行升级、修复、优化等操作。管理员可以上传新的资源版本，并进行版本管理，确保资源的稳定性和可用性。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13.资源生命周期管理：管理安全资源的整个生命周期，包括资源的创建、上架、使用、更新、下架等阶段。系统会自动记录资源的生命周期事件，方便管理员进行审计和追溯。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三、数据安全组件策略管理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1.防护策略管理：用户可以查看当前安全组件防护的资产列表，在组件详情页面进行安全策略管理。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2.策略模板管理：提供安全策略模板的管理功能，支持管理员创建、修改、删除策略模板。策略模板可以定义通用的安全策略规则，如访问控制策略、加密策略、审计策略等，方便管理员快速生成新的安全策略。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策略下发与执行：支持管理员将安全策略统一下发到各个安全组件，并确保策略能够被正确执行。系统会自动记录策略下发的日志，管理员可以通过日志查看策略的执行情况，及时发现和处理策略执行中的问题。</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4.策略执行结果反馈：收集安全组件对策略执行的结果反馈，包括执行成功、执行失败、执行异常等情况。管理员可以通过反馈信息了解策略的实际执行效果，对策略进行优化和调整。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5.策略变更管理：提供安全策略的变更管理功能，支持管理员对策略进行修改、更新、回滚等操作。系统会自动记录策略的变更历史，方便管理员进行审计和追溯，确保策略的可追溯性。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安全策略工单创建：支持用户创建安全策略工单，用户可以填写工单的基本信息（如工单标题、工单描述、策略变更内容等），并选择需要调整的安全组件。系统会自动记录工单的创建时间、创建人等信息，确保工单管理的可追溯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安全策略工单审批：提供安全策略工单审批功能，支持系统管理员对用户提交的安全策略工单进行审核。管理员可以查看工单详情，审批通过或拒绝工单，并向用户发送审批结果通知。审批流程支持自定义配置，满足不同业务场景下的审批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安全策略工单执行与监控：提供安全策略工单执行功能，支持系统根据工单内容自动或手动执行安全策略调整操作。系统会自动记录工单的执行过程和结果，管理员可以通过工单监控界面查看工单的执行情况，及时发现和处理执行中的问题。</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安全策略工单状态管理：提供安全策略工单状态管理功能，支持用户和管理员查看工单的状态信息（如工单的提交时间、审批状态、执行状态、完成时间等）。系统会自动更新工单的状态，并向相关人员发送状态通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10.安全策略工单历史记录查询：提供安全策略工单历史记录的查询功能，支持用户通过时间范围、工单状态等条件查询工单历史记录。查询结果支持导出功能，方便用户进行离线分析和记录。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安全策略工单统计分析：提供安全策略工单统计分析功能，生成工单统计报告。报告内容包括工单的数量、工单的分布（按工单类型、处理人等）、工单的处理时长等信息，帮助管理员了解工单的整体情况，为工单管理的优化提供数据支持。</w:t>
            </w:r>
          </w:p>
          <w:p w14:paraId="490EF5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四、系统对接</w:t>
            </w:r>
          </w:p>
          <w:p w14:paraId="109199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1.与数据安全监测平台对接，要求根据数据安全监测平台要求可免费定制开发数据接口，将数据安全组件扫描出的资产信息和告警信息发送至数据安全监测平台。</w:t>
            </w:r>
          </w:p>
        </w:tc>
        <w:tc>
          <w:tcPr>
            <w:tcW w:w="145" w:type="pct"/>
            <w:tcBorders>
              <w:top w:val="nil"/>
              <w:left w:val="nil"/>
              <w:bottom w:val="single" w:color="auto" w:sz="4" w:space="0"/>
              <w:right w:val="single" w:color="auto" w:sz="4" w:space="0"/>
            </w:tcBorders>
            <w:noWrap/>
            <w:vAlign w:val="center"/>
          </w:tcPr>
          <w:p w14:paraId="2B7887A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p>
        </w:tc>
        <w:tc>
          <w:tcPr>
            <w:tcW w:w="208" w:type="pct"/>
            <w:tcBorders>
              <w:top w:val="nil"/>
              <w:left w:val="nil"/>
              <w:bottom w:val="single" w:color="auto" w:sz="4" w:space="0"/>
              <w:right w:val="single" w:color="auto" w:sz="4" w:space="0"/>
            </w:tcBorders>
            <w:noWrap/>
            <w:vAlign w:val="center"/>
          </w:tcPr>
          <w:p w14:paraId="0CEC6D1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套</w:t>
            </w:r>
          </w:p>
        </w:tc>
      </w:tr>
      <w:tr w14:paraId="4DE3927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8DE0733">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b/>
                <w:bCs/>
                <w:color w:val="auto"/>
                <w:kern w:val="0"/>
                <w:sz w:val="18"/>
                <w:szCs w:val="18"/>
                <w:highlight w:val="none"/>
                <w:lang w:val="en-US" w:eastAsia="zh-CN"/>
              </w:rPr>
              <w:t>二</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noWrap/>
            <w:vAlign w:val="center"/>
          </w:tcPr>
          <w:p w14:paraId="5F6290CD">
            <w:pPr>
              <w:widowControl/>
              <w:jc w:val="left"/>
              <w:rPr>
                <w:rFonts w:hint="eastAsia" w:ascii="宋体" w:hAnsi="宋体" w:cs="宋体"/>
                <w:b/>
                <w:bCs/>
                <w:color w:val="auto"/>
                <w:kern w:val="0"/>
                <w:sz w:val="18"/>
                <w:szCs w:val="18"/>
                <w:highlight w:val="none"/>
              </w:rPr>
            </w:pPr>
            <w:bookmarkStart w:id="43" w:name="_Hlk227936289"/>
            <w:r>
              <w:rPr>
                <w:rFonts w:hint="eastAsia" w:ascii="宋体" w:hAnsi="宋体" w:cs="宋体"/>
                <w:b/>
                <w:bCs/>
                <w:color w:val="auto"/>
                <w:kern w:val="0"/>
                <w:sz w:val="18"/>
                <w:szCs w:val="18"/>
                <w:highlight w:val="none"/>
              </w:rPr>
              <w:t>数据管控平台能力组件</w:t>
            </w:r>
            <w:bookmarkEnd w:id="43"/>
          </w:p>
        </w:tc>
        <w:tc>
          <w:tcPr>
            <w:tcW w:w="3798" w:type="pct"/>
            <w:gridSpan w:val="2"/>
            <w:tcBorders>
              <w:top w:val="nil"/>
              <w:left w:val="nil"/>
              <w:bottom w:val="single" w:color="auto" w:sz="4" w:space="0"/>
              <w:right w:val="single" w:color="auto" w:sz="4" w:space="0"/>
            </w:tcBorders>
            <w:noWrap/>
            <w:vAlign w:val="center"/>
          </w:tcPr>
          <w:p w14:paraId="00736C36">
            <w:pPr>
              <w:widowControl/>
              <w:ind w:firstLine="360" w:firstLineChars="200"/>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sv-SE"/>
              </w:rPr>
              <w:t>数据安全能力组件是数据安全防护能力平台的基础支撑，以组件的形式通过</w:t>
            </w:r>
            <w:r>
              <w:rPr>
                <w:rFonts w:hint="eastAsia" w:ascii="宋体" w:hAnsi="宋体" w:cs="宋体"/>
                <w:color w:val="auto"/>
                <w:kern w:val="0"/>
                <w:sz w:val="18"/>
                <w:szCs w:val="18"/>
                <w:highlight w:val="none"/>
              </w:rPr>
              <w:t>数据安全管控平台</w:t>
            </w:r>
            <w:r>
              <w:rPr>
                <w:rFonts w:hint="eastAsia" w:ascii="宋体" w:hAnsi="宋体" w:cs="宋体"/>
                <w:color w:val="auto"/>
                <w:kern w:val="0"/>
                <w:sz w:val="18"/>
                <w:szCs w:val="18"/>
                <w:highlight w:val="none"/>
                <w:lang w:val="sv-SE"/>
              </w:rPr>
              <w:t>，根据各级单位和部门需求，赋能到</w:t>
            </w:r>
            <w:r>
              <w:rPr>
                <w:rFonts w:hint="eastAsia" w:ascii="宋体" w:hAnsi="宋体" w:cs="宋体"/>
                <w:color w:val="auto"/>
                <w:kern w:val="0"/>
                <w:sz w:val="18"/>
                <w:szCs w:val="18"/>
                <w:highlight w:val="none"/>
              </w:rPr>
              <w:t>相应的信息系统</w:t>
            </w:r>
            <w:r>
              <w:rPr>
                <w:rFonts w:hint="eastAsia" w:ascii="宋体" w:hAnsi="宋体" w:cs="宋体"/>
                <w:color w:val="auto"/>
                <w:kern w:val="0"/>
                <w:sz w:val="18"/>
                <w:szCs w:val="18"/>
                <w:highlight w:val="none"/>
                <w:lang w:val="sv-SE"/>
              </w:rPr>
              <w:t>，按照租户的需求，提供相应的安全能力。</w:t>
            </w:r>
            <w:r>
              <w:rPr>
                <w:rFonts w:hint="eastAsia" w:ascii="宋体" w:hAnsi="宋体" w:cs="宋体"/>
                <w:color w:val="auto"/>
                <w:kern w:val="0"/>
                <w:sz w:val="18"/>
                <w:szCs w:val="18"/>
                <w:highlight w:val="none"/>
                <w:lang w:val="en-US" w:eastAsia="zh-CN"/>
              </w:rPr>
              <w:t>包含以下4种组件，组件可根据需求调配部署至任一数据管控平台上，各组件功能如下：</w:t>
            </w:r>
          </w:p>
          <w:p w14:paraId="4054EF40">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一、资产识别与分类分级组件。</w:t>
            </w:r>
          </w:p>
          <w:p w14:paraId="1F1A90D0">
            <w:pPr>
              <w:widowControl/>
              <w:ind w:firstLine="360" w:firstLineChars="200"/>
              <w:jc w:val="left"/>
              <w:rPr>
                <w:rFonts w:hint="eastAsia" w:ascii="宋体" w:hAnsi="宋体" w:cs="宋体"/>
                <w:color w:val="auto"/>
                <w:kern w:val="0"/>
                <w:sz w:val="18"/>
                <w:szCs w:val="18"/>
                <w:highlight w:val="none"/>
              </w:rPr>
            </w:pPr>
            <w:r>
              <w:rPr>
                <w:color w:val="auto"/>
                <w:sz w:val="18"/>
                <w:szCs w:val="18"/>
                <w:highlight w:val="none"/>
              </w:rPr>
              <w:t>1.</w:t>
            </w:r>
            <w:r>
              <w:rPr>
                <w:rFonts w:hint="eastAsia" w:ascii="宋体" w:hAnsi="宋体" w:cs="宋体"/>
                <w:color w:val="auto"/>
                <w:kern w:val="0"/>
                <w:sz w:val="18"/>
                <w:szCs w:val="18"/>
                <w:highlight w:val="none"/>
              </w:rPr>
              <w:t>敏感数据地图组件，通过数据发现-识别梳理-数据地图-分类分级-联动保护五大能力，帮助企事业客户进行敏感数据发现和分类分级，提升数据安全治理效率，进一步实现精准化、策略化、体系化的数据安全防护和管理能力建设。单套支持识别</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30个数据库实例；≥100个探测节点并发管理，≥5个扫描任务的并发调度。</w:t>
            </w:r>
          </w:p>
          <w:p w14:paraId="053E92F5">
            <w:pPr>
              <w:ind w:firstLine="360" w:firstLineChars="200"/>
              <w:rPr>
                <w:color w:val="auto"/>
                <w:sz w:val="18"/>
                <w:szCs w:val="18"/>
                <w:highlight w:val="none"/>
              </w:rPr>
            </w:pPr>
            <w:r>
              <w:rPr>
                <w:color w:val="auto"/>
                <w:sz w:val="18"/>
                <w:szCs w:val="18"/>
                <w:highlight w:val="none"/>
              </w:rPr>
              <w:t>2.</w:t>
            </w:r>
            <w:r>
              <w:rPr>
                <w:rFonts w:hint="eastAsia"/>
                <w:color w:val="auto"/>
                <w:sz w:val="18"/>
                <w:szCs w:val="18"/>
                <w:highlight w:val="none"/>
              </w:rPr>
              <w:t>产品内置主流数据库环境的连接及信息读取能力，包括</w:t>
            </w:r>
            <w:r>
              <w:rPr>
                <w:color w:val="auto"/>
                <w:sz w:val="18"/>
                <w:szCs w:val="18"/>
                <w:highlight w:val="none"/>
              </w:rPr>
              <w:t>Oracle</w:t>
            </w:r>
            <w:r>
              <w:rPr>
                <w:rFonts w:hint="eastAsia"/>
                <w:color w:val="auto"/>
                <w:sz w:val="18"/>
                <w:szCs w:val="18"/>
                <w:highlight w:val="none"/>
              </w:rPr>
              <w:t>、</w:t>
            </w:r>
            <w:r>
              <w:rPr>
                <w:color w:val="auto"/>
                <w:sz w:val="18"/>
                <w:szCs w:val="18"/>
                <w:highlight w:val="none"/>
              </w:rPr>
              <w:t>DB2</w:t>
            </w:r>
            <w:r>
              <w:rPr>
                <w:rFonts w:hint="eastAsia"/>
                <w:color w:val="auto"/>
                <w:sz w:val="18"/>
                <w:szCs w:val="18"/>
                <w:highlight w:val="none"/>
              </w:rPr>
              <w:t>、</w:t>
            </w:r>
            <w:r>
              <w:rPr>
                <w:color w:val="auto"/>
                <w:sz w:val="18"/>
                <w:szCs w:val="18"/>
                <w:highlight w:val="none"/>
              </w:rPr>
              <w:t>MySQL</w:t>
            </w:r>
            <w:r>
              <w:rPr>
                <w:rFonts w:hint="eastAsia"/>
                <w:color w:val="auto"/>
                <w:sz w:val="18"/>
                <w:szCs w:val="18"/>
                <w:highlight w:val="none"/>
              </w:rPr>
              <w:t>、</w:t>
            </w:r>
            <w:r>
              <w:rPr>
                <w:color w:val="auto"/>
                <w:sz w:val="18"/>
                <w:szCs w:val="18"/>
                <w:highlight w:val="none"/>
              </w:rPr>
              <w:t>SQLserver</w:t>
            </w:r>
            <w:r>
              <w:rPr>
                <w:rFonts w:hint="eastAsia"/>
                <w:color w:val="auto"/>
                <w:sz w:val="18"/>
                <w:szCs w:val="18"/>
                <w:highlight w:val="none"/>
              </w:rPr>
              <w:t>、</w:t>
            </w:r>
            <w:r>
              <w:rPr>
                <w:color w:val="auto"/>
                <w:sz w:val="18"/>
                <w:szCs w:val="18"/>
                <w:highlight w:val="none"/>
              </w:rPr>
              <w:t>PostgreSQL</w:t>
            </w:r>
            <w:r>
              <w:rPr>
                <w:rFonts w:hint="eastAsia"/>
                <w:color w:val="auto"/>
                <w:sz w:val="18"/>
                <w:szCs w:val="18"/>
                <w:highlight w:val="none"/>
              </w:rPr>
              <w:t>、</w:t>
            </w:r>
            <w:r>
              <w:rPr>
                <w:color w:val="auto"/>
                <w:sz w:val="18"/>
                <w:szCs w:val="18"/>
                <w:highlight w:val="none"/>
              </w:rPr>
              <w:t>ClickHouse</w:t>
            </w:r>
            <w:r>
              <w:rPr>
                <w:rFonts w:hint="eastAsia"/>
                <w:color w:val="auto"/>
                <w:sz w:val="18"/>
                <w:szCs w:val="18"/>
                <w:highlight w:val="none"/>
              </w:rPr>
              <w:t>关系型数据库环境；</w:t>
            </w:r>
            <w:r>
              <w:rPr>
                <w:color w:val="auto"/>
                <w:sz w:val="18"/>
                <w:szCs w:val="18"/>
                <w:highlight w:val="none"/>
              </w:rPr>
              <w:t>GaussDB</w:t>
            </w:r>
            <w:r>
              <w:rPr>
                <w:rFonts w:hint="eastAsia"/>
                <w:color w:val="auto"/>
                <w:sz w:val="18"/>
                <w:szCs w:val="18"/>
                <w:highlight w:val="none"/>
              </w:rPr>
              <w:t>、人大金仓、达梦、</w:t>
            </w:r>
            <w:r>
              <w:rPr>
                <w:color w:val="auto"/>
                <w:sz w:val="18"/>
                <w:szCs w:val="18"/>
                <w:highlight w:val="none"/>
              </w:rPr>
              <w:t>GBase</w:t>
            </w:r>
            <w:r>
              <w:rPr>
                <w:rFonts w:hint="eastAsia"/>
                <w:color w:val="auto"/>
                <w:sz w:val="18"/>
                <w:szCs w:val="18"/>
                <w:highlight w:val="none"/>
              </w:rPr>
              <w:t>、神州通用、</w:t>
            </w:r>
            <w:r>
              <w:rPr>
                <w:color w:val="auto"/>
                <w:sz w:val="18"/>
                <w:szCs w:val="18"/>
                <w:highlight w:val="none"/>
              </w:rPr>
              <w:t>OceanBase</w:t>
            </w:r>
            <w:r>
              <w:rPr>
                <w:rFonts w:hint="eastAsia"/>
                <w:color w:val="auto"/>
                <w:sz w:val="18"/>
                <w:szCs w:val="18"/>
                <w:highlight w:val="none"/>
              </w:rPr>
              <w:t>等国产化数据库环境；</w:t>
            </w:r>
            <w:r>
              <w:rPr>
                <w:color w:val="auto"/>
                <w:sz w:val="18"/>
                <w:szCs w:val="18"/>
                <w:highlight w:val="none"/>
              </w:rPr>
              <w:t>Hbase</w:t>
            </w:r>
            <w:r>
              <w:rPr>
                <w:rFonts w:hint="eastAsia"/>
                <w:color w:val="auto"/>
                <w:sz w:val="18"/>
                <w:szCs w:val="18"/>
                <w:highlight w:val="none"/>
              </w:rPr>
              <w:t>、</w:t>
            </w:r>
            <w:r>
              <w:rPr>
                <w:color w:val="auto"/>
                <w:sz w:val="18"/>
                <w:szCs w:val="18"/>
                <w:highlight w:val="none"/>
              </w:rPr>
              <w:t>HIVE</w:t>
            </w:r>
            <w:r>
              <w:rPr>
                <w:rFonts w:hint="eastAsia"/>
                <w:color w:val="auto"/>
                <w:sz w:val="18"/>
                <w:szCs w:val="18"/>
                <w:highlight w:val="none"/>
              </w:rPr>
              <w:t>等大数据环境；</w:t>
            </w:r>
            <w:r>
              <w:rPr>
                <w:color w:val="auto"/>
                <w:sz w:val="18"/>
                <w:szCs w:val="18"/>
                <w:highlight w:val="none"/>
              </w:rPr>
              <w:t>MongoDB</w:t>
            </w:r>
            <w:r>
              <w:rPr>
                <w:rFonts w:hint="eastAsia"/>
                <w:color w:val="auto"/>
                <w:sz w:val="18"/>
                <w:szCs w:val="18"/>
                <w:highlight w:val="none"/>
              </w:rPr>
              <w:t>、</w:t>
            </w:r>
            <w:r>
              <w:rPr>
                <w:color w:val="auto"/>
                <w:sz w:val="18"/>
                <w:szCs w:val="18"/>
                <w:highlight w:val="none"/>
              </w:rPr>
              <w:t>ES</w:t>
            </w:r>
            <w:r>
              <w:rPr>
                <w:rFonts w:hint="eastAsia"/>
                <w:color w:val="auto"/>
                <w:sz w:val="18"/>
                <w:szCs w:val="18"/>
                <w:highlight w:val="none"/>
              </w:rPr>
              <w:t>、</w:t>
            </w:r>
            <w:r>
              <w:rPr>
                <w:color w:val="auto"/>
                <w:sz w:val="18"/>
                <w:szCs w:val="18"/>
                <w:highlight w:val="none"/>
              </w:rPr>
              <w:t>Cache</w:t>
            </w:r>
            <w:r>
              <w:rPr>
                <w:rFonts w:hint="eastAsia"/>
                <w:color w:val="auto"/>
                <w:sz w:val="18"/>
                <w:szCs w:val="18"/>
                <w:highlight w:val="none"/>
              </w:rPr>
              <w:t>等特定领域数据源；具备定制特定数据库接入的能力。</w:t>
            </w:r>
          </w:p>
          <w:p w14:paraId="79A7852C">
            <w:pPr>
              <w:ind w:firstLine="360" w:firstLineChars="200"/>
              <w:rPr>
                <w:color w:val="auto"/>
                <w:sz w:val="18"/>
                <w:szCs w:val="18"/>
                <w:highlight w:val="none"/>
              </w:rPr>
            </w:pPr>
            <w:r>
              <w:rPr>
                <w:color w:val="auto"/>
                <w:sz w:val="18"/>
                <w:szCs w:val="18"/>
                <w:highlight w:val="none"/>
              </w:rPr>
              <w:t>3.</w:t>
            </w:r>
            <w:r>
              <w:rPr>
                <w:rFonts w:hint="eastAsia"/>
                <w:color w:val="auto"/>
                <w:sz w:val="18"/>
                <w:szCs w:val="18"/>
                <w:highlight w:val="none"/>
              </w:rPr>
              <w:t>内置多种存储环境连接及信息读取能力，包括</w:t>
            </w:r>
            <w:r>
              <w:rPr>
                <w:color w:val="auto"/>
                <w:sz w:val="18"/>
                <w:szCs w:val="18"/>
                <w:highlight w:val="none"/>
              </w:rPr>
              <w:t>minIO</w:t>
            </w:r>
            <w:r>
              <w:rPr>
                <w:rFonts w:hint="eastAsia"/>
                <w:color w:val="auto"/>
                <w:sz w:val="18"/>
                <w:szCs w:val="18"/>
                <w:highlight w:val="none"/>
              </w:rPr>
              <w:t>、</w:t>
            </w:r>
            <w:r>
              <w:rPr>
                <w:color w:val="auto"/>
                <w:sz w:val="18"/>
                <w:szCs w:val="18"/>
                <w:highlight w:val="none"/>
              </w:rPr>
              <w:t>S3</w:t>
            </w:r>
            <w:r>
              <w:rPr>
                <w:rFonts w:hint="eastAsia"/>
                <w:color w:val="auto"/>
                <w:sz w:val="18"/>
                <w:szCs w:val="18"/>
                <w:highlight w:val="none"/>
              </w:rPr>
              <w:t>、</w:t>
            </w:r>
            <w:r>
              <w:rPr>
                <w:color w:val="auto"/>
                <w:sz w:val="18"/>
                <w:szCs w:val="18"/>
                <w:highlight w:val="none"/>
              </w:rPr>
              <w:t>OSS</w:t>
            </w:r>
            <w:r>
              <w:rPr>
                <w:rFonts w:hint="eastAsia"/>
                <w:color w:val="auto"/>
                <w:sz w:val="18"/>
                <w:szCs w:val="18"/>
                <w:highlight w:val="none"/>
              </w:rPr>
              <w:t>、等云及对象存储环境；可实现对存储的</w:t>
            </w:r>
            <w:r>
              <w:rPr>
                <w:color w:val="auto"/>
                <w:sz w:val="18"/>
                <w:szCs w:val="18"/>
                <w:highlight w:val="none"/>
              </w:rPr>
              <w:t>txt</w:t>
            </w:r>
            <w:r>
              <w:rPr>
                <w:rFonts w:hint="eastAsia"/>
                <w:color w:val="auto"/>
                <w:sz w:val="18"/>
                <w:szCs w:val="18"/>
                <w:highlight w:val="none"/>
              </w:rPr>
              <w:t>、</w:t>
            </w:r>
            <w:r>
              <w:rPr>
                <w:color w:val="auto"/>
                <w:sz w:val="18"/>
                <w:szCs w:val="18"/>
                <w:highlight w:val="none"/>
              </w:rPr>
              <w:t>csv</w:t>
            </w:r>
            <w:r>
              <w:rPr>
                <w:rFonts w:hint="eastAsia"/>
                <w:color w:val="auto"/>
                <w:sz w:val="18"/>
                <w:szCs w:val="18"/>
                <w:highlight w:val="none"/>
              </w:rPr>
              <w:t>、</w:t>
            </w:r>
            <w:r>
              <w:rPr>
                <w:color w:val="auto"/>
                <w:sz w:val="18"/>
                <w:szCs w:val="18"/>
                <w:highlight w:val="none"/>
              </w:rPr>
              <w:t>word</w:t>
            </w:r>
            <w:r>
              <w:rPr>
                <w:rFonts w:hint="eastAsia"/>
                <w:color w:val="auto"/>
                <w:sz w:val="18"/>
                <w:szCs w:val="18"/>
                <w:highlight w:val="none"/>
              </w:rPr>
              <w:t>、</w:t>
            </w:r>
            <w:r>
              <w:rPr>
                <w:color w:val="auto"/>
                <w:sz w:val="18"/>
                <w:szCs w:val="18"/>
                <w:highlight w:val="none"/>
              </w:rPr>
              <w:t>pdf</w:t>
            </w:r>
            <w:r>
              <w:rPr>
                <w:rFonts w:hint="eastAsia"/>
                <w:color w:val="auto"/>
                <w:sz w:val="18"/>
                <w:szCs w:val="18"/>
                <w:highlight w:val="none"/>
              </w:rPr>
              <w:t>、</w:t>
            </w:r>
            <w:r>
              <w:rPr>
                <w:color w:val="auto"/>
                <w:sz w:val="18"/>
                <w:szCs w:val="18"/>
                <w:highlight w:val="none"/>
              </w:rPr>
              <w:t>excel</w:t>
            </w:r>
            <w:r>
              <w:rPr>
                <w:rFonts w:hint="eastAsia"/>
                <w:color w:val="auto"/>
                <w:sz w:val="18"/>
                <w:szCs w:val="18"/>
                <w:highlight w:val="none"/>
              </w:rPr>
              <w:t>等文件，及</w:t>
            </w:r>
            <w:r>
              <w:rPr>
                <w:color w:val="auto"/>
                <w:sz w:val="18"/>
                <w:szCs w:val="18"/>
                <w:highlight w:val="none"/>
              </w:rPr>
              <w:t>png</w:t>
            </w:r>
            <w:r>
              <w:rPr>
                <w:rFonts w:hint="eastAsia"/>
                <w:color w:val="auto"/>
                <w:sz w:val="18"/>
                <w:szCs w:val="18"/>
                <w:highlight w:val="none"/>
              </w:rPr>
              <w:t>、</w:t>
            </w:r>
            <w:r>
              <w:rPr>
                <w:color w:val="auto"/>
                <w:sz w:val="18"/>
                <w:szCs w:val="18"/>
                <w:highlight w:val="none"/>
              </w:rPr>
              <w:t>jpg</w:t>
            </w:r>
            <w:r>
              <w:rPr>
                <w:rFonts w:hint="eastAsia"/>
                <w:color w:val="auto"/>
                <w:sz w:val="18"/>
                <w:szCs w:val="18"/>
                <w:highlight w:val="none"/>
              </w:rPr>
              <w:t>、</w:t>
            </w:r>
            <w:r>
              <w:rPr>
                <w:color w:val="auto"/>
                <w:sz w:val="18"/>
                <w:szCs w:val="18"/>
                <w:highlight w:val="none"/>
              </w:rPr>
              <w:t>jpeg</w:t>
            </w:r>
            <w:r>
              <w:rPr>
                <w:rFonts w:hint="eastAsia"/>
                <w:color w:val="auto"/>
                <w:sz w:val="18"/>
                <w:szCs w:val="18"/>
                <w:highlight w:val="none"/>
              </w:rPr>
              <w:t>、</w:t>
            </w:r>
            <w:r>
              <w:rPr>
                <w:color w:val="auto"/>
                <w:sz w:val="18"/>
                <w:szCs w:val="18"/>
                <w:highlight w:val="none"/>
              </w:rPr>
              <w:t>bmp</w:t>
            </w:r>
            <w:r>
              <w:rPr>
                <w:rFonts w:hint="eastAsia"/>
                <w:color w:val="auto"/>
                <w:sz w:val="18"/>
                <w:szCs w:val="18"/>
                <w:highlight w:val="none"/>
              </w:rPr>
              <w:t>等图像文件基础信息查阅。</w:t>
            </w:r>
          </w:p>
          <w:p w14:paraId="0BE18E3A">
            <w:pPr>
              <w:ind w:firstLine="360" w:firstLineChars="200"/>
              <w:rPr>
                <w:color w:val="auto"/>
                <w:sz w:val="18"/>
                <w:szCs w:val="18"/>
                <w:highlight w:val="none"/>
              </w:rPr>
            </w:pPr>
            <w:r>
              <w:rPr>
                <w:color w:val="auto"/>
                <w:sz w:val="18"/>
                <w:szCs w:val="18"/>
                <w:highlight w:val="none"/>
              </w:rPr>
              <w:t>4.</w:t>
            </w:r>
            <w:r>
              <w:rPr>
                <w:rFonts w:hint="eastAsia"/>
                <w:color w:val="auto"/>
                <w:sz w:val="18"/>
                <w:szCs w:val="18"/>
                <w:highlight w:val="none"/>
              </w:rPr>
              <w:t>平台具备对连接的数据源自动进行数据内容识别及标签标注能力，可满足对数据安全管理中数据分类及分级的管理要求。</w:t>
            </w:r>
          </w:p>
          <w:p w14:paraId="7C5D01FE">
            <w:pPr>
              <w:ind w:firstLine="360" w:firstLineChars="200"/>
              <w:rPr>
                <w:color w:val="auto"/>
                <w:sz w:val="18"/>
                <w:szCs w:val="18"/>
                <w:highlight w:val="none"/>
              </w:rPr>
            </w:pPr>
            <w:r>
              <w:rPr>
                <w:color w:val="auto"/>
                <w:sz w:val="18"/>
                <w:szCs w:val="18"/>
                <w:highlight w:val="none"/>
              </w:rPr>
              <w:t>5.</w:t>
            </w:r>
            <w:r>
              <w:rPr>
                <w:rFonts w:hint="eastAsia"/>
                <w:color w:val="auto"/>
                <w:sz w:val="18"/>
                <w:szCs w:val="18"/>
                <w:highlight w:val="none"/>
              </w:rPr>
              <w:t>平台预置多种常用数据标签，范围包括但不仅限于个人信息、政务信息、工业制造信息、医疗信息；支持数据标签导入。</w:t>
            </w:r>
          </w:p>
          <w:p w14:paraId="2FD549A2">
            <w:pPr>
              <w:ind w:firstLine="360" w:firstLineChars="200"/>
              <w:rPr>
                <w:color w:val="auto"/>
                <w:sz w:val="18"/>
                <w:szCs w:val="18"/>
                <w:highlight w:val="none"/>
              </w:rPr>
            </w:pPr>
            <w:r>
              <w:rPr>
                <w:color w:val="auto"/>
                <w:sz w:val="18"/>
                <w:szCs w:val="18"/>
                <w:highlight w:val="none"/>
              </w:rPr>
              <w:t>6.</w:t>
            </w:r>
            <w:r>
              <w:rPr>
                <w:rFonts w:hint="eastAsia"/>
                <w:color w:val="auto"/>
                <w:sz w:val="18"/>
                <w:szCs w:val="18"/>
                <w:highlight w:val="none"/>
              </w:rPr>
              <w:t>具备标签自定义功能，可自行配置标签属性及对应检测规则；标签检测方式包括可通过关键字、正则表达式、语义特征等多种方式；可支持数据对数据实体或数据属性设置标签检测规则。</w:t>
            </w:r>
          </w:p>
          <w:p w14:paraId="22B20731">
            <w:pPr>
              <w:ind w:firstLine="360" w:firstLineChars="200"/>
              <w:rPr>
                <w:color w:val="auto"/>
                <w:sz w:val="18"/>
                <w:szCs w:val="18"/>
                <w:highlight w:val="none"/>
              </w:rPr>
            </w:pPr>
            <w:r>
              <w:rPr>
                <w:color w:val="auto"/>
                <w:sz w:val="18"/>
                <w:szCs w:val="18"/>
                <w:highlight w:val="none"/>
              </w:rPr>
              <w:t>7.</w:t>
            </w:r>
            <w:r>
              <w:rPr>
                <w:rFonts w:hint="eastAsia"/>
                <w:color w:val="auto"/>
                <w:sz w:val="18"/>
                <w:szCs w:val="18"/>
                <w:highlight w:val="none"/>
              </w:rPr>
              <w:t>具备数据分类新增及自定义类别功能，具备模板快速导入创建功能，可按需调整模板分类及分级。</w:t>
            </w:r>
          </w:p>
          <w:p w14:paraId="3BFAA605">
            <w:pPr>
              <w:ind w:firstLine="360" w:firstLineChars="200"/>
              <w:rPr>
                <w:color w:val="auto"/>
                <w:sz w:val="18"/>
                <w:szCs w:val="18"/>
                <w:highlight w:val="none"/>
              </w:rPr>
            </w:pPr>
            <w:r>
              <w:rPr>
                <w:color w:val="auto"/>
                <w:sz w:val="18"/>
                <w:szCs w:val="18"/>
                <w:highlight w:val="none"/>
              </w:rPr>
              <w:t>8.</w:t>
            </w:r>
            <w:r>
              <w:rPr>
                <w:rFonts w:hint="eastAsia"/>
                <w:color w:val="auto"/>
                <w:sz w:val="18"/>
                <w:szCs w:val="18"/>
                <w:highlight w:val="none"/>
              </w:rPr>
              <w:t>可针对数据库、文件的标签、数量、等级等条件设置综合定级策略。</w:t>
            </w:r>
          </w:p>
          <w:p w14:paraId="325CAF23">
            <w:pPr>
              <w:ind w:firstLine="360" w:firstLineChars="200"/>
              <w:rPr>
                <w:color w:val="auto"/>
                <w:sz w:val="18"/>
                <w:szCs w:val="18"/>
                <w:highlight w:val="none"/>
              </w:rPr>
            </w:pPr>
            <w:r>
              <w:rPr>
                <w:color w:val="auto"/>
                <w:sz w:val="18"/>
                <w:szCs w:val="18"/>
                <w:highlight w:val="none"/>
              </w:rPr>
              <w:t>9.</w:t>
            </w:r>
            <w:r>
              <w:rPr>
                <w:rFonts w:hint="eastAsia"/>
                <w:color w:val="auto"/>
                <w:sz w:val="18"/>
                <w:szCs w:val="18"/>
                <w:highlight w:val="none"/>
              </w:rPr>
              <w:t>基于分类分级任务报告，可对生成的敏感标签和敏感级别进行编辑，并依据角色审批权限对分类分级结果进行审批。</w:t>
            </w:r>
          </w:p>
          <w:p w14:paraId="706818A7">
            <w:pPr>
              <w:ind w:firstLine="360" w:firstLineChars="200"/>
              <w:rPr>
                <w:color w:val="auto"/>
                <w:sz w:val="18"/>
                <w:szCs w:val="18"/>
                <w:highlight w:val="none"/>
              </w:rPr>
            </w:pPr>
            <w:r>
              <w:rPr>
                <w:color w:val="auto"/>
                <w:sz w:val="18"/>
                <w:szCs w:val="18"/>
                <w:highlight w:val="none"/>
              </w:rPr>
              <w:t>10.</w:t>
            </w:r>
            <w:r>
              <w:rPr>
                <w:rFonts w:hint="eastAsia"/>
                <w:color w:val="auto"/>
                <w:sz w:val="18"/>
                <w:szCs w:val="18"/>
                <w:highlight w:val="none"/>
              </w:rPr>
              <w:t>支持对分类分级结果的校正审核；支持分级结果审核后的搜索；支持数据批量审核。</w:t>
            </w:r>
          </w:p>
          <w:p w14:paraId="6B750371">
            <w:pPr>
              <w:ind w:firstLine="360" w:firstLineChars="200"/>
              <w:rPr>
                <w:color w:val="auto"/>
                <w:sz w:val="18"/>
                <w:szCs w:val="18"/>
                <w:highlight w:val="none"/>
              </w:rPr>
            </w:pPr>
            <w:r>
              <w:rPr>
                <w:color w:val="auto"/>
                <w:sz w:val="18"/>
                <w:szCs w:val="18"/>
                <w:highlight w:val="none"/>
              </w:rPr>
              <w:t>11.</w:t>
            </w:r>
            <w:r>
              <w:rPr>
                <w:rFonts w:hint="eastAsia"/>
                <w:color w:val="auto"/>
                <w:sz w:val="18"/>
                <w:szCs w:val="18"/>
                <w:highlight w:val="none"/>
              </w:rPr>
              <w:t>具备按照数据分类分级结果等级定义外发策略，一键转换为</w:t>
            </w:r>
            <w:r>
              <w:rPr>
                <w:color w:val="auto"/>
                <w:sz w:val="18"/>
                <w:szCs w:val="18"/>
                <w:highlight w:val="none"/>
              </w:rPr>
              <w:t>API</w:t>
            </w:r>
            <w:r>
              <w:rPr>
                <w:rFonts w:hint="eastAsia"/>
                <w:color w:val="auto"/>
                <w:sz w:val="18"/>
                <w:szCs w:val="18"/>
                <w:highlight w:val="none"/>
              </w:rPr>
              <w:t>外发接口。</w:t>
            </w:r>
          </w:p>
          <w:p w14:paraId="32F84DAB">
            <w:pPr>
              <w:widowControl/>
              <w:ind w:firstLine="360" w:firstLineChars="200"/>
              <w:jc w:val="left"/>
              <w:rPr>
                <w:color w:val="auto"/>
                <w:sz w:val="18"/>
                <w:szCs w:val="18"/>
                <w:highlight w:val="none"/>
              </w:rPr>
            </w:pPr>
            <w:r>
              <w:rPr>
                <w:color w:val="auto"/>
                <w:sz w:val="18"/>
                <w:szCs w:val="18"/>
                <w:highlight w:val="none"/>
              </w:rPr>
              <w:t>12.</w:t>
            </w:r>
            <w:r>
              <w:rPr>
                <w:rFonts w:hint="eastAsia"/>
                <w:color w:val="auto"/>
                <w:sz w:val="18"/>
                <w:szCs w:val="18"/>
                <w:highlight w:val="none"/>
              </w:rPr>
              <w:t>可将任务检测结果推送给第三方安全工具，实现按分类分级结果完成第三方安全工具安全策略配置。</w:t>
            </w:r>
          </w:p>
          <w:p w14:paraId="3FF5E94C">
            <w:pPr>
              <w:widowControl/>
              <w:ind w:firstLine="360" w:firstLineChars="200"/>
              <w:jc w:val="left"/>
              <w:rPr>
                <w:rFonts w:hint="eastAsia" w:ascii="宋体" w:hAnsi="宋体" w:cs="宋体"/>
                <w:color w:val="auto"/>
                <w:kern w:val="0"/>
                <w:sz w:val="18"/>
                <w:szCs w:val="18"/>
                <w:highlight w:val="none"/>
              </w:rPr>
            </w:pPr>
            <w:r>
              <w:rPr>
                <w:rFonts w:hint="eastAsia"/>
                <w:color w:val="auto"/>
                <w:sz w:val="18"/>
                <w:szCs w:val="18"/>
                <w:highlight w:val="none"/>
              </w:rPr>
              <w:t>二、</w:t>
            </w:r>
            <w:r>
              <w:rPr>
                <w:rFonts w:hint="eastAsia" w:ascii="宋体" w:hAnsi="宋体" w:cs="宋体"/>
                <w:color w:val="auto"/>
                <w:kern w:val="0"/>
                <w:sz w:val="18"/>
                <w:szCs w:val="18"/>
                <w:highlight w:val="none"/>
              </w:rPr>
              <w:t>数据访问控制组件</w:t>
            </w:r>
          </w:p>
          <w:p w14:paraId="20EA69AF">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基于数据库协议分析与访问行为控制，通过全面的数据库通讯协议解析，基于身份鉴别和行为分析的主动防御机制，能够主动实时监控、识别、告警、阻断针对数据库的安全威胁，实现数据库的行为特征分析、访问行为监控和危险操作阻断。单套支持不少于30个数据库实例，最大支持吞吐量峰值</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35000条SQL/秒，并发连接数峰值</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8000；新建连接数峰值</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5000，时延≤3ms。</w:t>
            </w:r>
          </w:p>
          <w:p w14:paraId="3A79A5F0">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2.支持代理模式，可代理数据库，实现系统采集到数据库流量。</w:t>
            </w:r>
          </w:p>
          <w:p w14:paraId="3E248DF6">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3.支持传统关系型数据库，如：SQL Server、MySQL、Oracle、Sybase、DB2、Informix、PostgreSQL、MariaDB、 Caché（后关系型数据库）的安全防护；</w:t>
            </w:r>
          </w:p>
          <w:p w14:paraId="09098F4B">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4.支持大数据平台下的大数据库如Hive、ES、MongoDB、Solr等大数据安全审计或防护，支持内存数据库HANA、Redis等特殊应用场景下的数据库安全防护，支持国产化数据库如DM（达梦）、GaussDB、GBase的安全审计或防护。</w:t>
            </w:r>
          </w:p>
          <w:p w14:paraId="38D9FE10">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5.对需要阻断的访问，中断数据库连接；对需要阻断的访问，返回错误提示信息，当前语句被拦截后，该会话不中断。</w:t>
            </w:r>
          </w:p>
          <w:p w14:paraId="058D3D09">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6.支持对操作时间、SQL语句、执行结果、执行时长、数据库用户名、实例名、源/目的IP、目的端口、源MAC、客户端主机名、客户端程序名称、客户端操作系统用户名等15个条件以上进行审计防护。</w:t>
            </w:r>
          </w:p>
          <w:p w14:paraId="343406CE">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7.支持基于SQL语法解析实现SQL操作的风险识别能力，非正则方式模糊匹配。</w:t>
            </w:r>
          </w:p>
          <w:p w14:paraId="2E0AFE28">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8.支持拦截no where引起的整表更新、整表清空的误操作；</w:t>
            </w:r>
          </w:p>
          <w:p w14:paraId="1E697ED6">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9.支持拦截指定数据库对象的ALTER DROP、TRUNCATE等高危操作行为，支持数据库权限变更行为管控；</w:t>
            </w:r>
          </w:p>
          <w:p w14:paraId="5ACDF53F">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已阻断行为支持审批放行，针对某个数据库设置放行规则，支持操作类型、关键字、访问工具、客户端IP、正则表达式、返回行数阈值等条件设置放行规则，实现灵活管控数据库操作行为，满足特殊运维场景的需要。11.全面支持后关系型数据库Cache的集成工具Terminal、Portal、Studio、Sqlmanager、sqldbx、MedTrak工具的审计，并支持sqldbx、portal、Sqlmanager工具操作的拦截，其中Portal能审计到Sql语句、查询Global有返回结果，Sqlmanager支持根据SQL ID提取高效审计，Terminal能审计到SQL语句和返回结果，并支持本地审计，基于C/S的MedTrak工具能审计到操作报表的具体返回结果。</w:t>
            </w:r>
          </w:p>
          <w:p w14:paraId="0EEFE1BE">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12.支持Hadoop架构下的数据仓库HIVE的防护，如：能审计与拦截Hive_HSQL创建数据库、建表、删除表、修改表结构、创建／删除视图、向数据表内加载文件、将查询结果插入到Hive表中、基本的查询等操作。</w:t>
            </w:r>
          </w:p>
          <w:p w14:paraId="3A3BB3C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13.支持针对利用已公开的数据库漏洞攻击行为进行拦截的虚拟补丁功能。</w:t>
            </w:r>
          </w:p>
          <w:p w14:paraId="3EBAA9E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14.支持自定义安全防护策略，防护策略的条件包括</w:t>
            </w:r>
            <w:r>
              <w:rPr>
                <w:rFonts w:hint="eastAsia" w:ascii="宋体" w:hAnsi="宋体" w:cs="宋体"/>
                <w:color w:val="auto"/>
                <w:kern w:val="0"/>
                <w:sz w:val="18"/>
                <w:szCs w:val="18"/>
                <w:highlight w:val="none"/>
                <w:lang w:val="en-US" w:eastAsia="zh-CN"/>
              </w:rPr>
              <w:t>但</w:t>
            </w:r>
            <w:r>
              <w:rPr>
                <w:rFonts w:hint="eastAsia" w:ascii="宋体" w:hAnsi="宋体" w:cs="宋体"/>
                <w:color w:val="auto"/>
                <w:kern w:val="0"/>
                <w:sz w:val="18"/>
                <w:szCs w:val="18"/>
                <w:highlight w:val="none"/>
              </w:rPr>
              <w:t>不限于操作类型、关键字、访问工具、客户端IP、客户端MAC、操作系统主机名、操作系统用户名、应用账户名、数据库账号、数据库名、表名、字段名、语句长度、语句执行回应、语句执行时间、返回行数、返回内容、正则表达式、规则生效时间；审计策略条件之间支持等于或不等于、大于等于或小于等逻辑关系。</w:t>
            </w:r>
          </w:p>
          <w:p w14:paraId="23FAE2D9">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15.支持操作语句系列的组合规则，可根据某一客体的操作行为集合，连续操作了设定的语句序列时进行规则审计告警。</w:t>
            </w:r>
          </w:p>
          <w:p w14:paraId="357F4FFC">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系统内置敏感数据类型，可自动发现业务环境中数据库对象中包含敏感数据类型，进行敏感数据级别的定义；支持敏感数据自定义，支持敏感数据扫描和结果同步；支持自定义敏感规则，可根据配置字段包括操作类型、敏感配置（保护对象所属的敏感数据）主体信息（访问工具、访问IP、客户端MAC、操作系统主机名、操作系统用户名）、规则生效时间进行敏感数据的操作行为监控、阻断防护。</w:t>
            </w:r>
          </w:p>
          <w:p w14:paraId="0DC5E80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17.支持发现、预警并阻断危害数据库的行为，如SQL注入、跨站脚 本攻击、数据库导库、字段猜测、代码更改等。支持短信、邮件、syslog、snmp trap等告警方式。</w:t>
            </w:r>
          </w:p>
          <w:p w14:paraId="796ACF79">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三、数据脱敏组件</w:t>
            </w:r>
          </w:p>
          <w:p w14:paraId="574930D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过内置的多项高效脱敏算法，根据实际需求使用数据遮蔽、数据仿真、数据关键值替换、数据随机替换等多种脱敏技术隐藏真实敏感信息，数据管理人员可通过脱敏系统将数据进行静态脱敏导出到库或文件中。单套动态脱敏支持不少于30个数据库实例，动态脱敏脱敏峰值处理能力：</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65000条SQL/秒；时延峰值不超过100ms；吞吐量峰值≥800Mb/s，并发连接峰值≥30000；静态脱敏：最大脱敏峰值处理能力：</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85GB/小时；</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95万单元格/秒。</w:t>
            </w:r>
          </w:p>
          <w:p w14:paraId="4D441FBC">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（一）动态脱敏要求</w:t>
            </w:r>
          </w:p>
          <w:p w14:paraId="09648018">
            <w:pPr>
              <w:rPr>
                <w:color w:val="auto"/>
                <w:sz w:val="18"/>
                <w:szCs w:val="18"/>
                <w:highlight w:val="none"/>
              </w:rPr>
            </w:pPr>
            <w:r>
              <w:rPr>
                <w:rFonts w:hint="eastAsia"/>
                <w:color w:val="auto"/>
                <w:sz w:val="18"/>
                <w:szCs w:val="18"/>
                <w:highlight w:val="none"/>
              </w:rPr>
              <w:t>1.支持国际主流数据库，</w:t>
            </w:r>
            <w:r>
              <w:rPr>
                <w:color w:val="auto"/>
                <w:sz w:val="18"/>
                <w:szCs w:val="18"/>
                <w:highlight w:val="none"/>
              </w:rPr>
              <w:t>Oracle</w:t>
            </w:r>
            <w:r>
              <w:rPr>
                <w:rFonts w:hint="eastAsia"/>
                <w:color w:val="auto"/>
                <w:sz w:val="18"/>
                <w:szCs w:val="18"/>
                <w:highlight w:val="none"/>
              </w:rPr>
              <w:t>、</w:t>
            </w:r>
            <w:r>
              <w:rPr>
                <w:color w:val="auto"/>
                <w:sz w:val="18"/>
                <w:szCs w:val="18"/>
                <w:highlight w:val="none"/>
              </w:rPr>
              <w:t>MySQL</w:t>
            </w:r>
            <w:r>
              <w:rPr>
                <w:rFonts w:hint="eastAsia"/>
                <w:color w:val="auto"/>
                <w:sz w:val="18"/>
                <w:szCs w:val="18"/>
                <w:highlight w:val="none"/>
              </w:rPr>
              <w:t>、</w:t>
            </w:r>
            <w:r>
              <w:rPr>
                <w:color w:val="auto"/>
                <w:sz w:val="18"/>
                <w:szCs w:val="18"/>
                <w:highlight w:val="none"/>
              </w:rPr>
              <w:t>SQL Server</w:t>
            </w:r>
            <w:r>
              <w:rPr>
                <w:rFonts w:hint="eastAsia"/>
                <w:color w:val="auto"/>
                <w:sz w:val="18"/>
                <w:szCs w:val="18"/>
                <w:highlight w:val="none"/>
              </w:rPr>
              <w:t>、</w:t>
            </w:r>
            <w:r>
              <w:rPr>
                <w:color w:val="auto"/>
                <w:sz w:val="18"/>
                <w:szCs w:val="18"/>
                <w:highlight w:val="none"/>
              </w:rPr>
              <w:t>PostgreSQL</w:t>
            </w:r>
            <w:r>
              <w:rPr>
                <w:rFonts w:hint="eastAsia"/>
                <w:color w:val="auto"/>
                <w:sz w:val="18"/>
                <w:szCs w:val="18"/>
                <w:highlight w:val="none"/>
              </w:rPr>
              <w:t>数据库脱敏能力。支持国产关系型数据库，达梦（</w:t>
            </w:r>
            <w:r>
              <w:rPr>
                <w:color w:val="auto"/>
                <w:sz w:val="18"/>
                <w:szCs w:val="18"/>
                <w:highlight w:val="none"/>
              </w:rPr>
              <w:t>DM</w:t>
            </w:r>
            <w:r>
              <w:rPr>
                <w:rFonts w:hint="eastAsia"/>
                <w:color w:val="auto"/>
                <w:sz w:val="18"/>
                <w:szCs w:val="18"/>
                <w:highlight w:val="none"/>
              </w:rPr>
              <w:t>）、人大金仓（</w:t>
            </w:r>
            <w:r>
              <w:rPr>
                <w:color w:val="auto"/>
                <w:sz w:val="18"/>
                <w:szCs w:val="18"/>
                <w:highlight w:val="none"/>
              </w:rPr>
              <w:t>KingbaseES</w:t>
            </w:r>
            <w:r>
              <w:rPr>
                <w:rFonts w:hint="eastAsia"/>
                <w:color w:val="auto"/>
                <w:sz w:val="18"/>
                <w:szCs w:val="18"/>
                <w:highlight w:val="none"/>
              </w:rPr>
              <w:t>）、</w:t>
            </w:r>
            <w:r>
              <w:rPr>
                <w:color w:val="auto"/>
                <w:sz w:val="18"/>
                <w:szCs w:val="18"/>
                <w:highlight w:val="none"/>
              </w:rPr>
              <w:t>GaussDB</w:t>
            </w:r>
            <w:r>
              <w:rPr>
                <w:rFonts w:hint="eastAsia"/>
                <w:color w:val="auto"/>
                <w:sz w:val="18"/>
                <w:szCs w:val="18"/>
                <w:highlight w:val="none"/>
              </w:rPr>
              <w:t>、</w:t>
            </w:r>
            <w:r>
              <w:rPr>
                <w:color w:val="auto"/>
                <w:sz w:val="18"/>
                <w:szCs w:val="18"/>
                <w:highlight w:val="none"/>
              </w:rPr>
              <w:t>Vastbase</w:t>
            </w:r>
            <w:r>
              <w:rPr>
                <w:rFonts w:hint="eastAsia"/>
                <w:color w:val="auto"/>
                <w:sz w:val="18"/>
                <w:szCs w:val="18"/>
                <w:highlight w:val="none"/>
              </w:rPr>
              <w:t>、</w:t>
            </w:r>
            <w:r>
              <w:rPr>
                <w:color w:val="auto"/>
                <w:sz w:val="18"/>
                <w:szCs w:val="18"/>
                <w:highlight w:val="none"/>
              </w:rPr>
              <w:t>HighGo</w:t>
            </w:r>
            <w:r>
              <w:rPr>
                <w:rFonts w:hint="eastAsia"/>
                <w:color w:val="auto"/>
                <w:sz w:val="18"/>
                <w:szCs w:val="18"/>
                <w:highlight w:val="none"/>
              </w:rPr>
              <w:t>数据库脱敏能力，支持国产分布式关系型数据库，</w:t>
            </w:r>
            <w:r>
              <w:rPr>
                <w:color w:val="auto"/>
                <w:sz w:val="18"/>
                <w:szCs w:val="18"/>
                <w:highlight w:val="none"/>
              </w:rPr>
              <w:t>OceanBase</w:t>
            </w:r>
            <w:r>
              <w:rPr>
                <w:rFonts w:hint="eastAsia"/>
                <w:color w:val="auto"/>
                <w:sz w:val="18"/>
                <w:szCs w:val="18"/>
                <w:highlight w:val="none"/>
              </w:rPr>
              <w:t>、</w:t>
            </w:r>
            <w:r>
              <w:rPr>
                <w:color w:val="auto"/>
                <w:sz w:val="18"/>
                <w:szCs w:val="18"/>
                <w:highlight w:val="none"/>
              </w:rPr>
              <w:t>TiDB</w:t>
            </w:r>
            <w:r>
              <w:rPr>
                <w:rFonts w:hint="eastAsia"/>
                <w:color w:val="auto"/>
                <w:sz w:val="18"/>
                <w:szCs w:val="18"/>
                <w:highlight w:val="none"/>
              </w:rPr>
              <w:t>数据库脱敏能力。</w:t>
            </w:r>
          </w:p>
          <w:p w14:paraId="78E9428D">
            <w:pPr>
              <w:rPr>
                <w:color w:val="auto"/>
                <w:sz w:val="18"/>
                <w:szCs w:val="18"/>
                <w:highlight w:val="none"/>
              </w:rPr>
            </w:pPr>
            <w:r>
              <w:rPr>
                <w:rFonts w:hint="eastAsia"/>
                <w:color w:val="auto"/>
                <w:sz w:val="18"/>
                <w:szCs w:val="18"/>
                <w:highlight w:val="none"/>
              </w:rPr>
              <w:t>2</w:t>
            </w:r>
            <w:r>
              <w:rPr>
                <w:color w:val="auto"/>
                <w:sz w:val="18"/>
                <w:szCs w:val="18"/>
                <w:highlight w:val="none"/>
              </w:rPr>
              <w:t>.</w:t>
            </w:r>
            <w:r>
              <w:rPr>
                <w:rFonts w:hint="eastAsia"/>
                <w:color w:val="auto"/>
                <w:sz w:val="18"/>
                <w:szCs w:val="18"/>
                <w:highlight w:val="none"/>
              </w:rPr>
              <w:t>内置脱敏算法能力包括遮盖、仿真、数字近似随机等，支持自定义遮盖算法位置以得到不同的脱敏效果。</w:t>
            </w:r>
          </w:p>
          <w:p w14:paraId="3B5951AD">
            <w:pPr>
              <w:rPr>
                <w:color w:val="auto"/>
                <w:sz w:val="18"/>
                <w:szCs w:val="18"/>
                <w:highlight w:val="none"/>
              </w:rPr>
            </w:pPr>
            <w:r>
              <w:rPr>
                <w:rFonts w:hint="eastAsia"/>
                <w:color w:val="auto"/>
                <w:sz w:val="18"/>
                <w:szCs w:val="18"/>
                <w:highlight w:val="none"/>
              </w:rPr>
              <w:t>3</w:t>
            </w:r>
            <w:r>
              <w:rPr>
                <w:color w:val="auto"/>
                <w:sz w:val="18"/>
                <w:szCs w:val="18"/>
                <w:highlight w:val="none"/>
              </w:rPr>
              <w:t>.</w:t>
            </w:r>
            <w:r>
              <w:rPr>
                <w:rFonts w:hint="eastAsia"/>
                <w:color w:val="auto"/>
                <w:sz w:val="18"/>
                <w:szCs w:val="18"/>
                <w:highlight w:val="none"/>
              </w:rPr>
              <w:t>支持自定义敏感类型及自动扫描数据库库表字段，根据设置发现的样本，匹配率可手动、周期、定时执行扫描任务获取字段信息。</w:t>
            </w:r>
          </w:p>
          <w:p w14:paraId="641BA6AA">
            <w:pPr>
              <w:rPr>
                <w:color w:val="auto"/>
                <w:sz w:val="18"/>
                <w:szCs w:val="18"/>
                <w:highlight w:val="none"/>
              </w:rPr>
            </w:pPr>
            <w:r>
              <w:rPr>
                <w:rFonts w:hint="eastAsia"/>
                <w:color w:val="auto"/>
                <w:sz w:val="18"/>
                <w:szCs w:val="18"/>
                <w:highlight w:val="none"/>
              </w:rPr>
              <w:t>4</w:t>
            </w:r>
            <w:r>
              <w:rPr>
                <w:color w:val="auto"/>
                <w:sz w:val="18"/>
                <w:szCs w:val="18"/>
                <w:highlight w:val="none"/>
              </w:rPr>
              <w:t>.</w:t>
            </w:r>
            <w:r>
              <w:rPr>
                <w:rFonts w:hint="eastAsia"/>
                <w:color w:val="auto"/>
                <w:sz w:val="18"/>
                <w:szCs w:val="18"/>
                <w:highlight w:val="none"/>
              </w:rPr>
              <w:t>支持基于敏感发现结果，自动关联敏感数据对应的脱敏算法，实现精准脱敏。</w:t>
            </w:r>
          </w:p>
          <w:p w14:paraId="729C0EF1">
            <w:pPr>
              <w:rPr>
                <w:color w:val="auto"/>
                <w:sz w:val="18"/>
                <w:szCs w:val="18"/>
                <w:highlight w:val="none"/>
              </w:rPr>
            </w:pPr>
            <w:r>
              <w:rPr>
                <w:rFonts w:hint="eastAsia"/>
                <w:color w:val="auto"/>
                <w:sz w:val="18"/>
                <w:szCs w:val="18"/>
                <w:highlight w:val="none"/>
              </w:rPr>
              <w:t>5</w:t>
            </w:r>
            <w:r>
              <w:rPr>
                <w:color w:val="auto"/>
                <w:sz w:val="18"/>
                <w:szCs w:val="18"/>
                <w:highlight w:val="none"/>
              </w:rPr>
              <w:t>.</w:t>
            </w:r>
            <w:r>
              <w:rPr>
                <w:rFonts w:hint="eastAsia"/>
                <w:color w:val="auto"/>
                <w:sz w:val="18"/>
                <w:szCs w:val="18"/>
                <w:highlight w:val="none"/>
              </w:rPr>
              <w:t>支持所有敏感访问的操作实时记录其脱敏日志，日志包括操作时间、客户端</w:t>
            </w:r>
            <w:r>
              <w:rPr>
                <w:color w:val="auto"/>
                <w:sz w:val="18"/>
                <w:szCs w:val="18"/>
                <w:highlight w:val="none"/>
              </w:rPr>
              <w:t>IP</w:t>
            </w:r>
            <w:r>
              <w:rPr>
                <w:rFonts w:hint="eastAsia"/>
                <w:color w:val="auto"/>
                <w:sz w:val="18"/>
                <w:szCs w:val="18"/>
                <w:highlight w:val="none"/>
              </w:rPr>
              <w:t>、客户端端口、代理服务、数据库名称、数据库</w:t>
            </w:r>
            <w:r>
              <w:rPr>
                <w:color w:val="auto"/>
                <w:sz w:val="18"/>
                <w:szCs w:val="18"/>
                <w:highlight w:val="none"/>
              </w:rPr>
              <w:t>IP</w:t>
            </w:r>
            <w:r>
              <w:rPr>
                <w:rFonts w:hint="eastAsia"/>
                <w:color w:val="auto"/>
                <w:sz w:val="18"/>
                <w:szCs w:val="18"/>
                <w:highlight w:val="none"/>
              </w:rPr>
              <w:t>、数据库账号、脱敏行数、返回行数、脱敏字段数等关键内容进行记录，并提供多条件筛选；</w:t>
            </w:r>
          </w:p>
          <w:p w14:paraId="2830FFEA">
            <w:pPr>
              <w:rPr>
                <w:color w:val="auto"/>
                <w:sz w:val="18"/>
                <w:szCs w:val="18"/>
                <w:highlight w:val="none"/>
              </w:rPr>
            </w:pPr>
            <w:r>
              <w:rPr>
                <w:rFonts w:hint="eastAsia"/>
                <w:color w:val="auto"/>
                <w:sz w:val="18"/>
                <w:szCs w:val="18"/>
                <w:highlight w:val="none"/>
              </w:rPr>
              <w:t>6</w:t>
            </w:r>
            <w:r>
              <w:rPr>
                <w:color w:val="auto"/>
                <w:sz w:val="18"/>
                <w:szCs w:val="18"/>
                <w:highlight w:val="none"/>
              </w:rPr>
              <w:t>.</w:t>
            </w:r>
            <w:r>
              <w:rPr>
                <w:rFonts w:hint="eastAsia"/>
                <w:color w:val="auto"/>
                <w:sz w:val="18"/>
                <w:szCs w:val="18"/>
                <w:highlight w:val="none"/>
              </w:rPr>
              <w:t>支持数据库账号或客户端</w:t>
            </w:r>
            <w:r>
              <w:rPr>
                <w:color w:val="auto"/>
                <w:sz w:val="18"/>
                <w:szCs w:val="18"/>
                <w:highlight w:val="none"/>
              </w:rPr>
              <w:t>IP</w:t>
            </w:r>
            <w:r>
              <w:rPr>
                <w:rFonts w:hint="eastAsia"/>
                <w:color w:val="auto"/>
                <w:sz w:val="18"/>
                <w:szCs w:val="18"/>
                <w:highlight w:val="none"/>
              </w:rPr>
              <w:t>地址添加黑白名单权限控制，支持文件导入数据库账号及账号组进行权限管理。</w:t>
            </w:r>
          </w:p>
          <w:p w14:paraId="2B8C09DB">
            <w:pPr>
              <w:rPr>
                <w:color w:val="auto"/>
                <w:sz w:val="18"/>
                <w:szCs w:val="18"/>
                <w:highlight w:val="none"/>
              </w:rPr>
            </w:pPr>
            <w:r>
              <w:rPr>
                <w:rFonts w:hint="eastAsia"/>
                <w:color w:val="auto"/>
                <w:sz w:val="18"/>
                <w:szCs w:val="18"/>
                <w:highlight w:val="none"/>
              </w:rPr>
              <w:t>7</w:t>
            </w:r>
            <w:r>
              <w:rPr>
                <w:color w:val="auto"/>
                <w:sz w:val="18"/>
                <w:szCs w:val="18"/>
                <w:highlight w:val="none"/>
              </w:rPr>
              <w:t>.</w:t>
            </w:r>
            <w:r>
              <w:rPr>
                <w:rFonts w:hint="eastAsia"/>
                <w:color w:val="auto"/>
                <w:sz w:val="18"/>
                <w:szCs w:val="18"/>
                <w:highlight w:val="none"/>
              </w:rPr>
              <w:t>支持账号、账号组脱敏策略配置，可根据不同的敏感类型绑定配置实现账号按需脱敏包括不脱敏、全脱敏、默认全局脱敏。</w:t>
            </w:r>
          </w:p>
          <w:p w14:paraId="1D67F465">
            <w:pPr>
              <w:rPr>
                <w:color w:val="auto"/>
                <w:sz w:val="18"/>
                <w:szCs w:val="18"/>
                <w:highlight w:val="none"/>
              </w:rPr>
            </w:pPr>
            <w:r>
              <w:rPr>
                <w:rFonts w:hint="eastAsia"/>
                <w:color w:val="auto"/>
                <w:sz w:val="18"/>
                <w:szCs w:val="18"/>
                <w:highlight w:val="none"/>
              </w:rPr>
              <w:t>8</w:t>
            </w:r>
            <w:r>
              <w:rPr>
                <w:color w:val="auto"/>
                <w:sz w:val="18"/>
                <w:szCs w:val="18"/>
                <w:highlight w:val="none"/>
              </w:rPr>
              <w:t>.</w:t>
            </w:r>
            <w:r>
              <w:rPr>
                <w:rFonts w:hint="eastAsia"/>
                <w:color w:val="auto"/>
                <w:sz w:val="18"/>
                <w:szCs w:val="18"/>
                <w:highlight w:val="none"/>
              </w:rPr>
              <w:t>支持实时监控访问总数、黑名单、敏感访问账号</w:t>
            </w:r>
            <w:r>
              <w:rPr>
                <w:color w:val="auto"/>
                <w:sz w:val="18"/>
                <w:szCs w:val="18"/>
                <w:highlight w:val="none"/>
              </w:rPr>
              <w:t>Top</w:t>
            </w:r>
            <w:r>
              <w:rPr>
                <w:rFonts w:hint="eastAsia"/>
                <w:color w:val="auto"/>
                <w:sz w:val="18"/>
                <w:szCs w:val="18"/>
                <w:highlight w:val="none"/>
              </w:rPr>
              <w:t>、数据脱敏流量、数据库会话</w:t>
            </w:r>
            <w:r>
              <w:rPr>
                <w:color w:val="auto"/>
                <w:sz w:val="18"/>
                <w:szCs w:val="18"/>
                <w:highlight w:val="none"/>
              </w:rPr>
              <w:t>Top</w:t>
            </w:r>
            <w:r>
              <w:rPr>
                <w:rFonts w:hint="eastAsia"/>
                <w:color w:val="auto"/>
                <w:sz w:val="18"/>
                <w:szCs w:val="18"/>
                <w:highlight w:val="none"/>
              </w:rPr>
              <w:t>等数据监控。</w:t>
            </w:r>
          </w:p>
          <w:p w14:paraId="61E3D63B">
            <w:pPr>
              <w:ind w:firstLine="360" w:firstLineChars="200"/>
              <w:rPr>
                <w:color w:val="auto"/>
                <w:sz w:val="18"/>
                <w:szCs w:val="18"/>
                <w:highlight w:val="none"/>
              </w:rPr>
            </w:pPr>
            <w:r>
              <w:rPr>
                <w:rFonts w:hint="eastAsia"/>
                <w:color w:val="auto"/>
                <w:sz w:val="18"/>
                <w:szCs w:val="18"/>
                <w:highlight w:val="none"/>
              </w:rPr>
              <w:t>（二）静态脱敏能力要求</w:t>
            </w:r>
          </w:p>
          <w:p w14:paraId="2214D8CE">
            <w:pPr>
              <w:rPr>
                <w:color w:val="auto"/>
                <w:sz w:val="18"/>
                <w:szCs w:val="18"/>
                <w:highlight w:val="none"/>
              </w:rPr>
            </w:pPr>
            <w:r>
              <w:rPr>
                <w:color w:val="auto"/>
                <w:sz w:val="18"/>
                <w:szCs w:val="18"/>
                <w:highlight w:val="none"/>
              </w:rPr>
              <w:t>1.</w:t>
            </w:r>
            <w:r>
              <w:rPr>
                <w:rFonts w:hint="eastAsia"/>
                <w:color w:val="auto"/>
                <w:sz w:val="18"/>
                <w:szCs w:val="18"/>
                <w:highlight w:val="none"/>
              </w:rPr>
              <w:t>支持多种数据源，包括：</w:t>
            </w:r>
            <w:r>
              <w:rPr>
                <w:color w:val="auto"/>
                <w:sz w:val="18"/>
                <w:szCs w:val="18"/>
                <w:highlight w:val="none"/>
              </w:rPr>
              <w:t>Oracle</w:t>
            </w:r>
            <w:r>
              <w:rPr>
                <w:rFonts w:hint="eastAsia"/>
                <w:color w:val="auto"/>
                <w:sz w:val="18"/>
                <w:szCs w:val="18"/>
                <w:highlight w:val="none"/>
              </w:rPr>
              <w:t>、</w:t>
            </w:r>
            <w:r>
              <w:rPr>
                <w:color w:val="auto"/>
                <w:sz w:val="18"/>
                <w:szCs w:val="18"/>
                <w:highlight w:val="none"/>
              </w:rPr>
              <w:t>MySQL</w:t>
            </w:r>
            <w:r>
              <w:rPr>
                <w:rFonts w:hint="eastAsia"/>
                <w:color w:val="auto"/>
                <w:sz w:val="18"/>
                <w:szCs w:val="18"/>
                <w:highlight w:val="none"/>
              </w:rPr>
              <w:t>、</w:t>
            </w:r>
            <w:r>
              <w:rPr>
                <w:color w:val="auto"/>
                <w:sz w:val="18"/>
                <w:szCs w:val="18"/>
                <w:highlight w:val="none"/>
              </w:rPr>
              <w:t>SQL Server</w:t>
            </w:r>
            <w:r>
              <w:rPr>
                <w:rFonts w:hint="eastAsia"/>
                <w:color w:val="auto"/>
                <w:sz w:val="18"/>
                <w:szCs w:val="18"/>
                <w:highlight w:val="none"/>
              </w:rPr>
              <w:t>、</w:t>
            </w:r>
            <w:r>
              <w:rPr>
                <w:color w:val="auto"/>
                <w:sz w:val="18"/>
                <w:szCs w:val="18"/>
                <w:highlight w:val="none"/>
              </w:rPr>
              <w:t>DB2</w:t>
            </w:r>
            <w:r>
              <w:rPr>
                <w:rFonts w:hint="eastAsia"/>
                <w:color w:val="auto"/>
                <w:sz w:val="18"/>
                <w:szCs w:val="18"/>
                <w:highlight w:val="none"/>
              </w:rPr>
              <w:t>、</w:t>
            </w:r>
            <w:r>
              <w:rPr>
                <w:color w:val="auto"/>
                <w:sz w:val="18"/>
                <w:szCs w:val="18"/>
                <w:highlight w:val="none"/>
              </w:rPr>
              <w:t>PostgreSQL</w:t>
            </w:r>
            <w:r>
              <w:rPr>
                <w:rFonts w:hint="eastAsia"/>
                <w:color w:val="auto"/>
                <w:sz w:val="18"/>
                <w:szCs w:val="18"/>
                <w:highlight w:val="none"/>
              </w:rPr>
              <w:t>、</w:t>
            </w:r>
            <w:r>
              <w:rPr>
                <w:color w:val="auto"/>
                <w:sz w:val="18"/>
                <w:szCs w:val="18"/>
                <w:highlight w:val="none"/>
              </w:rPr>
              <w:t>Sybase</w:t>
            </w:r>
            <w:r>
              <w:rPr>
                <w:rFonts w:hint="eastAsia"/>
                <w:color w:val="auto"/>
                <w:sz w:val="18"/>
                <w:szCs w:val="18"/>
                <w:highlight w:val="none"/>
              </w:rPr>
              <w:t>、</w:t>
            </w:r>
            <w:r>
              <w:rPr>
                <w:color w:val="auto"/>
                <w:sz w:val="18"/>
                <w:szCs w:val="18"/>
                <w:highlight w:val="none"/>
              </w:rPr>
              <w:t>TiDB</w:t>
            </w:r>
            <w:r>
              <w:rPr>
                <w:rFonts w:hint="eastAsia"/>
                <w:color w:val="auto"/>
                <w:sz w:val="18"/>
                <w:szCs w:val="18"/>
                <w:highlight w:val="none"/>
              </w:rPr>
              <w:t>、</w:t>
            </w:r>
            <w:r>
              <w:rPr>
                <w:color w:val="auto"/>
                <w:sz w:val="18"/>
                <w:szCs w:val="18"/>
                <w:highlight w:val="none"/>
              </w:rPr>
              <w:t>Informix</w:t>
            </w:r>
            <w:r>
              <w:rPr>
                <w:rFonts w:hint="eastAsia"/>
                <w:color w:val="auto"/>
                <w:sz w:val="18"/>
                <w:szCs w:val="18"/>
                <w:highlight w:val="none"/>
              </w:rPr>
              <w:t>、</w:t>
            </w:r>
            <w:r>
              <w:rPr>
                <w:color w:val="auto"/>
                <w:sz w:val="18"/>
                <w:szCs w:val="18"/>
                <w:highlight w:val="none"/>
              </w:rPr>
              <w:t>MariaDB</w:t>
            </w:r>
            <w:r>
              <w:rPr>
                <w:rFonts w:hint="eastAsia"/>
                <w:color w:val="auto"/>
                <w:sz w:val="18"/>
                <w:szCs w:val="18"/>
                <w:highlight w:val="none"/>
              </w:rPr>
              <w:t>等关系型数据库；支持</w:t>
            </w:r>
            <w:r>
              <w:rPr>
                <w:color w:val="auto"/>
                <w:sz w:val="18"/>
                <w:szCs w:val="18"/>
                <w:highlight w:val="none"/>
              </w:rPr>
              <w:t>IRIS</w:t>
            </w:r>
            <w:r>
              <w:rPr>
                <w:rFonts w:hint="eastAsia"/>
                <w:color w:val="auto"/>
                <w:sz w:val="18"/>
                <w:szCs w:val="18"/>
                <w:highlight w:val="none"/>
              </w:rPr>
              <w:t>、</w:t>
            </w:r>
            <w:r>
              <w:rPr>
                <w:color w:val="auto"/>
                <w:sz w:val="18"/>
                <w:szCs w:val="18"/>
                <w:highlight w:val="none"/>
              </w:rPr>
              <w:t>Cach</w:t>
            </w:r>
            <w:r>
              <w:rPr>
                <w:rFonts w:hint="eastAsia"/>
                <w:color w:val="auto"/>
                <w:sz w:val="18"/>
                <w:szCs w:val="18"/>
                <w:highlight w:val="none"/>
              </w:rPr>
              <w:t>é等后关系型数据库；支持</w:t>
            </w:r>
            <w:r>
              <w:rPr>
                <w:color w:val="auto"/>
                <w:sz w:val="18"/>
                <w:szCs w:val="18"/>
                <w:highlight w:val="none"/>
              </w:rPr>
              <w:t>Hive</w:t>
            </w:r>
            <w:r>
              <w:rPr>
                <w:rFonts w:hint="eastAsia"/>
                <w:color w:val="auto"/>
                <w:sz w:val="18"/>
                <w:szCs w:val="18"/>
                <w:highlight w:val="none"/>
              </w:rPr>
              <w:t>、</w:t>
            </w:r>
            <w:r>
              <w:rPr>
                <w:color w:val="auto"/>
                <w:sz w:val="18"/>
                <w:szCs w:val="18"/>
                <w:highlight w:val="none"/>
              </w:rPr>
              <w:t>HBase</w:t>
            </w:r>
            <w:r>
              <w:rPr>
                <w:rFonts w:hint="eastAsia"/>
                <w:color w:val="auto"/>
                <w:sz w:val="18"/>
                <w:szCs w:val="18"/>
                <w:highlight w:val="none"/>
              </w:rPr>
              <w:t>、</w:t>
            </w:r>
            <w:r>
              <w:rPr>
                <w:color w:val="auto"/>
                <w:sz w:val="18"/>
                <w:szCs w:val="18"/>
                <w:highlight w:val="none"/>
              </w:rPr>
              <w:t>MongoDB</w:t>
            </w:r>
            <w:r>
              <w:rPr>
                <w:rFonts w:hint="eastAsia"/>
                <w:color w:val="auto"/>
                <w:sz w:val="18"/>
                <w:szCs w:val="18"/>
                <w:highlight w:val="none"/>
              </w:rPr>
              <w:t>、</w:t>
            </w:r>
            <w:r>
              <w:rPr>
                <w:color w:val="auto"/>
                <w:sz w:val="18"/>
                <w:szCs w:val="18"/>
                <w:highlight w:val="none"/>
              </w:rPr>
              <w:t>Greenplum</w:t>
            </w:r>
            <w:r>
              <w:rPr>
                <w:rFonts w:hint="eastAsia"/>
                <w:color w:val="auto"/>
                <w:sz w:val="18"/>
                <w:szCs w:val="18"/>
                <w:highlight w:val="none"/>
              </w:rPr>
              <w:t>、</w:t>
            </w:r>
            <w:r>
              <w:rPr>
                <w:color w:val="auto"/>
                <w:sz w:val="18"/>
                <w:szCs w:val="18"/>
                <w:highlight w:val="none"/>
              </w:rPr>
              <w:t>Teradata</w:t>
            </w:r>
            <w:r>
              <w:rPr>
                <w:rFonts w:hint="eastAsia"/>
                <w:color w:val="auto"/>
                <w:sz w:val="18"/>
                <w:szCs w:val="18"/>
                <w:highlight w:val="none"/>
              </w:rPr>
              <w:t>等大数据平台或组件；支持达梦、人大金仓、南大通用</w:t>
            </w:r>
            <w:r>
              <w:rPr>
                <w:color w:val="auto"/>
                <w:sz w:val="18"/>
                <w:szCs w:val="18"/>
                <w:highlight w:val="none"/>
              </w:rPr>
              <w:t>Gbase</w:t>
            </w:r>
            <w:r>
              <w:rPr>
                <w:rFonts w:hint="eastAsia"/>
                <w:color w:val="auto"/>
                <w:sz w:val="18"/>
                <w:szCs w:val="18"/>
                <w:highlight w:val="none"/>
              </w:rPr>
              <w:t>、</w:t>
            </w:r>
            <w:r>
              <w:rPr>
                <w:color w:val="auto"/>
                <w:sz w:val="18"/>
                <w:szCs w:val="18"/>
                <w:highlight w:val="none"/>
              </w:rPr>
              <w:t>GaussDB</w:t>
            </w:r>
            <w:r>
              <w:rPr>
                <w:rFonts w:hint="eastAsia"/>
                <w:color w:val="auto"/>
                <w:sz w:val="18"/>
                <w:szCs w:val="18"/>
                <w:highlight w:val="none"/>
              </w:rPr>
              <w:t>、</w:t>
            </w:r>
            <w:r>
              <w:rPr>
                <w:color w:val="auto"/>
                <w:sz w:val="18"/>
                <w:szCs w:val="18"/>
                <w:highlight w:val="none"/>
              </w:rPr>
              <w:t>TDSQL</w:t>
            </w:r>
            <w:r>
              <w:rPr>
                <w:rFonts w:hint="eastAsia"/>
                <w:color w:val="auto"/>
                <w:sz w:val="18"/>
                <w:szCs w:val="18"/>
                <w:highlight w:val="none"/>
              </w:rPr>
              <w:t>等国产化数据库。支持阿里云下的</w:t>
            </w:r>
            <w:r>
              <w:rPr>
                <w:color w:val="auto"/>
                <w:sz w:val="18"/>
                <w:szCs w:val="18"/>
                <w:highlight w:val="none"/>
              </w:rPr>
              <w:t>RDS for MySQL</w:t>
            </w:r>
            <w:r>
              <w:rPr>
                <w:rFonts w:hint="eastAsia"/>
                <w:color w:val="auto"/>
                <w:sz w:val="18"/>
                <w:szCs w:val="18"/>
                <w:highlight w:val="none"/>
              </w:rPr>
              <w:t>、</w:t>
            </w:r>
            <w:r>
              <w:rPr>
                <w:color w:val="auto"/>
                <w:sz w:val="18"/>
                <w:szCs w:val="18"/>
                <w:highlight w:val="none"/>
              </w:rPr>
              <w:t>Maxcompute(ODPS)</w:t>
            </w:r>
            <w:r>
              <w:rPr>
                <w:rFonts w:hint="eastAsia"/>
                <w:color w:val="auto"/>
                <w:sz w:val="18"/>
                <w:szCs w:val="18"/>
                <w:highlight w:val="none"/>
              </w:rPr>
              <w:t>数据库。</w:t>
            </w:r>
          </w:p>
          <w:p w14:paraId="400DE277">
            <w:pPr>
              <w:rPr>
                <w:color w:val="auto"/>
                <w:sz w:val="18"/>
                <w:szCs w:val="18"/>
                <w:highlight w:val="none"/>
              </w:rPr>
            </w:pPr>
            <w:r>
              <w:rPr>
                <w:color w:val="auto"/>
                <w:sz w:val="18"/>
                <w:szCs w:val="18"/>
                <w:highlight w:val="none"/>
              </w:rPr>
              <w:t>2.</w:t>
            </w:r>
            <w:r>
              <w:rPr>
                <w:rFonts w:hint="eastAsia"/>
                <w:color w:val="auto"/>
                <w:sz w:val="18"/>
                <w:szCs w:val="18"/>
                <w:highlight w:val="none"/>
              </w:rPr>
              <w:t>支持</w:t>
            </w:r>
            <w:r>
              <w:rPr>
                <w:color w:val="auto"/>
                <w:sz w:val="18"/>
                <w:szCs w:val="18"/>
                <w:highlight w:val="none"/>
              </w:rPr>
              <w:t>Kafka</w:t>
            </w:r>
            <w:r>
              <w:rPr>
                <w:rFonts w:hint="eastAsia"/>
                <w:color w:val="auto"/>
                <w:sz w:val="18"/>
                <w:szCs w:val="18"/>
                <w:highlight w:val="none"/>
              </w:rPr>
              <w:t>消息队列数据脱敏，支持格式化文件脱敏，如</w:t>
            </w:r>
            <w:r>
              <w:rPr>
                <w:color w:val="auto"/>
                <w:sz w:val="18"/>
                <w:szCs w:val="18"/>
                <w:highlight w:val="none"/>
              </w:rPr>
              <w:t>Excel</w:t>
            </w:r>
            <w:r>
              <w:rPr>
                <w:rFonts w:hint="eastAsia"/>
                <w:color w:val="auto"/>
                <w:sz w:val="18"/>
                <w:szCs w:val="18"/>
                <w:highlight w:val="none"/>
              </w:rPr>
              <w:t>、</w:t>
            </w:r>
            <w:r>
              <w:rPr>
                <w:color w:val="auto"/>
                <w:sz w:val="18"/>
                <w:szCs w:val="18"/>
                <w:highlight w:val="none"/>
              </w:rPr>
              <w:t>Csv</w:t>
            </w:r>
            <w:r>
              <w:rPr>
                <w:rFonts w:hint="eastAsia"/>
                <w:color w:val="auto"/>
                <w:sz w:val="18"/>
                <w:szCs w:val="18"/>
                <w:highlight w:val="none"/>
              </w:rPr>
              <w:t>、</w:t>
            </w:r>
            <w:r>
              <w:rPr>
                <w:color w:val="auto"/>
                <w:sz w:val="18"/>
                <w:szCs w:val="18"/>
                <w:highlight w:val="none"/>
              </w:rPr>
              <w:t>Txt</w:t>
            </w:r>
            <w:r>
              <w:rPr>
                <w:rFonts w:hint="eastAsia"/>
                <w:color w:val="auto"/>
                <w:sz w:val="18"/>
                <w:szCs w:val="18"/>
                <w:highlight w:val="none"/>
              </w:rPr>
              <w:t>、</w:t>
            </w:r>
            <w:r>
              <w:rPr>
                <w:color w:val="auto"/>
                <w:sz w:val="18"/>
                <w:szCs w:val="18"/>
                <w:highlight w:val="none"/>
              </w:rPr>
              <w:t>DICOM</w:t>
            </w:r>
            <w:r>
              <w:rPr>
                <w:rFonts w:hint="eastAsia"/>
                <w:color w:val="auto"/>
                <w:sz w:val="18"/>
                <w:szCs w:val="18"/>
                <w:highlight w:val="none"/>
              </w:rPr>
              <w:t>等文件；支持数据库特有格式文件脱敏，如：</w:t>
            </w:r>
            <w:r>
              <w:rPr>
                <w:color w:val="auto"/>
                <w:sz w:val="18"/>
                <w:szCs w:val="18"/>
                <w:highlight w:val="none"/>
              </w:rPr>
              <w:t>Oracle Dump</w:t>
            </w:r>
            <w:r>
              <w:rPr>
                <w:rFonts w:hint="eastAsia"/>
                <w:color w:val="auto"/>
                <w:sz w:val="18"/>
                <w:szCs w:val="18"/>
                <w:highlight w:val="none"/>
              </w:rPr>
              <w:t>、</w:t>
            </w:r>
            <w:r>
              <w:rPr>
                <w:color w:val="auto"/>
                <w:sz w:val="18"/>
                <w:szCs w:val="18"/>
                <w:highlight w:val="none"/>
              </w:rPr>
              <w:t>MySQL Dump</w:t>
            </w:r>
            <w:r>
              <w:rPr>
                <w:rFonts w:hint="eastAsia"/>
                <w:color w:val="auto"/>
                <w:sz w:val="18"/>
                <w:szCs w:val="18"/>
                <w:highlight w:val="none"/>
              </w:rPr>
              <w:t>、</w:t>
            </w:r>
            <w:r>
              <w:rPr>
                <w:color w:val="auto"/>
                <w:sz w:val="18"/>
                <w:szCs w:val="18"/>
                <w:highlight w:val="none"/>
              </w:rPr>
              <w:t>Del</w:t>
            </w:r>
            <w:r>
              <w:rPr>
                <w:rFonts w:hint="eastAsia"/>
                <w:color w:val="auto"/>
                <w:sz w:val="18"/>
                <w:szCs w:val="18"/>
                <w:highlight w:val="none"/>
              </w:rPr>
              <w:t>、</w:t>
            </w:r>
            <w:r>
              <w:rPr>
                <w:color w:val="auto"/>
                <w:sz w:val="18"/>
                <w:szCs w:val="18"/>
                <w:highlight w:val="none"/>
              </w:rPr>
              <w:t>DBF</w:t>
            </w:r>
            <w:r>
              <w:rPr>
                <w:rFonts w:hint="eastAsia"/>
                <w:color w:val="auto"/>
                <w:sz w:val="18"/>
                <w:szCs w:val="18"/>
                <w:highlight w:val="none"/>
              </w:rPr>
              <w:t>等类型文件脱敏；</w:t>
            </w:r>
          </w:p>
          <w:p w14:paraId="6D89CA84">
            <w:pPr>
              <w:rPr>
                <w:color w:val="auto"/>
                <w:sz w:val="18"/>
                <w:szCs w:val="18"/>
                <w:highlight w:val="none"/>
              </w:rPr>
            </w:pPr>
            <w:r>
              <w:rPr>
                <w:color w:val="auto"/>
                <w:sz w:val="18"/>
                <w:szCs w:val="18"/>
                <w:highlight w:val="none"/>
              </w:rPr>
              <w:t>3.</w:t>
            </w:r>
            <w:r>
              <w:rPr>
                <w:rFonts w:hint="eastAsia"/>
                <w:color w:val="auto"/>
                <w:sz w:val="18"/>
                <w:szCs w:val="18"/>
                <w:highlight w:val="none"/>
              </w:rPr>
              <w:t>支持数据库到数据库、数据库到文件、文件到文件、文件到数据库，支持同库、异构等多种脱敏方式。</w:t>
            </w:r>
          </w:p>
          <w:p w14:paraId="5F29C703">
            <w:pPr>
              <w:rPr>
                <w:color w:val="auto"/>
                <w:sz w:val="18"/>
                <w:szCs w:val="18"/>
                <w:highlight w:val="none"/>
              </w:rPr>
            </w:pPr>
            <w:r>
              <w:rPr>
                <w:color w:val="auto"/>
                <w:sz w:val="18"/>
                <w:szCs w:val="18"/>
                <w:highlight w:val="none"/>
              </w:rPr>
              <w:t>4.</w:t>
            </w:r>
            <w:r>
              <w:rPr>
                <w:rFonts w:hint="eastAsia"/>
                <w:color w:val="auto"/>
                <w:sz w:val="18"/>
                <w:szCs w:val="18"/>
                <w:highlight w:val="none"/>
              </w:rPr>
              <w:t>支持在一个字段或一列数据中自动发现并识别出所有敏感数据所属的敏感数据类型，方便用户在进行数据脱敏操作时对敏感数据进行归类整理。</w:t>
            </w:r>
          </w:p>
          <w:p w14:paraId="04A221A8">
            <w:pPr>
              <w:rPr>
                <w:color w:val="auto"/>
                <w:sz w:val="18"/>
                <w:szCs w:val="18"/>
                <w:highlight w:val="none"/>
              </w:rPr>
            </w:pPr>
            <w:r>
              <w:rPr>
                <w:color w:val="auto"/>
                <w:sz w:val="18"/>
                <w:szCs w:val="18"/>
                <w:highlight w:val="none"/>
              </w:rPr>
              <w:t>5.</w:t>
            </w:r>
            <w:r>
              <w:rPr>
                <w:rFonts w:hint="eastAsia"/>
                <w:color w:val="auto"/>
                <w:sz w:val="18"/>
                <w:szCs w:val="18"/>
                <w:highlight w:val="none"/>
              </w:rPr>
              <w:t>内置不少于</w:t>
            </w:r>
            <w:r>
              <w:rPr>
                <w:color w:val="auto"/>
                <w:sz w:val="18"/>
                <w:szCs w:val="18"/>
                <w:highlight w:val="none"/>
              </w:rPr>
              <w:t>10</w:t>
            </w:r>
            <w:r>
              <w:rPr>
                <w:rFonts w:hint="eastAsia"/>
                <w:color w:val="auto"/>
                <w:sz w:val="18"/>
                <w:szCs w:val="18"/>
                <w:highlight w:val="none"/>
              </w:rPr>
              <w:t>种脱敏算法：覆盖、随机、替换、映射、加密、截断、可逆、可逆还原、</w:t>
            </w:r>
            <w:r>
              <w:rPr>
                <w:color w:val="auto"/>
                <w:sz w:val="18"/>
                <w:szCs w:val="18"/>
                <w:highlight w:val="none"/>
              </w:rPr>
              <w:t>FPE</w:t>
            </w:r>
            <w:r>
              <w:rPr>
                <w:rFonts w:hint="eastAsia"/>
                <w:color w:val="auto"/>
                <w:sz w:val="18"/>
                <w:szCs w:val="18"/>
                <w:highlight w:val="none"/>
              </w:rPr>
              <w:t>加密、按位遮盖、按比例浮动、区间浮动等。满足用户对数据的加密、还原、数据关联等多种数据脱敏的应用场景。</w:t>
            </w:r>
          </w:p>
          <w:p w14:paraId="31B38A63">
            <w:pPr>
              <w:rPr>
                <w:color w:val="auto"/>
                <w:sz w:val="18"/>
                <w:szCs w:val="18"/>
                <w:highlight w:val="none"/>
              </w:rPr>
            </w:pPr>
            <w:r>
              <w:rPr>
                <w:color w:val="auto"/>
                <w:sz w:val="18"/>
                <w:szCs w:val="18"/>
                <w:highlight w:val="none"/>
              </w:rPr>
              <w:t>6.</w:t>
            </w:r>
            <w:r>
              <w:rPr>
                <w:rFonts w:hint="eastAsia"/>
                <w:color w:val="auto"/>
                <w:sz w:val="18"/>
                <w:szCs w:val="18"/>
                <w:highlight w:val="none"/>
              </w:rPr>
              <w:t>支持</w:t>
            </w:r>
            <w:r>
              <w:rPr>
                <w:color w:val="auto"/>
                <w:sz w:val="18"/>
                <w:szCs w:val="18"/>
                <w:highlight w:val="none"/>
              </w:rPr>
              <w:t>HASH</w:t>
            </w:r>
            <w:r>
              <w:rPr>
                <w:rFonts w:hint="eastAsia"/>
                <w:color w:val="auto"/>
                <w:sz w:val="18"/>
                <w:szCs w:val="18"/>
                <w:highlight w:val="none"/>
              </w:rPr>
              <w:t>脱敏算法，如</w:t>
            </w:r>
            <w:r>
              <w:rPr>
                <w:color w:val="auto"/>
                <w:sz w:val="18"/>
                <w:szCs w:val="18"/>
                <w:highlight w:val="none"/>
              </w:rPr>
              <w:t>SHA512</w:t>
            </w:r>
            <w:r>
              <w:rPr>
                <w:rFonts w:hint="eastAsia"/>
                <w:color w:val="auto"/>
                <w:sz w:val="18"/>
                <w:szCs w:val="18"/>
                <w:highlight w:val="none"/>
              </w:rPr>
              <w:t>，</w:t>
            </w:r>
            <w:r>
              <w:rPr>
                <w:color w:val="auto"/>
                <w:sz w:val="18"/>
                <w:szCs w:val="18"/>
                <w:highlight w:val="none"/>
              </w:rPr>
              <w:t>HASH+</w:t>
            </w:r>
            <w:r>
              <w:rPr>
                <w:rFonts w:hint="eastAsia"/>
                <w:color w:val="auto"/>
                <w:sz w:val="18"/>
                <w:szCs w:val="18"/>
                <w:highlight w:val="none"/>
              </w:rPr>
              <w:t>盐加密等多种算法。支持配置</w:t>
            </w:r>
            <w:r>
              <w:rPr>
                <w:color w:val="auto"/>
                <w:sz w:val="18"/>
                <w:szCs w:val="18"/>
                <w:highlight w:val="none"/>
              </w:rPr>
              <w:t>SM3</w:t>
            </w:r>
            <w:r>
              <w:rPr>
                <w:rFonts w:hint="eastAsia"/>
                <w:color w:val="auto"/>
                <w:sz w:val="18"/>
                <w:szCs w:val="18"/>
                <w:highlight w:val="none"/>
              </w:rPr>
              <w:t>、</w:t>
            </w:r>
            <w:r>
              <w:rPr>
                <w:color w:val="auto"/>
                <w:sz w:val="18"/>
                <w:szCs w:val="18"/>
                <w:highlight w:val="none"/>
              </w:rPr>
              <w:t>SM4</w:t>
            </w:r>
            <w:r>
              <w:rPr>
                <w:rFonts w:hint="eastAsia"/>
                <w:color w:val="auto"/>
                <w:sz w:val="18"/>
                <w:szCs w:val="18"/>
                <w:highlight w:val="none"/>
              </w:rPr>
              <w:t>国密脱敏算法。</w:t>
            </w:r>
          </w:p>
          <w:p w14:paraId="1FF3C17E">
            <w:pPr>
              <w:rPr>
                <w:color w:val="auto"/>
                <w:sz w:val="18"/>
                <w:szCs w:val="18"/>
                <w:highlight w:val="none"/>
              </w:rPr>
            </w:pPr>
            <w:r>
              <w:rPr>
                <w:color w:val="auto"/>
                <w:sz w:val="18"/>
                <w:szCs w:val="18"/>
                <w:highlight w:val="none"/>
              </w:rPr>
              <w:t>7.</w:t>
            </w:r>
            <w:r>
              <w:rPr>
                <w:rFonts w:hint="eastAsia"/>
                <w:color w:val="auto"/>
                <w:sz w:val="18"/>
                <w:szCs w:val="18"/>
                <w:highlight w:val="none"/>
              </w:rPr>
              <w:t>支持黑、白名单过滤功能，其中黑名单过滤做到敏感列中的数据不直接同步到目标；白名单过滤做到敏感列中的数据不经过脱敏处理，直接同步到目标。</w:t>
            </w:r>
          </w:p>
          <w:p w14:paraId="7E8810FB">
            <w:pPr>
              <w:rPr>
                <w:color w:val="auto"/>
                <w:sz w:val="18"/>
                <w:szCs w:val="18"/>
                <w:highlight w:val="none"/>
              </w:rPr>
            </w:pPr>
            <w:r>
              <w:rPr>
                <w:color w:val="auto"/>
                <w:sz w:val="18"/>
                <w:szCs w:val="18"/>
                <w:highlight w:val="none"/>
              </w:rPr>
              <w:t>8.</w:t>
            </w:r>
            <w:r>
              <w:rPr>
                <w:rFonts w:hint="eastAsia"/>
                <w:color w:val="auto"/>
                <w:sz w:val="18"/>
                <w:szCs w:val="18"/>
                <w:highlight w:val="none"/>
              </w:rPr>
              <w:t>支持断点续脱，当脱敏任务执行过程中因内外部原因异常中断时，系统具备完备的机制记录当前任务执行进度，异常恢复后可从断点继续执行任务，无需从头开始执行。</w:t>
            </w:r>
          </w:p>
          <w:p w14:paraId="0A2F8CDD">
            <w:pPr>
              <w:rPr>
                <w:color w:val="auto"/>
                <w:sz w:val="18"/>
                <w:szCs w:val="18"/>
                <w:highlight w:val="none"/>
              </w:rPr>
            </w:pPr>
            <w:r>
              <w:rPr>
                <w:color w:val="auto"/>
                <w:sz w:val="18"/>
                <w:szCs w:val="18"/>
                <w:highlight w:val="none"/>
              </w:rPr>
              <w:t>9.</w:t>
            </w:r>
            <w:r>
              <w:rPr>
                <w:rFonts w:hint="eastAsia"/>
                <w:color w:val="auto"/>
                <w:sz w:val="18"/>
                <w:szCs w:val="18"/>
                <w:highlight w:val="none"/>
              </w:rPr>
              <w:t>支持只对源数据中增量的内容进行脱敏，无需从头开始脱敏。</w:t>
            </w:r>
          </w:p>
          <w:p w14:paraId="35C00C2A">
            <w:pPr>
              <w:widowControl/>
              <w:jc w:val="left"/>
              <w:rPr>
                <w:color w:val="auto"/>
                <w:sz w:val="18"/>
                <w:szCs w:val="18"/>
                <w:highlight w:val="none"/>
              </w:rPr>
            </w:pPr>
            <w:r>
              <w:rPr>
                <w:color w:val="auto"/>
                <w:sz w:val="18"/>
                <w:szCs w:val="18"/>
                <w:highlight w:val="none"/>
              </w:rPr>
              <w:t>10.</w:t>
            </w:r>
            <w:r>
              <w:rPr>
                <w:rFonts w:hint="eastAsia"/>
                <w:color w:val="auto"/>
                <w:sz w:val="18"/>
                <w:szCs w:val="18"/>
                <w:highlight w:val="none"/>
              </w:rPr>
              <w:t>支持对脱敏任务的源与目标状态进行检测，并提供优化建议。</w:t>
            </w:r>
          </w:p>
          <w:p w14:paraId="6CC1BA7A">
            <w:pPr>
              <w:widowControl/>
              <w:ind w:firstLine="360" w:firstLineChars="200"/>
              <w:jc w:val="left"/>
              <w:rPr>
                <w:rFonts w:hint="eastAsia" w:ascii="宋体" w:hAnsi="宋体" w:cs="宋体"/>
                <w:color w:val="auto"/>
                <w:kern w:val="0"/>
                <w:sz w:val="18"/>
                <w:szCs w:val="18"/>
                <w:highlight w:val="none"/>
              </w:rPr>
            </w:pPr>
            <w:r>
              <w:rPr>
                <w:rFonts w:hint="eastAsia"/>
                <w:color w:val="auto"/>
                <w:sz w:val="18"/>
                <w:szCs w:val="18"/>
                <w:highlight w:val="none"/>
              </w:rPr>
              <w:t>四、</w:t>
            </w:r>
            <w:r>
              <w:rPr>
                <w:rFonts w:hint="eastAsia" w:ascii="宋体" w:hAnsi="宋体" w:cs="宋体"/>
                <w:color w:val="auto"/>
                <w:kern w:val="0"/>
                <w:sz w:val="18"/>
                <w:szCs w:val="18"/>
                <w:highlight w:val="none"/>
              </w:rPr>
              <w:t>数据水印组件</w:t>
            </w:r>
          </w:p>
          <w:p w14:paraId="37C900DF">
            <w:pPr>
              <w:rPr>
                <w:rFonts w:hint="eastAsia" w:ascii="宋体" w:hAnsi="宋体" w:cs="宋体"/>
                <w:color w:val="auto"/>
                <w:kern w:val="0"/>
                <w:sz w:val="18"/>
                <w:szCs w:val="18"/>
                <w:highlight w:val="none"/>
              </w:rPr>
            </w:pPr>
            <w:r>
              <w:rPr>
                <w:color w:val="auto"/>
                <w:sz w:val="18"/>
                <w:szCs w:val="18"/>
                <w:highlight w:val="none"/>
              </w:rPr>
              <w:t>1.</w:t>
            </w:r>
            <w:r>
              <w:rPr>
                <w:rFonts w:hint="eastAsia" w:ascii="宋体" w:hAnsi="宋体" w:cs="宋体"/>
                <w:color w:val="auto"/>
                <w:kern w:val="0"/>
                <w:sz w:val="18"/>
                <w:szCs w:val="18"/>
                <w:highlight w:val="none"/>
              </w:rPr>
              <w:t>通过内置的多项高效水印算法，数据管理人员可通过水印系统添加水印导出到库或文件中。支持不少于30个数据库实例，峰值处理能力：</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85GB/小时；</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95万单元格/秒。</w:t>
            </w:r>
          </w:p>
          <w:p w14:paraId="1687067B">
            <w:pPr>
              <w:rPr>
                <w:color w:val="auto"/>
                <w:sz w:val="18"/>
                <w:szCs w:val="18"/>
                <w:highlight w:val="none"/>
              </w:rPr>
            </w:pPr>
            <w:r>
              <w:rPr>
                <w:color w:val="auto"/>
                <w:sz w:val="18"/>
                <w:szCs w:val="18"/>
                <w:highlight w:val="none"/>
              </w:rPr>
              <w:t>2.</w:t>
            </w:r>
            <w:r>
              <w:rPr>
                <w:rFonts w:hint="eastAsia"/>
                <w:color w:val="auto"/>
                <w:sz w:val="18"/>
                <w:szCs w:val="18"/>
                <w:highlight w:val="none"/>
              </w:rPr>
              <w:t>支持选配数据库到数据库水印溯源；</w:t>
            </w:r>
          </w:p>
          <w:p w14:paraId="5B679770">
            <w:pPr>
              <w:rPr>
                <w:color w:val="auto"/>
                <w:sz w:val="18"/>
                <w:szCs w:val="18"/>
                <w:highlight w:val="none"/>
              </w:rPr>
            </w:pPr>
            <w:r>
              <w:rPr>
                <w:color w:val="auto"/>
                <w:sz w:val="18"/>
                <w:szCs w:val="18"/>
                <w:highlight w:val="none"/>
              </w:rPr>
              <w:t>3.</w:t>
            </w:r>
            <w:r>
              <w:rPr>
                <w:rFonts w:hint="eastAsia"/>
                <w:color w:val="auto"/>
                <w:sz w:val="18"/>
                <w:szCs w:val="18"/>
                <w:highlight w:val="none"/>
              </w:rPr>
              <w:t>支持不可见字符、数字水印等多种水印溯源算法；</w:t>
            </w:r>
          </w:p>
          <w:p w14:paraId="2054E999">
            <w:pPr>
              <w:rPr>
                <w:color w:val="auto"/>
                <w:sz w:val="18"/>
                <w:szCs w:val="18"/>
                <w:highlight w:val="none"/>
              </w:rPr>
            </w:pPr>
            <w:r>
              <w:rPr>
                <w:color w:val="auto"/>
                <w:sz w:val="18"/>
                <w:szCs w:val="18"/>
                <w:highlight w:val="none"/>
              </w:rPr>
              <w:t>4.</w:t>
            </w:r>
            <w:r>
              <w:rPr>
                <w:rFonts w:hint="eastAsia"/>
                <w:color w:val="auto"/>
                <w:sz w:val="18"/>
                <w:szCs w:val="18"/>
                <w:highlight w:val="none"/>
              </w:rPr>
              <w:t>支持溯源定位到人、部门等信息；</w:t>
            </w:r>
          </w:p>
          <w:p w14:paraId="1A2CC203">
            <w:pPr>
              <w:widowControl/>
              <w:jc w:val="left"/>
              <w:rPr>
                <w:rFonts w:hint="eastAsia" w:ascii="宋体" w:hAnsi="宋体" w:cs="宋体"/>
                <w:color w:val="auto"/>
                <w:kern w:val="0"/>
                <w:sz w:val="18"/>
                <w:szCs w:val="18"/>
                <w:highlight w:val="none"/>
              </w:rPr>
            </w:pPr>
            <w:r>
              <w:rPr>
                <w:color w:val="auto"/>
                <w:sz w:val="18"/>
                <w:szCs w:val="18"/>
                <w:highlight w:val="none"/>
              </w:rPr>
              <w:t>5.</w:t>
            </w:r>
            <w:r>
              <w:rPr>
                <w:rFonts w:hint="eastAsia"/>
                <w:color w:val="auto"/>
                <w:sz w:val="18"/>
                <w:szCs w:val="18"/>
                <w:highlight w:val="none"/>
              </w:rPr>
              <w:t>支持一键水印溯源，快速定位数据泄露源头。</w:t>
            </w:r>
          </w:p>
        </w:tc>
        <w:tc>
          <w:tcPr>
            <w:tcW w:w="145" w:type="pct"/>
            <w:tcBorders>
              <w:top w:val="nil"/>
              <w:left w:val="nil"/>
              <w:bottom w:val="single" w:color="auto" w:sz="4" w:space="0"/>
              <w:right w:val="single" w:color="auto" w:sz="4" w:space="0"/>
            </w:tcBorders>
            <w:noWrap/>
            <w:vAlign w:val="center"/>
          </w:tcPr>
          <w:p w14:paraId="326D91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w:t>
            </w:r>
          </w:p>
        </w:tc>
        <w:tc>
          <w:tcPr>
            <w:tcW w:w="208" w:type="pct"/>
            <w:tcBorders>
              <w:top w:val="nil"/>
              <w:left w:val="nil"/>
              <w:bottom w:val="single" w:color="auto" w:sz="4" w:space="0"/>
              <w:right w:val="single" w:color="auto" w:sz="4" w:space="0"/>
            </w:tcBorders>
            <w:noWrap/>
            <w:vAlign w:val="center"/>
          </w:tcPr>
          <w:p w14:paraId="357EDE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套</w:t>
            </w:r>
          </w:p>
        </w:tc>
      </w:tr>
      <w:tr w14:paraId="5F6B968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A6E1BF6">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五</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vAlign w:val="center"/>
          </w:tcPr>
          <w:p w14:paraId="2DB53C7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政务云密码监管平台</w:t>
            </w:r>
          </w:p>
        </w:tc>
        <w:tc>
          <w:tcPr>
            <w:tcW w:w="3798" w:type="pct"/>
            <w:gridSpan w:val="2"/>
            <w:tcBorders>
              <w:top w:val="nil"/>
              <w:left w:val="nil"/>
              <w:bottom w:val="single" w:color="auto" w:sz="4" w:space="0"/>
              <w:right w:val="single" w:color="auto" w:sz="4" w:space="0"/>
            </w:tcBorders>
            <w:vAlign w:val="center"/>
          </w:tcPr>
          <w:p w14:paraId="39289AA7">
            <w:pPr>
              <w:widowControl/>
              <w:ind w:firstLine="360" w:firstLineChars="200"/>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rPr>
              <w:t>政务云密码监管平台通过汇聚数据、旁路检测密码业务流量等手段，多维</w:t>
            </w:r>
            <w:r>
              <w:rPr>
                <w:rFonts w:hint="eastAsia" w:ascii="宋体" w:hAnsi="宋体" w:cs="宋体"/>
                <w:color w:val="auto"/>
                <w:kern w:val="0"/>
                <w:sz w:val="18"/>
                <w:szCs w:val="18"/>
                <w:highlight w:val="none"/>
                <w:lang w:val="en-US" w:eastAsia="zh-CN"/>
              </w:rPr>
              <w:t>度</w:t>
            </w:r>
            <w:r>
              <w:rPr>
                <w:rFonts w:hint="eastAsia" w:ascii="宋体" w:hAnsi="宋体" w:cs="宋体"/>
                <w:color w:val="auto"/>
                <w:kern w:val="0"/>
                <w:sz w:val="18"/>
                <w:szCs w:val="18"/>
                <w:highlight w:val="none"/>
                <w:lang w:val="en-US"/>
              </w:rPr>
              <w:t>收集密码服务平台的相关数据，实现对政务云上密码服务的风险评估、态势分析、过程回溯、应用画像、一致性分析等服务和监管能力。同时，完善自治区信创云密码服务能力建设，建设密码服务平台，全面支撑信息系统利用密码技术开展数据保护。</w:t>
            </w:r>
            <w:r>
              <w:rPr>
                <w:rFonts w:hint="eastAsia" w:ascii="宋体" w:hAnsi="宋体" w:cs="宋体"/>
                <w:color w:val="auto"/>
                <w:kern w:val="0"/>
                <w:sz w:val="18"/>
                <w:szCs w:val="18"/>
                <w:highlight w:val="none"/>
                <w:lang w:val="en-US" w:eastAsia="zh-CN"/>
              </w:rPr>
              <w:t>政务云密码监管平台主要包括密码态势监管系统、密码资源池。</w:t>
            </w:r>
          </w:p>
        </w:tc>
        <w:tc>
          <w:tcPr>
            <w:tcW w:w="145" w:type="pct"/>
            <w:tcBorders>
              <w:top w:val="nil"/>
              <w:left w:val="nil"/>
              <w:bottom w:val="single" w:color="auto" w:sz="4" w:space="0"/>
              <w:right w:val="single" w:color="auto" w:sz="4" w:space="0"/>
            </w:tcBorders>
            <w:vAlign w:val="center"/>
          </w:tcPr>
          <w:p w14:paraId="444DB399">
            <w:pPr>
              <w:widowControl/>
              <w:jc w:val="center"/>
              <w:rPr>
                <w:rFonts w:hint="eastAsia" w:ascii="宋体" w:hAnsi="宋体" w:eastAsia="宋体" w:cs="宋体"/>
                <w:color w:val="auto"/>
                <w:kern w:val="0"/>
                <w:sz w:val="18"/>
                <w:szCs w:val="18"/>
                <w:highlight w:val="none"/>
                <w:lang w:val="en-US" w:eastAsia="zh-CN"/>
              </w:rPr>
            </w:pPr>
          </w:p>
        </w:tc>
        <w:tc>
          <w:tcPr>
            <w:tcW w:w="208" w:type="pct"/>
            <w:tcBorders>
              <w:top w:val="nil"/>
              <w:left w:val="nil"/>
              <w:bottom w:val="single" w:color="auto" w:sz="4" w:space="0"/>
              <w:right w:val="single" w:color="auto" w:sz="4" w:space="0"/>
            </w:tcBorders>
            <w:vAlign w:val="center"/>
          </w:tcPr>
          <w:p w14:paraId="74BB64A3">
            <w:pPr>
              <w:widowControl/>
              <w:jc w:val="center"/>
              <w:rPr>
                <w:rFonts w:hint="eastAsia" w:ascii="宋体" w:hAnsi="宋体" w:eastAsia="宋体" w:cs="宋体"/>
                <w:color w:val="auto"/>
                <w:kern w:val="0"/>
                <w:sz w:val="18"/>
                <w:szCs w:val="18"/>
                <w:highlight w:val="none"/>
                <w:lang w:val="en-US" w:eastAsia="zh-CN"/>
              </w:rPr>
            </w:pPr>
          </w:p>
        </w:tc>
      </w:tr>
      <w:tr w14:paraId="3F4C442E">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1BBD14FB">
            <w:pPr>
              <w:widowControl/>
              <w:jc w:val="left"/>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一）</w:t>
            </w:r>
          </w:p>
        </w:tc>
        <w:tc>
          <w:tcPr>
            <w:tcW w:w="428" w:type="pct"/>
            <w:tcBorders>
              <w:top w:val="nil"/>
              <w:left w:val="nil"/>
              <w:bottom w:val="single" w:color="auto" w:sz="4" w:space="0"/>
              <w:right w:val="single" w:color="auto" w:sz="4" w:space="0"/>
            </w:tcBorders>
            <w:vAlign w:val="center"/>
          </w:tcPr>
          <w:p w14:paraId="06CAF53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密码态势监管系统</w:t>
            </w:r>
          </w:p>
        </w:tc>
        <w:tc>
          <w:tcPr>
            <w:tcW w:w="3798" w:type="pct"/>
            <w:gridSpan w:val="2"/>
            <w:tcBorders>
              <w:top w:val="nil"/>
              <w:left w:val="nil"/>
              <w:bottom w:val="single" w:color="auto" w:sz="4" w:space="0"/>
              <w:right w:val="single" w:color="auto" w:sz="4" w:space="0"/>
            </w:tcBorders>
            <w:vAlign w:val="center"/>
          </w:tcPr>
          <w:p w14:paraId="6EAA2CA0">
            <w:pPr>
              <w:pStyle w:val="74"/>
              <w:widowControl/>
              <w:ind w:left="0" w:firstLine="360" w:firstLineChars="200"/>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建设</w:t>
            </w:r>
            <w:r>
              <w:rPr>
                <w:rFonts w:hint="eastAsia" w:ascii="宋体" w:hAnsi="宋体" w:cs="宋体"/>
                <w:color w:val="auto"/>
                <w:kern w:val="0"/>
                <w:sz w:val="18"/>
                <w:szCs w:val="18"/>
                <w:highlight w:val="none"/>
              </w:rPr>
              <w:t>密码态势监管系统</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监测分析密码业务流量，基于多维度、多渠道所获取的各类密码服务业务数据，实现对自治区级信创云的政务云全网密码业务的多维度业务实时监测与考核；实现对异常密码流量、密码产品运行异常、密码算法/协议/套件漏洞和风险的实时监测与预警；对系统、密码产品、风险等进行分析和评估，实现预测密码算法、协议、套件等可能存在的潜在风险和漏洞，以及基于密码风险可能存在的网络攻击等；实现密码业务过程回溯、密码应用画像、密码应用一致性分析等监管能力。</w:t>
            </w:r>
            <w:r>
              <w:rPr>
                <w:rFonts w:hint="eastAsia" w:ascii="宋体" w:hAnsi="宋体" w:cs="宋体"/>
                <w:color w:val="auto"/>
                <w:kern w:val="0"/>
                <w:sz w:val="18"/>
                <w:szCs w:val="18"/>
                <w:highlight w:val="none"/>
              </w:rPr>
              <w:t>密码态势监管系统</w:t>
            </w:r>
            <w:r>
              <w:rPr>
                <w:rFonts w:hint="eastAsia" w:ascii="宋体" w:hAnsi="宋体" w:cs="宋体"/>
                <w:color w:val="auto"/>
                <w:kern w:val="0"/>
                <w:sz w:val="18"/>
                <w:szCs w:val="18"/>
                <w:highlight w:val="none"/>
                <w:lang w:val="en-US" w:eastAsia="zh-CN"/>
              </w:rPr>
              <w:t>包括管理平台1套和</w:t>
            </w:r>
            <w:r>
              <w:rPr>
                <w:rFonts w:hint="eastAsia" w:ascii="宋体" w:hAnsi="宋体" w:cs="宋体"/>
                <w:color w:val="auto"/>
                <w:kern w:val="0"/>
                <w:sz w:val="18"/>
                <w:szCs w:val="18"/>
                <w:highlight w:val="none"/>
              </w:rPr>
              <w:t>密码合规检测设备（探针）</w:t>
            </w:r>
            <w:r>
              <w:rPr>
                <w:rFonts w:hint="eastAsia" w:ascii="宋体" w:hAnsi="宋体" w:cs="宋体"/>
                <w:color w:val="auto"/>
                <w:kern w:val="0"/>
                <w:sz w:val="18"/>
                <w:szCs w:val="18"/>
                <w:highlight w:val="none"/>
                <w:lang w:val="en-US" w:eastAsia="zh-CN"/>
              </w:rPr>
              <w:t>1台</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具体技术功能要求如下：</w:t>
            </w:r>
          </w:p>
        </w:tc>
        <w:tc>
          <w:tcPr>
            <w:tcW w:w="145" w:type="pct"/>
            <w:tcBorders>
              <w:top w:val="nil"/>
              <w:left w:val="nil"/>
              <w:bottom w:val="single" w:color="auto" w:sz="4" w:space="0"/>
              <w:right w:val="single" w:color="auto" w:sz="4" w:space="0"/>
            </w:tcBorders>
            <w:vAlign w:val="center"/>
          </w:tcPr>
          <w:p w14:paraId="1622CB0D">
            <w:pPr>
              <w:widowControl/>
              <w:jc w:val="center"/>
              <w:rPr>
                <w:rFonts w:hint="eastAsia" w:ascii="宋体" w:hAnsi="宋体" w:eastAsia="宋体" w:cs="宋体"/>
                <w:color w:val="auto"/>
                <w:kern w:val="0"/>
                <w:sz w:val="18"/>
                <w:szCs w:val="18"/>
                <w:highlight w:val="none"/>
                <w:lang w:val="en-US" w:eastAsia="zh-CN"/>
              </w:rPr>
            </w:pPr>
          </w:p>
        </w:tc>
        <w:tc>
          <w:tcPr>
            <w:tcW w:w="208" w:type="pct"/>
            <w:tcBorders>
              <w:top w:val="nil"/>
              <w:left w:val="nil"/>
              <w:bottom w:val="single" w:color="auto" w:sz="4" w:space="0"/>
              <w:right w:val="single" w:color="auto" w:sz="4" w:space="0"/>
            </w:tcBorders>
            <w:vAlign w:val="center"/>
          </w:tcPr>
          <w:p w14:paraId="765CBD69">
            <w:pPr>
              <w:widowControl/>
              <w:jc w:val="center"/>
              <w:rPr>
                <w:rFonts w:hint="eastAsia" w:ascii="宋体" w:hAnsi="宋体" w:eastAsia="宋体" w:cs="宋体"/>
                <w:color w:val="auto"/>
                <w:kern w:val="0"/>
                <w:sz w:val="18"/>
                <w:szCs w:val="18"/>
                <w:highlight w:val="none"/>
                <w:lang w:val="en-US" w:eastAsia="zh-CN"/>
              </w:rPr>
            </w:pPr>
          </w:p>
        </w:tc>
      </w:tr>
      <w:tr w14:paraId="6C1E5CBA">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FDAF1B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428" w:type="pct"/>
            <w:tcBorders>
              <w:top w:val="nil"/>
              <w:left w:val="nil"/>
              <w:bottom w:val="single" w:color="auto" w:sz="4" w:space="0"/>
              <w:right w:val="single" w:color="auto" w:sz="4" w:space="0"/>
            </w:tcBorders>
            <w:vAlign w:val="center"/>
          </w:tcPr>
          <w:p w14:paraId="1FAD5EDA">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密码态势监管系统</w:t>
            </w:r>
            <w:r>
              <w:rPr>
                <w:rFonts w:hint="eastAsia" w:ascii="宋体" w:hAnsi="宋体" w:cs="宋体"/>
                <w:color w:val="auto"/>
                <w:kern w:val="0"/>
                <w:sz w:val="18"/>
                <w:szCs w:val="18"/>
                <w:highlight w:val="none"/>
                <w:lang w:val="en-US" w:eastAsia="zh-CN"/>
              </w:rPr>
              <w:t>管理平台</w:t>
            </w:r>
          </w:p>
        </w:tc>
        <w:tc>
          <w:tcPr>
            <w:tcW w:w="3798" w:type="pct"/>
            <w:gridSpan w:val="2"/>
            <w:tcBorders>
              <w:top w:val="nil"/>
              <w:left w:val="nil"/>
              <w:bottom w:val="single" w:color="auto" w:sz="4" w:space="0"/>
              <w:right w:val="single" w:color="auto" w:sz="4" w:space="0"/>
            </w:tcBorders>
            <w:vAlign w:val="center"/>
          </w:tcPr>
          <w:p w14:paraId="1A598832">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软件化部署，通过前置密码合规检测设备（探针）获取不同网络、不同云平台的密码服务流量，解析流量后结合人工录入的各类关键信息自动化进行聚类分析，实现密码应用用密合规性分析及密码风险感知分析，扩展接入下级密码服务平台及国家电子政务外网广西电子认证注册服务系统的监测数据并对监测数据进行综合分析、对下级密码服务平台开展业务考核活动。主要包含：密码应用、密码设备、密码风险漏洞、密评信息等基础信息的管理模块，用密异常情况、设备异常状态、异常密码流量、密码风险、用密合规性、密评异常等信息的监测预警模块，应用风险评估、设备风险评估、风险漏洞态势、密码攻击态势、密码过程回溯、密码应用画像、密评一致性分析的态势感知模块、密码业务监测与分析模块、密码业务综合考核模块等。含3年软件升级和维保。</w:t>
            </w:r>
          </w:p>
          <w:p w14:paraId="1E5E00A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2.支持手工密码评估数据录入功能，为管理人员提供密码评估数据录入入口，支持评估结论信息、密码设备使用情况、密码技术应用情况、密码评估过程信息、密码评估风险威胁信息的录入功能。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密码评估数据导入功能，为管理人员提供密码评估离线数据导入入口，需要实现通过上传密码评估数据文件导入，通过导入文件的解析、提取、自动填写，支持评估结论信息、密码设备使用情况、密码技术应用情况、密码评估过程信息、密码评估风险威胁信息的导入。</w:t>
            </w:r>
          </w:p>
          <w:p w14:paraId="253520B1">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支持密码评估信息的录入、审批、归档的流程管理，需支持密码评估信息管理流程的自定义配置。能够根据实际场景需求，通过可视化拖拽方式，快速配置密码评估的管理流程，能够支持为审批环节节点分配不同的审批角色及审批人员。</w:t>
            </w:r>
          </w:p>
          <w:p w14:paraId="258E623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4.支持为管理人员提供密码评估数据入库的流程审批功能，按照预设的密码评估数据入库的管理流程，不同角色的审批人员逐一</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完成密码评估数据入库流程审批，支持流程审批、转办、中止、挂起、恢复等密码评估数据入库的流程管理操作。</w:t>
            </w:r>
          </w:p>
          <w:p w14:paraId="45C4A00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5.支持针对密码评估数据格式提供数据模板管理功能，为管理人员提供数据模板更新以及下载功能，便于通过数据模板快速、准确填写密码评估数据，并导入系统，完成密码评估信息档案建立。</w:t>
            </w:r>
          </w:p>
          <w:p w14:paraId="29D802D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6.支持通过信息采集探针对流量数据进行预警分析，通过对流量信息的协议提取、识别、分析，当发现在一定时间内未检测到加密流量时，产生预警信息，并展示产生预警内容的密码应用或密码设备。</w:t>
            </w:r>
          </w:p>
          <w:p w14:paraId="4A388397">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7.支持非加密通道中数据的明密辨别，通过对非加密通道中载荷内容的分析，当发现在一定时间内未检测到加密数据时，产生预警信息，并展示产生预警内容的密码应用或密码设备。</w:t>
            </w:r>
          </w:p>
          <w:p w14:paraId="6FBFDBA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支持通过信息采集探针对流量数据中算法内容的分析，可以通过对流量信息的算法内容提取、识别、分析，当发现在一定时间内加密通道未采用国密算法时，产生预警信息，并展示产生预警内容的密码应用或密码设备。</w:t>
            </w:r>
          </w:p>
          <w:p w14:paraId="2C40110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支持通过信息采集探针对密码应用与数据库之间通信产生的流量数据进行分析，通过分析通信内容的载荷特征，能够识别密码应用与数据库的交互流量中是否存在重要数据未加密的情况，并产生预警信息，展示产生预警内容的密码应用信息。</w:t>
            </w:r>
          </w:p>
          <w:p w14:paraId="00FFA89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10.支持通过信息采集探针对数据流量中的证书信息进行识别、解析、提取、分析，当发现数据证书中存在签名无效时，产生预警信息，并展示产生预警内容的密码应用或密码设备信息。</w:t>
            </w:r>
          </w:p>
          <w:p w14:paraId="6F3677A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需对信息采集探针上报的流量信息进行汇总、归类、分析后，结合大数据处理和机器学习等技术手段，对密码流量的平均趋势进行聚类分析，当发现密码流量不符合常规变化趋势时，产生预警信息，并展示发生预警内容的源访问地址信息。</w:t>
            </w:r>
          </w:p>
          <w:p w14:paraId="17B74D81">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12.支持对信息采集探针上报的流量信息访问时段建立正态分布趋势，当发现某一个密码流量包的访问时段不符合正态分布趋势时，产生预警信息，并展示发生预警内容的源访问地址信息和流量包信息。</w:t>
            </w:r>
          </w:p>
          <w:p w14:paraId="1F53F3D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13.支持对信息采集探针上报的流量信息访问频次建立正态分布趋势，当发现某一个密码流量包的访问频次不符合正态分布趋势时，产生预警信息，并展示发生预警内容的源访问地址信息和流量包信息。</w:t>
            </w:r>
          </w:p>
          <w:p w14:paraId="6CA242F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支持结合风险漏洞特征库，对密码应用的部署环境、数据存储设备、网络及安全设备等进行风险漏洞扫描，当发生漏洞信息匹配成功时，说明当前密码应用存在风险漏洞威胁，发出预警信息，并展示产生预警内容的密码应用信息。</w:t>
            </w:r>
          </w:p>
          <w:p w14:paraId="4B965A6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15.支持结合风险漏洞特征库，对密码设备的架构、组件进行风险漏洞扫描，当发生漏洞信息匹配成功时，说明当前密码设备存在风险漏洞威胁，发出预警信息，并展示产生预警内容的密码设备信息。</w:t>
            </w:r>
          </w:p>
          <w:p w14:paraId="06A7AF9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支持通过信息采集探针对密码流量信息的算法合规性进行分析，能够对传输、加密过程中使用的密码算法是否合规进行校验分析，当发生密码算法不合规时，发出预警信息，并展示产生预警内容的密码应用信息或密码设备信息。</w:t>
            </w:r>
          </w:p>
          <w:p w14:paraId="1880B86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支持通过信息采集探针对密码流量信息的协议合规性进行分析，能够对通信传输、信道建立过程中使用的密码协议是否合规进行校验分析，当发生密码协议不合规时，发出预警信息，并展示产生预警内容的密码应用信息或密码设备信息。</w:t>
            </w:r>
          </w:p>
          <w:p w14:paraId="56A880A2">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18.支持通过信息采集探针提取密码流量中的数字证书信息，并对数字证书格式进行合规性校验，当发生证书格式不合规的情况时，发送预警信息，并展示产生预警内容的密码应用信息或密码设备信息以及证书详情。</w:t>
            </w:r>
          </w:p>
          <w:p w14:paraId="033E03E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19.支持通过信息采集探针对密码流量的分析，识别加密通道协商过程是否合规，当发生协商过程不合规的情况时，发送预警信息，并展示产生预警内容的密码应用信息或密码设备信息以及协商详情。</w:t>
            </w:r>
          </w:p>
          <w:p w14:paraId="0EB2F76E">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支持通过信息采集探针对流量的识别、提取、分析流量中使用的密码算法，结合密码评估信息中密码算法使用情况，判断是否存在密码算法更改的情况，对密码算法更改进行预警，并展示产生预警内容的密码应用或密码设备信息。</w:t>
            </w:r>
          </w:p>
          <w:p w14:paraId="45BF776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21.支持通过信息采集探针对流量的识别、提取、分析流量中使用的密码协议，结合密码评估信息中密码协议使用情况，判断是否存在密码协议更改的情况，对密码协议更改进行预警，并展示产生预警内容的密码应用或密码设备信息。</w:t>
            </w:r>
          </w:p>
          <w:p w14:paraId="0121DA7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22.支持通过信息采集探针对流量的识别、提取、分析流量中使用的通信信道，结合密码评估信息中通信信道使用情况，判断是否存在通信信道更改的情况，对通信信道更改进行预警，并展示产生预警内容的密码应用或密码设备信息。</w:t>
            </w:r>
          </w:p>
          <w:p w14:paraId="48C8925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23.支持展示当年密码应用的用密异常总数、用密不合规总数、密评异常总数以及上一年的用密异常总数、用密不合规总数、密评异常总数。</w:t>
            </w:r>
          </w:p>
          <w:p w14:paraId="173FD5B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24.支持通过时间线的角度，以曲线图的形式展示密码应用在不同时间段的用密异常情况的发展趋势。</w:t>
            </w:r>
          </w:p>
          <w:p w14:paraId="3511D65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25.支持通过时间线的角度，以曲线图的形式展示密码应用在不同时间段的用密不合规情况的发展趋势。</w:t>
            </w:r>
          </w:p>
          <w:p w14:paraId="2025228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26.支持通过时间线的角度，以曲线图的形式展示密码应用在不同时间段的异常流量发展趋势。</w:t>
            </w:r>
          </w:p>
          <w:p w14:paraId="46C695F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27.支持通过时间线的角度，以曲线图的形式展示密码应用在不同时间段的密评异常情况的发展趋势。</w:t>
            </w:r>
          </w:p>
          <w:p w14:paraId="43E0BBB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28.支持以饼状图的形式，展示密码应用不同类型用密异常的分类占比趋势，能够通过用密异常分类占比趋势走向，分析出当前密码应用的安全加固及优化完善的调整方向。</w:t>
            </w:r>
          </w:p>
          <w:p w14:paraId="77DDEB4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29.支持以饼状图的形式，展示密码应用不同类型用密不合规的分类占比趋势，能够通过用密不合规分类占比趋势走向，分析出当前密码应用的安全加固及优化完善的调整方向。</w:t>
            </w:r>
          </w:p>
          <w:p w14:paraId="552942A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30.支持以时间线的角度，通过多维度曲线图展示密码应用涉及风险漏洞威胁的发展趋势，能够按照密码应用的部署环境、使用密码算法以及密码设备分类展示出风险漏洞威胁情况。</w:t>
            </w:r>
          </w:p>
          <w:p w14:paraId="7477F9C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31.支持展示当年密码设备所使用的算法风险漏洞总数、协议风险漏洞总数、组件风险漏洞总数以及上一年的算法风险漏洞总数、协议风险漏洞总数、组件风险漏洞总数。</w:t>
            </w:r>
          </w:p>
          <w:p w14:paraId="40F1661A">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32.支持以时间线的角度，通过曲线图形式展示密码设备涉及风险漏洞威胁的发展趋势，能够展示不同时段密码设备的风险漏洞威胁情况。</w:t>
            </w:r>
          </w:p>
          <w:p w14:paraId="5255F84E">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33.支持展示各类型密码设备的风险漏洞威胁情况，通过柱状图的形式展示各类型密码设备的风险漏洞对比趋势。</w:t>
            </w:r>
          </w:p>
          <w:p w14:paraId="4707169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34.支持展示密码设备受风险漏洞威胁的算法、协议、组件的严重程度，通过柱状图的形式对密码设备所使用的算法、协议、组件的风险漏洞威胁呈现对比趋势。</w:t>
            </w:r>
          </w:p>
          <w:p w14:paraId="3ED0B3E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35.支持以知识图谱的形式展现风险漏洞影响的密码应用以及密码设备，并支持风险漏洞影响路线追踪、绘制，能够通过风险漏洞追踪到受影响的密码应用和密码设备以及所使用的算法、协议和组件。需呈现风险漏洞威胁的全路径影响情况。</w:t>
            </w:r>
          </w:p>
          <w:p w14:paraId="776879C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36.支持以时间线的角度，通过曲线图形式展示密码设备、密码设备、算法、协议以及组件涉及风险漏洞威胁的发展趋势，能够展示不同时段风险漏洞威胁情况。</w:t>
            </w:r>
          </w:p>
          <w:p w14:paraId="20F85E0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37.支持以时间线的角度，通过多维度曲线图展示密码应用涉及风险漏洞威胁的发展趋势，能够按照密码应用的部署环境、使用密码算法以及密码设备分类展示出风险漏洞威胁情况。</w:t>
            </w:r>
          </w:p>
          <w:p w14:paraId="711CE0A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38.支持以时间线的角度，通过曲线图形式展示密码设备涉及风险漏洞威胁的发展趋势，能够展示不同时段密码设备的风险漏洞威胁情况。</w:t>
            </w:r>
          </w:p>
          <w:p w14:paraId="08A2050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39.支持以时间线的角度，通过曲线图形式展示密码算法涉及风险漏洞威胁的发展趋势，能够展示不同时段密码算法的风险漏洞威胁情况。</w:t>
            </w:r>
          </w:p>
          <w:p w14:paraId="0D2D24E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40.持以时间线的角度，通过曲线图形式展示所使用组件涉及风险漏洞威胁的发展趋势，能够展示不同时段所使用组件的风险漏洞威胁情况。</w:t>
            </w:r>
          </w:p>
          <w:p w14:paraId="69A1421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41.支持以时间线的角度，通过多维度曲线图展示高、中、低级别的风险漏洞威胁的发展趋势，能够按照高危、中危、低危分类展示出风险漏洞威胁情况。</w:t>
            </w:r>
          </w:p>
          <w:p w14:paraId="332BC382">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42.支持展示当日和整体的攻击态势，包括整体流量强度大小、密码攻击总次数、攻击嫌疑地点总数等。</w:t>
            </w:r>
          </w:p>
          <w:p w14:paraId="5C6AFB1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43.支持以可视化地理地图的形式展示来自不同地区的密码攻击情况，实现对密码攻击地理位置的精确追踪。可视化展示清晰地揭示当前密码攻击的发源地，同时能够精确地定位到国家和地区级别。</w:t>
            </w:r>
          </w:p>
          <w:p w14:paraId="52FC32C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44.支持以轮播的形式展示当前检测发现的密码攻击情况信息，包括密码攻击来源IP、来源国家、来源地区、来源城市、攻击流量大小、攻击时间以及威胁分类等信息。</w:t>
            </w:r>
          </w:p>
          <w:p w14:paraId="62117E3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45.支持以饼状图的形式，展示流量强度异常、访问时段异常、访问频次异常三类密码攻击威胁的占比情况。</w:t>
            </w:r>
          </w:p>
          <w:p w14:paraId="421E2CBB">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46.支持以时间线的角度，通过曲线图形式展示流量强度异常的发展趋势，能够展示不同时段流量强度异常的发展情况。</w:t>
            </w:r>
          </w:p>
          <w:p w14:paraId="164E515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47.支持以时间线的角度，通过曲线图形式展示访问时段异常的发展趋势，能够展示不同时段访问时段异常的发展情况。</w:t>
            </w:r>
          </w:p>
          <w:p w14:paraId="5BEAFAE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48.支持以时间线的角度，通过曲线图形式展示访问频次异常的发展趋势，能够展示不同时段访问频次异常的发展情况。</w:t>
            </w:r>
          </w:p>
          <w:p w14:paraId="1265CF80">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49.支持对密码攻击嫌疑地区进行归类，结合密码攻击的情况进行整体态势分析，支持高威胁密码攻击地区的排名。</w:t>
            </w:r>
          </w:p>
          <w:p w14:paraId="7D885D7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50.支持密码应用、密码设备、密码算法、密码协议的流量过程跟踪，需以桑基图的形式展示密码应用产生的加密、非加密流量指向的密码算法、密码协议、密码设备的流量大小趋势。</w:t>
            </w:r>
          </w:p>
          <w:p w14:paraId="183BF1A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51.支持以时间线的角度，通过多维曲线图形式展示不同密码算法涉及流量的发展趋势，能够展示不同时段不同密码算法的流量大小。</w:t>
            </w:r>
          </w:p>
          <w:p w14:paraId="42BB41A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52.支持以时间线的角度，通过多维曲线图形式展示不同密码协议涉及流量的发展趋势，能够展示不同时段不同密码协议的流量大小。</w:t>
            </w:r>
          </w:p>
          <w:p w14:paraId="0583353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53.支持以时间线的角度，通过多维曲线图形式展示不同密码设备涉及流量的发展趋势，能够展示不同时段不同密码设备的流量大小</w:t>
            </w:r>
          </w:p>
          <w:p w14:paraId="519D57F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54.支持按设备类型统计各类型密码设备的流量大小，需以不同颜色表示不同类型的密码设备，通过色块大小表示不同类型密码设备的流量大小。</w:t>
            </w:r>
          </w:p>
          <w:p w14:paraId="40BF0C0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55.支持以云词的形式展示当前环境中所使用的密码算法、密码协议、密码设备的使用情况。</w:t>
            </w:r>
          </w:p>
          <w:p w14:paraId="52E300F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56.支持以饼图的形式展示加密通信通道流量与非加密通信通道流量的占比分析，能够呈现当前通信通道的使用情况。</w:t>
            </w:r>
          </w:p>
          <w:p w14:paraId="0E97F6D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57.支持展示当前非加密流量对重要数据的保护情况，通过饼状图的形式展示非加密通信通道中重要数据的加密与未加密情况，呈现非加密通道中对重要数据机密性保护的程度。</w:t>
            </w:r>
          </w:p>
          <w:p w14:paraId="4506BD87">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58.支持以柱状图的方式展示使用的密码算法以及流量数量，用于分析各种密码算法使用情况。</w:t>
            </w:r>
          </w:p>
          <w:p w14:paraId="3DC1009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59.支持展示使用的密码协议以及流量数量，用于分析各种密码协议使用情况。</w:t>
            </w:r>
          </w:p>
          <w:p w14:paraId="58D8F44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60.支持以柱状图的方式展示使用的密码产品以及流量数量，用于分析各种密码设备使用情况。</w:t>
            </w:r>
          </w:p>
          <w:p w14:paraId="6902FC0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61.支持通过时间线的角度，以曲线图的形式展示密码应用在不同时间段的风险漏洞的发展趋势。</w:t>
            </w:r>
          </w:p>
          <w:p w14:paraId="5003443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62.支持显示密码应用的应用风险评估分数，可以分析密码应用的风险情况。</w:t>
            </w:r>
          </w:p>
          <w:p w14:paraId="7D260E7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63.持显示密码应用的密码评估情况，包括是否通过密评，密评通过时间、密评综合得分。</w:t>
            </w:r>
          </w:p>
          <w:p w14:paraId="7136192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64.持以列表的方式显示应用在密码评估过程中录入的密码设备、密码算法、密码协议与实际信息采集探针上报的流量中发现的密码设备、密码算法、密码协议一致性情况。</w:t>
            </w:r>
          </w:p>
          <w:p w14:paraId="22ECCD50">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65.支持通过时间线的角度，以曲线图的形式展示密码设备在不同时间段的密评不一致情况的发展趋势。</w:t>
            </w:r>
          </w:p>
          <w:p w14:paraId="5B04E47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66.支持通过日历热力图的方式统计在不同日期下密码算法、密码协议和密码设备的不一致严重程度，通过日期和热力颜色来表示不一致情况发生的数量。</w:t>
            </w:r>
          </w:p>
          <w:p w14:paraId="6802CB8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67.支持通过时间线的角度，以曲线图的形式展示密码算法在不同时间段的密评不一致情况的发展趋势。</w:t>
            </w:r>
          </w:p>
          <w:p w14:paraId="69B8285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68.支持通过时间线的角度，以曲线图的形式展示密码协议在不同时间段的密评不一致情况的发展趋势。</w:t>
            </w:r>
          </w:p>
          <w:p w14:paraId="77D68F97">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69.支持通过柱状图的方式展示应用录入的密码算法、密码协议和密码设备数量与实际流量检测到的密码算法、密码协议和密码产品出现过的数量。分析对比密评不一致情况。</w:t>
            </w:r>
          </w:p>
          <w:p w14:paraId="4113C4E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70.支持通过动态散点聚合柱状图的方式，展示密评不一致情况最严重的两个应用，所使用的密码算法、密码协议和密码设备不一致问题总数，并对密评不一致情况进行对比分析。</w:t>
            </w:r>
          </w:p>
          <w:p w14:paraId="716AD61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71.移动证书公用服务接口开发：支持现运行数字证书系统模块定制化升级，提供移动证书公用服务接口，与信创云现有移动协同签名设备对接。含3年软件升级和维保。</w:t>
            </w:r>
          </w:p>
        </w:tc>
        <w:tc>
          <w:tcPr>
            <w:tcW w:w="145" w:type="pct"/>
            <w:tcBorders>
              <w:top w:val="nil"/>
              <w:left w:val="nil"/>
              <w:bottom w:val="single" w:color="auto" w:sz="4" w:space="0"/>
              <w:right w:val="single" w:color="auto" w:sz="4" w:space="0"/>
            </w:tcBorders>
            <w:vAlign w:val="center"/>
          </w:tcPr>
          <w:p w14:paraId="3AB9AB84">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vAlign w:val="center"/>
          </w:tcPr>
          <w:p w14:paraId="38DE447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套</w:t>
            </w:r>
          </w:p>
        </w:tc>
      </w:tr>
      <w:tr w14:paraId="661F56EC">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E131C7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428" w:type="pct"/>
            <w:tcBorders>
              <w:top w:val="nil"/>
              <w:left w:val="nil"/>
              <w:bottom w:val="single" w:color="auto" w:sz="4" w:space="0"/>
              <w:right w:val="single" w:color="auto" w:sz="4" w:space="0"/>
            </w:tcBorders>
            <w:vAlign w:val="center"/>
          </w:tcPr>
          <w:p w14:paraId="0C8AFD2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密码合规检测设备（探针）</w:t>
            </w:r>
          </w:p>
        </w:tc>
        <w:tc>
          <w:tcPr>
            <w:tcW w:w="3798" w:type="pct"/>
            <w:gridSpan w:val="2"/>
            <w:tcBorders>
              <w:top w:val="nil"/>
              <w:left w:val="nil"/>
              <w:bottom w:val="single" w:color="auto" w:sz="4" w:space="0"/>
              <w:right w:val="single" w:color="auto" w:sz="4" w:space="0"/>
            </w:tcBorders>
            <w:vAlign w:val="center"/>
          </w:tcPr>
          <w:p w14:paraId="52A1A65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1.2U机架 含液晶屏，全国产化平台，内存</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16G，硬盘</w:t>
            </w:r>
            <w:r>
              <w:rPr>
                <w:rFonts w:hint="eastAsia" w:ascii="宋体" w:hAnsi="宋体" w:cs="宋体"/>
                <w:color w:val="auto"/>
                <w:kern w:val="0"/>
                <w:sz w:val="18"/>
                <w:szCs w:val="18"/>
                <w:highlight w:val="none"/>
                <w:lang w:val="en-US" w:eastAsia="zh-CN"/>
              </w:rPr>
              <w:t>≥2T</w:t>
            </w:r>
            <w:r>
              <w:rPr>
                <w:rFonts w:hint="eastAsia" w:ascii="宋体" w:hAnsi="宋体" w:cs="宋体"/>
                <w:color w:val="auto"/>
                <w:kern w:val="0"/>
                <w:sz w:val="18"/>
                <w:szCs w:val="18"/>
                <w:highlight w:val="none"/>
              </w:rPr>
              <w:t>，冗余电源，</w:t>
            </w:r>
            <w:r>
              <w:rPr>
                <w:rFonts w:hint="eastAsia" w:ascii="宋体" w:hAnsi="宋体" w:cs="宋体"/>
                <w:color w:val="auto"/>
                <w:kern w:val="0"/>
                <w:sz w:val="18"/>
                <w:szCs w:val="18"/>
                <w:highlight w:val="none"/>
                <w:lang w:val="en-US" w:eastAsia="zh-CN"/>
              </w:rPr>
              <w:t>至少</w:t>
            </w:r>
            <w:r>
              <w:rPr>
                <w:rFonts w:hint="eastAsia" w:ascii="宋体" w:hAnsi="宋体" w:cs="宋体"/>
                <w:color w:val="auto"/>
                <w:kern w:val="0"/>
                <w:sz w:val="18"/>
                <w:szCs w:val="18"/>
                <w:highlight w:val="none"/>
              </w:rPr>
              <w:t>支持8个千兆网络电口和4个千兆网络光口+2个万兆光口，USB接口</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2个，RJ45串口</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1个，VGA接口</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1个，最大检测流量</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8Gbps。</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支持流量接收，可部署在核心或接入交换机，通过端口流量镜像方式获取通信流量。</w:t>
            </w:r>
          </w:p>
          <w:p w14:paraId="73C0E20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2.支持流量协议识别，至少能识别以下类型流量：</w:t>
            </w:r>
          </w:p>
          <w:p w14:paraId="1A291AA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a)通道加密流量，包括国密标准IPSecVPN、SSLVPN、HTTPS，以及国际标准IPSecVPN、SSLVPN、HTTPS流量；</w:t>
            </w:r>
          </w:p>
          <w:p w14:paraId="7F134130">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b)非通道加密流量，能识别基于HTTP的应用通信；</w:t>
            </w:r>
          </w:p>
          <w:p w14:paraId="04735E0B">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c)数据库访问流量识别，至少支持MySQL等主流数据库访问流量识别。支持SQL语句解析，能有效识别数据库读写操作，提取读写内容，并进一步对读写内容进行明密判别。</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 xml:space="preserve">    3.对通道加密类型流量，支持密码协议、算法合规性检测：</w:t>
            </w:r>
          </w:p>
          <w:p w14:paraId="1B4985B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a)能从国密和国际标准的加密通信协议中提取加密协议号和算法套件，并判断其合规性；</w:t>
            </w:r>
          </w:p>
          <w:p w14:paraId="5610E47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b)支持根据《GM/T 0022 IPSec VPN 技术规范》，验证国密IPSec VPN协商过程合规性；</w:t>
            </w:r>
          </w:p>
          <w:p w14:paraId="620F6E4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c)支持根据《GM/T 0024 SSL VPN 技术规范》，验证SSL VPN协商过程合规性。4.支持提取加密通道协商过程中交换的数字证书，并验证其有效性：</w:t>
            </w:r>
          </w:p>
          <w:p w14:paraId="0335086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a)支持数字证书解析，能准确识别和提取证书主题、颁发者、有效期、组织、证书序列号等信息，支持的证书类型包括RSA、SM2、ECC的X509格式证书；</w:t>
            </w:r>
          </w:p>
          <w:p w14:paraId="11C68191">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b)支持验证证书格式的合规性，合规标准包括《GM/T 0015 基于SM2密码算法的数字证书格式规范》《GM/T 0043 数字证书互操作检测规范》等；</w:t>
            </w:r>
          </w:p>
          <w:p w14:paraId="6C4E21B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c)支持验证证书签名有效性。</w:t>
            </w:r>
          </w:p>
          <w:p w14:paraId="6952749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5.对非通道加密流量，支持提取通信内容载荷，并对通信内容进行明密判别。</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支持数据上报，对数据处理和分析、主动分析的结果，通过加密通道上报给密码态势感知系统进行统一分析展示。</w:t>
            </w:r>
          </w:p>
          <w:p w14:paraId="459A9DC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6.支持数据离线导出，对数据处理和分析、主动分析的结果可采用离线导出方式进行归档。</w:t>
            </w:r>
          </w:p>
          <w:p w14:paraId="6042073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7.采用B/S架构进行系统配置管理。</w:t>
            </w:r>
          </w:p>
        </w:tc>
        <w:tc>
          <w:tcPr>
            <w:tcW w:w="145" w:type="pct"/>
            <w:tcBorders>
              <w:top w:val="nil"/>
              <w:left w:val="nil"/>
              <w:bottom w:val="single" w:color="auto" w:sz="4" w:space="0"/>
              <w:right w:val="single" w:color="auto" w:sz="4" w:space="0"/>
            </w:tcBorders>
            <w:vAlign w:val="center"/>
          </w:tcPr>
          <w:p w14:paraId="0FEFA8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208" w:type="pct"/>
            <w:tcBorders>
              <w:top w:val="nil"/>
              <w:left w:val="nil"/>
              <w:bottom w:val="single" w:color="auto" w:sz="4" w:space="0"/>
              <w:right w:val="single" w:color="auto" w:sz="4" w:space="0"/>
            </w:tcBorders>
            <w:vAlign w:val="center"/>
          </w:tcPr>
          <w:p w14:paraId="6E22D89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6268C53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DBAC498">
            <w:pPr>
              <w:widowControl/>
              <w:jc w:val="left"/>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二）</w:t>
            </w:r>
          </w:p>
        </w:tc>
        <w:tc>
          <w:tcPr>
            <w:tcW w:w="428" w:type="pct"/>
            <w:tcBorders>
              <w:top w:val="nil"/>
              <w:left w:val="nil"/>
              <w:bottom w:val="single" w:color="auto" w:sz="4" w:space="0"/>
              <w:right w:val="single" w:color="auto" w:sz="4" w:space="0"/>
            </w:tcBorders>
            <w:vAlign w:val="center"/>
          </w:tcPr>
          <w:p w14:paraId="73434651">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密码资源池</w:t>
            </w:r>
          </w:p>
        </w:tc>
        <w:tc>
          <w:tcPr>
            <w:tcW w:w="3798" w:type="pct"/>
            <w:gridSpan w:val="2"/>
            <w:tcBorders>
              <w:top w:val="nil"/>
              <w:left w:val="nil"/>
              <w:bottom w:val="single" w:color="auto" w:sz="4" w:space="0"/>
              <w:right w:val="single" w:color="auto" w:sz="4" w:space="0"/>
            </w:tcBorders>
            <w:vAlign w:val="center"/>
          </w:tcPr>
          <w:p w14:paraId="1AF8284B">
            <w:pPr>
              <w:widowControl/>
              <w:ind w:firstLine="360" w:firstLineChars="200"/>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密码资源池以商用密码为基础，为信息系统提供统一的密码安全服务，以及对应用系统密码服务使用进行集中管理和控制，同时对密码综合服务管理平台的所有服务、系统、设备，密码应用状态等进行全面的数据分析和状态监控，进行直观的展示或及时的预警通知。整体功能包括密码统一服务、数字签名、身份认证和时间戳服务等。</w:t>
            </w:r>
            <w:r>
              <w:rPr>
                <w:rFonts w:hint="eastAsia" w:ascii="宋体" w:hAnsi="宋体" w:cs="宋体"/>
                <w:color w:val="auto"/>
                <w:kern w:val="0"/>
                <w:sz w:val="18"/>
                <w:szCs w:val="18"/>
                <w:highlight w:val="none"/>
                <w:lang w:val="en-US" w:eastAsia="zh-CN"/>
              </w:rPr>
              <w:t>密码资源池包括</w:t>
            </w:r>
            <w:r>
              <w:rPr>
                <w:rFonts w:hint="eastAsia" w:ascii="宋体" w:hAnsi="宋体" w:cs="宋体"/>
                <w:color w:val="auto"/>
                <w:kern w:val="0"/>
                <w:sz w:val="18"/>
                <w:szCs w:val="18"/>
                <w:highlight w:val="none"/>
              </w:rPr>
              <w:t>密码服务平台</w:t>
            </w:r>
            <w:r>
              <w:rPr>
                <w:rFonts w:hint="eastAsia" w:ascii="宋体" w:hAnsi="宋体" w:cs="宋体"/>
                <w:color w:val="auto"/>
                <w:kern w:val="0"/>
                <w:sz w:val="18"/>
                <w:szCs w:val="18"/>
                <w:highlight w:val="none"/>
                <w:lang w:val="en-US" w:eastAsia="zh-CN"/>
              </w:rPr>
              <w:t>和配套密码资源设施。平台或者系统实现部署在国产化的资源上，具体技术功能要求如下：</w:t>
            </w:r>
          </w:p>
        </w:tc>
        <w:tc>
          <w:tcPr>
            <w:tcW w:w="145" w:type="pct"/>
            <w:tcBorders>
              <w:top w:val="nil"/>
              <w:left w:val="nil"/>
              <w:bottom w:val="single" w:color="auto" w:sz="4" w:space="0"/>
              <w:right w:val="single" w:color="auto" w:sz="4" w:space="0"/>
            </w:tcBorders>
            <w:vAlign w:val="center"/>
          </w:tcPr>
          <w:p w14:paraId="25633BB1">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vAlign w:val="center"/>
          </w:tcPr>
          <w:p w14:paraId="7FE4B6D4">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r>
      <w:tr w14:paraId="4A432C3A">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A111DAC">
            <w:pPr>
              <w:widowControl/>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w:t>
            </w:r>
          </w:p>
        </w:tc>
        <w:tc>
          <w:tcPr>
            <w:tcW w:w="428" w:type="pct"/>
            <w:tcBorders>
              <w:top w:val="nil"/>
              <w:left w:val="nil"/>
              <w:bottom w:val="single" w:color="auto" w:sz="4" w:space="0"/>
              <w:right w:val="single" w:color="auto" w:sz="4" w:space="0"/>
            </w:tcBorders>
            <w:vAlign w:val="center"/>
          </w:tcPr>
          <w:p w14:paraId="04C67E9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密码服务平台</w:t>
            </w:r>
          </w:p>
        </w:tc>
        <w:tc>
          <w:tcPr>
            <w:tcW w:w="3798" w:type="pct"/>
            <w:gridSpan w:val="2"/>
            <w:tcBorders>
              <w:top w:val="nil"/>
              <w:left w:val="nil"/>
              <w:bottom w:val="single" w:color="auto" w:sz="4" w:space="0"/>
              <w:right w:val="single" w:color="auto" w:sz="4" w:space="0"/>
            </w:tcBorders>
            <w:vAlign w:val="center"/>
          </w:tcPr>
          <w:p w14:paraId="500380D7">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一、密码服务平台基本功能。</w:t>
            </w:r>
          </w:p>
          <w:p w14:paraId="407D1F2C">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软件化部署，提供完整的密码综合服务，包含密钥管理、基础密码服务（密码运算）、密码统一服务（对外提供统一服务接口）、密码设备管理、密码业务管理（业务系统接入管理）、密码业务监控（业务调用态势监测）、密码业务分析、密码业务考核（应用接入与服务调用维度、设备与服务维度、数字证书发放与使用维度等）等系统模块，支持综合业务数据可视化大屏。配套提供信创数据库管理软件（含1个集群授权）。含3年软件升级和维保。</w:t>
            </w:r>
          </w:p>
          <w:p w14:paraId="129F69DE">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2.支持通过软件镜像创建密码服务，支持密码服务的启停管理，支持密码服务实例管理，</w:t>
            </w:r>
            <w:r>
              <w:rPr>
                <w:rFonts w:hint="eastAsia" w:ascii="宋体" w:hAnsi="宋体" w:cs="宋体"/>
                <w:color w:val="auto"/>
                <w:kern w:val="0"/>
                <w:sz w:val="18"/>
                <w:szCs w:val="18"/>
                <w:highlight w:val="none"/>
                <w:lang w:val="en-US" w:eastAsia="zh-CN"/>
              </w:rPr>
              <w:t>在</w:t>
            </w:r>
            <w:r>
              <w:rPr>
                <w:rFonts w:hint="eastAsia" w:ascii="宋体" w:hAnsi="宋体" w:cs="宋体"/>
                <w:color w:val="auto"/>
                <w:kern w:val="0"/>
                <w:sz w:val="18"/>
                <w:szCs w:val="18"/>
                <w:highlight w:val="none"/>
              </w:rPr>
              <w:t>密码服务实例创建过程中支持配置CPU、内存等资源，支持密码服务实例的动态扩容。</w:t>
            </w:r>
          </w:p>
          <w:p w14:paraId="21F42B39">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3.支持应用主密钥管理、KEK管理、DEK管理，DEK保护密钥支持选择使用应用主密钥或KEK，支持密钥备份和恢复功能，支持密钥司法取证管理员配置及取证功能。</w:t>
            </w:r>
          </w:p>
          <w:p w14:paraId="5B8EA645">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4.支持密钥策略配置功能，支持配置应用主密钥参数、对称密钥参数、传输密钥参数及备用密钥策略。</w:t>
            </w:r>
          </w:p>
          <w:p w14:paraId="1FC2F58A">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5.支持基于应用管理密钥加密密钥和数据加密密钥，包括密钥更新、注销、失信、销毁、恢复、归档以及密钥查询等密钥管理操作。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支持备用密钥管理，支持定时或即时产生备用密钥，支持备用密钥销毁功能。</w:t>
            </w:r>
          </w:p>
          <w:p w14:paraId="03EB2B5A">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6.支持司法取证员管理和密钥的司法取证操作，司法取证时需要验证司法取证员身份。</w:t>
            </w:r>
          </w:p>
          <w:p w14:paraId="334250A8">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7.密码服务类型包括但不限于数字证书服务、身份认证服务、加解密服务、签名验签服务、摘要服务、密钥管理服务、电子签章服务、时间戳服务等，满足应用系统各类密码应用需求。</w:t>
            </w:r>
          </w:p>
          <w:p w14:paraId="5390870D">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8.支持RESTFUL协议接口形态，支持多种开发语言集成，便于业务使用。</w:t>
            </w:r>
          </w:p>
          <w:p w14:paraId="455EB738">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9.支持应用服务器本地SDK接口服务模式，支持大并发、大数据量业务场景。</w:t>
            </w:r>
          </w:p>
          <w:p w14:paraId="1D59488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10.支持数字证书管理功能，支持证书申请、下载、更新、延期、冻结、解冻、注销等证书管理操作。</w:t>
            </w:r>
          </w:p>
          <w:p w14:paraId="74623DA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11.支持设备组管理，支持身份认证网关服务器、签名服务器等设备的管理，支持管理身份认证网关设备的可信CA证书及应用同步，支持管理签名服务器的可信CA证书。</w:t>
            </w:r>
          </w:p>
          <w:p w14:paraId="240B1960">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12.监控各类密码服务、设备并展示资源预警和故障告警信息，在一个监控总览图中支持按CPU、内存、硬盘使用率对设备进行排名，支持展示实时服务调用趋势图、设备状态展示图、故障告警列表和资源预警列表。</w:t>
            </w:r>
          </w:p>
          <w:p w14:paraId="615E48DE">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13.支持租户应用数量、密钥数量、各密钥状态数量、服务调用总量、各类密码服务调用量及租户许可信息的统计。</w:t>
            </w:r>
          </w:p>
          <w:p w14:paraId="61ED9A1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14.支持全网总数数据统计，包括级联机构名称、服务提供总量、应用接入总量、设备管理总量、密钥发放总量等。</w:t>
            </w:r>
          </w:p>
          <w:p w14:paraId="0E624235">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15.支持数据分析总览大屏，大屏支持多维度数据态势分析，支持平台内设备、服务、应用、密钥等的总量展示，支持设备、服务的分类统计展示，支持服务调用的应用排名展示等。</w:t>
            </w:r>
          </w:p>
          <w:p w14:paraId="26C19868">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支持监控总览大屏，大屏支持多维度监控及告警数据展示，支持设备状态展示、支持各机构设备数量展示、支持核心应用调用走势展示、支持近14天设备资源使用情况走势、支持昨日24小时密码服务调用走势，支持故障告警的展示。</w:t>
            </w:r>
          </w:p>
          <w:p w14:paraId="37022AA2">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17.支持租户业务态势感知大屏，大屏支持租户维度的应用、服务量统计、租户业务量排名、租户实时业务量监控等信息的展示。</w:t>
            </w:r>
          </w:p>
          <w:p w14:paraId="5C857336">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18.支持大屏展示功能，支持数据分析总览大屏、监控总览大屏、租户大屏、考核大屏等，大屏内容至少包括：设备分类统计数据、服务分类统计数据、各机构设备占比、各机构服务占比、各服务访问TOPN、设备状态展示、故障告警、租户实时业务量监控、考核得分对比及趋势等内容。</w:t>
            </w:r>
          </w:p>
          <w:p w14:paraId="6473B856">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19.支持考核项管理，考核项包括应用接入率、应用在用率、服务调用率、设备正常率、设备故障及时修复率、服务正常率、服务故障及时修复率等。</w:t>
            </w:r>
          </w:p>
          <w:p w14:paraId="29C7E630">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20.支持考核模板管理，支持模板的启用、停用、下发管理、支持模板下发历史查询。</w:t>
            </w:r>
          </w:p>
          <w:p w14:paraId="71D3CE83">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21.支持考核分数计算功能，支持评估考核功能，图表展示各机构得分情况，饼状图展示各机构总体考核情况。</w:t>
            </w:r>
          </w:p>
          <w:p w14:paraId="00DFFA1F">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22.支持密码应用考核功能，支持考核项管理，考核模板管理、考核分数计算及考核评估等功能。</w:t>
            </w:r>
          </w:p>
          <w:p w14:paraId="32F59766">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二、密码服务平台运维功能</w:t>
            </w:r>
          </w:p>
          <w:p w14:paraId="4989EC0D">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部署在专网云平台上，提供密码资产管理、监控预警、运维处置及运维态势展示等密码资源的全生命周期运维监控能力，实现整个运维过程的数据采集自动化、监控预警规则化、故障处置自动化、工单审批规范化、设备巡检智能化及运维分析智能化。含3年软件升级和维保。</w:t>
            </w:r>
          </w:p>
          <w:p w14:paraId="47607C5F">
            <w:pPr>
              <w:widowControl/>
              <w:ind w:left="357" w:leftChars="17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2.支持密码资产的设备状态监控、服务状态监控以及业务状态监控。</w:t>
            </w:r>
          </w:p>
          <w:p w14:paraId="7FA81BC9">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3.支持监控运行状态信息采集策略的配置，包括信息采集规则、信息采集频率的配置，支持告警阈值的配置，监控信息匹配告警阈值时，需要自动触发告警通知并生成运维工单。</w:t>
            </w:r>
          </w:p>
          <w:p w14:paraId="55F83460">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4.支持对已纳入监控范围的密码资产运行情况进行监控信息列表展示、指标图展示及多指标组合图展示，支持曲线图、饼图形式展示。</w:t>
            </w:r>
          </w:p>
          <w:p w14:paraId="34A4508A">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5.支持告警动作触发条件配置，提供设置单个触发器触发告警动作、提供设置多个触发器联合触发告警动作。告警动作支持消息通知和告警上报，支持消息模板自定义配置。</w:t>
            </w:r>
          </w:p>
          <w:p w14:paraId="53796AB5">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6.支持多种告警通知消息媒介包括：邮件、短信、微信、钉钉以及通过脚本对接第三方服务接口。系统可以根据不同的告警类型和不同的告警内容灵活</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设定告警通知模板。</w:t>
            </w:r>
          </w:p>
          <w:p w14:paraId="2780E973">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7.支持工单功能，提供工单处理、工单历史记录查询、统计、导出功能，提供工单故障解决通知功能。</w:t>
            </w:r>
          </w:p>
          <w:p w14:paraId="6502EE9B">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8.支持智能巡检管理，支持对巡检计划统一管理，对已定义的巡检计划进行自动化巡检，通过启用/禁用控制巡检计划的运行状态，还可以通过立即执行进行手动操作，支持对巡检任务的巡检结果生成巡检报告。</w:t>
            </w:r>
          </w:p>
          <w:p w14:paraId="125C5E1D">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9.支持展示各类基础设备及密码设备的整体情况，包括受监控设备数量、资源使用情况、设备当前状态、网络拓扑、异常告警记录等信息。</w:t>
            </w:r>
          </w:p>
          <w:p w14:paraId="5201C0E3">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10.支持展示密码业务运行状态的综合汇总情况，包括证书使用量、密钥使用量、密钥状态比例、签名次数、加密次数、平均制证时间、平均签名耗时、平均加密耗时、密码设备状态等信息。</w:t>
            </w:r>
          </w:p>
          <w:p w14:paraId="275CA708">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11.支持密码资产的远程升级，提供升级版本控制、升级结果状态查看、升级历史信息统计的功能。</w:t>
            </w:r>
          </w:p>
          <w:p w14:paraId="7C64C668">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三、密码服务平台级联对接功能</w:t>
            </w:r>
          </w:p>
          <w:p w14:paraId="2890E050">
            <w:pPr>
              <w:ind w:firstLine="420" w:firstLineChars="200"/>
              <w:rPr>
                <w:rFonts w:hint="eastAsia" w:ascii="宋体" w:hAnsi="宋体" w:cs="宋体"/>
                <w:color w:val="auto"/>
                <w:kern w:val="0"/>
                <w:sz w:val="18"/>
                <w:szCs w:val="18"/>
                <w:highlight w:val="none"/>
              </w:rPr>
            </w:pPr>
            <w:r>
              <w:rPr>
                <w:rFonts w:hint="eastAsia"/>
                <w:color w:val="auto"/>
                <w:highlight w:val="none"/>
              </w:rPr>
              <w:t>1.</w:t>
            </w:r>
            <w:r>
              <w:rPr>
                <w:rFonts w:hint="eastAsia" w:ascii="宋体" w:hAnsi="宋体" w:cs="宋体"/>
                <w:color w:val="auto"/>
                <w:kern w:val="0"/>
                <w:sz w:val="18"/>
                <w:szCs w:val="18"/>
                <w:highlight w:val="none"/>
              </w:rPr>
              <w:t>密码设备信息接口对接：对接设备基础信息；支持新增、变更、下线同步与唯一标识映射（含公共网络区、互联网区、政府专网区和专用网络区的4个平台的接口对接）。</w:t>
            </w:r>
          </w:p>
          <w:p w14:paraId="02CCE291">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2.密码设备运行状态接口对接：对接设备在线/离线，CPU/内存/磁盘状态、端口与心跳等指标（含公共网络区、互联网区、政府专网区和专用网络区的4个平台的接口对接）。</w:t>
            </w:r>
          </w:p>
          <w:p w14:paraId="2A6C3791">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3.密码设备资源占用情况接口对接：对接设备CPU利用率、内存占用、磁盘使用率信息（含公共网络区、互联网区、政府专网区和专用网络区的4个平台的接口对接）。</w:t>
            </w:r>
          </w:p>
          <w:p w14:paraId="7328C62E">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4.密码设备故障预警信息接口对接：对接设备硬件故障信息，包括故障类型、发生时间等。（含公共网络区、互联网区、政府专网区和专用网络区的4个平台的接口对接）。</w:t>
            </w:r>
          </w:p>
          <w:p w14:paraId="4E816A9A">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5.密码服务调用状态用量信息接口对接：对接密码服务的调用状态（成功/失败）与用量计数（含公共网络区、互联网区、政府专网区和专用网络区的4个平台的接口对接）。</w:t>
            </w:r>
          </w:p>
          <w:p w14:paraId="30A2F091">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应用调用密码服务状态与用量信息接口对接：对接业务应用侧对密码服务的调用信息汇总，包括所属应用、密码服务类型、密码服务用量（含公共网络区、互联网区、政府专网区和专用网络区的4个平台的接口对接）。</w:t>
            </w:r>
          </w:p>
          <w:p w14:paraId="14CA6530">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7.证书用量与预警信息接口对接：对接证书用量信息以及证书到期信息（含公共网络区、互联网区、政府专网区和专用网络区的4个平台的接口对接）。</w:t>
            </w:r>
          </w:p>
          <w:p w14:paraId="1DA7ECB4">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8.密钥预警信息接口对接：对接密钥到期/异常使用等信息（含公共网络区、互联网区、政府专网区和专用网络区的4个平台的接口对接）。</w:t>
            </w:r>
          </w:p>
          <w:p w14:paraId="0A5A9169">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9.数据汇聚清洗关联：对密码服务平台上报数据进行汇聚、关联，对数据进行格式标准化。</w:t>
            </w:r>
          </w:p>
          <w:p w14:paraId="38D4FFEB">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预警信息展示：应展示密码设备故障预警，按设备纬度展示设备故障预警信息，支持按照设备名称、时间周期查询；应展示证书用量预警信息，展示证书用量信息和异常预警信息统计，支持按照应用查询；应展示密钥预警信息，展示密钥到期/异常使用等预警信息，支持按照应用查询。</w:t>
            </w:r>
          </w:p>
          <w:p w14:paraId="5E7EED90">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数据统计报表：应展示密码设备统计信息，按设备类型、在线状态展示；应展示密码服务用量统计，按服务类型、应用统计各类密码服务的调用用量；应包含密码设备故障统计、证书预警统计、密钥预警统计信息。</w:t>
            </w:r>
          </w:p>
          <w:p w14:paraId="1D3206C4">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12.密码服务运行状态数据展示：通过一张数据大屏图展示密码设备、密码服务状态、用量以及预警信息。</w:t>
            </w:r>
          </w:p>
        </w:tc>
        <w:tc>
          <w:tcPr>
            <w:tcW w:w="145" w:type="pct"/>
            <w:tcBorders>
              <w:top w:val="nil"/>
              <w:left w:val="nil"/>
              <w:bottom w:val="single" w:color="auto" w:sz="4" w:space="0"/>
              <w:right w:val="single" w:color="auto" w:sz="4" w:space="0"/>
            </w:tcBorders>
            <w:vAlign w:val="center"/>
          </w:tcPr>
          <w:p w14:paraId="273F8B5B">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vAlign w:val="center"/>
          </w:tcPr>
          <w:p w14:paraId="7385DF14">
            <w:pPr>
              <w:widowControl/>
              <w:jc w:val="center"/>
              <w:rPr>
                <w:rFonts w:hint="eastAsia" w:ascii="宋体" w:hAnsi="宋体" w:cs="宋体"/>
                <w:color w:val="auto"/>
                <w:kern w:val="0"/>
                <w:sz w:val="18"/>
                <w:szCs w:val="18"/>
                <w:highlight w:val="none"/>
              </w:rPr>
            </w:pPr>
          </w:p>
        </w:tc>
      </w:tr>
      <w:tr w14:paraId="23145B3A">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7FFD64B">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2</w:t>
            </w:r>
          </w:p>
        </w:tc>
        <w:tc>
          <w:tcPr>
            <w:tcW w:w="428" w:type="pct"/>
            <w:tcBorders>
              <w:top w:val="nil"/>
              <w:left w:val="nil"/>
              <w:bottom w:val="single" w:color="auto" w:sz="4" w:space="0"/>
              <w:right w:val="single" w:color="auto" w:sz="4" w:space="0"/>
            </w:tcBorders>
            <w:vAlign w:val="center"/>
          </w:tcPr>
          <w:p w14:paraId="56CAA848">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密码资源池</w:t>
            </w:r>
            <w:r>
              <w:rPr>
                <w:rFonts w:hint="eastAsia" w:ascii="宋体" w:hAnsi="宋体" w:cs="宋体"/>
                <w:color w:val="auto"/>
                <w:kern w:val="0"/>
                <w:sz w:val="18"/>
                <w:szCs w:val="18"/>
                <w:highlight w:val="none"/>
                <w:lang w:val="en-US" w:eastAsia="zh-CN"/>
              </w:rPr>
              <w:t>配套密码资源设施</w:t>
            </w:r>
          </w:p>
        </w:tc>
        <w:tc>
          <w:tcPr>
            <w:tcW w:w="3798" w:type="pct"/>
            <w:gridSpan w:val="2"/>
            <w:tcBorders>
              <w:top w:val="nil"/>
              <w:left w:val="nil"/>
              <w:bottom w:val="single" w:color="auto" w:sz="4" w:space="0"/>
              <w:right w:val="single" w:color="auto" w:sz="4" w:space="0"/>
            </w:tcBorders>
            <w:vAlign w:val="center"/>
          </w:tcPr>
          <w:p w14:paraId="7E964F10">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密码资源池</w:t>
            </w:r>
            <w:r>
              <w:rPr>
                <w:rFonts w:hint="eastAsia" w:ascii="宋体" w:hAnsi="宋体" w:cs="宋体"/>
                <w:color w:val="auto"/>
                <w:kern w:val="0"/>
                <w:sz w:val="18"/>
                <w:szCs w:val="18"/>
                <w:highlight w:val="none"/>
                <w:lang w:val="en-US" w:eastAsia="zh-CN"/>
              </w:rPr>
              <w:t>配套密码资源设施包括云服务密码机、数字签名组件、身份认证网关和时间戳组件</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具体功能要求如下：</w:t>
            </w:r>
          </w:p>
        </w:tc>
        <w:tc>
          <w:tcPr>
            <w:tcW w:w="145" w:type="pct"/>
            <w:tcBorders>
              <w:top w:val="nil"/>
              <w:left w:val="nil"/>
              <w:bottom w:val="single" w:color="auto" w:sz="4" w:space="0"/>
              <w:right w:val="single" w:color="auto" w:sz="4" w:space="0"/>
            </w:tcBorders>
            <w:vAlign w:val="center"/>
          </w:tcPr>
          <w:p w14:paraId="20678FA0">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vAlign w:val="center"/>
          </w:tcPr>
          <w:p w14:paraId="71A9725F">
            <w:pPr>
              <w:widowControl/>
              <w:jc w:val="center"/>
              <w:rPr>
                <w:rFonts w:hint="eastAsia" w:ascii="宋体" w:hAnsi="宋体" w:cs="宋体"/>
                <w:color w:val="auto"/>
                <w:kern w:val="0"/>
                <w:sz w:val="18"/>
                <w:szCs w:val="18"/>
                <w:highlight w:val="none"/>
              </w:rPr>
            </w:pPr>
          </w:p>
        </w:tc>
      </w:tr>
      <w:tr w14:paraId="0DF8D2E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2CDAB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.1</w:t>
            </w:r>
          </w:p>
        </w:tc>
        <w:tc>
          <w:tcPr>
            <w:tcW w:w="428" w:type="pct"/>
            <w:tcBorders>
              <w:top w:val="nil"/>
              <w:left w:val="nil"/>
              <w:bottom w:val="single" w:color="auto" w:sz="4" w:space="0"/>
              <w:right w:val="single" w:color="auto" w:sz="4" w:space="0"/>
            </w:tcBorders>
            <w:vAlign w:val="center"/>
          </w:tcPr>
          <w:p w14:paraId="4CB99C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云密码机</w:t>
            </w:r>
          </w:p>
        </w:tc>
        <w:tc>
          <w:tcPr>
            <w:tcW w:w="3798" w:type="pct"/>
            <w:gridSpan w:val="2"/>
            <w:tcBorders>
              <w:top w:val="nil"/>
              <w:left w:val="nil"/>
              <w:bottom w:val="single" w:color="auto" w:sz="4" w:space="0"/>
              <w:right w:val="single" w:color="auto" w:sz="4" w:space="0"/>
            </w:tcBorders>
            <w:vAlign w:val="center"/>
          </w:tcPr>
          <w:p w14:paraId="2456704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1.国产化设备，3U标准机架式，</w:t>
            </w:r>
            <w:r>
              <w:rPr>
                <w:rFonts w:hint="eastAsia" w:ascii="宋体" w:hAnsi="宋体" w:cs="宋体"/>
                <w:color w:val="auto"/>
                <w:kern w:val="0"/>
                <w:sz w:val="18"/>
                <w:szCs w:val="18"/>
                <w:highlight w:val="none"/>
                <w:lang w:val="en-US" w:eastAsia="zh-CN"/>
              </w:rPr>
              <w:t>冗余电源，</w:t>
            </w:r>
            <w:r>
              <w:rPr>
                <w:rFonts w:hint="eastAsia" w:ascii="宋体" w:hAnsi="宋体" w:cs="宋体"/>
                <w:color w:val="auto"/>
                <w:kern w:val="0"/>
                <w:sz w:val="18"/>
                <w:szCs w:val="18"/>
                <w:highlight w:val="none"/>
              </w:rPr>
              <w:t>国产化CPU≥8核、内存≥64G、SSD盘≥512G、千兆电口≥6个、万兆光口≥4个。最大虚拟数≥32。SM2密钥对生成速度≥27万对/秒、加密速度≥8.5万次/秒、解密速度≥10万次/秒，SM3杂凑运算吞吐量≥8000Mbps、SM4加解密吞吐量≥5800Mbps</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提供高性能的密码运算服务、加解密服务</w:t>
            </w:r>
            <w:r>
              <w:rPr>
                <w:rFonts w:hint="eastAsia" w:ascii="宋体" w:hAnsi="宋体" w:cs="宋体"/>
                <w:color w:val="auto"/>
                <w:kern w:val="0"/>
                <w:sz w:val="18"/>
                <w:szCs w:val="18"/>
                <w:highlight w:val="none"/>
                <w:lang w:eastAsia="zh-CN"/>
              </w:rPr>
              <w:t>。</w:t>
            </w:r>
          </w:p>
          <w:p w14:paraId="6A72150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2.SM2密钥对生成速度</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27万对/秒、加密速度</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8.5万次/秒、解密速度</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10万次/秒，SM3杂凑运算吞吐</w:t>
            </w:r>
            <w:r>
              <w:rPr>
                <w:rFonts w:hint="eastAsia" w:ascii="宋体" w:hAnsi="宋体" w:cs="宋体"/>
                <w:color w:val="auto"/>
                <w:kern w:val="0"/>
                <w:sz w:val="18"/>
                <w:szCs w:val="18"/>
                <w:highlight w:val="none"/>
                <w:lang w:val="en-US" w:eastAsia="zh-CN"/>
              </w:rPr>
              <w:t>量≥</w:t>
            </w:r>
            <w:r>
              <w:rPr>
                <w:rFonts w:hint="eastAsia" w:ascii="宋体" w:hAnsi="宋体" w:cs="宋体"/>
                <w:color w:val="auto"/>
                <w:kern w:val="0"/>
                <w:sz w:val="18"/>
                <w:szCs w:val="18"/>
                <w:highlight w:val="none"/>
              </w:rPr>
              <w:t>8000Mbps、SM4加解密吞吐</w:t>
            </w:r>
            <w:r>
              <w:rPr>
                <w:rFonts w:hint="eastAsia" w:ascii="宋体" w:hAnsi="宋体" w:cs="宋体"/>
                <w:color w:val="auto"/>
                <w:kern w:val="0"/>
                <w:sz w:val="18"/>
                <w:szCs w:val="18"/>
                <w:highlight w:val="none"/>
                <w:lang w:val="en-US" w:eastAsia="zh-CN"/>
              </w:rPr>
              <w:t>量≥</w:t>
            </w:r>
            <w:r>
              <w:rPr>
                <w:rFonts w:hint="eastAsia" w:ascii="宋体" w:hAnsi="宋体" w:cs="宋体"/>
                <w:color w:val="auto"/>
                <w:kern w:val="0"/>
                <w:sz w:val="18"/>
                <w:szCs w:val="18"/>
                <w:highlight w:val="none"/>
              </w:rPr>
              <w:t>5800Mbps。含3年软件升级和硬件保修。</w:t>
            </w:r>
          </w:p>
          <w:p w14:paraId="49594D5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3.支持基于KVM的虚拟化技术，在一个CHSM中虚拟出多个VSM，内置支持SR-IOV虚拟化技术的硬件密码卡，提供密码模块的虚拟化支撑能力；</w:t>
            </w:r>
          </w:p>
          <w:p w14:paraId="30498A9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4.支持创建不同规格与性能的虚拟密码机；</w:t>
            </w:r>
          </w:p>
          <w:p w14:paraId="064E5F12">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5.支持镜像实例完整性保护，通过数字签名技术对镜像实例进行完整性保护；</w:t>
            </w:r>
          </w:p>
          <w:p w14:paraId="0193CC47">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6.支持密码卡实模式，支持开机启动系统镜像的完整性检验；</w:t>
            </w:r>
          </w:p>
          <w:p w14:paraId="566A5B5E">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7.支持国密SSH、国密FTP，保证整机运维安全；</w:t>
            </w:r>
          </w:p>
          <w:p w14:paraId="7522BF6A">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8.支持网口聚合设置，可选择电口聚合、光口聚合、电口和光口都聚合等模式；</w:t>
            </w:r>
          </w:p>
          <w:p w14:paraId="468962D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9.支持密钥批处理功能，通过设置密钥号起止位置等信息，批量生成或删除密钥对；</w:t>
            </w:r>
          </w:p>
          <w:p w14:paraId="398A119B">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10.支持基于三五门限安全机制的密钥备份与恢复，且支持多版本备份恢复；</w:t>
            </w:r>
          </w:p>
          <w:p w14:paraId="700EF4C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11.支持虚拟机日志等级设置，可设置为DEBUG、WARN、ERR0R、FATAL四个等级，且支持通过数字签名的方式实现日志数据完整性保护；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支持keystore工具的配置和管理功能；</w:t>
            </w:r>
          </w:p>
          <w:p w14:paraId="2F22460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12.管理接口符合GMT 0088-2020《云服务器密码机管理接口规范》的要求，可提供CHSM及VSM的配置管理接口；</w:t>
            </w:r>
          </w:p>
          <w:p w14:paraId="043DAEAB">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13.支持设备自检功能，实现随机数自检、算法正确性自检；</w:t>
            </w:r>
          </w:p>
        </w:tc>
        <w:tc>
          <w:tcPr>
            <w:tcW w:w="145" w:type="pct"/>
            <w:tcBorders>
              <w:top w:val="nil"/>
              <w:left w:val="nil"/>
              <w:bottom w:val="single" w:color="auto" w:sz="4" w:space="0"/>
              <w:right w:val="single" w:color="auto" w:sz="4" w:space="0"/>
            </w:tcBorders>
            <w:vAlign w:val="center"/>
          </w:tcPr>
          <w:p w14:paraId="6B58FB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208" w:type="pct"/>
            <w:tcBorders>
              <w:top w:val="nil"/>
              <w:left w:val="nil"/>
              <w:bottom w:val="single" w:color="auto" w:sz="4" w:space="0"/>
              <w:right w:val="single" w:color="auto" w:sz="4" w:space="0"/>
            </w:tcBorders>
            <w:vAlign w:val="center"/>
          </w:tcPr>
          <w:p w14:paraId="0A834A0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2AD6C0FD">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E2400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.2</w:t>
            </w:r>
          </w:p>
        </w:tc>
        <w:tc>
          <w:tcPr>
            <w:tcW w:w="428" w:type="pct"/>
            <w:tcBorders>
              <w:top w:val="nil"/>
              <w:left w:val="nil"/>
              <w:bottom w:val="single" w:color="auto" w:sz="4" w:space="0"/>
              <w:right w:val="single" w:color="auto" w:sz="4" w:space="0"/>
            </w:tcBorders>
            <w:vAlign w:val="center"/>
          </w:tcPr>
          <w:p w14:paraId="4D469A43">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数字签名</w:t>
            </w:r>
            <w:r>
              <w:rPr>
                <w:rFonts w:hint="eastAsia" w:ascii="宋体" w:hAnsi="宋体" w:cs="宋体"/>
                <w:color w:val="auto"/>
                <w:kern w:val="0"/>
                <w:sz w:val="18"/>
                <w:szCs w:val="18"/>
                <w:highlight w:val="none"/>
                <w:lang w:val="en-US" w:eastAsia="zh-CN"/>
              </w:rPr>
              <w:t>组件</w:t>
            </w:r>
          </w:p>
        </w:tc>
        <w:tc>
          <w:tcPr>
            <w:tcW w:w="3798" w:type="pct"/>
            <w:gridSpan w:val="2"/>
            <w:tcBorders>
              <w:top w:val="nil"/>
              <w:left w:val="nil"/>
              <w:bottom w:val="single" w:color="auto" w:sz="4" w:space="0"/>
              <w:right w:val="single" w:color="auto" w:sz="4" w:space="0"/>
            </w:tcBorders>
            <w:vAlign w:val="center"/>
          </w:tcPr>
          <w:p w14:paraId="1E0D4847">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1.国产化设备，3U标准机架式，</w:t>
            </w:r>
            <w:r>
              <w:rPr>
                <w:rFonts w:hint="eastAsia" w:ascii="宋体" w:hAnsi="宋体" w:cs="宋体"/>
                <w:color w:val="auto"/>
                <w:kern w:val="0"/>
                <w:sz w:val="18"/>
                <w:szCs w:val="18"/>
                <w:highlight w:val="none"/>
                <w:lang w:val="en-US" w:eastAsia="zh-CN"/>
              </w:rPr>
              <w:t>冗余电源，</w:t>
            </w:r>
            <w:r>
              <w:rPr>
                <w:rFonts w:hint="eastAsia" w:ascii="宋体" w:hAnsi="宋体" w:cs="宋体"/>
                <w:color w:val="auto"/>
                <w:kern w:val="0"/>
                <w:sz w:val="18"/>
                <w:szCs w:val="18"/>
                <w:highlight w:val="none"/>
              </w:rPr>
              <w:t>国产化CPU≥8核，内存≥32G，磁盘存储≥1T，冗余电源，千兆电口≥2个，万兆光口≥2个，SM2数字签名速度≥9000次/秒，签名验证速度≥6500次/秒。提供高性能的数字信封、签名验签服务。</w:t>
            </w:r>
          </w:p>
          <w:p w14:paraId="4A1F9481">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2.SM2数字签名速度</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9000次/秒、签名验证速度</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6500次/秒。含3年软件升级和硬件保修。</w:t>
            </w:r>
          </w:p>
          <w:p w14:paraId="18C39742">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3.支持attached签名验签、attached事后验签。RAW签名，验证RAW签名、RAW签名事后验签。支持对 XML 数据或文件签名、验签名功能。</w:t>
            </w:r>
          </w:p>
          <w:p w14:paraId="3E28EE50">
            <w:pPr>
              <w:pStyle w:val="74"/>
              <w:widowControl/>
              <w:ind w:left="0" w:firstLine="360" w:firstLineChars="2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4.支持授权签名功能，通过签名数据身份转换技术，为中小企业中有权调用此证书的用户进行身份的授权和提供数字签名服务</w:t>
            </w:r>
            <w:r>
              <w:rPr>
                <w:rFonts w:hint="eastAsia" w:ascii="宋体" w:hAnsi="宋体" w:cs="宋体"/>
                <w:color w:val="auto"/>
                <w:kern w:val="0"/>
                <w:sz w:val="18"/>
                <w:szCs w:val="18"/>
                <w:highlight w:val="none"/>
                <w:lang w:eastAsia="zh-CN"/>
              </w:rPr>
              <w:t>。</w:t>
            </w:r>
          </w:p>
          <w:p w14:paraId="0DB354B1">
            <w:pPr>
              <w:pStyle w:val="74"/>
              <w:widowControl/>
              <w:ind w:left="0" w:firstLine="360" w:firstLineChars="2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5.提供文件数字签名和验证功能，支持大文件签名</w:t>
            </w:r>
            <w:r>
              <w:rPr>
                <w:rFonts w:hint="eastAsia" w:ascii="宋体" w:hAnsi="宋体" w:cs="宋体"/>
                <w:color w:val="auto"/>
                <w:kern w:val="0"/>
                <w:sz w:val="18"/>
                <w:szCs w:val="18"/>
                <w:highlight w:val="none"/>
                <w:lang w:eastAsia="zh-CN"/>
              </w:rPr>
              <w:t>。</w:t>
            </w:r>
          </w:p>
          <w:p w14:paraId="41E163A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6.支持盲签名，支持无法看到原文的情形下进行匿名签名，支持大数据量签名。</w:t>
            </w:r>
          </w:p>
          <w:p w14:paraId="0D3BA40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7.非对称密钥算法：RSA，SM2，ED25519，SECPR1算法</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证书支持多种文件格式的导入和使用，包括：cer、ebcer、pfx、p12、 p7b、zip 等。</w:t>
            </w:r>
          </w:p>
          <w:p w14:paraId="432D441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8.支持配置多信任 CA 签发的根证书，可验证不同 CA 机构签发的符合 PKCS#7 标准的签名、数字信封结果，信任域列表管理。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支持机构证书列表管理，下载、更新机构名称。</w:t>
            </w:r>
          </w:p>
          <w:p w14:paraId="2F695DCE">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9.支持证书黑名单管理支持弱算法过滤，且可灵活配置，支持通过管理界面进行补丁升级，且具有回退功能</w:t>
            </w:r>
          </w:p>
          <w:p w14:paraId="7334CD7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10.支持核心配置管理功能向导功能，支持业务证书向导、首页功能向导等功能，简化管理员配置管理复杂度，提升运维管理效率。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具有监控功能：分为业务监控和系统监控两种，并以图形化方式展示。业务监控包括签名、验 签、打信封和解信封业务。系统监控包括 CPU、内存、硬盘和网络流量。</w:t>
            </w:r>
          </w:p>
          <w:p w14:paraId="697746C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11.具有业务监控功能；包括实时监控、监控历史、历史最高峰、历史业务量和业务预警，监控分为成功和失败两种状态各用蓝和红色表示。</w:t>
            </w:r>
          </w:p>
          <w:p w14:paraId="4101115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12.具有业务量统计功能；包括：历史业务量可以根据小时、天、月、年查看历史状态。</w:t>
            </w:r>
          </w:p>
          <w:p w14:paraId="3C03DC1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13.具有预警功能：监控数据达到预警值时提供的报警功能。可以按照预警值持续多少秒或多少次来进行报警。</w:t>
            </w:r>
          </w:p>
          <w:p w14:paraId="5C594A3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14.预警阈值可以设定，超过阈值可通过邮件等方式发送给管理员。</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支持任务管理功能，能够查看审计日志导出任务，并显示当前全部任务 运行完成的百分比，用户可以对已完成的任务中的日志进行下载和删除任务等管理操作。</w:t>
            </w:r>
          </w:p>
          <w:p w14:paraId="340BC59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15.产品对当前设备的配置可以进行备份，配置的备份文件可以进行恢复。</w:t>
            </w:r>
          </w:p>
          <w:p w14:paraId="31D73EB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16.支持syslog服务器，支持日志上报到 Syslog 服务或转存到 FTP 服务器。</w:t>
            </w:r>
          </w:p>
          <w:p w14:paraId="33A2C9BB">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17.支持系统健康检查，支持一键巡检，支持通过图形化的方式一键对系统进行健康状态检查，在管理后台可灵活配置各检查项级别、权重等。检查结束后通过分值直观展示系统健康状态。</w:t>
            </w:r>
          </w:p>
          <w:p w14:paraId="444A3CF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18.支持检查项配置管理功能，支持开启、关闭指定检查项，支持设置各检查项级别、权重等。</w:t>
            </w:r>
          </w:p>
          <w:p w14:paraId="2A3DD2C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19.提供网络抓包功能，支持抓取指定网口、端口、来源IP的网络数据，支持设定抓包结束时间。</w:t>
            </w:r>
          </w:p>
          <w:p w14:paraId="3D8B6EA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20.支持签名服务器的HA多活架构，支持进程及资源动态调整。</w:t>
            </w:r>
          </w:p>
        </w:tc>
        <w:tc>
          <w:tcPr>
            <w:tcW w:w="145" w:type="pct"/>
            <w:tcBorders>
              <w:top w:val="nil"/>
              <w:left w:val="nil"/>
              <w:bottom w:val="single" w:color="auto" w:sz="4" w:space="0"/>
              <w:right w:val="single" w:color="auto" w:sz="4" w:space="0"/>
            </w:tcBorders>
            <w:vAlign w:val="center"/>
          </w:tcPr>
          <w:p w14:paraId="53A8B00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208" w:type="pct"/>
            <w:tcBorders>
              <w:top w:val="nil"/>
              <w:left w:val="nil"/>
              <w:bottom w:val="single" w:color="auto" w:sz="4" w:space="0"/>
              <w:right w:val="single" w:color="auto" w:sz="4" w:space="0"/>
            </w:tcBorders>
            <w:vAlign w:val="center"/>
          </w:tcPr>
          <w:p w14:paraId="7A0A4FA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4039EEAC">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E91C4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.3</w:t>
            </w:r>
          </w:p>
        </w:tc>
        <w:tc>
          <w:tcPr>
            <w:tcW w:w="428" w:type="pct"/>
            <w:tcBorders>
              <w:top w:val="nil"/>
              <w:left w:val="nil"/>
              <w:bottom w:val="single" w:color="auto" w:sz="4" w:space="0"/>
              <w:right w:val="single" w:color="auto" w:sz="4" w:space="0"/>
            </w:tcBorders>
            <w:vAlign w:val="center"/>
          </w:tcPr>
          <w:p w14:paraId="4567D94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身份认证网关</w:t>
            </w:r>
          </w:p>
        </w:tc>
        <w:tc>
          <w:tcPr>
            <w:tcW w:w="3798" w:type="pct"/>
            <w:gridSpan w:val="2"/>
            <w:tcBorders>
              <w:top w:val="nil"/>
              <w:left w:val="nil"/>
              <w:bottom w:val="single" w:color="auto" w:sz="4" w:space="0"/>
              <w:right w:val="single" w:color="auto" w:sz="4" w:space="0"/>
            </w:tcBorders>
            <w:vAlign w:val="center"/>
          </w:tcPr>
          <w:p w14:paraId="1F361FCB">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1.国产化设备，3U标准机架式，</w:t>
            </w:r>
            <w:r>
              <w:rPr>
                <w:rFonts w:hint="eastAsia" w:ascii="宋体" w:hAnsi="宋体" w:cs="宋体"/>
                <w:color w:val="auto"/>
                <w:kern w:val="0"/>
                <w:sz w:val="18"/>
                <w:szCs w:val="18"/>
                <w:highlight w:val="none"/>
                <w:lang w:val="en-US" w:eastAsia="zh-CN"/>
              </w:rPr>
              <w:t>冗余电源，</w:t>
            </w:r>
            <w:r>
              <w:rPr>
                <w:rFonts w:hint="eastAsia" w:ascii="宋体" w:hAnsi="宋体" w:cs="宋体"/>
                <w:color w:val="auto"/>
                <w:kern w:val="0"/>
                <w:sz w:val="18"/>
                <w:szCs w:val="18"/>
                <w:highlight w:val="none"/>
              </w:rPr>
              <w:t>国产化CPU≥8核、内存≥64G、磁盘存储≥1T、千兆电口≥4个，每秒新建连接速度≥2800次，最大并发连接数≥20000，每秒认证数≥5000次。提供高性能的数字证书身份认证服务。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每秒新建连接速度</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2800次、最大并发连接数</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20000、每秒认证数</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5000次。含3年软件升级和硬件保修。</w:t>
            </w:r>
          </w:p>
          <w:p w14:paraId="68519574">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2.支持国际和国产双算法；支持标准的国密SSL协议</w:t>
            </w:r>
            <w:r>
              <w:rPr>
                <w:rFonts w:hint="eastAsia" w:ascii="宋体" w:hAnsi="宋体" w:cs="宋体"/>
                <w:color w:val="auto"/>
                <w:kern w:val="0"/>
                <w:sz w:val="18"/>
                <w:szCs w:val="18"/>
                <w:highlight w:val="none"/>
                <w:lang w:eastAsia="zh-CN"/>
              </w:rPr>
              <w:t>。</w:t>
            </w:r>
          </w:p>
          <w:p w14:paraId="0CD1666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支持多种认证方式，支持UKEY证书认证、协同签名、静态口令+验证码认证方式，同时支持RSA、SM2算法证书；支持基于数字证书的单、双向认证；支持第三方认证源：AD、统一用户系统；反向代理应用支持人脸二次认证：反向代理应用支持证书+人像认证，访问应用时进行证书认证后可以设定应用是否需要进行人像二次鉴别。</w:t>
            </w:r>
          </w:p>
          <w:p w14:paraId="575D545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4.灵活的应用接入方式：应用接入支持多种认证协议： OAuth、SMAL、自定义报文协议等；</w:t>
            </w:r>
          </w:p>
          <w:p w14:paraId="65D3A017">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5.提供PC端和移动端认证插件和改造文档demo；提供完善的应用接口，支持C/C++/C#/VB/ASP/PB/PHP/Delphi7及Java等开发工具包。</w:t>
            </w:r>
          </w:p>
          <w:p w14:paraId="34E65B7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6.提供正向代理和反向代理等多种代理方式，支持三层及以上应用协议代理；多种应用支持：支持B/S应用；支持FTP、telnet、远程桌面以及通用的C/S应用。</w:t>
            </w:r>
          </w:p>
          <w:p w14:paraId="129CA6A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7.SSL代理服务：可设置多个独立的SSL/TLS 服务，通过服务端口进行不同区分，系统通过应用代理为应用发布单独的对外服务端口，用户通过身份认证网关的IP和对外服务端口访问应用；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 xml:space="preserve">    8.SSL功能：支持 SSL加载、SSL 卸载、HTTP 压缩、Web 高速缓存、HTTP连接复用功能；</w:t>
            </w:r>
          </w:p>
          <w:p w14:paraId="292FADC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9.单双向 SSL 认证：支持服务器认证和客户端认证功能，支持选择配置是否需要用户提交用户证书。</w:t>
            </w:r>
          </w:p>
          <w:p w14:paraId="6A0229A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10.属性传递：支持证书认证后，可以把结果、用户的基本信息传送给后台的应用系统，应用系统实现单点；</w:t>
            </w:r>
          </w:p>
          <w:p w14:paraId="73D3617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11.支持定义多种属性信息传递项：证书基本信息DN项、证书扩展信息、自定义扩展信息、用户属性信息、应用账号信息、客户端信息等属性，支持自定义属性信息；</w:t>
            </w:r>
          </w:p>
          <w:p w14:paraId="0D55BE8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12.支持将用户证书信息包括扩展项信息传送给应用系统进行单点，传递形式支持Cookie/Header两种方式；</w:t>
            </w:r>
          </w:p>
          <w:p w14:paraId="119B413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13.访问控制策略黑名单：可以根据用户认证方式、DN规则、访问时间、访问IP、可信CA、用户属性、角色进行策略配置，符合黑名单规则的用户无权限访问应用资源。</w:t>
            </w:r>
          </w:p>
          <w:p w14:paraId="6F63221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14.单点登录：网关能够为多应用环境下提供单点登录服务，形成统一简易门户，可定制登录页面；分别支持客户端和应用、门户和应用、应用和应用之间的单点登录。</w:t>
            </w:r>
          </w:p>
          <w:p w14:paraId="10859F3A">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15.灵活的部署方式：支持旁路和主路两种部署，可根据需要选择部署模式，也可主旁混用。</w:t>
            </w:r>
          </w:p>
          <w:p w14:paraId="50F6379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16.支持集群、数据同步功能；支持</w:t>
            </w:r>
            <w:r>
              <w:rPr>
                <w:rFonts w:hint="eastAsia" w:ascii="宋体" w:hAnsi="宋体" w:cs="宋体"/>
                <w:color w:val="auto"/>
                <w:kern w:val="0"/>
                <w:sz w:val="18"/>
                <w:szCs w:val="18"/>
                <w:highlight w:val="none"/>
                <w:lang w:val="en-US" w:eastAsia="zh-CN"/>
              </w:rPr>
              <w:t>第</w:t>
            </w:r>
            <w:r>
              <w:rPr>
                <w:rFonts w:hint="eastAsia" w:ascii="宋体" w:hAnsi="宋体" w:cs="宋体"/>
                <w:color w:val="auto"/>
                <w:kern w:val="0"/>
                <w:sz w:val="18"/>
                <w:szCs w:val="18"/>
                <w:highlight w:val="none"/>
              </w:rPr>
              <w:t>三方负载均衡，借助第三方负载均衡设备配合自身的集群、数据同步功能，实现多台设备之间的负载均衡功能。</w:t>
            </w:r>
          </w:p>
          <w:p w14:paraId="6B2DA370">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17.支持系统自保护机制，故障自动恢复；支持多级 CA 颁发的证书，同时支持多个证书颁发机构颁发的证书；支持300万条CRL吊销列表文件上传和自动更新。支持CRL列表自动更新失败后，该CA下的所有证书禁止登录功能；</w:t>
            </w:r>
          </w:p>
          <w:p w14:paraId="536DCA4A">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18.支持系统备份、恢复功能：支持对系统所有配置、数据进行备份功能，支持备份到本地和FTP方式；同时系统支持自动备份功能，管理员可以设定自动备份策略。</w:t>
            </w:r>
          </w:p>
          <w:p w14:paraId="78EEA76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19.反向穿透：支持主路部署模式下网关内保护的应用向网关外用户客户端发起连接的应用场景。</w:t>
            </w:r>
          </w:p>
          <w:p w14:paraId="6DC5F11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20.支持双网冗余功能：系统支持桥模式的配置部署方式，可以很好的适应有双网冗余灾备考虑的用户网络环境</w:t>
            </w:r>
          </w:p>
          <w:p w14:paraId="5A44BA9A">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21.支持外发审计信息功能：系统支持将审计信息发送</w:t>
            </w:r>
            <w:r>
              <w:rPr>
                <w:rFonts w:hint="eastAsia" w:ascii="宋体" w:hAnsi="宋体" w:cs="宋体"/>
                <w:color w:val="auto"/>
                <w:kern w:val="0"/>
                <w:sz w:val="18"/>
                <w:szCs w:val="18"/>
                <w:highlight w:val="none"/>
                <w:lang w:val="en-US" w:eastAsia="zh-CN"/>
              </w:rPr>
              <w:t>至</w:t>
            </w:r>
            <w:r>
              <w:rPr>
                <w:rFonts w:hint="eastAsia" w:ascii="宋体" w:hAnsi="宋体" w:cs="宋体"/>
                <w:color w:val="auto"/>
                <w:kern w:val="0"/>
                <w:sz w:val="18"/>
                <w:szCs w:val="18"/>
                <w:highlight w:val="none"/>
              </w:rPr>
              <w:t>第三方统一审计平台，包括综合审计查询系统（AQS）和SYSLOG服务器。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日志策略：支持日志空间策略配置，可以设置最大占用空间值，当日志占满设定的值后系统会自动进行删除或者转存到FTP服务器。</w:t>
            </w:r>
          </w:p>
          <w:p w14:paraId="2C39AC50">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22.支持通过图形界面方式动态实时监测系统CPU资源、存储空间、系统内存的使用情况以及各网络接口的网络流量监测；</w:t>
            </w:r>
          </w:p>
          <w:p w14:paraId="7F97981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23支持预警功能：管理员可以设定预警条件和阈值，针对CPU状态、硬盘状态、内存状态、网络流量状态、业务日志、在线连接数、在线用户数进行预警策略配置，当某监控项达到阈值时可以自动给管理员发送邮件。</w:t>
            </w:r>
          </w:p>
        </w:tc>
        <w:tc>
          <w:tcPr>
            <w:tcW w:w="145" w:type="pct"/>
            <w:tcBorders>
              <w:top w:val="nil"/>
              <w:left w:val="nil"/>
              <w:bottom w:val="single" w:color="auto" w:sz="4" w:space="0"/>
              <w:right w:val="single" w:color="auto" w:sz="4" w:space="0"/>
            </w:tcBorders>
            <w:vAlign w:val="center"/>
          </w:tcPr>
          <w:p w14:paraId="756CC94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208" w:type="pct"/>
            <w:tcBorders>
              <w:top w:val="nil"/>
              <w:left w:val="nil"/>
              <w:bottom w:val="single" w:color="auto" w:sz="4" w:space="0"/>
              <w:right w:val="single" w:color="auto" w:sz="4" w:space="0"/>
            </w:tcBorders>
            <w:vAlign w:val="center"/>
          </w:tcPr>
          <w:p w14:paraId="7771EAA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64AA086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594FA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.4</w:t>
            </w:r>
          </w:p>
        </w:tc>
        <w:tc>
          <w:tcPr>
            <w:tcW w:w="428" w:type="pct"/>
            <w:tcBorders>
              <w:top w:val="nil"/>
              <w:left w:val="nil"/>
              <w:bottom w:val="single" w:color="auto" w:sz="4" w:space="0"/>
              <w:right w:val="single" w:color="auto" w:sz="4" w:space="0"/>
            </w:tcBorders>
            <w:vAlign w:val="center"/>
          </w:tcPr>
          <w:p w14:paraId="065786EE">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时间戳</w:t>
            </w:r>
            <w:r>
              <w:rPr>
                <w:rFonts w:hint="eastAsia" w:ascii="宋体" w:hAnsi="宋体" w:cs="宋体"/>
                <w:color w:val="auto"/>
                <w:kern w:val="0"/>
                <w:sz w:val="18"/>
                <w:szCs w:val="18"/>
                <w:highlight w:val="none"/>
                <w:lang w:val="en-US" w:eastAsia="zh-CN"/>
              </w:rPr>
              <w:t>组件</w:t>
            </w:r>
          </w:p>
        </w:tc>
        <w:tc>
          <w:tcPr>
            <w:tcW w:w="3798" w:type="pct"/>
            <w:gridSpan w:val="2"/>
            <w:tcBorders>
              <w:top w:val="nil"/>
              <w:left w:val="nil"/>
              <w:bottom w:val="single" w:color="auto" w:sz="4" w:space="0"/>
              <w:right w:val="single" w:color="auto" w:sz="4" w:space="0"/>
            </w:tcBorders>
            <w:vAlign w:val="center"/>
          </w:tcPr>
          <w:p w14:paraId="1DD26AA5">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1.国产化设备，3U标准机架式设备，</w:t>
            </w:r>
            <w:r>
              <w:rPr>
                <w:rFonts w:hint="eastAsia" w:ascii="宋体" w:hAnsi="宋体" w:cs="宋体"/>
                <w:color w:val="auto"/>
                <w:kern w:val="0"/>
                <w:sz w:val="18"/>
                <w:szCs w:val="18"/>
                <w:highlight w:val="none"/>
                <w:lang w:val="en-US" w:eastAsia="zh-CN"/>
              </w:rPr>
              <w:t>冗余电源，</w:t>
            </w:r>
            <w:r>
              <w:rPr>
                <w:rFonts w:hint="eastAsia" w:ascii="宋体" w:hAnsi="宋体" w:cs="宋体"/>
                <w:color w:val="auto"/>
                <w:kern w:val="0"/>
                <w:sz w:val="18"/>
                <w:szCs w:val="18"/>
                <w:highlight w:val="none"/>
              </w:rPr>
              <w:t>国产化CPU≥8核、内存≥32G、磁盘存储≥1T、千兆电口≥2</w:t>
            </w:r>
            <w:r>
              <w:rPr>
                <w:rFonts w:hint="eastAsia" w:ascii="宋体" w:hAnsi="宋体" w:cs="宋体"/>
                <w:color w:val="auto"/>
                <w:kern w:val="0"/>
                <w:sz w:val="18"/>
                <w:szCs w:val="18"/>
                <w:highlight w:val="none"/>
                <w:lang w:val="en-US" w:eastAsia="zh-CN"/>
              </w:rPr>
              <w:t>个</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SM2时间戳制作速度≥1500次/秒、时间戳验证速度≥1100次/秒。提供高性能的时间戳制作与验证服务。</w:t>
            </w:r>
          </w:p>
          <w:p w14:paraId="666E8281">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2.SM2时间戳制作速度</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1500次/秒、时间戳验证速度</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1100次/秒。含3年软件升级和硬件保修。</w:t>
            </w:r>
          </w:p>
          <w:p w14:paraId="5FA4AA51">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3.时间戳签发：接收来自应用系统的时间戳签发请求；验证时间戳请求的有效性；将签发的时间戳返回应用系统。</w:t>
            </w:r>
          </w:p>
          <w:p w14:paraId="3732EB1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4.支持从国家授时中心及标准时间源获取时间，可以签发符合RFC3161和RFC2630结构的时间戳标准。</w:t>
            </w:r>
          </w:p>
          <w:p w14:paraId="55F3D0B0">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5.支持为PDF、微软Sign Code工具以及国产版式文件提供时间戳服务。</w:t>
            </w:r>
          </w:p>
          <w:p w14:paraId="14160939">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6.非对称密钥算法：RSA，SM2，ED25519，SECPR1算法，摘要算法：SM3、MD5、SHA1、SHA256、SHA224、SHA384、SHA512，对称密钥算法：SM4、3DES、AES、DES</w:t>
            </w:r>
          </w:p>
          <w:p w14:paraId="49658FD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7.证书支持多种文件格式的导入和使用，包括：cer、pfx、p12、 p7b、zip 等。</w:t>
            </w:r>
          </w:p>
          <w:p w14:paraId="12B358D8">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8.支持配置多信任 CA 签发的根证书，可验证不同 CA 机构签发的符合PKCS#7标准的签名、数字信封结果。</w:t>
            </w:r>
          </w:p>
          <w:p w14:paraId="13AC58C0">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9.支持弱算法过滤，且可灵活配置，支持通过管理界面进行补丁升级，且具有回退功能。</w:t>
            </w:r>
          </w:p>
          <w:p w14:paraId="7184E09D">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10.具有监控功能：分为业务监控和系统监控两种，并以图形化方式展示。业务监控包括打时间戳和验时间戳业务。系统监控包括 CPU、内存、硬盘和网络流量</w:t>
            </w:r>
          </w:p>
          <w:p w14:paraId="48871E1B">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11.具有业务监控功能；包括实时监控、监控历史、历史最高峰、历史业务 量和业务预警，监控分为成功和失败两种状态各用蓝和红色表示。</w:t>
            </w:r>
          </w:p>
          <w:p w14:paraId="6ABC8C5F">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12.具有业务量统计功能；包括：历史业务量可以根据小时、天、月、年查 看历史状态。</w:t>
            </w:r>
          </w:p>
          <w:p w14:paraId="5B047207">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13.具有预警功能：监控数据达到预警值时提供的报警功能。可以按照预警 值持续多少秒或多少次来进行报警。</w:t>
            </w:r>
          </w:p>
          <w:p w14:paraId="0A60A06A">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14.预警阈值可以设定，超过阈值可通过邮件等方式发送给管理员。</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支持任务管理功能，能够查看审计日志导出任务，并显示当前全部任务 运行完成的百分比，用户可以对已完成的任务中的日志进行下载和删除任 务等管理操作。</w:t>
            </w:r>
          </w:p>
          <w:p w14:paraId="48C9C98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15.产品对当前设备的配置可以进行备份，配置的备份文件可以进行恢复。</w:t>
            </w:r>
          </w:p>
          <w:p w14:paraId="646BC9A6">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16.可以配置记录日志的类型譬如业务日志、管理员日志、Debug 日志、错误 日志，并可以根据需求开启或关闭。</w:t>
            </w:r>
          </w:p>
          <w:p w14:paraId="696D971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17.具有故障定位功能，针对错误打时间戳和验时间戳信息必须有详细的日志。</w:t>
            </w:r>
          </w:p>
          <w:p w14:paraId="07B3FE13">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18.错误和故障日志须完整保留，并可以进行下载。</w:t>
            </w:r>
          </w:p>
          <w:p w14:paraId="61C712DC">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19.支持syslog服务器，支持日志上报到 Syslog 服务或转存到 FTP 服务器。</w:t>
            </w:r>
          </w:p>
          <w:p w14:paraId="54DBB301">
            <w:pPr>
              <w:pStyle w:val="74"/>
              <w:widowControl/>
              <w:ind w:left="0"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20.支持液晶屏显示，在未登录管理端的情况下可以了解产品的基本信息，如：版本信息、网卡信息等。</w:t>
            </w:r>
          </w:p>
        </w:tc>
        <w:tc>
          <w:tcPr>
            <w:tcW w:w="145" w:type="pct"/>
            <w:tcBorders>
              <w:top w:val="nil"/>
              <w:left w:val="nil"/>
              <w:bottom w:val="single" w:color="auto" w:sz="4" w:space="0"/>
              <w:right w:val="single" w:color="auto" w:sz="4" w:space="0"/>
            </w:tcBorders>
            <w:vAlign w:val="center"/>
          </w:tcPr>
          <w:p w14:paraId="3D391D0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208" w:type="pct"/>
            <w:tcBorders>
              <w:top w:val="nil"/>
              <w:left w:val="nil"/>
              <w:bottom w:val="single" w:color="auto" w:sz="4" w:space="0"/>
              <w:right w:val="single" w:color="auto" w:sz="4" w:space="0"/>
            </w:tcBorders>
            <w:vAlign w:val="center"/>
          </w:tcPr>
          <w:p w14:paraId="217357F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7C7F61F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BEF1312">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六</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noWrap/>
            <w:vAlign w:val="center"/>
          </w:tcPr>
          <w:p w14:paraId="11BE82E6">
            <w:pPr>
              <w:widowControl/>
              <w:jc w:val="left"/>
              <w:rPr>
                <w:rFonts w:hint="eastAsia" w:ascii="宋体" w:hAnsi="宋体" w:cs="宋体"/>
                <w:b/>
                <w:bCs/>
                <w:color w:val="auto"/>
                <w:kern w:val="0"/>
                <w:sz w:val="18"/>
                <w:szCs w:val="18"/>
                <w:highlight w:val="none"/>
              </w:rPr>
            </w:pPr>
            <w:bookmarkStart w:id="44" w:name="_Hlk227939098"/>
            <w:r>
              <w:rPr>
                <w:rFonts w:hint="eastAsia" w:ascii="宋体" w:hAnsi="宋体" w:cs="宋体"/>
                <w:b/>
                <w:bCs/>
                <w:color w:val="auto"/>
                <w:kern w:val="0"/>
                <w:sz w:val="18"/>
                <w:szCs w:val="18"/>
                <w:highlight w:val="none"/>
              </w:rPr>
              <w:t>零信任无边界访问系统</w:t>
            </w:r>
            <w:bookmarkEnd w:id="44"/>
          </w:p>
        </w:tc>
        <w:tc>
          <w:tcPr>
            <w:tcW w:w="3798" w:type="pct"/>
            <w:gridSpan w:val="2"/>
            <w:tcBorders>
              <w:top w:val="nil"/>
              <w:left w:val="nil"/>
              <w:bottom w:val="single" w:color="auto" w:sz="4" w:space="0"/>
              <w:right w:val="single" w:color="auto" w:sz="4" w:space="0"/>
            </w:tcBorders>
            <w:vAlign w:val="center"/>
          </w:tcPr>
          <w:p w14:paraId="13899605">
            <w:pPr>
              <w:widowControl/>
              <w:ind w:firstLine="360" w:firstLineChars="200"/>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GB"/>
              </w:rPr>
              <w:t>建设一套</w:t>
            </w:r>
            <w:r>
              <w:rPr>
                <w:rFonts w:hint="eastAsia" w:ascii="宋体" w:hAnsi="宋体" w:cs="宋体"/>
                <w:color w:val="auto"/>
                <w:kern w:val="0"/>
                <w:sz w:val="18"/>
                <w:szCs w:val="18"/>
                <w:highlight w:val="none"/>
              </w:rPr>
              <w:t>零信任无边界访问系统</w:t>
            </w:r>
            <w:r>
              <w:rPr>
                <w:rFonts w:hint="eastAsia" w:ascii="宋体" w:hAnsi="宋体" w:cs="宋体"/>
                <w:color w:val="auto"/>
                <w:kern w:val="0"/>
                <w:sz w:val="18"/>
                <w:szCs w:val="18"/>
                <w:highlight w:val="none"/>
                <w:lang w:val="en-GB"/>
              </w:rPr>
              <w:t>，覆盖多个单位的</w:t>
            </w:r>
            <w:r>
              <w:rPr>
                <w:rFonts w:ascii="宋体" w:hAnsi="宋体" w:cs="宋体"/>
                <w:color w:val="auto"/>
                <w:kern w:val="0"/>
                <w:sz w:val="18"/>
                <w:szCs w:val="18"/>
                <w:highlight w:val="none"/>
                <w:lang w:val="en-GB"/>
              </w:rPr>
              <w:t>2000</w:t>
            </w:r>
            <w:r>
              <w:rPr>
                <w:rFonts w:hint="eastAsia" w:ascii="宋体" w:hAnsi="宋体" w:cs="宋体"/>
                <w:color w:val="auto"/>
                <w:kern w:val="0"/>
                <w:sz w:val="18"/>
                <w:szCs w:val="18"/>
                <w:highlight w:val="none"/>
                <w:lang w:val="en-GB"/>
              </w:rPr>
              <w:t>台政务外网办公接入终端，实现终端安全基线核查并接入电子政务外网准入管理，对访问重要信息系统权限进行控制，达到国家对政务外网终端“一机两用”的安全管控要求，保障政务终端的安全。</w:t>
            </w:r>
            <w:r>
              <w:rPr>
                <w:rFonts w:hint="eastAsia" w:ascii="宋体" w:hAnsi="宋体" w:cs="宋体"/>
                <w:color w:val="auto"/>
                <w:kern w:val="0"/>
                <w:sz w:val="18"/>
                <w:szCs w:val="18"/>
                <w:highlight w:val="none"/>
              </w:rPr>
              <w:t>零信任无边界访问系统</w:t>
            </w:r>
            <w:r>
              <w:rPr>
                <w:rFonts w:hint="eastAsia" w:ascii="宋体" w:hAnsi="宋体" w:cs="宋体"/>
                <w:color w:val="auto"/>
                <w:kern w:val="0"/>
                <w:sz w:val="18"/>
                <w:szCs w:val="18"/>
                <w:highlight w:val="none"/>
                <w:lang w:val="en-US" w:eastAsia="zh-CN"/>
              </w:rPr>
              <w:t>包括</w:t>
            </w:r>
            <w:r>
              <w:rPr>
                <w:rFonts w:hint="eastAsia" w:ascii="宋体" w:hAnsi="宋体" w:cs="宋体"/>
                <w:color w:val="auto"/>
                <w:kern w:val="0"/>
                <w:sz w:val="18"/>
                <w:szCs w:val="18"/>
                <w:highlight w:val="none"/>
              </w:rPr>
              <w:t>零信任客户端</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零信任应用代理网关</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零信任访问控制台</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认证网关</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认证管理系统</w:t>
            </w:r>
            <w:r>
              <w:rPr>
                <w:rFonts w:hint="eastAsia" w:ascii="宋体" w:hAnsi="宋体" w:cs="宋体"/>
                <w:color w:val="auto"/>
                <w:kern w:val="0"/>
                <w:sz w:val="18"/>
                <w:szCs w:val="18"/>
                <w:highlight w:val="none"/>
                <w:lang w:val="en-US" w:eastAsia="zh-CN"/>
              </w:rPr>
              <w:t>共5个部分，平台或者系统实现部署在国产化的资源上，需开展与政务外网网络安全准入平台对接，实现系统整合，构建零信任+准入的外网终端管控能力。具体技术功能要点如下：</w:t>
            </w:r>
          </w:p>
        </w:tc>
        <w:tc>
          <w:tcPr>
            <w:tcW w:w="145" w:type="pct"/>
            <w:tcBorders>
              <w:top w:val="nil"/>
              <w:left w:val="nil"/>
              <w:bottom w:val="single" w:color="auto" w:sz="4" w:space="0"/>
              <w:right w:val="single" w:color="auto" w:sz="4" w:space="0"/>
            </w:tcBorders>
            <w:noWrap/>
            <w:vAlign w:val="center"/>
          </w:tcPr>
          <w:p w14:paraId="11614713">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00BC903E">
            <w:pPr>
              <w:widowControl/>
              <w:jc w:val="center"/>
              <w:rPr>
                <w:rFonts w:hint="eastAsia" w:ascii="宋体" w:hAnsi="宋体" w:cs="宋体"/>
                <w:color w:val="auto"/>
                <w:kern w:val="0"/>
                <w:sz w:val="18"/>
                <w:szCs w:val="18"/>
                <w:highlight w:val="none"/>
              </w:rPr>
            </w:pPr>
          </w:p>
        </w:tc>
      </w:tr>
      <w:tr w14:paraId="5E2BF531">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00EA61F">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一）</w:t>
            </w:r>
          </w:p>
        </w:tc>
        <w:tc>
          <w:tcPr>
            <w:tcW w:w="428" w:type="pct"/>
            <w:tcBorders>
              <w:top w:val="nil"/>
              <w:left w:val="nil"/>
              <w:bottom w:val="single" w:color="auto" w:sz="4" w:space="0"/>
              <w:right w:val="single" w:color="auto" w:sz="4" w:space="0"/>
            </w:tcBorders>
            <w:vAlign w:val="center"/>
          </w:tcPr>
          <w:p w14:paraId="7420EC5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零信任客户端</w:t>
            </w:r>
          </w:p>
        </w:tc>
        <w:tc>
          <w:tcPr>
            <w:tcW w:w="3798" w:type="pct"/>
            <w:gridSpan w:val="2"/>
            <w:tcBorders>
              <w:top w:val="nil"/>
              <w:left w:val="nil"/>
              <w:bottom w:val="single" w:color="auto" w:sz="4" w:space="0"/>
              <w:right w:val="single" w:color="auto" w:sz="4" w:space="0"/>
            </w:tcBorders>
            <w:vAlign w:val="center"/>
          </w:tcPr>
          <w:p w14:paraId="0986CACA">
            <w:pPr>
              <w:widowControl/>
              <w:ind w:firstLine="0" w:firstLineChars="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信任客户端以软件化形式部署，是零信任系统用户侧的安全接入的入口，与零信任访问控制台、零信任应用代理网关配合完成安全接入功能在用户侧的执行，兼容多种操作平台，包括麒麟、统信信创系统，Windows、Mac、Android、iOS、鸿蒙系统。提供用户认证、网络隐身SPA单包授权、终端环境感知、业务访问导流等能力。</w:t>
            </w:r>
          </w:p>
          <w:p w14:paraId="0C801D30">
            <w:pPr>
              <w:widowControl/>
              <w:rPr>
                <w:color w:val="auto"/>
                <w:highlight w:val="none"/>
              </w:rPr>
            </w:pPr>
            <w:r>
              <w:rPr>
                <w:rFonts w:hint="eastAsia" w:ascii="宋体" w:hAnsi="宋体" w:cs="宋体"/>
                <w:color w:val="auto"/>
                <w:kern w:val="0"/>
                <w:sz w:val="18"/>
                <w:szCs w:val="18"/>
                <w:highlight w:val="none"/>
              </w:rPr>
              <w:t>1. 终端访问代理是部署于受控设备的发起安全访问的终端代理，负责访问主体可信身份验证的请求发起，验证身份可信，即可与访问网关建立加密的访问连接，同时也是访问控制的策略执行点。提供多因子认证。</w:t>
            </w:r>
          </w:p>
          <w:p w14:paraId="510F48A2">
            <w:pPr>
              <w:rPr>
                <w:color w:val="auto"/>
                <w:sz w:val="18"/>
                <w:szCs w:val="18"/>
                <w:highlight w:val="none"/>
              </w:rPr>
            </w:pPr>
            <w:r>
              <w:rPr>
                <w:color w:val="auto"/>
                <w:sz w:val="18"/>
                <w:szCs w:val="18"/>
                <w:highlight w:val="none"/>
              </w:rPr>
              <w:t>2.</w:t>
            </w:r>
            <w:r>
              <w:rPr>
                <w:color w:val="auto"/>
                <w:sz w:val="18"/>
                <w:szCs w:val="18"/>
                <w:highlight w:val="none"/>
              </w:rPr>
              <w:tab/>
            </w:r>
            <w:r>
              <w:rPr>
                <w:rFonts w:hint="eastAsia"/>
                <w:color w:val="auto"/>
                <w:sz w:val="18"/>
                <w:szCs w:val="18"/>
                <w:highlight w:val="none"/>
              </w:rPr>
              <w:t>支持环境感知功能，可持续收集</w:t>
            </w:r>
            <w:r>
              <w:rPr>
                <w:color w:val="auto"/>
                <w:sz w:val="18"/>
                <w:szCs w:val="18"/>
                <w:highlight w:val="none"/>
              </w:rPr>
              <w:t>Windows</w:t>
            </w:r>
            <w:r>
              <w:rPr>
                <w:rFonts w:hint="eastAsia"/>
                <w:color w:val="auto"/>
                <w:sz w:val="18"/>
                <w:szCs w:val="18"/>
                <w:highlight w:val="none"/>
                <w:lang w:eastAsia="zh-CN"/>
              </w:rPr>
              <w:t>、</w:t>
            </w:r>
            <w:r>
              <w:rPr>
                <w:rFonts w:hint="eastAsia"/>
                <w:color w:val="auto"/>
                <w:sz w:val="18"/>
                <w:szCs w:val="18"/>
                <w:highlight w:val="none"/>
                <w:lang w:val="en-US" w:eastAsia="zh-CN"/>
              </w:rPr>
              <w:t>鸿蒙系统</w:t>
            </w:r>
            <w:r>
              <w:rPr>
                <w:rFonts w:hint="eastAsia"/>
                <w:color w:val="auto"/>
                <w:sz w:val="18"/>
                <w:szCs w:val="18"/>
                <w:highlight w:val="none"/>
              </w:rPr>
              <w:t>终端信息，作为零信任动态策略依据。支持收集包括但不限于以下信息：用户在异地登录、用户两次登录设备发生变化、用户发生异常旅行速度、发起访问的应用、浏览器的版本、访问的资源类型、访问的资源安全等级、认证方式、人员标签、访问时间、访问地点、本地</w:t>
            </w:r>
            <w:r>
              <w:rPr>
                <w:color w:val="auto"/>
                <w:sz w:val="18"/>
                <w:szCs w:val="18"/>
                <w:highlight w:val="none"/>
              </w:rPr>
              <w:t>IP</w:t>
            </w:r>
            <w:r>
              <w:rPr>
                <w:rFonts w:hint="eastAsia"/>
                <w:color w:val="auto"/>
                <w:sz w:val="18"/>
                <w:szCs w:val="18"/>
                <w:highlight w:val="none"/>
              </w:rPr>
              <w:t>、接入</w:t>
            </w:r>
            <w:r>
              <w:rPr>
                <w:color w:val="auto"/>
                <w:sz w:val="18"/>
                <w:szCs w:val="18"/>
                <w:highlight w:val="none"/>
              </w:rPr>
              <w:t>IP</w:t>
            </w:r>
            <w:r>
              <w:rPr>
                <w:rFonts w:hint="eastAsia"/>
                <w:color w:val="auto"/>
                <w:sz w:val="18"/>
                <w:szCs w:val="18"/>
                <w:highlight w:val="none"/>
              </w:rPr>
              <w:t>、操作系统版本、设备归属、是否绑定终端、设备标签、终端</w:t>
            </w:r>
            <w:r>
              <w:rPr>
                <w:color w:val="auto"/>
                <w:sz w:val="18"/>
                <w:szCs w:val="18"/>
                <w:highlight w:val="none"/>
              </w:rPr>
              <w:t>MAC</w:t>
            </w:r>
            <w:r>
              <w:rPr>
                <w:rFonts w:hint="eastAsia"/>
                <w:color w:val="auto"/>
                <w:sz w:val="18"/>
                <w:szCs w:val="18"/>
                <w:highlight w:val="none"/>
              </w:rPr>
              <w:t>地址、计算机名、加入的域、运行的软件、运行的指定杀毒软件、杀毒软件是否为最新版本、运行的远控软件、运行的录屏软件、运行的虚拟机软件、监听端口、是否接入</w:t>
            </w:r>
            <w:r>
              <w:rPr>
                <w:color w:val="auto"/>
                <w:sz w:val="18"/>
                <w:szCs w:val="18"/>
                <w:highlight w:val="none"/>
              </w:rPr>
              <w:t>USB</w:t>
            </w:r>
            <w:r>
              <w:rPr>
                <w:rFonts w:hint="eastAsia"/>
                <w:color w:val="auto"/>
                <w:sz w:val="18"/>
                <w:szCs w:val="18"/>
                <w:highlight w:val="none"/>
              </w:rPr>
              <w:t>移动存储、零信任客户端版本号、操作系统补丁、存在指定的文件、是否开启远程连接和服务、是否开启操作系统防火墙、安装指定的软件、设备是否被远控。</w:t>
            </w:r>
          </w:p>
          <w:p w14:paraId="4F78BAEB">
            <w:pPr>
              <w:rPr>
                <w:color w:val="auto"/>
                <w:sz w:val="18"/>
                <w:szCs w:val="18"/>
                <w:highlight w:val="none"/>
              </w:rPr>
            </w:pPr>
            <w:r>
              <w:rPr>
                <w:color w:val="auto"/>
                <w:sz w:val="18"/>
                <w:szCs w:val="18"/>
                <w:highlight w:val="none"/>
              </w:rPr>
              <w:t>3.</w:t>
            </w:r>
            <w:r>
              <w:rPr>
                <w:color w:val="auto"/>
                <w:sz w:val="18"/>
                <w:szCs w:val="18"/>
                <w:highlight w:val="none"/>
              </w:rPr>
              <w:tab/>
            </w:r>
            <w:r>
              <w:rPr>
                <w:rFonts w:hint="eastAsia"/>
                <w:color w:val="auto"/>
                <w:sz w:val="18"/>
                <w:szCs w:val="18"/>
                <w:highlight w:val="none"/>
              </w:rPr>
              <w:t>支持环境感知功能，可持续收集信创麒麟</w:t>
            </w:r>
            <w:r>
              <w:rPr>
                <w:color w:val="auto"/>
                <w:sz w:val="18"/>
                <w:szCs w:val="18"/>
                <w:highlight w:val="none"/>
              </w:rPr>
              <w:t>Kylinx/</w:t>
            </w:r>
            <w:r>
              <w:rPr>
                <w:rFonts w:hint="eastAsia"/>
                <w:color w:val="auto"/>
                <w:sz w:val="18"/>
                <w:szCs w:val="18"/>
                <w:highlight w:val="none"/>
              </w:rPr>
              <w:t>统信</w:t>
            </w:r>
            <w:r>
              <w:rPr>
                <w:color w:val="auto"/>
                <w:sz w:val="18"/>
                <w:szCs w:val="18"/>
                <w:highlight w:val="none"/>
              </w:rPr>
              <w:t>UOS</w:t>
            </w:r>
            <w:r>
              <w:rPr>
                <w:rFonts w:hint="eastAsia"/>
                <w:color w:val="auto"/>
                <w:sz w:val="18"/>
                <w:szCs w:val="18"/>
                <w:highlight w:val="none"/>
              </w:rPr>
              <w:t>终端信息，作为零信任动态策略依据。支持收集包括但不限于以下信息：用户在异地登录，用户两次登录设备发生变化，用户发生异常旅行速度，发起访问的应用，浏览器的版本，访问的资源类型，访问的资源安全等级，认证方式，人员标签，访问时间，访问地点，本地</w:t>
            </w:r>
            <w:r>
              <w:rPr>
                <w:color w:val="auto"/>
                <w:sz w:val="18"/>
                <w:szCs w:val="18"/>
                <w:highlight w:val="none"/>
              </w:rPr>
              <w:t>IP</w:t>
            </w:r>
            <w:r>
              <w:rPr>
                <w:rFonts w:hint="eastAsia"/>
                <w:color w:val="auto"/>
                <w:sz w:val="18"/>
                <w:szCs w:val="18"/>
                <w:highlight w:val="none"/>
              </w:rPr>
              <w:t>，接入</w:t>
            </w:r>
            <w:r>
              <w:rPr>
                <w:color w:val="auto"/>
                <w:sz w:val="18"/>
                <w:szCs w:val="18"/>
                <w:highlight w:val="none"/>
              </w:rPr>
              <w:t>IP</w:t>
            </w:r>
            <w:r>
              <w:rPr>
                <w:rFonts w:hint="eastAsia"/>
                <w:color w:val="auto"/>
                <w:sz w:val="18"/>
                <w:szCs w:val="18"/>
                <w:highlight w:val="none"/>
              </w:rPr>
              <w:t>，计算机名，终端</w:t>
            </w:r>
            <w:r>
              <w:rPr>
                <w:color w:val="auto"/>
                <w:sz w:val="18"/>
                <w:szCs w:val="18"/>
                <w:highlight w:val="none"/>
              </w:rPr>
              <w:t>Mac</w:t>
            </w:r>
            <w:r>
              <w:rPr>
                <w:rFonts w:hint="eastAsia"/>
                <w:color w:val="auto"/>
                <w:sz w:val="18"/>
                <w:szCs w:val="18"/>
                <w:highlight w:val="none"/>
              </w:rPr>
              <w:t>地址，是否绑定终端，运行的软件，高危端口，设备归属，设备标签，零信任客户端版本号，运行的杀毒软件，运行的远控软件，运行的虚拟机软件，安装的防病毒软件等。</w:t>
            </w:r>
          </w:p>
          <w:p w14:paraId="24F89CAE">
            <w:pPr>
              <w:rPr>
                <w:color w:val="auto"/>
                <w:sz w:val="18"/>
                <w:szCs w:val="18"/>
                <w:highlight w:val="none"/>
              </w:rPr>
            </w:pPr>
            <w:r>
              <w:rPr>
                <w:color w:val="auto"/>
                <w:sz w:val="18"/>
                <w:szCs w:val="18"/>
                <w:highlight w:val="none"/>
              </w:rPr>
              <w:t>4.</w:t>
            </w:r>
            <w:r>
              <w:rPr>
                <w:color w:val="auto"/>
                <w:sz w:val="18"/>
                <w:szCs w:val="18"/>
                <w:highlight w:val="none"/>
              </w:rPr>
              <w:tab/>
            </w:r>
            <w:r>
              <w:rPr>
                <w:rFonts w:hint="eastAsia"/>
                <w:color w:val="auto"/>
                <w:sz w:val="18"/>
                <w:szCs w:val="18"/>
                <w:highlight w:val="none"/>
              </w:rPr>
              <w:t>支持环境感知功能，可持续收集</w:t>
            </w:r>
            <w:r>
              <w:rPr>
                <w:color w:val="auto"/>
                <w:sz w:val="18"/>
                <w:szCs w:val="18"/>
                <w:highlight w:val="none"/>
              </w:rPr>
              <w:t>Android</w:t>
            </w:r>
            <w:r>
              <w:rPr>
                <w:rFonts w:hint="eastAsia"/>
                <w:color w:val="auto"/>
                <w:sz w:val="18"/>
                <w:szCs w:val="18"/>
                <w:highlight w:val="none"/>
              </w:rPr>
              <w:t>终端信息，作为零信任动态策略依据。支持收集包括但不限于以下信息：用户在异地登录，用户两次登录设备发生变化，用户发生异常旅行速度，发起访问的应用，浏览器的版本，访问的资源类型，访问的资源安全等级，认证方式，人员标签，访问时间，访问地点，本地</w:t>
            </w:r>
            <w:r>
              <w:rPr>
                <w:color w:val="auto"/>
                <w:sz w:val="18"/>
                <w:szCs w:val="18"/>
                <w:highlight w:val="none"/>
              </w:rPr>
              <w:t>IP</w:t>
            </w:r>
            <w:r>
              <w:rPr>
                <w:rFonts w:hint="eastAsia"/>
                <w:color w:val="auto"/>
                <w:sz w:val="18"/>
                <w:szCs w:val="18"/>
                <w:highlight w:val="none"/>
              </w:rPr>
              <w:t>，接入</w:t>
            </w:r>
            <w:r>
              <w:rPr>
                <w:color w:val="auto"/>
                <w:sz w:val="18"/>
                <w:szCs w:val="18"/>
                <w:highlight w:val="none"/>
              </w:rPr>
              <w:t>IP</w:t>
            </w:r>
            <w:r>
              <w:rPr>
                <w:rFonts w:hint="eastAsia"/>
                <w:color w:val="auto"/>
                <w:sz w:val="18"/>
                <w:szCs w:val="18"/>
                <w:highlight w:val="none"/>
              </w:rPr>
              <w:t>，设备归属，设备标签，绑定设备，操作系统版本，零信任客户端版本，安装的黑名单软件，安装的红名单软件，系统是否被</w:t>
            </w:r>
            <w:r>
              <w:rPr>
                <w:color w:val="auto"/>
                <w:sz w:val="18"/>
                <w:szCs w:val="18"/>
                <w:highlight w:val="none"/>
              </w:rPr>
              <w:t>ROOT/</w:t>
            </w:r>
            <w:r>
              <w:rPr>
                <w:rFonts w:hint="eastAsia"/>
                <w:color w:val="auto"/>
                <w:sz w:val="18"/>
                <w:szCs w:val="18"/>
                <w:highlight w:val="none"/>
              </w:rPr>
              <w:t>越狱，</w:t>
            </w:r>
            <w:r>
              <w:rPr>
                <w:color w:val="auto"/>
                <w:sz w:val="18"/>
                <w:szCs w:val="18"/>
                <w:highlight w:val="none"/>
              </w:rPr>
              <w:t>USB</w:t>
            </w:r>
            <w:r>
              <w:rPr>
                <w:rFonts w:hint="eastAsia"/>
                <w:color w:val="auto"/>
                <w:sz w:val="18"/>
                <w:szCs w:val="18"/>
                <w:highlight w:val="none"/>
              </w:rPr>
              <w:t>调试模式开启，锁屏密码开启，蓝牙开启，</w:t>
            </w:r>
            <w:r>
              <w:rPr>
                <w:color w:val="auto"/>
                <w:sz w:val="18"/>
                <w:szCs w:val="18"/>
                <w:highlight w:val="none"/>
              </w:rPr>
              <w:t>NFC</w:t>
            </w:r>
            <w:r>
              <w:rPr>
                <w:rFonts w:hint="eastAsia"/>
                <w:color w:val="auto"/>
                <w:sz w:val="18"/>
                <w:szCs w:val="18"/>
                <w:highlight w:val="none"/>
              </w:rPr>
              <w:t>开启，</w:t>
            </w:r>
            <w:r>
              <w:rPr>
                <w:color w:val="auto"/>
                <w:sz w:val="18"/>
                <w:szCs w:val="18"/>
                <w:highlight w:val="none"/>
              </w:rPr>
              <w:t>WiFi</w:t>
            </w:r>
            <w:r>
              <w:rPr>
                <w:rFonts w:hint="eastAsia"/>
                <w:color w:val="auto"/>
                <w:sz w:val="18"/>
                <w:szCs w:val="18"/>
                <w:highlight w:val="none"/>
              </w:rPr>
              <w:t>热点开启，自动填充服务开启，终端</w:t>
            </w:r>
            <w:r>
              <w:rPr>
                <w:color w:val="auto"/>
                <w:sz w:val="18"/>
                <w:szCs w:val="18"/>
                <w:highlight w:val="none"/>
              </w:rPr>
              <w:t>MAC</w:t>
            </w:r>
            <w:r>
              <w:rPr>
                <w:rFonts w:hint="eastAsia"/>
                <w:color w:val="auto"/>
                <w:sz w:val="18"/>
                <w:szCs w:val="18"/>
                <w:highlight w:val="none"/>
              </w:rPr>
              <w:t>地址。</w:t>
            </w:r>
          </w:p>
          <w:p w14:paraId="4F5D6A1B">
            <w:pPr>
              <w:rPr>
                <w:color w:val="auto"/>
                <w:sz w:val="18"/>
                <w:szCs w:val="18"/>
                <w:highlight w:val="none"/>
              </w:rPr>
            </w:pPr>
            <w:r>
              <w:rPr>
                <w:color w:val="auto"/>
                <w:sz w:val="18"/>
                <w:szCs w:val="18"/>
                <w:highlight w:val="none"/>
              </w:rPr>
              <w:t>5.</w:t>
            </w:r>
            <w:r>
              <w:rPr>
                <w:color w:val="auto"/>
                <w:sz w:val="18"/>
                <w:szCs w:val="18"/>
                <w:highlight w:val="none"/>
              </w:rPr>
              <w:tab/>
            </w:r>
            <w:r>
              <w:rPr>
                <w:rFonts w:hint="eastAsia"/>
                <w:color w:val="auto"/>
                <w:sz w:val="18"/>
                <w:szCs w:val="18"/>
                <w:highlight w:val="none"/>
              </w:rPr>
              <w:t>支持环境感知功能，可持续收集</w:t>
            </w:r>
            <w:r>
              <w:rPr>
                <w:color w:val="auto"/>
                <w:sz w:val="18"/>
                <w:szCs w:val="18"/>
                <w:highlight w:val="none"/>
              </w:rPr>
              <w:t>iOS</w:t>
            </w:r>
            <w:r>
              <w:rPr>
                <w:rFonts w:hint="eastAsia"/>
                <w:color w:val="auto"/>
                <w:sz w:val="18"/>
                <w:szCs w:val="18"/>
                <w:highlight w:val="none"/>
              </w:rPr>
              <w:t>端信息，作为零信任动态策略依据。用户在异地登录，用户两次登录设备发生变化，用户发生异常旅行速度，发起访问的应用，浏览器的版本，访问的资源类型，访问的资源安全等级，认证方式，人员标签，访问时间，访问地点，本地</w:t>
            </w:r>
            <w:r>
              <w:rPr>
                <w:color w:val="auto"/>
                <w:sz w:val="18"/>
                <w:szCs w:val="18"/>
                <w:highlight w:val="none"/>
              </w:rPr>
              <w:t>IP</w:t>
            </w:r>
            <w:r>
              <w:rPr>
                <w:rFonts w:hint="eastAsia"/>
                <w:color w:val="auto"/>
                <w:sz w:val="18"/>
                <w:szCs w:val="18"/>
                <w:highlight w:val="none"/>
              </w:rPr>
              <w:t>，接入</w:t>
            </w:r>
            <w:r>
              <w:rPr>
                <w:color w:val="auto"/>
                <w:sz w:val="18"/>
                <w:szCs w:val="18"/>
                <w:highlight w:val="none"/>
              </w:rPr>
              <w:t>IP</w:t>
            </w:r>
            <w:r>
              <w:rPr>
                <w:rFonts w:hint="eastAsia"/>
                <w:color w:val="auto"/>
                <w:sz w:val="18"/>
                <w:szCs w:val="18"/>
                <w:highlight w:val="none"/>
              </w:rPr>
              <w:t>，设备归属，设备标签，绑定设备，操作系统类型和版本，零信任客户端版本，系统是否被</w:t>
            </w:r>
            <w:r>
              <w:rPr>
                <w:color w:val="auto"/>
                <w:sz w:val="18"/>
                <w:szCs w:val="18"/>
                <w:highlight w:val="none"/>
              </w:rPr>
              <w:t>ROOT/</w:t>
            </w:r>
            <w:r>
              <w:rPr>
                <w:rFonts w:hint="eastAsia"/>
                <w:color w:val="auto"/>
                <w:sz w:val="18"/>
                <w:szCs w:val="18"/>
                <w:highlight w:val="none"/>
              </w:rPr>
              <w:t>越狱。</w:t>
            </w:r>
          </w:p>
          <w:p w14:paraId="5A7BBB92">
            <w:pPr>
              <w:rPr>
                <w:color w:val="auto"/>
                <w:sz w:val="18"/>
                <w:szCs w:val="18"/>
                <w:highlight w:val="none"/>
              </w:rPr>
            </w:pPr>
            <w:r>
              <w:rPr>
                <w:color w:val="auto"/>
                <w:sz w:val="18"/>
                <w:szCs w:val="18"/>
                <w:highlight w:val="none"/>
              </w:rPr>
              <w:t>6.</w:t>
            </w:r>
            <w:r>
              <w:rPr>
                <w:color w:val="auto"/>
                <w:sz w:val="18"/>
                <w:szCs w:val="18"/>
                <w:highlight w:val="none"/>
              </w:rPr>
              <w:tab/>
            </w:r>
            <w:r>
              <w:rPr>
                <w:rFonts w:hint="eastAsia"/>
                <w:color w:val="auto"/>
                <w:sz w:val="18"/>
                <w:szCs w:val="18"/>
                <w:highlight w:val="none"/>
              </w:rPr>
              <w:t>支持环境感知功能，可持续收集</w:t>
            </w:r>
            <w:r>
              <w:rPr>
                <w:color w:val="auto"/>
                <w:sz w:val="18"/>
                <w:szCs w:val="18"/>
                <w:highlight w:val="none"/>
              </w:rPr>
              <w:t>macOS</w:t>
            </w:r>
            <w:r>
              <w:rPr>
                <w:rFonts w:hint="eastAsia"/>
                <w:color w:val="auto"/>
                <w:sz w:val="18"/>
                <w:szCs w:val="18"/>
                <w:highlight w:val="none"/>
              </w:rPr>
              <w:t>端信息，作为零信任动态策略依据。用户在异地登录，用户两次登录设备发生变化，用户发生异常旅行速度，发起访问的应用，浏览器的版本，访问的资源类型，访问的资源安全等级，认证方式，人员标签，访问时间，访问地点，本地</w:t>
            </w:r>
            <w:r>
              <w:rPr>
                <w:color w:val="auto"/>
                <w:sz w:val="18"/>
                <w:szCs w:val="18"/>
                <w:highlight w:val="none"/>
              </w:rPr>
              <w:t>IP</w:t>
            </w:r>
            <w:r>
              <w:rPr>
                <w:rFonts w:hint="eastAsia"/>
                <w:color w:val="auto"/>
                <w:sz w:val="18"/>
                <w:szCs w:val="18"/>
                <w:highlight w:val="none"/>
              </w:rPr>
              <w:t>，接入</w:t>
            </w:r>
            <w:r>
              <w:rPr>
                <w:color w:val="auto"/>
                <w:sz w:val="18"/>
                <w:szCs w:val="18"/>
                <w:highlight w:val="none"/>
              </w:rPr>
              <w:t>IP</w:t>
            </w:r>
            <w:r>
              <w:rPr>
                <w:rFonts w:hint="eastAsia"/>
                <w:color w:val="auto"/>
                <w:sz w:val="18"/>
                <w:szCs w:val="18"/>
                <w:highlight w:val="none"/>
              </w:rPr>
              <w:t>，操作系统版本，设备归属，是否绑定终端，设备标签，运行的软件，高危端口，开启屏幕共享，开启文件共享，开启互联网共享，开启蓝牙共享，开启打印机共享，开启内容缓存，开启远程管理，开启远程登录，开启操作系统防火墙，开启远程</w:t>
            </w:r>
            <w:r>
              <w:rPr>
                <w:color w:val="auto"/>
                <w:sz w:val="18"/>
                <w:szCs w:val="18"/>
                <w:highlight w:val="none"/>
              </w:rPr>
              <w:t>APPLE</w:t>
            </w:r>
            <w:r>
              <w:rPr>
                <w:rFonts w:hint="eastAsia"/>
                <w:color w:val="auto"/>
                <w:sz w:val="18"/>
                <w:szCs w:val="18"/>
                <w:highlight w:val="none"/>
              </w:rPr>
              <w:t>事件。</w:t>
            </w:r>
          </w:p>
          <w:p w14:paraId="09900196">
            <w:pPr>
              <w:rPr>
                <w:color w:val="auto"/>
                <w:sz w:val="18"/>
                <w:szCs w:val="18"/>
                <w:highlight w:val="none"/>
              </w:rPr>
            </w:pPr>
            <w:r>
              <w:rPr>
                <w:color w:val="auto"/>
                <w:sz w:val="18"/>
                <w:szCs w:val="18"/>
                <w:highlight w:val="none"/>
              </w:rPr>
              <w:t>7.</w:t>
            </w:r>
            <w:r>
              <w:rPr>
                <w:color w:val="auto"/>
                <w:sz w:val="18"/>
                <w:szCs w:val="18"/>
                <w:highlight w:val="none"/>
              </w:rPr>
              <w:tab/>
            </w:r>
            <w:r>
              <w:rPr>
                <w:rFonts w:hint="eastAsia"/>
                <w:color w:val="auto"/>
                <w:sz w:val="18"/>
                <w:szCs w:val="18"/>
                <w:highlight w:val="none"/>
              </w:rPr>
              <w:t>支持日志导出功能，自动收集日志并整体打包成一个文件压缩包后下载到本地。</w:t>
            </w:r>
          </w:p>
          <w:p w14:paraId="488A5DF8">
            <w:pPr>
              <w:rPr>
                <w:color w:val="auto"/>
                <w:sz w:val="18"/>
                <w:szCs w:val="18"/>
                <w:highlight w:val="none"/>
              </w:rPr>
            </w:pPr>
            <w:r>
              <w:rPr>
                <w:color w:val="auto"/>
                <w:sz w:val="18"/>
                <w:szCs w:val="18"/>
                <w:highlight w:val="none"/>
              </w:rPr>
              <w:t>8.</w:t>
            </w:r>
            <w:r>
              <w:rPr>
                <w:color w:val="auto"/>
                <w:sz w:val="18"/>
                <w:szCs w:val="18"/>
                <w:highlight w:val="none"/>
              </w:rPr>
              <w:tab/>
            </w:r>
            <w:r>
              <w:rPr>
                <w:rFonts w:hint="eastAsia"/>
                <w:color w:val="auto"/>
                <w:sz w:val="18"/>
                <w:szCs w:val="18"/>
                <w:highlight w:val="none"/>
              </w:rPr>
              <w:t>支持日志一键上报，一键上报客户端日志至零信任管理后台。</w:t>
            </w:r>
          </w:p>
          <w:p w14:paraId="5D23D893">
            <w:pPr>
              <w:rPr>
                <w:color w:val="auto"/>
                <w:sz w:val="18"/>
                <w:szCs w:val="18"/>
                <w:highlight w:val="none"/>
              </w:rPr>
            </w:pPr>
            <w:r>
              <w:rPr>
                <w:color w:val="auto"/>
                <w:sz w:val="18"/>
                <w:szCs w:val="18"/>
                <w:highlight w:val="none"/>
              </w:rPr>
              <w:t>9.</w:t>
            </w:r>
            <w:r>
              <w:rPr>
                <w:color w:val="auto"/>
                <w:sz w:val="18"/>
                <w:szCs w:val="18"/>
                <w:highlight w:val="none"/>
              </w:rPr>
              <w:tab/>
            </w:r>
            <w:r>
              <w:rPr>
                <w:rFonts w:hint="eastAsia"/>
                <w:color w:val="auto"/>
                <w:sz w:val="18"/>
                <w:szCs w:val="18"/>
                <w:highlight w:val="none"/>
              </w:rPr>
              <w:t>支持本地服务诊断，客户端支持对程序文件是否缺失、系统环境是否异常、本地关键服务是否运行、虚拟网卡是否正常、代理服务是否正常进行诊断。</w:t>
            </w:r>
          </w:p>
          <w:p w14:paraId="7538397B">
            <w:pPr>
              <w:rPr>
                <w:color w:val="auto"/>
                <w:sz w:val="18"/>
                <w:szCs w:val="18"/>
                <w:highlight w:val="none"/>
              </w:rPr>
            </w:pPr>
            <w:r>
              <w:rPr>
                <w:color w:val="auto"/>
                <w:sz w:val="18"/>
                <w:szCs w:val="18"/>
                <w:highlight w:val="none"/>
              </w:rPr>
              <w:t>10.</w:t>
            </w:r>
            <w:r>
              <w:rPr>
                <w:color w:val="auto"/>
                <w:sz w:val="18"/>
                <w:szCs w:val="18"/>
                <w:highlight w:val="none"/>
              </w:rPr>
              <w:tab/>
            </w:r>
            <w:r>
              <w:rPr>
                <w:rFonts w:hint="eastAsia"/>
                <w:color w:val="auto"/>
                <w:sz w:val="18"/>
                <w:szCs w:val="18"/>
                <w:highlight w:val="none"/>
              </w:rPr>
              <w:t>支持网络手动诊断，客户端支持对客户端到零信任应用代理网关</w:t>
            </w:r>
            <w:r>
              <w:rPr>
                <w:color w:val="auto"/>
                <w:sz w:val="18"/>
                <w:szCs w:val="18"/>
                <w:highlight w:val="none"/>
              </w:rPr>
              <w:t>/</w:t>
            </w:r>
            <w:r>
              <w:rPr>
                <w:rFonts w:hint="eastAsia"/>
                <w:color w:val="auto"/>
                <w:sz w:val="18"/>
                <w:szCs w:val="18"/>
                <w:highlight w:val="none"/>
              </w:rPr>
              <w:t>零信任访问控制台</w:t>
            </w:r>
            <w:r>
              <w:rPr>
                <w:color w:val="auto"/>
                <w:sz w:val="18"/>
                <w:szCs w:val="18"/>
                <w:highlight w:val="none"/>
              </w:rPr>
              <w:t>/</w:t>
            </w:r>
            <w:r>
              <w:rPr>
                <w:rFonts w:hint="eastAsia"/>
                <w:color w:val="auto"/>
                <w:sz w:val="18"/>
                <w:szCs w:val="18"/>
                <w:highlight w:val="none"/>
              </w:rPr>
              <w:t>互联网的网络连通性进行诊断，支持是否存在</w:t>
            </w:r>
            <w:r>
              <w:rPr>
                <w:color w:val="auto"/>
                <w:sz w:val="18"/>
                <w:szCs w:val="18"/>
                <w:highlight w:val="none"/>
              </w:rPr>
              <w:t>IE</w:t>
            </w:r>
            <w:r>
              <w:rPr>
                <w:rFonts w:hint="eastAsia"/>
                <w:color w:val="auto"/>
                <w:sz w:val="18"/>
                <w:szCs w:val="18"/>
                <w:highlight w:val="none"/>
              </w:rPr>
              <w:t>代理进行检测。</w:t>
            </w:r>
          </w:p>
          <w:p w14:paraId="14F335F2">
            <w:pPr>
              <w:rPr>
                <w:color w:val="auto"/>
                <w:sz w:val="18"/>
                <w:szCs w:val="18"/>
                <w:highlight w:val="none"/>
              </w:rPr>
            </w:pPr>
            <w:r>
              <w:rPr>
                <w:color w:val="auto"/>
                <w:sz w:val="18"/>
                <w:szCs w:val="18"/>
                <w:highlight w:val="none"/>
              </w:rPr>
              <w:t>11.</w:t>
            </w:r>
            <w:r>
              <w:rPr>
                <w:color w:val="auto"/>
                <w:sz w:val="18"/>
                <w:szCs w:val="18"/>
                <w:highlight w:val="none"/>
              </w:rPr>
              <w:tab/>
            </w:r>
            <w:r>
              <w:rPr>
                <w:rFonts w:hint="eastAsia"/>
                <w:color w:val="auto"/>
                <w:sz w:val="18"/>
                <w:szCs w:val="18"/>
                <w:highlight w:val="none"/>
              </w:rPr>
              <w:t>网络质量感知，客户端可实时检测客户端网络质量，用户可实时查看网络质量情况，当网络质量不佳时，会弹窗提醒用户，包括</w:t>
            </w:r>
            <w:r>
              <w:rPr>
                <w:color w:val="auto"/>
                <w:sz w:val="18"/>
                <w:szCs w:val="18"/>
                <w:highlight w:val="none"/>
              </w:rPr>
              <w:t>windows</w:t>
            </w:r>
            <w:r>
              <w:rPr>
                <w:rFonts w:hint="eastAsia"/>
                <w:color w:val="auto"/>
                <w:sz w:val="18"/>
                <w:szCs w:val="18"/>
                <w:highlight w:val="none"/>
              </w:rPr>
              <w:t>端、信创端等。</w:t>
            </w:r>
          </w:p>
          <w:p w14:paraId="50936CC2">
            <w:pPr>
              <w:rPr>
                <w:color w:val="auto"/>
                <w:sz w:val="18"/>
                <w:szCs w:val="18"/>
                <w:highlight w:val="none"/>
              </w:rPr>
            </w:pPr>
            <w:r>
              <w:rPr>
                <w:color w:val="auto"/>
                <w:sz w:val="18"/>
                <w:szCs w:val="18"/>
                <w:highlight w:val="none"/>
              </w:rPr>
              <w:t>12.</w:t>
            </w:r>
            <w:r>
              <w:rPr>
                <w:color w:val="auto"/>
                <w:sz w:val="18"/>
                <w:szCs w:val="18"/>
                <w:highlight w:val="none"/>
              </w:rPr>
              <w:tab/>
            </w:r>
            <w:r>
              <w:rPr>
                <w:rFonts w:hint="eastAsia"/>
                <w:color w:val="auto"/>
                <w:sz w:val="18"/>
                <w:szCs w:val="18"/>
                <w:highlight w:val="none"/>
              </w:rPr>
              <w:t>支持一体化客户端能力，可在一个客户端集成网络准入认证、零信任认证、网络切换、终端安全等能力。</w:t>
            </w:r>
          </w:p>
          <w:p w14:paraId="30FD3916">
            <w:pPr>
              <w:rPr>
                <w:rFonts w:hint="eastAsia"/>
                <w:color w:val="auto"/>
                <w:sz w:val="18"/>
                <w:szCs w:val="18"/>
                <w:highlight w:val="none"/>
              </w:rPr>
            </w:pPr>
            <w:r>
              <w:rPr>
                <w:rFonts w:hint="eastAsia"/>
                <w:color w:val="auto"/>
                <w:sz w:val="18"/>
                <w:szCs w:val="18"/>
                <w:highlight w:val="none"/>
              </w:rPr>
              <w:t>13.支持通过OAuth2、OIDC、CAS、SAML等协议实现认证。支持API接口对接，支持与AD\LDAP、证书认证、HTTP、Radius服务等对接。</w:t>
            </w:r>
          </w:p>
          <w:p w14:paraId="0A433CB6">
            <w:pPr>
              <w:rPr>
                <w:color w:val="auto"/>
                <w:highlight w:val="none"/>
              </w:rPr>
            </w:pPr>
            <w:r>
              <w:rPr>
                <w:rFonts w:hint="eastAsia"/>
                <w:color w:val="auto"/>
                <w:sz w:val="18"/>
                <w:szCs w:val="18"/>
                <w:highlight w:val="none"/>
              </w:rPr>
              <w:t>14.客户端支持兼容适配Windows、mac0S、麒麟、统信、Linux、Android、i0S、HarmonyOS等操作系统。</w:t>
            </w:r>
          </w:p>
        </w:tc>
        <w:tc>
          <w:tcPr>
            <w:tcW w:w="145" w:type="pct"/>
            <w:tcBorders>
              <w:top w:val="nil"/>
              <w:left w:val="nil"/>
              <w:bottom w:val="single" w:color="auto" w:sz="4" w:space="0"/>
              <w:right w:val="single" w:color="auto" w:sz="4" w:space="0"/>
            </w:tcBorders>
            <w:vAlign w:val="center"/>
          </w:tcPr>
          <w:p w14:paraId="56D983E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w:t>
            </w:r>
          </w:p>
        </w:tc>
        <w:tc>
          <w:tcPr>
            <w:tcW w:w="208" w:type="pct"/>
            <w:tcBorders>
              <w:top w:val="nil"/>
              <w:left w:val="nil"/>
              <w:bottom w:val="single" w:color="auto" w:sz="4" w:space="0"/>
              <w:right w:val="single" w:color="auto" w:sz="4" w:space="0"/>
            </w:tcBorders>
            <w:vAlign w:val="center"/>
          </w:tcPr>
          <w:p w14:paraId="14134B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r>
      <w:tr w14:paraId="49583DB5">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82E811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二）</w:t>
            </w:r>
          </w:p>
        </w:tc>
        <w:tc>
          <w:tcPr>
            <w:tcW w:w="428" w:type="pct"/>
            <w:tcBorders>
              <w:top w:val="nil"/>
              <w:left w:val="nil"/>
              <w:bottom w:val="single" w:color="auto" w:sz="4" w:space="0"/>
              <w:right w:val="single" w:color="auto" w:sz="4" w:space="0"/>
            </w:tcBorders>
            <w:vAlign w:val="center"/>
          </w:tcPr>
          <w:p w14:paraId="647CC93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零信任应用代理网关</w:t>
            </w:r>
          </w:p>
        </w:tc>
        <w:tc>
          <w:tcPr>
            <w:tcW w:w="3798" w:type="pct"/>
            <w:gridSpan w:val="2"/>
            <w:tcBorders>
              <w:top w:val="nil"/>
              <w:left w:val="nil"/>
              <w:bottom w:val="single" w:color="auto" w:sz="4" w:space="0"/>
              <w:right w:val="single" w:color="auto" w:sz="4" w:space="0"/>
            </w:tcBorders>
            <w:vAlign w:val="center"/>
          </w:tcPr>
          <w:p w14:paraId="79F83895">
            <w:pPr>
              <w:ind w:firstLine="0" w:firstLineChars="0"/>
              <w:rPr>
                <w:color w:val="auto"/>
                <w:sz w:val="18"/>
                <w:szCs w:val="18"/>
                <w:highlight w:val="none"/>
              </w:rPr>
            </w:pPr>
            <w:r>
              <w:rPr>
                <w:rFonts w:hint="eastAsia"/>
                <w:color w:val="auto"/>
                <w:sz w:val="18"/>
                <w:szCs w:val="18"/>
                <w:highlight w:val="none"/>
              </w:rPr>
              <w:t>零信任应用代理网关是零信任架构执行层面关键产品，主要目的是代理所有应用，收缩业务应用暴露面（端口隐藏），对所有访问请求的流量进行加密并强制授权。应用代理提供全局应用代理、访问控制检查等服务。零信任应用代理网关用于用户/终端和业务应用之间的安全访问，是零信任的访问控制策略执行节点。</w:t>
            </w:r>
          </w:p>
          <w:p w14:paraId="6D549C4D">
            <w:pPr>
              <w:rPr>
                <w:color w:val="auto"/>
                <w:sz w:val="18"/>
                <w:szCs w:val="18"/>
                <w:highlight w:val="none"/>
              </w:rPr>
            </w:pPr>
            <w:r>
              <w:rPr>
                <w:rFonts w:hint="eastAsia"/>
                <w:color w:val="auto"/>
                <w:sz w:val="18"/>
                <w:szCs w:val="18"/>
                <w:highlight w:val="none"/>
              </w:rPr>
              <w:t>一、配置要求</w:t>
            </w:r>
          </w:p>
          <w:p w14:paraId="261FFEE7">
            <w:pPr>
              <w:widowControl/>
              <w:jc w:val="left"/>
              <w:rPr>
                <w:rFonts w:hint="eastAsia" w:ascii="宋体" w:hAnsi="宋体" w:cs="宋体"/>
                <w:color w:val="auto"/>
                <w:highlight w:val="none"/>
              </w:rPr>
            </w:pPr>
            <w:r>
              <w:rPr>
                <w:rFonts w:hint="eastAsia" w:ascii="宋体" w:hAnsi="宋体" w:cs="宋体"/>
                <w:color w:val="auto"/>
                <w:kern w:val="0"/>
                <w:sz w:val="18"/>
                <w:szCs w:val="18"/>
                <w:highlight w:val="none"/>
              </w:rPr>
              <w:t>1.软硬件一体化，2U，</w:t>
            </w:r>
            <w:r>
              <w:rPr>
                <w:rFonts w:hint="eastAsia"/>
                <w:color w:val="auto"/>
                <w:sz w:val="18"/>
                <w:szCs w:val="18"/>
                <w:highlight w:val="none"/>
              </w:rPr>
              <w:t>配置</w:t>
            </w:r>
            <w:r>
              <w:rPr>
                <w:rFonts w:hint="eastAsia" w:ascii="宋体" w:hAnsi="宋体" w:cs="宋体"/>
                <w:color w:val="auto"/>
                <w:kern w:val="0"/>
                <w:sz w:val="18"/>
                <w:szCs w:val="18"/>
                <w:highlight w:val="none"/>
              </w:rPr>
              <w:t>≧冗余电源，≧2个千兆电口，≧4个万兆口；最大理论加密流量（Mbps）≧620，最大理论支持用户数（个）≧2200，理论HTTPS新建连接数（个/秒）≧450，理论HTTPS并发连接数（个/秒）≧65000。配置国密算法SM2、SM3、SM4的硬件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实现应用的可信接入，提供业务应用访问安全通道服务、应用数据加解密服务、应用隐藏服务；根据设备环境、用户行为等属性及可信环境感知状态，动态控制用户的应用访问，保证业务应用访问的安全策略控制及强制实施。软硬件质保三年。</w:t>
            </w:r>
          </w:p>
          <w:p w14:paraId="36CA9C34">
            <w:pPr>
              <w:rPr>
                <w:color w:val="auto"/>
                <w:sz w:val="18"/>
                <w:szCs w:val="18"/>
                <w:highlight w:val="none"/>
              </w:rPr>
            </w:pPr>
            <w:r>
              <w:rPr>
                <w:rFonts w:hint="eastAsia"/>
                <w:color w:val="auto"/>
                <w:sz w:val="18"/>
                <w:szCs w:val="18"/>
                <w:highlight w:val="none"/>
              </w:rPr>
              <w:t>二、技术参数要求</w:t>
            </w:r>
          </w:p>
          <w:p w14:paraId="2418BF33">
            <w:pPr>
              <w:rPr>
                <w:color w:val="auto"/>
                <w:sz w:val="18"/>
                <w:szCs w:val="18"/>
                <w:highlight w:val="none"/>
              </w:rPr>
            </w:pPr>
            <w:r>
              <w:rPr>
                <w:color w:val="auto"/>
                <w:sz w:val="18"/>
                <w:szCs w:val="18"/>
                <w:highlight w:val="none"/>
              </w:rPr>
              <w:t>1.</w:t>
            </w:r>
            <w:r>
              <w:rPr>
                <w:rFonts w:hint="eastAsia"/>
                <w:color w:val="auto"/>
                <w:sz w:val="18"/>
                <w:szCs w:val="18"/>
                <w:highlight w:val="none"/>
              </w:rPr>
              <w:t>支持</w:t>
            </w:r>
            <w:r>
              <w:rPr>
                <w:color w:val="auto"/>
                <w:sz w:val="18"/>
                <w:szCs w:val="18"/>
                <w:highlight w:val="none"/>
              </w:rPr>
              <w:t>UDP+TCP</w:t>
            </w:r>
            <w:r>
              <w:rPr>
                <w:rFonts w:hint="eastAsia"/>
                <w:color w:val="auto"/>
                <w:sz w:val="18"/>
                <w:szCs w:val="18"/>
                <w:highlight w:val="none"/>
              </w:rPr>
              <w:t>单包授权机制，</w:t>
            </w:r>
            <w:r>
              <w:rPr>
                <w:color w:val="auto"/>
                <w:sz w:val="18"/>
                <w:szCs w:val="18"/>
                <w:highlight w:val="none"/>
              </w:rPr>
              <w:t>UDP+TCP</w:t>
            </w:r>
            <w:r>
              <w:rPr>
                <w:rFonts w:hint="eastAsia"/>
                <w:color w:val="auto"/>
                <w:sz w:val="18"/>
                <w:szCs w:val="18"/>
                <w:highlight w:val="none"/>
              </w:rPr>
              <w:t>方式默认不开放端口，可避免业务应用的端口被扫描，进而避免利用端口对业务应用发起攻击的风险。</w:t>
            </w:r>
          </w:p>
          <w:p w14:paraId="50493D71">
            <w:pPr>
              <w:rPr>
                <w:color w:val="auto"/>
                <w:sz w:val="18"/>
                <w:szCs w:val="18"/>
                <w:highlight w:val="none"/>
              </w:rPr>
            </w:pPr>
            <w:r>
              <w:rPr>
                <w:color w:val="auto"/>
                <w:sz w:val="18"/>
                <w:szCs w:val="18"/>
                <w:highlight w:val="none"/>
              </w:rPr>
              <w:t>2.</w:t>
            </w:r>
            <w:r>
              <w:rPr>
                <w:rFonts w:hint="eastAsia"/>
                <w:color w:val="auto"/>
                <w:sz w:val="18"/>
                <w:szCs w:val="18"/>
                <w:highlight w:val="none"/>
              </w:rPr>
              <w:t>支持标准</w:t>
            </w:r>
            <w:r>
              <w:rPr>
                <w:color w:val="auto"/>
                <w:sz w:val="18"/>
                <w:szCs w:val="18"/>
                <w:highlight w:val="none"/>
              </w:rPr>
              <w:t>TLS1.0/TLS1.1/TLS1.2/TLS1.3</w:t>
            </w:r>
            <w:r>
              <w:rPr>
                <w:rFonts w:hint="eastAsia"/>
                <w:color w:val="auto"/>
                <w:sz w:val="18"/>
                <w:szCs w:val="18"/>
                <w:highlight w:val="none"/>
              </w:rPr>
              <w:t>版本的协议，可按需设置。</w:t>
            </w:r>
          </w:p>
          <w:p w14:paraId="56C3742C">
            <w:pPr>
              <w:rPr>
                <w:color w:val="auto"/>
                <w:sz w:val="18"/>
                <w:szCs w:val="18"/>
                <w:highlight w:val="none"/>
              </w:rPr>
            </w:pPr>
            <w:r>
              <w:rPr>
                <w:color w:val="auto"/>
                <w:sz w:val="18"/>
                <w:szCs w:val="18"/>
                <w:highlight w:val="none"/>
              </w:rPr>
              <w:t>3.</w:t>
            </w:r>
            <w:r>
              <w:rPr>
                <w:rFonts w:hint="eastAsia"/>
                <w:color w:val="auto"/>
                <w:sz w:val="18"/>
                <w:szCs w:val="18"/>
                <w:highlight w:val="none"/>
              </w:rPr>
              <w:t>支持管理</w:t>
            </w:r>
            <w:r>
              <w:rPr>
                <w:color w:val="auto"/>
                <w:sz w:val="18"/>
                <w:szCs w:val="18"/>
                <w:highlight w:val="none"/>
              </w:rPr>
              <w:t>TLS</w:t>
            </w:r>
            <w:r>
              <w:rPr>
                <w:rFonts w:hint="eastAsia"/>
                <w:color w:val="auto"/>
                <w:sz w:val="18"/>
                <w:szCs w:val="18"/>
                <w:highlight w:val="none"/>
              </w:rPr>
              <w:t>加解密算法的强度，支持国际商密算法会话协商：</w:t>
            </w:r>
            <w:r>
              <w:rPr>
                <w:color w:val="auto"/>
                <w:sz w:val="18"/>
                <w:szCs w:val="18"/>
                <w:highlight w:val="none"/>
              </w:rPr>
              <w:t>ES128-SHA,AES256-SHA,ECDHE-RSA-AES128-GCM-SHA256,ECDHE-RSA-AES256-GCM-SHA384,ECDHE-RSA-AES128-SHA,ECDHE-RSA-AES256-SHA,DES-CBC3-SHA,RC4-SHA,RC4-MD5</w:t>
            </w:r>
            <w:r>
              <w:rPr>
                <w:rFonts w:hint="eastAsia"/>
                <w:color w:val="auto"/>
                <w:sz w:val="18"/>
                <w:szCs w:val="18"/>
                <w:highlight w:val="none"/>
              </w:rPr>
              <w:t>。</w:t>
            </w:r>
          </w:p>
          <w:p w14:paraId="78670362">
            <w:pPr>
              <w:rPr>
                <w:color w:val="auto"/>
                <w:sz w:val="18"/>
                <w:szCs w:val="18"/>
                <w:highlight w:val="none"/>
              </w:rPr>
            </w:pPr>
            <w:r>
              <w:rPr>
                <w:color w:val="auto"/>
                <w:sz w:val="18"/>
                <w:szCs w:val="18"/>
                <w:highlight w:val="none"/>
              </w:rPr>
              <w:t>4.</w:t>
            </w:r>
            <w:r>
              <w:rPr>
                <w:rFonts w:hint="eastAsia"/>
                <w:color w:val="auto"/>
                <w:sz w:val="18"/>
                <w:szCs w:val="18"/>
                <w:highlight w:val="none"/>
              </w:rPr>
              <w:t>支持接入国密卡和国密算法：</w:t>
            </w:r>
            <w:r>
              <w:rPr>
                <w:color w:val="auto"/>
                <w:sz w:val="18"/>
                <w:szCs w:val="18"/>
                <w:highlight w:val="none"/>
              </w:rPr>
              <w:t>ECC-SM4-SM3</w:t>
            </w:r>
            <w:r>
              <w:rPr>
                <w:rFonts w:hint="eastAsia"/>
                <w:color w:val="auto"/>
                <w:sz w:val="18"/>
                <w:szCs w:val="18"/>
                <w:highlight w:val="none"/>
              </w:rPr>
              <w:t>算法，以满足对国密合规性要求。</w:t>
            </w:r>
          </w:p>
          <w:p w14:paraId="7B9D798F">
            <w:pPr>
              <w:rPr>
                <w:color w:val="auto"/>
                <w:sz w:val="18"/>
                <w:szCs w:val="18"/>
                <w:highlight w:val="none"/>
              </w:rPr>
            </w:pPr>
            <w:r>
              <w:rPr>
                <w:color w:val="auto"/>
                <w:sz w:val="18"/>
                <w:szCs w:val="18"/>
                <w:highlight w:val="none"/>
              </w:rPr>
              <w:t>5.</w:t>
            </w:r>
            <w:r>
              <w:rPr>
                <w:rFonts w:hint="eastAsia"/>
                <w:color w:val="auto"/>
                <w:sz w:val="18"/>
                <w:szCs w:val="18"/>
                <w:highlight w:val="none"/>
              </w:rPr>
              <w:t>支持</w:t>
            </w:r>
            <w:r>
              <w:rPr>
                <w:color w:val="auto"/>
                <w:sz w:val="18"/>
                <w:szCs w:val="18"/>
                <w:highlight w:val="none"/>
              </w:rPr>
              <w:t>2</w:t>
            </w:r>
            <w:r>
              <w:rPr>
                <w:rFonts w:hint="eastAsia"/>
                <w:color w:val="auto"/>
                <w:sz w:val="18"/>
                <w:szCs w:val="18"/>
                <w:highlight w:val="none"/>
              </w:rPr>
              <w:t>台及以上高可用能力，支持配置统一集群管理中心，管理中心采用</w:t>
            </w:r>
            <w:r>
              <w:rPr>
                <w:color w:val="auto"/>
                <w:sz w:val="18"/>
                <w:szCs w:val="18"/>
                <w:highlight w:val="none"/>
              </w:rPr>
              <w:t>APPID</w:t>
            </w:r>
            <w:r>
              <w:rPr>
                <w:rFonts w:hint="eastAsia"/>
                <w:color w:val="auto"/>
                <w:sz w:val="18"/>
                <w:szCs w:val="18"/>
                <w:highlight w:val="none"/>
              </w:rPr>
              <w:t>、</w:t>
            </w:r>
            <w:r>
              <w:rPr>
                <w:color w:val="auto"/>
                <w:sz w:val="18"/>
                <w:szCs w:val="18"/>
                <w:highlight w:val="none"/>
              </w:rPr>
              <w:t>APPKEY</w:t>
            </w:r>
            <w:r>
              <w:rPr>
                <w:rFonts w:hint="eastAsia"/>
                <w:color w:val="auto"/>
                <w:sz w:val="18"/>
                <w:szCs w:val="18"/>
                <w:highlight w:val="none"/>
              </w:rPr>
              <w:t>进行签名校验，确保业务交互的安全性。</w:t>
            </w:r>
          </w:p>
          <w:p w14:paraId="1E1C9449">
            <w:pPr>
              <w:rPr>
                <w:color w:val="auto"/>
                <w:sz w:val="18"/>
                <w:szCs w:val="18"/>
                <w:highlight w:val="none"/>
              </w:rPr>
            </w:pPr>
            <w:r>
              <w:rPr>
                <w:color w:val="auto"/>
                <w:sz w:val="18"/>
                <w:szCs w:val="18"/>
                <w:highlight w:val="none"/>
              </w:rPr>
              <w:t>6.</w:t>
            </w:r>
            <w:r>
              <w:rPr>
                <w:rFonts w:hint="eastAsia"/>
                <w:color w:val="auto"/>
                <w:sz w:val="18"/>
                <w:szCs w:val="18"/>
                <w:highlight w:val="none"/>
              </w:rPr>
              <w:t>提供终端用户业务访问日志、网络访问流量统计等信息，并进行日志上报、外发，便于实现业务数据的审计、安全风险的分析。</w:t>
            </w:r>
          </w:p>
          <w:p w14:paraId="69A911A7">
            <w:pPr>
              <w:rPr>
                <w:color w:val="auto"/>
                <w:sz w:val="18"/>
                <w:szCs w:val="18"/>
                <w:highlight w:val="none"/>
              </w:rPr>
            </w:pPr>
            <w:r>
              <w:rPr>
                <w:color w:val="auto"/>
                <w:sz w:val="18"/>
                <w:szCs w:val="18"/>
                <w:highlight w:val="none"/>
              </w:rPr>
              <w:t>7.</w:t>
            </w:r>
            <w:r>
              <w:rPr>
                <w:rFonts w:hint="eastAsia"/>
                <w:color w:val="auto"/>
                <w:sz w:val="18"/>
                <w:szCs w:val="18"/>
                <w:highlight w:val="none"/>
              </w:rPr>
              <w:t>支持日志上报，可通过</w:t>
            </w:r>
            <w:r>
              <w:rPr>
                <w:color w:val="auto"/>
                <w:sz w:val="18"/>
                <w:szCs w:val="18"/>
                <w:highlight w:val="none"/>
              </w:rPr>
              <w:t>syslog</w:t>
            </w:r>
            <w:r>
              <w:rPr>
                <w:rFonts w:hint="eastAsia"/>
                <w:color w:val="auto"/>
                <w:sz w:val="18"/>
                <w:szCs w:val="18"/>
                <w:highlight w:val="none"/>
              </w:rPr>
              <w:t>形式将日志进行上报外发。</w:t>
            </w:r>
          </w:p>
          <w:p w14:paraId="3DA45EC8">
            <w:pPr>
              <w:rPr>
                <w:color w:val="auto"/>
                <w:sz w:val="18"/>
                <w:szCs w:val="18"/>
                <w:highlight w:val="none"/>
              </w:rPr>
            </w:pPr>
            <w:r>
              <w:rPr>
                <w:color w:val="auto"/>
                <w:sz w:val="18"/>
                <w:szCs w:val="18"/>
                <w:highlight w:val="none"/>
              </w:rPr>
              <w:t>8.</w:t>
            </w:r>
            <w:r>
              <w:rPr>
                <w:rFonts w:hint="eastAsia"/>
                <w:color w:val="auto"/>
                <w:sz w:val="18"/>
                <w:szCs w:val="18"/>
                <w:highlight w:val="none"/>
              </w:rPr>
              <w:t>提供网关证书管理功能，能够利用本地</w:t>
            </w:r>
            <w:r>
              <w:rPr>
                <w:color w:val="auto"/>
                <w:sz w:val="18"/>
                <w:szCs w:val="18"/>
                <w:highlight w:val="none"/>
              </w:rPr>
              <w:t>CA</w:t>
            </w:r>
            <w:r>
              <w:rPr>
                <w:rFonts w:hint="eastAsia"/>
                <w:color w:val="auto"/>
                <w:sz w:val="18"/>
                <w:szCs w:val="18"/>
                <w:highlight w:val="none"/>
              </w:rPr>
              <w:t>产生网关证书，可支持导入网关证书</w:t>
            </w:r>
          </w:p>
          <w:p w14:paraId="6BB0362A">
            <w:pPr>
              <w:rPr>
                <w:color w:val="auto"/>
                <w:sz w:val="18"/>
                <w:szCs w:val="18"/>
                <w:highlight w:val="none"/>
              </w:rPr>
            </w:pPr>
            <w:r>
              <w:rPr>
                <w:color w:val="auto"/>
                <w:sz w:val="18"/>
                <w:szCs w:val="18"/>
                <w:highlight w:val="none"/>
              </w:rPr>
              <w:t>9.</w:t>
            </w:r>
            <w:r>
              <w:rPr>
                <w:rFonts w:hint="eastAsia"/>
                <w:color w:val="auto"/>
                <w:sz w:val="18"/>
                <w:szCs w:val="18"/>
                <w:highlight w:val="none"/>
              </w:rPr>
              <w:t>支持链路聚合，提供链路聚合配置。</w:t>
            </w:r>
          </w:p>
          <w:p w14:paraId="1CFF4087">
            <w:pPr>
              <w:rPr>
                <w:color w:val="auto"/>
                <w:sz w:val="18"/>
                <w:szCs w:val="18"/>
                <w:highlight w:val="none"/>
              </w:rPr>
            </w:pPr>
            <w:r>
              <w:rPr>
                <w:color w:val="auto"/>
                <w:sz w:val="18"/>
                <w:szCs w:val="18"/>
                <w:highlight w:val="none"/>
              </w:rPr>
              <w:t>10.</w:t>
            </w:r>
            <w:r>
              <w:rPr>
                <w:rFonts w:hint="eastAsia"/>
                <w:color w:val="auto"/>
                <w:sz w:val="18"/>
                <w:szCs w:val="18"/>
                <w:highlight w:val="none"/>
              </w:rPr>
              <w:t>支持预防</w:t>
            </w:r>
            <w:r>
              <w:rPr>
                <w:color w:val="auto"/>
                <w:sz w:val="18"/>
                <w:szCs w:val="18"/>
                <w:highlight w:val="none"/>
              </w:rPr>
              <w:t>synflood</w:t>
            </w:r>
            <w:r>
              <w:rPr>
                <w:rFonts w:hint="eastAsia"/>
                <w:color w:val="auto"/>
                <w:sz w:val="18"/>
                <w:szCs w:val="18"/>
                <w:highlight w:val="none"/>
              </w:rPr>
              <w:t>攻击、忽略</w:t>
            </w:r>
            <w:r>
              <w:rPr>
                <w:color w:val="auto"/>
                <w:sz w:val="18"/>
                <w:szCs w:val="18"/>
                <w:highlight w:val="none"/>
              </w:rPr>
              <w:t>icmp</w:t>
            </w:r>
            <w:r>
              <w:rPr>
                <w:rFonts w:hint="eastAsia"/>
                <w:color w:val="auto"/>
                <w:sz w:val="18"/>
                <w:szCs w:val="18"/>
                <w:highlight w:val="none"/>
              </w:rPr>
              <w:t>回显请求以及通过</w:t>
            </w:r>
            <w:r>
              <w:rPr>
                <w:color w:val="auto"/>
                <w:sz w:val="18"/>
                <w:szCs w:val="18"/>
                <w:highlight w:val="none"/>
              </w:rPr>
              <w:t>TOA</w:t>
            </w:r>
            <w:r>
              <w:rPr>
                <w:rFonts w:hint="eastAsia"/>
                <w:color w:val="auto"/>
                <w:sz w:val="18"/>
                <w:szCs w:val="18"/>
                <w:highlight w:val="none"/>
              </w:rPr>
              <w:t>、</w:t>
            </w:r>
            <w:r>
              <w:rPr>
                <w:color w:val="auto"/>
                <w:sz w:val="18"/>
                <w:szCs w:val="18"/>
                <w:highlight w:val="none"/>
              </w:rPr>
              <w:t>ProxyProtocol</w:t>
            </w:r>
            <w:r>
              <w:rPr>
                <w:rFonts w:hint="eastAsia"/>
                <w:color w:val="auto"/>
                <w:sz w:val="18"/>
                <w:szCs w:val="18"/>
                <w:highlight w:val="none"/>
              </w:rPr>
              <w:t>获取客户端源</w:t>
            </w:r>
            <w:r>
              <w:rPr>
                <w:color w:val="auto"/>
                <w:sz w:val="18"/>
                <w:szCs w:val="18"/>
                <w:highlight w:val="none"/>
              </w:rPr>
              <w:t>IP</w:t>
            </w:r>
            <w:r>
              <w:rPr>
                <w:rFonts w:hint="eastAsia"/>
                <w:color w:val="auto"/>
                <w:sz w:val="18"/>
                <w:szCs w:val="18"/>
                <w:highlight w:val="none"/>
              </w:rPr>
              <w:t>。</w:t>
            </w:r>
          </w:p>
          <w:p w14:paraId="0D6B3477">
            <w:pPr>
              <w:rPr>
                <w:color w:val="auto"/>
                <w:sz w:val="18"/>
                <w:szCs w:val="18"/>
                <w:highlight w:val="none"/>
              </w:rPr>
            </w:pPr>
            <w:r>
              <w:rPr>
                <w:color w:val="auto"/>
                <w:sz w:val="18"/>
                <w:szCs w:val="18"/>
                <w:highlight w:val="none"/>
              </w:rPr>
              <w:t>11.</w:t>
            </w:r>
            <w:r>
              <w:rPr>
                <w:rFonts w:hint="eastAsia"/>
                <w:color w:val="auto"/>
                <w:sz w:val="18"/>
                <w:szCs w:val="18"/>
                <w:highlight w:val="none"/>
              </w:rPr>
              <w:t>支持系统时间配置，可设置时区，支持手工、</w:t>
            </w:r>
            <w:r>
              <w:rPr>
                <w:color w:val="auto"/>
                <w:sz w:val="18"/>
                <w:szCs w:val="18"/>
                <w:highlight w:val="none"/>
              </w:rPr>
              <w:t>NTP</w:t>
            </w:r>
            <w:r>
              <w:rPr>
                <w:rFonts w:hint="eastAsia"/>
                <w:color w:val="auto"/>
                <w:sz w:val="18"/>
                <w:szCs w:val="18"/>
                <w:highlight w:val="none"/>
              </w:rPr>
              <w:t>服务器方式同步时间</w:t>
            </w:r>
          </w:p>
          <w:p w14:paraId="51C9232E">
            <w:pPr>
              <w:rPr>
                <w:color w:val="auto"/>
                <w:sz w:val="18"/>
                <w:szCs w:val="18"/>
                <w:highlight w:val="none"/>
              </w:rPr>
            </w:pPr>
            <w:r>
              <w:rPr>
                <w:color w:val="auto"/>
                <w:sz w:val="18"/>
                <w:szCs w:val="18"/>
                <w:highlight w:val="none"/>
              </w:rPr>
              <w:t>12.</w:t>
            </w:r>
            <w:r>
              <w:rPr>
                <w:rFonts w:hint="eastAsia"/>
                <w:color w:val="auto"/>
                <w:sz w:val="18"/>
                <w:szCs w:val="18"/>
                <w:highlight w:val="none"/>
              </w:rPr>
              <w:t>支持应用代理的</w:t>
            </w:r>
            <w:r>
              <w:rPr>
                <w:color w:val="auto"/>
                <w:sz w:val="18"/>
                <w:szCs w:val="18"/>
                <w:highlight w:val="none"/>
              </w:rPr>
              <w:t>Ajax</w:t>
            </w:r>
            <w:r>
              <w:rPr>
                <w:rFonts w:hint="eastAsia"/>
                <w:color w:val="auto"/>
                <w:sz w:val="18"/>
                <w:szCs w:val="18"/>
                <w:highlight w:val="none"/>
              </w:rPr>
              <w:t>请求响应选项、请求头大小限制、响应头大小限制等。</w:t>
            </w:r>
          </w:p>
          <w:p w14:paraId="2E589A7D">
            <w:pPr>
              <w:rPr>
                <w:color w:val="auto"/>
                <w:sz w:val="18"/>
                <w:szCs w:val="18"/>
                <w:highlight w:val="none"/>
              </w:rPr>
            </w:pPr>
            <w:r>
              <w:rPr>
                <w:color w:val="auto"/>
                <w:sz w:val="18"/>
                <w:szCs w:val="18"/>
                <w:highlight w:val="none"/>
              </w:rPr>
              <w:t>13.</w:t>
            </w:r>
            <w:r>
              <w:rPr>
                <w:rFonts w:hint="eastAsia"/>
                <w:color w:val="auto"/>
                <w:sz w:val="18"/>
                <w:szCs w:val="18"/>
                <w:highlight w:val="none"/>
              </w:rPr>
              <w:t>支持网络测试，提供</w:t>
            </w:r>
            <w:r>
              <w:rPr>
                <w:color w:val="auto"/>
                <w:sz w:val="18"/>
                <w:szCs w:val="18"/>
                <w:highlight w:val="none"/>
              </w:rPr>
              <w:t>ping</w:t>
            </w:r>
            <w:r>
              <w:rPr>
                <w:rFonts w:hint="eastAsia"/>
                <w:color w:val="auto"/>
                <w:sz w:val="18"/>
                <w:szCs w:val="18"/>
                <w:highlight w:val="none"/>
              </w:rPr>
              <w:t>、</w:t>
            </w:r>
            <w:r>
              <w:rPr>
                <w:color w:val="auto"/>
                <w:sz w:val="18"/>
                <w:szCs w:val="18"/>
                <w:highlight w:val="none"/>
              </w:rPr>
              <w:t>arp</w:t>
            </w:r>
            <w:r>
              <w:rPr>
                <w:rFonts w:hint="eastAsia"/>
                <w:color w:val="auto"/>
                <w:sz w:val="18"/>
                <w:szCs w:val="18"/>
                <w:highlight w:val="none"/>
              </w:rPr>
              <w:t>、</w:t>
            </w:r>
            <w:r>
              <w:rPr>
                <w:color w:val="auto"/>
                <w:sz w:val="18"/>
                <w:szCs w:val="18"/>
                <w:highlight w:val="none"/>
              </w:rPr>
              <w:t>link</w:t>
            </w:r>
            <w:r>
              <w:rPr>
                <w:rFonts w:hint="eastAsia"/>
                <w:color w:val="auto"/>
                <w:sz w:val="18"/>
                <w:szCs w:val="18"/>
                <w:highlight w:val="none"/>
              </w:rPr>
              <w:t>方式进行连接测试，提供</w:t>
            </w:r>
            <w:r>
              <w:rPr>
                <w:color w:val="auto"/>
                <w:sz w:val="18"/>
                <w:szCs w:val="18"/>
                <w:highlight w:val="none"/>
              </w:rPr>
              <w:t>tcpdump</w:t>
            </w:r>
            <w:r>
              <w:rPr>
                <w:rFonts w:hint="eastAsia"/>
                <w:color w:val="auto"/>
                <w:sz w:val="18"/>
                <w:szCs w:val="18"/>
                <w:highlight w:val="none"/>
              </w:rPr>
              <w:t>网络抓包。</w:t>
            </w:r>
          </w:p>
          <w:p w14:paraId="20A3DDAA">
            <w:pPr>
              <w:rPr>
                <w:color w:val="auto"/>
                <w:sz w:val="18"/>
                <w:szCs w:val="18"/>
                <w:highlight w:val="none"/>
              </w:rPr>
            </w:pPr>
            <w:r>
              <w:rPr>
                <w:color w:val="auto"/>
                <w:sz w:val="18"/>
                <w:szCs w:val="18"/>
                <w:highlight w:val="none"/>
              </w:rPr>
              <w:t>14.</w:t>
            </w:r>
            <w:r>
              <w:rPr>
                <w:rFonts w:hint="eastAsia"/>
                <w:color w:val="auto"/>
                <w:sz w:val="18"/>
                <w:szCs w:val="18"/>
                <w:highlight w:val="none"/>
              </w:rPr>
              <w:t>支持用户</w:t>
            </w:r>
            <w:r>
              <w:rPr>
                <w:color w:val="auto"/>
                <w:sz w:val="18"/>
                <w:szCs w:val="18"/>
                <w:highlight w:val="none"/>
              </w:rPr>
              <w:t>IP</w:t>
            </w:r>
            <w:r>
              <w:rPr>
                <w:rFonts w:hint="eastAsia"/>
                <w:color w:val="auto"/>
                <w:sz w:val="18"/>
                <w:szCs w:val="18"/>
                <w:highlight w:val="none"/>
              </w:rPr>
              <w:t>范围进行逃生，并设置可例外</w:t>
            </w:r>
            <w:r>
              <w:rPr>
                <w:color w:val="auto"/>
                <w:sz w:val="18"/>
                <w:szCs w:val="18"/>
                <w:highlight w:val="none"/>
              </w:rPr>
              <w:t>IP</w:t>
            </w:r>
            <w:r>
              <w:rPr>
                <w:rFonts w:hint="eastAsia"/>
                <w:color w:val="auto"/>
                <w:sz w:val="18"/>
                <w:szCs w:val="18"/>
                <w:highlight w:val="none"/>
              </w:rPr>
              <w:t>，从而保证控制台故障时，已在线的用户能够继续访问业务。</w:t>
            </w:r>
          </w:p>
          <w:p w14:paraId="33DD3429">
            <w:pPr>
              <w:rPr>
                <w:color w:val="auto"/>
                <w:sz w:val="18"/>
                <w:szCs w:val="18"/>
                <w:highlight w:val="none"/>
              </w:rPr>
            </w:pPr>
            <w:r>
              <w:rPr>
                <w:color w:val="auto"/>
                <w:sz w:val="18"/>
                <w:szCs w:val="18"/>
                <w:highlight w:val="none"/>
              </w:rPr>
              <w:t>15.</w:t>
            </w:r>
            <w:r>
              <w:rPr>
                <w:rFonts w:hint="eastAsia"/>
                <w:color w:val="auto"/>
                <w:sz w:val="18"/>
                <w:szCs w:val="18"/>
                <w:highlight w:val="none"/>
              </w:rPr>
              <w:t>支持系统管理端风格设置，提供登录页面图片、</w:t>
            </w:r>
            <w:r>
              <w:rPr>
                <w:color w:val="auto"/>
                <w:sz w:val="18"/>
                <w:szCs w:val="18"/>
                <w:highlight w:val="none"/>
              </w:rPr>
              <w:t>logo</w:t>
            </w:r>
            <w:r>
              <w:rPr>
                <w:rFonts w:hint="eastAsia"/>
                <w:color w:val="auto"/>
                <w:sz w:val="18"/>
                <w:szCs w:val="18"/>
                <w:highlight w:val="none"/>
              </w:rPr>
              <w:t>、浏览器角标、标题等设置。</w:t>
            </w:r>
          </w:p>
          <w:p w14:paraId="5C7ED635">
            <w:pPr>
              <w:rPr>
                <w:color w:val="auto"/>
                <w:sz w:val="18"/>
                <w:szCs w:val="18"/>
                <w:highlight w:val="none"/>
              </w:rPr>
            </w:pPr>
            <w:r>
              <w:rPr>
                <w:color w:val="auto"/>
                <w:sz w:val="18"/>
                <w:szCs w:val="18"/>
                <w:highlight w:val="none"/>
              </w:rPr>
              <w:t>16.</w:t>
            </w:r>
            <w:r>
              <w:rPr>
                <w:rFonts w:hint="eastAsia"/>
                <w:color w:val="auto"/>
                <w:sz w:val="18"/>
                <w:szCs w:val="18"/>
                <w:highlight w:val="none"/>
              </w:rPr>
              <w:t>支持通过流量镜像功能提升设备自身的安全性。</w:t>
            </w:r>
          </w:p>
          <w:p w14:paraId="6BA259FF">
            <w:pPr>
              <w:rPr>
                <w:rFonts w:hint="eastAsia" w:ascii="宋体" w:hAnsi="宋体" w:cs="宋体"/>
                <w:color w:val="auto"/>
                <w:kern w:val="0"/>
                <w:sz w:val="18"/>
                <w:szCs w:val="18"/>
                <w:highlight w:val="none"/>
              </w:rPr>
            </w:pPr>
            <w:r>
              <w:rPr>
                <w:color w:val="auto"/>
                <w:sz w:val="18"/>
                <w:szCs w:val="18"/>
                <w:highlight w:val="none"/>
              </w:rPr>
              <w:t>17.</w:t>
            </w:r>
            <w:r>
              <w:rPr>
                <w:rFonts w:hint="eastAsia"/>
                <w:color w:val="auto"/>
                <w:sz w:val="18"/>
                <w:szCs w:val="18"/>
                <w:highlight w:val="none"/>
              </w:rPr>
              <w:t>连接到访问零信任访问控制台，并根据访问控制台的自身策略，提供文件监控与防护，可监控与防护文件的读取、写入、删除、创建、执行、链接、重命名操作，从而缓解通过恶意文件的方式，对零信任系统进行攻击的安全风险。</w:t>
            </w:r>
          </w:p>
        </w:tc>
        <w:tc>
          <w:tcPr>
            <w:tcW w:w="145" w:type="pct"/>
            <w:tcBorders>
              <w:top w:val="nil"/>
              <w:left w:val="nil"/>
              <w:bottom w:val="single" w:color="auto" w:sz="4" w:space="0"/>
              <w:right w:val="single" w:color="auto" w:sz="4" w:space="0"/>
            </w:tcBorders>
            <w:vAlign w:val="center"/>
          </w:tcPr>
          <w:p w14:paraId="4B5D28D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208" w:type="pct"/>
            <w:tcBorders>
              <w:top w:val="nil"/>
              <w:left w:val="nil"/>
              <w:bottom w:val="single" w:color="auto" w:sz="4" w:space="0"/>
              <w:right w:val="single" w:color="auto" w:sz="4" w:space="0"/>
            </w:tcBorders>
            <w:vAlign w:val="center"/>
          </w:tcPr>
          <w:p w14:paraId="3D53532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053B175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AE41907">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三）</w:t>
            </w:r>
          </w:p>
        </w:tc>
        <w:tc>
          <w:tcPr>
            <w:tcW w:w="428" w:type="pct"/>
            <w:tcBorders>
              <w:top w:val="nil"/>
              <w:left w:val="nil"/>
              <w:bottom w:val="single" w:color="auto" w:sz="4" w:space="0"/>
              <w:right w:val="single" w:color="auto" w:sz="4" w:space="0"/>
            </w:tcBorders>
            <w:vAlign w:val="center"/>
          </w:tcPr>
          <w:p w14:paraId="43C818E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零信任访问控制台</w:t>
            </w:r>
          </w:p>
        </w:tc>
        <w:tc>
          <w:tcPr>
            <w:tcW w:w="3798" w:type="pct"/>
            <w:gridSpan w:val="2"/>
            <w:tcBorders>
              <w:top w:val="nil"/>
              <w:left w:val="nil"/>
              <w:bottom w:val="single" w:color="auto" w:sz="4" w:space="0"/>
              <w:right w:val="single" w:color="auto" w:sz="4" w:space="0"/>
            </w:tcBorders>
            <w:vAlign w:val="center"/>
          </w:tcPr>
          <w:p w14:paraId="2ECB4CBD">
            <w:pPr>
              <w:ind w:firstLine="360" w:firstLineChars="200"/>
              <w:rPr>
                <w:color w:val="auto"/>
                <w:sz w:val="18"/>
                <w:szCs w:val="18"/>
                <w:highlight w:val="none"/>
              </w:rPr>
            </w:pPr>
            <w:r>
              <w:rPr>
                <w:rFonts w:hint="eastAsia"/>
                <w:color w:val="auto"/>
                <w:sz w:val="18"/>
                <w:szCs w:val="18"/>
                <w:highlight w:val="none"/>
              </w:rPr>
              <w:t>零信任访问控制台是零信任架构控制平面关键产品，主要针对多个单位应用的访问控制需求，采用了动态授权、身份认证、风险感知等多项核心技术，集中解决单位应用访问场景的核心安全问题，为单位提供了访问控制统一配置管理，提供WEB应用、隧道应用的集中管理，提供用户认证与授权、终端感知动态策略、访问审计等功能。</w:t>
            </w:r>
          </w:p>
          <w:p w14:paraId="5BA99377">
            <w:pPr>
              <w:rPr>
                <w:color w:val="auto"/>
                <w:sz w:val="18"/>
                <w:szCs w:val="18"/>
                <w:highlight w:val="none"/>
              </w:rPr>
            </w:pPr>
            <w:r>
              <w:rPr>
                <w:rFonts w:hint="eastAsia"/>
                <w:color w:val="auto"/>
                <w:sz w:val="18"/>
                <w:szCs w:val="18"/>
                <w:highlight w:val="none"/>
              </w:rPr>
              <w:t>一、配置要求</w:t>
            </w:r>
          </w:p>
          <w:p w14:paraId="45D0F5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1.软硬件一体化，2U，</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2个千兆电口，</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2个万兆光口，</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2个扩展槽，</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6个USB接口，冗余电源，支持RAID0,1,10，集成BMC模块，支持IPMI2.0，对外提供</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1个1000 Mbps RJ45管理网口；最大理论并发用户数（个）</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3500，理论HTTPS新建用户（个/秒）</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120；具备国密算法SM2、SM3、SM4的硬件卡。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2.为零信任应用代理系统提供集中配置、管理、会话、授权等能力。可和外部身份与访问管理平台实现认证、权限策略管理等能力。提供动态访问令牌，软硬件质保三年。</w:t>
            </w:r>
          </w:p>
          <w:p w14:paraId="4FF3FF97">
            <w:pPr>
              <w:pStyle w:val="32"/>
              <w:rPr>
                <w:color w:val="auto"/>
                <w:highlight w:val="none"/>
              </w:rPr>
            </w:pPr>
          </w:p>
          <w:p w14:paraId="22D20650">
            <w:pPr>
              <w:rPr>
                <w:color w:val="auto"/>
                <w:sz w:val="18"/>
                <w:szCs w:val="18"/>
                <w:highlight w:val="none"/>
              </w:rPr>
            </w:pPr>
            <w:r>
              <w:rPr>
                <w:rFonts w:hint="eastAsia"/>
                <w:color w:val="auto"/>
                <w:sz w:val="18"/>
                <w:szCs w:val="18"/>
                <w:highlight w:val="none"/>
              </w:rPr>
              <w:t>二、技术参数要求</w:t>
            </w:r>
          </w:p>
          <w:p w14:paraId="5E1A8113">
            <w:pPr>
              <w:rPr>
                <w:color w:val="auto"/>
                <w:sz w:val="18"/>
                <w:szCs w:val="18"/>
                <w:highlight w:val="none"/>
              </w:rPr>
            </w:pPr>
            <w:r>
              <w:rPr>
                <w:color w:val="auto"/>
                <w:sz w:val="18"/>
                <w:szCs w:val="18"/>
                <w:highlight w:val="none"/>
              </w:rPr>
              <w:t>1.</w:t>
            </w:r>
            <w:r>
              <w:rPr>
                <w:rFonts w:hint="eastAsia"/>
                <w:color w:val="auto"/>
                <w:sz w:val="18"/>
                <w:szCs w:val="18"/>
                <w:highlight w:val="none"/>
              </w:rPr>
              <w:t>支持通过输入安全码激活客户端，完成</w:t>
            </w:r>
            <w:r>
              <w:rPr>
                <w:color w:val="auto"/>
                <w:sz w:val="18"/>
                <w:szCs w:val="18"/>
                <w:highlight w:val="none"/>
              </w:rPr>
              <w:t>SPA</w:t>
            </w:r>
            <w:r>
              <w:rPr>
                <w:rFonts w:hint="eastAsia"/>
                <w:color w:val="auto"/>
                <w:sz w:val="18"/>
                <w:szCs w:val="18"/>
                <w:highlight w:val="none"/>
              </w:rPr>
              <w:t>敲门。安全码可支持共享码、一人一码等模式。</w:t>
            </w:r>
          </w:p>
          <w:p w14:paraId="66094ED5">
            <w:pPr>
              <w:rPr>
                <w:color w:val="auto"/>
                <w:sz w:val="18"/>
                <w:szCs w:val="18"/>
                <w:highlight w:val="none"/>
              </w:rPr>
            </w:pPr>
            <w:r>
              <w:rPr>
                <w:color w:val="auto"/>
                <w:sz w:val="18"/>
                <w:szCs w:val="18"/>
                <w:highlight w:val="none"/>
              </w:rPr>
              <w:t>2.</w:t>
            </w:r>
            <w:r>
              <w:rPr>
                <w:rFonts w:hint="eastAsia"/>
                <w:color w:val="auto"/>
                <w:sz w:val="18"/>
                <w:szCs w:val="18"/>
                <w:highlight w:val="none"/>
              </w:rPr>
              <w:t>支持按代理网关设置不同的</w:t>
            </w:r>
            <w:r>
              <w:rPr>
                <w:color w:val="auto"/>
                <w:sz w:val="18"/>
                <w:szCs w:val="18"/>
                <w:highlight w:val="none"/>
              </w:rPr>
              <w:t>SPA</w:t>
            </w:r>
            <w:r>
              <w:rPr>
                <w:rFonts w:hint="eastAsia"/>
                <w:color w:val="auto"/>
                <w:sz w:val="18"/>
                <w:szCs w:val="18"/>
                <w:highlight w:val="none"/>
              </w:rPr>
              <w:t>敲门策略。</w:t>
            </w:r>
          </w:p>
          <w:p w14:paraId="5FDAAF72">
            <w:pPr>
              <w:rPr>
                <w:color w:val="auto"/>
                <w:sz w:val="18"/>
                <w:szCs w:val="18"/>
                <w:highlight w:val="none"/>
              </w:rPr>
            </w:pPr>
            <w:r>
              <w:rPr>
                <w:color w:val="auto"/>
                <w:sz w:val="18"/>
                <w:szCs w:val="18"/>
                <w:highlight w:val="none"/>
              </w:rPr>
              <w:t>3.</w:t>
            </w:r>
            <w:r>
              <w:rPr>
                <w:rFonts w:hint="eastAsia"/>
                <w:color w:val="auto"/>
                <w:sz w:val="18"/>
                <w:szCs w:val="18"/>
                <w:highlight w:val="none"/>
              </w:rPr>
              <w:t>提供用户概览统计能力，包括用户总数、启用用户数、锁定用户数、禁用用户数等信息。支持用户身份属性的自定义扩展，以便管理员可以根据自身需要对用户属性扩展，而不需要重新部署或升级系统程序。</w:t>
            </w:r>
          </w:p>
          <w:p w14:paraId="165B13FF">
            <w:pPr>
              <w:rPr>
                <w:color w:val="auto"/>
                <w:sz w:val="18"/>
                <w:szCs w:val="18"/>
                <w:highlight w:val="none"/>
              </w:rPr>
            </w:pPr>
            <w:r>
              <w:rPr>
                <w:color w:val="auto"/>
                <w:sz w:val="18"/>
                <w:szCs w:val="18"/>
                <w:highlight w:val="none"/>
              </w:rPr>
              <w:t>4.</w:t>
            </w:r>
            <w:r>
              <w:rPr>
                <w:rFonts w:hint="eastAsia"/>
                <w:color w:val="auto"/>
                <w:sz w:val="18"/>
                <w:szCs w:val="18"/>
                <w:highlight w:val="none"/>
              </w:rPr>
              <w:t>提供用户组管理，支持动态用户组，可按照规则进组，使得满足规则的用户能够自动进入组，并继承组所拥有的权限、访问策略等，而不需要依次手工添加，减轻了管理的负担；支持用户身份打标签，以实现对不同的用户打不同标签，并可以基于标签进行细粒度访问控制；支持设置长期未使用的账号为闲置账号，可自定义闲置账号时长，支持自动或者手工禁用闲置账号。</w:t>
            </w:r>
          </w:p>
          <w:p w14:paraId="5D6FCE49">
            <w:pPr>
              <w:rPr>
                <w:color w:val="auto"/>
                <w:sz w:val="18"/>
                <w:szCs w:val="18"/>
                <w:highlight w:val="none"/>
              </w:rPr>
            </w:pPr>
            <w:r>
              <w:rPr>
                <w:color w:val="auto"/>
                <w:sz w:val="18"/>
                <w:szCs w:val="18"/>
                <w:highlight w:val="none"/>
              </w:rPr>
              <w:t>5.</w:t>
            </w:r>
            <w:r>
              <w:rPr>
                <w:rFonts w:hint="eastAsia"/>
                <w:color w:val="auto"/>
                <w:sz w:val="18"/>
                <w:szCs w:val="18"/>
                <w:highlight w:val="none"/>
              </w:rPr>
              <w:t>提供设备概览统计能力，包括终端总数、启用终端数、锁定终端数、禁用终端数等信息；提供设备绑定概览统计能力，包括绑定总数、管理员绑定数、申请绑定数、自助绑定数等信息。</w:t>
            </w:r>
          </w:p>
          <w:p w14:paraId="73241118">
            <w:pPr>
              <w:rPr>
                <w:color w:val="auto"/>
                <w:sz w:val="18"/>
                <w:szCs w:val="18"/>
                <w:highlight w:val="none"/>
              </w:rPr>
            </w:pPr>
            <w:r>
              <w:rPr>
                <w:color w:val="auto"/>
                <w:sz w:val="18"/>
                <w:szCs w:val="18"/>
                <w:highlight w:val="none"/>
              </w:rPr>
              <w:t>6.</w:t>
            </w:r>
            <w:r>
              <w:rPr>
                <w:rFonts w:hint="eastAsia"/>
                <w:color w:val="auto"/>
                <w:sz w:val="18"/>
                <w:szCs w:val="18"/>
                <w:highlight w:val="none"/>
              </w:rPr>
              <w:t>支持建立用户与设备绑定</w:t>
            </w:r>
            <w:r>
              <w:rPr>
                <w:color w:val="auto"/>
                <w:sz w:val="18"/>
                <w:szCs w:val="18"/>
                <w:highlight w:val="none"/>
              </w:rPr>
              <w:t>/</w:t>
            </w:r>
            <w:r>
              <w:rPr>
                <w:rFonts w:hint="eastAsia"/>
                <w:color w:val="auto"/>
                <w:sz w:val="18"/>
                <w:szCs w:val="18"/>
                <w:highlight w:val="none"/>
              </w:rPr>
              <w:t>解绑维护和管理，支持设置设备绑定策略，包括单个用户可绑定的</w:t>
            </w:r>
            <w:r>
              <w:rPr>
                <w:color w:val="auto"/>
                <w:sz w:val="18"/>
                <w:szCs w:val="18"/>
                <w:highlight w:val="none"/>
              </w:rPr>
              <w:t>PC</w:t>
            </w:r>
            <w:r>
              <w:rPr>
                <w:rFonts w:hint="eastAsia"/>
                <w:color w:val="auto"/>
                <w:sz w:val="18"/>
                <w:szCs w:val="18"/>
                <w:highlight w:val="none"/>
              </w:rPr>
              <w:t>设备数、可绑定的移动设备数；单个设备可以绑定用户数，支持按照用户组分别设置可绑定的</w:t>
            </w:r>
            <w:r>
              <w:rPr>
                <w:color w:val="auto"/>
                <w:sz w:val="18"/>
                <w:szCs w:val="18"/>
                <w:highlight w:val="none"/>
              </w:rPr>
              <w:t>PC</w:t>
            </w:r>
            <w:r>
              <w:rPr>
                <w:rFonts w:hint="eastAsia"/>
                <w:color w:val="auto"/>
                <w:sz w:val="18"/>
                <w:szCs w:val="18"/>
                <w:highlight w:val="none"/>
              </w:rPr>
              <w:t>设备数、可绑定的移动设备数等，从而加强设备的管控。支持用户自助解绑设置，可设置是否允许用户自助解绑，以及解绑是否要求做多因子认证，进一步加强设备解绑的管控。</w:t>
            </w:r>
          </w:p>
          <w:p w14:paraId="762CDCA8">
            <w:pPr>
              <w:rPr>
                <w:color w:val="auto"/>
                <w:sz w:val="18"/>
                <w:szCs w:val="18"/>
                <w:highlight w:val="none"/>
              </w:rPr>
            </w:pPr>
            <w:r>
              <w:rPr>
                <w:color w:val="auto"/>
                <w:sz w:val="18"/>
                <w:szCs w:val="18"/>
                <w:highlight w:val="none"/>
              </w:rPr>
              <w:t>7.</w:t>
            </w:r>
            <w:r>
              <w:rPr>
                <w:rFonts w:hint="eastAsia"/>
                <w:color w:val="auto"/>
                <w:sz w:val="18"/>
                <w:szCs w:val="18"/>
                <w:highlight w:val="none"/>
              </w:rPr>
              <w:t>支持应用概览统计能力，包括应用总数、</w:t>
            </w:r>
            <w:r>
              <w:rPr>
                <w:color w:val="auto"/>
                <w:sz w:val="18"/>
                <w:szCs w:val="18"/>
                <w:highlight w:val="none"/>
              </w:rPr>
              <w:t>WEB</w:t>
            </w:r>
            <w:r>
              <w:rPr>
                <w:rFonts w:hint="eastAsia"/>
                <w:color w:val="auto"/>
                <w:sz w:val="18"/>
                <w:szCs w:val="18"/>
                <w:highlight w:val="none"/>
              </w:rPr>
              <w:t>应用数、隧道应用数等信息，提升管理员的运维能力。</w:t>
            </w:r>
          </w:p>
          <w:p w14:paraId="71FA0215">
            <w:pPr>
              <w:rPr>
                <w:color w:val="auto"/>
                <w:sz w:val="18"/>
                <w:szCs w:val="18"/>
                <w:highlight w:val="none"/>
              </w:rPr>
            </w:pPr>
            <w:r>
              <w:rPr>
                <w:color w:val="auto"/>
                <w:sz w:val="18"/>
                <w:szCs w:val="18"/>
                <w:highlight w:val="none"/>
              </w:rPr>
              <w:t>8.</w:t>
            </w:r>
            <w:r>
              <w:rPr>
                <w:rFonts w:hint="eastAsia"/>
                <w:color w:val="auto"/>
                <w:sz w:val="18"/>
                <w:szCs w:val="18"/>
                <w:highlight w:val="none"/>
              </w:rPr>
              <w:t>支持虚拟服务发布，以实现应用只提供安全访问通道，而不做控制的场景，比如</w:t>
            </w:r>
            <w:r>
              <w:rPr>
                <w:color w:val="auto"/>
                <w:sz w:val="18"/>
                <w:szCs w:val="18"/>
                <w:highlight w:val="none"/>
              </w:rPr>
              <w:t>CA</w:t>
            </w:r>
            <w:r>
              <w:rPr>
                <w:rFonts w:hint="eastAsia"/>
                <w:color w:val="auto"/>
                <w:sz w:val="18"/>
                <w:szCs w:val="18"/>
                <w:highlight w:val="none"/>
              </w:rPr>
              <w:t>服务器需要放在零信任后面做隐藏，但是需要对外开放服务场景。</w:t>
            </w:r>
          </w:p>
          <w:p w14:paraId="49A1CB2D">
            <w:pPr>
              <w:rPr>
                <w:color w:val="auto"/>
                <w:sz w:val="18"/>
                <w:szCs w:val="18"/>
                <w:highlight w:val="none"/>
              </w:rPr>
            </w:pPr>
            <w:r>
              <w:rPr>
                <w:color w:val="auto"/>
                <w:sz w:val="18"/>
                <w:szCs w:val="18"/>
                <w:highlight w:val="none"/>
              </w:rPr>
              <w:t>9.</w:t>
            </w:r>
            <w:r>
              <w:rPr>
                <w:rFonts w:hint="eastAsia"/>
                <w:color w:val="auto"/>
                <w:sz w:val="18"/>
                <w:szCs w:val="18"/>
                <w:highlight w:val="none"/>
              </w:rPr>
              <w:t>支持</w:t>
            </w:r>
            <w:r>
              <w:rPr>
                <w:color w:val="auto"/>
                <w:sz w:val="18"/>
                <w:szCs w:val="18"/>
                <w:highlight w:val="none"/>
              </w:rPr>
              <w:t>WEB</w:t>
            </w:r>
            <w:r>
              <w:rPr>
                <w:rFonts w:hint="eastAsia"/>
                <w:color w:val="auto"/>
                <w:sz w:val="18"/>
                <w:szCs w:val="18"/>
                <w:highlight w:val="none"/>
              </w:rPr>
              <w:t>应用支持数据传递，可通过</w:t>
            </w:r>
            <w:r>
              <w:rPr>
                <w:color w:val="auto"/>
                <w:sz w:val="18"/>
                <w:szCs w:val="18"/>
                <w:highlight w:val="none"/>
              </w:rPr>
              <w:t>URL</w:t>
            </w:r>
            <w:r>
              <w:rPr>
                <w:rFonts w:hint="eastAsia"/>
                <w:color w:val="auto"/>
                <w:sz w:val="18"/>
                <w:szCs w:val="18"/>
                <w:highlight w:val="none"/>
              </w:rPr>
              <w:t>、</w:t>
            </w:r>
            <w:r>
              <w:rPr>
                <w:color w:val="auto"/>
                <w:sz w:val="18"/>
                <w:szCs w:val="18"/>
                <w:highlight w:val="none"/>
              </w:rPr>
              <w:t>Header</w:t>
            </w:r>
            <w:r>
              <w:rPr>
                <w:rFonts w:hint="eastAsia"/>
                <w:color w:val="auto"/>
                <w:sz w:val="18"/>
                <w:szCs w:val="18"/>
                <w:highlight w:val="none"/>
              </w:rPr>
              <w:t>、</w:t>
            </w:r>
            <w:r>
              <w:rPr>
                <w:color w:val="auto"/>
                <w:sz w:val="18"/>
                <w:szCs w:val="18"/>
                <w:highlight w:val="none"/>
              </w:rPr>
              <w:t>Cookie</w:t>
            </w:r>
            <w:r>
              <w:rPr>
                <w:rFonts w:hint="eastAsia"/>
                <w:color w:val="auto"/>
                <w:sz w:val="18"/>
                <w:szCs w:val="18"/>
                <w:highlight w:val="none"/>
              </w:rPr>
              <w:t>自定参数传递，以满足应用对特定参数的需要，从而实现对现网应用无需修改即可正常访问；支持</w:t>
            </w:r>
            <w:r>
              <w:rPr>
                <w:color w:val="auto"/>
                <w:sz w:val="18"/>
                <w:szCs w:val="18"/>
                <w:highlight w:val="none"/>
              </w:rPr>
              <w:t>WEB</w:t>
            </w:r>
            <w:r>
              <w:rPr>
                <w:rFonts w:hint="eastAsia"/>
                <w:color w:val="auto"/>
                <w:sz w:val="18"/>
                <w:szCs w:val="18"/>
                <w:highlight w:val="none"/>
              </w:rPr>
              <w:t>应用访问透传控制，按照规则对特定</w:t>
            </w:r>
            <w:r>
              <w:rPr>
                <w:color w:val="auto"/>
                <w:sz w:val="18"/>
                <w:szCs w:val="18"/>
                <w:highlight w:val="none"/>
              </w:rPr>
              <w:t>URL</w:t>
            </w:r>
            <w:r>
              <w:rPr>
                <w:rFonts w:hint="eastAsia"/>
                <w:color w:val="auto"/>
                <w:sz w:val="18"/>
                <w:szCs w:val="18"/>
                <w:highlight w:val="none"/>
              </w:rPr>
              <w:t>不进行权限检查放过，从而满足对一些公共可访问的特定</w:t>
            </w:r>
            <w:r>
              <w:rPr>
                <w:color w:val="auto"/>
                <w:sz w:val="18"/>
                <w:szCs w:val="18"/>
                <w:highlight w:val="none"/>
              </w:rPr>
              <w:t>URL</w:t>
            </w:r>
            <w:r>
              <w:rPr>
                <w:rFonts w:hint="eastAsia"/>
                <w:color w:val="auto"/>
                <w:sz w:val="18"/>
                <w:szCs w:val="18"/>
                <w:highlight w:val="none"/>
              </w:rPr>
              <w:t>进行例外放行的需要；支持</w:t>
            </w:r>
            <w:r>
              <w:rPr>
                <w:color w:val="auto"/>
                <w:sz w:val="18"/>
                <w:szCs w:val="18"/>
                <w:highlight w:val="none"/>
              </w:rPr>
              <w:t>Web</w:t>
            </w:r>
            <w:r>
              <w:rPr>
                <w:rFonts w:hint="eastAsia"/>
                <w:color w:val="auto"/>
                <w:sz w:val="18"/>
                <w:szCs w:val="18"/>
                <w:highlight w:val="none"/>
              </w:rPr>
              <w:t>应用设置响应内容替换，可按需设置替换</w:t>
            </w:r>
            <w:r>
              <w:rPr>
                <w:color w:val="auto"/>
                <w:sz w:val="18"/>
                <w:szCs w:val="18"/>
                <w:highlight w:val="none"/>
              </w:rPr>
              <w:t>Header</w:t>
            </w:r>
            <w:r>
              <w:rPr>
                <w:rFonts w:hint="eastAsia"/>
                <w:color w:val="auto"/>
                <w:sz w:val="18"/>
                <w:szCs w:val="18"/>
                <w:highlight w:val="none"/>
              </w:rPr>
              <w:t>、替换</w:t>
            </w:r>
            <w:r>
              <w:rPr>
                <w:color w:val="auto"/>
                <w:sz w:val="18"/>
                <w:szCs w:val="18"/>
                <w:highlight w:val="none"/>
              </w:rPr>
              <w:t>Body</w:t>
            </w:r>
            <w:r>
              <w:rPr>
                <w:rFonts w:hint="eastAsia"/>
                <w:color w:val="auto"/>
                <w:sz w:val="18"/>
                <w:szCs w:val="18"/>
                <w:highlight w:val="none"/>
              </w:rPr>
              <w:t>、全部替换，以满足</w:t>
            </w:r>
            <w:r>
              <w:rPr>
                <w:color w:val="auto"/>
                <w:sz w:val="18"/>
                <w:szCs w:val="18"/>
                <w:highlight w:val="none"/>
              </w:rPr>
              <w:t>Web</w:t>
            </w:r>
            <w:r>
              <w:rPr>
                <w:rFonts w:hint="eastAsia"/>
                <w:color w:val="auto"/>
                <w:sz w:val="18"/>
                <w:szCs w:val="18"/>
                <w:highlight w:val="none"/>
              </w:rPr>
              <w:t>应用访问的特殊需要。</w:t>
            </w:r>
          </w:p>
          <w:p w14:paraId="75B7A4CC">
            <w:pPr>
              <w:rPr>
                <w:color w:val="auto"/>
                <w:sz w:val="18"/>
                <w:szCs w:val="18"/>
                <w:highlight w:val="none"/>
              </w:rPr>
            </w:pPr>
            <w:r>
              <w:rPr>
                <w:color w:val="auto"/>
                <w:sz w:val="18"/>
                <w:szCs w:val="18"/>
                <w:highlight w:val="none"/>
              </w:rPr>
              <w:t>10.</w:t>
            </w:r>
            <w:r>
              <w:rPr>
                <w:rFonts w:hint="eastAsia"/>
                <w:color w:val="auto"/>
                <w:sz w:val="18"/>
                <w:szCs w:val="18"/>
                <w:highlight w:val="none"/>
              </w:rPr>
              <w:t>支持用户名</w:t>
            </w:r>
            <w:r>
              <w:rPr>
                <w:color w:val="auto"/>
                <w:sz w:val="18"/>
                <w:szCs w:val="18"/>
                <w:highlight w:val="none"/>
              </w:rPr>
              <w:t>+</w:t>
            </w:r>
            <w:r>
              <w:rPr>
                <w:rFonts w:hint="eastAsia"/>
                <w:color w:val="auto"/>
                <w:sz w:val="18"/>
                <w:szCs w:val="18"/>
                <w:highlight w:val="none"/>
              </w:rPr>
              <w:t>密码、</w:t>
            </w:r>
            <w:r>
              <w:rPr>
                <w:color w:val="auto"/>
                <w:sz w:val="18"/>
                <w:szCs w:val="18"/>
                <w:highlight w:val="none"/>
              </w:rPr>
              <w:t>AD</w:t>
            </w:r>
            <w:r>
              <w:rPr>
                <w:rFonts w:hint="eastAsia"/>
                <w:color w:val="auto"/>
                <w:sz w:val="18"/>
                <w:szCs w:val="18"/>
                <w:highlight w:val="none"/>
              </w:rPr>
              <w:t>、</w:t>
            </w:r>
            <w:r>
              <w:rPr>
                <w:color w:val="auto"/>
                <w:sz w:val="18"/>
                <w:szCs w:val="18"/>
                <w:highlight w:val="none"/>
              </w:rPr>
              <w:t>LDAP</w:t>
            </w:r>
            <w:r>
              <w:rPr>
                <w:rFonts w:hint="eastAsia"/>
                <w:color w:val="auto"/>
                <w:sz w:val="18"/>
                <w:szCs w:val="18"/>
                <w:highlight w:val="none"/>
              </w:rPr>
              <w:t>用户登录认证；支持动态口令、短信、邮箱的多因子认证方式；提供认证策略配置，可为不同的用户设置不同的用户认证、设备认证、多因子认证方式，以便对处于不同的组织机构、用户组中的用户实现不同程度的认证管控；支持认证策略的优先级排序设置，可支持单用户目录认证策略的优先级、跨多个用户目录的全局优先级排序设置，以实现用户登录认证时，可按照设置优先级顺序展示相应的认证方式，以方便用户登录认证时使用。支持设备认证，提供认证策略配置，可根据是否签发设备、导入设备、绑定设备进行设备认证。</w:t>
            </w:r>
          </w:p>
          <w:p w14:paraId="51D61E93">
            <w:pPr>
              <w:rPr>
                <w:color w:val="auto"/>
                <w:sz w:val="18"/>
                <w:szCs w:val="18"/>
                <w:highlight w:val="none"/>
              </w:rPr>
            </w:pPr>
            <w:r>
              <w:rPr>
                <w:color w:val="auto"/>
                <w:sz w:val="18"/>
                <w:szCs w:val="18"/>
                <w:highlight w:val="none"/>
              </w:rPr>
              <w:t>11.</w:t>
            </w:r>
            <w:r>
              <w:rPr>
                <w:rFonts w:hint="eastAsia"/>
                <w:color w:val="auto"/>
                <w:sz w:val="18"/>
                <w:szCs w:val="18"/>
                <w:highlight w:val="none"/>
              </w:rPr>
              <w:t>支持多因子豁免，可支持从授权终端、信任位置、信任域环境的维度，建立多因子豁免规则，指定用户无须多因子认证，以便提升在安全、可信环境下的用户进行登录认证的体验。当用户以弱密码、非信任位置、非信任时间、闲置账号进行登录时，建立增强认证规则，需要进行多因子认证，以加强并提升用户身份的安全。</w:t>
            </w:r>
          </w:p>
          <w:p w14:paraId="765CFABB">
            <w:pPr>
              <w:rPr>
                <w:color w:val="auto"/>
                <w:sz w:val="18"/>
                <w:szCs w:val="18"/>
                <w:highlight w:val="none"/>
              </w:rPr>
            </w:pPr>
            <w:r>
              <w:rPr>
                <w:color w:val="auto"/>
                <w:sz w:val="18"/>
                <w:szCs w:val="18"/>
                <w:highlight w:val="none"/>
              </w:rPr>
              <w:t>12.</w:t>
            </w:r>
            <w:r>
              <w:rPr>
                <w:rFonts w:hint="eastAsia"/>
                <w:color w:val="auto"/>
                <w:sz w:val="18"/>
                <w:szCs w:val="18"/>
                <w:highlight w:val="none"/>
              </w:rPr>
              <w:t>针对不同的应用采用不同的认证策略，可实现</w:t>
            </w:r>
            <w:r>
              <w:rPr>
                <w:color w:val="auto"/>
                <w:sz w:val="18"/>
                <w:szCs w:val="18"/>
                <w:highlight w:val="none"/>
              </w:rPr>
              <w:t>web</w:t>
            </w:r>
            <w:r>
              <w:rPr>
                <w:rFonts w:hint="eastAsia"/>
                <w:color w:val="auto"/>
                <w:sz w:val="18"/>
                <w:szCs w:val="18"/>
                <w:highlight w:val="none"/>
              </w:rPr>
              <w:t>端认证策略、</w:t>
            </w:r>
            <w:r>
              <w:rPr>
                <w:color w:val="auto"/>
                <w:sz w:val="18"/>
                <w:szCs w:val="18"/>
                <w:highlight w:val="none"/>
              </w:rPr>
              <w:t>PC</w:t>
            </w:r>
            <w:r>
              <w:rPr>
                <w:rFonts w:hint="eastAsia"/>
                <w:color w:val="auto"/>
                <w:sz w:val="18"/>
                <w:szCs w:val="18"/>
                <w:highlight w:val="none"/>
              </w:rPr>
              <w:t>客户端认证策略、移动客户端认证策略，提升精准性和易用性。</w:t>
            </w:r>
          </w:p>
          <w:p w14:paraId="4BA26A0C">
            <w:pPr>
              <w:rPr>
                <w:color w:val="auto"/>
                <w:sz w:val="18"/>
                <w:szCs w:val="18"/>
                <w:highlight w:val="none"/>
              </w:rPr>
            </w:pPr>
            <w:r>
              <w:rPr>
                <w:color w:val="auto"/>
                <w:sz w:val="18"/>
                <w:szCs w:val="18"/>
                <w:highlight w:val="none"/>
              </w:rPr>
              <w:t>13.</w:t>
            </w:r>
            <w:r>
              <w:rPr>
                <w:rFonts w:hint="eastAsia"/>
                <w:color w:val="auto"/>
                <w:sz w:val="18"/>
                <w:szCs w:val="18"/>
                <w:highlight w:val="none"/>
              </w:rPr>
              <w:t>支持从应用资源、资源角色选择用户、组织机构、用户组，以实现角色内资源的被批量授予用户；支持从资源角色选择用户、组织机构、用户组，以实现角色内资源的被批量授予用户，减轻管理员的负担。</w:t>
            </w:r>
          </w:p>
          <w:p w14:paraId="310A7461">
            <w:pPr>
              <w:rPr>
                <w:color w:val="auto"/>
                <w:sz w:val="18"/>
                <w:szCs w:val="18"/>
                <w:highlight w:val="none"/>
              </w:rPr>
            </w:pPr>
            <w:r>
              <w:rPr>
                <w:color w:val="auto"/>
                <w:sz w:val="18"/>
                <w:szCs w:val="18"/>
                <w:highlight w:val="none"/>
              </w:rPr>
              <w:t>14.</w:t>
            </w:r>
            <w:r>
              <w:rPr>
                <w:rFonts w:hint="eastAsia"/>
                <w:color w:val="auto"/>
                <w:sz w:val="18"/>
                <w:szCs w:val="18"/>
                <w:highlight w:val="none"/>
              </w:rPr>
              <w:t>支持从用户属性、环境属性、行为属性、终端属性维度设置准入策略，便于对用户准入进行控制。</w:t>
            </w:r>
          </w:p>
          <w:p w14:paraId="3BA13C9A">
            <w:pPr>
              <w:rPr>
                <w:color w:val="auto"/>
                <w:sz w:val="18"/>
                <w:szCs w:val="18"/>
                <w:highlight w:val="none"/>
              </w:rPr>
            </w:pPr>
            <w:r>
              <w:rPr>
                <w:color w:val="auto"/>
                <w:sz w:val="18"/>
                <w:szCs w:val="18"/>
                <w:highlight w:val="none"/>
              </w:rPr>
              <w:t>15.</w:t>
            </w:r>
            <w:r>
              <w:rPr>
                <w:rFonts w:hint="eastAsia"/>
                <w:color w:val="auto"/>
                <w:sz w:val="18"/>
                <w:szCs w:val="18"/>
                <w:highlight w:val="none"/>
              </w:rPr>
              <w:t>支持用户两次登录设备发生变化、异常旅行速度设置行为属性，以实现从用户行为维度进行准入控制，缓解因用户账号被盗用、身份被仿冒的用户进入系统的安全风险。</w:t>
            </w:r>
          </w:p>
          <w:p w14:paraId="1C9422C3">
            <w:pPr>
              <w:rPr>
                <w:color w:val="auto"/>
                <w:sz w:val="18"/>
                <w:szCs w:val="18"/>
                <w:highlight w:val="none"/>
              </w:rPr>
            </w:pPr>
            <w:r>
              <w:rPr>
                <w:color w:val="auto"/>
                <w:sz w:val="18"/>
                <w:szCs w:val="18"/>
                <w:highlight w:val="none"/>
              </w:rPr>
              <w:t>16.</w:t>
            </w:r>
            <w:r>
              <w:rPr>
                <w:rFonts w:hint="eastAsia"/>
                <w:color w:val="auto"/>
                <w:sz w:val="18"/>
                <w:szCs w:val="18"/>
                <w:highlight w:val="none"/>
              </w:rPr>
              <w:t>支持基于认证方式、人员标签的用户属性设置访问控制策略；访问控制策略处置支持临时豁免，豁免可设置豁免有效期、豁免用户和豁免动作，豁免动作可设置二次认证或警告提示。</w:t>
            </w:r>
          </w:p>
          <w:p w14:paraId="3CEEEBA6">
            <w:pPr>
              <w:rPr>
                <w:color w:val="auto"/>
                <w:sz w:val="18"/>
                <w:szCs w:val="18"/>
                <w:highlight w:val="none"/>
              </w:rPr>
            </w:pPr>
            <w:r>
              <w:rPr>
                <w:color w:val="auto"/>
                <w:sz w:val="18"/>
                <w:szCs w:val="18"/>
                <w:highlight w:val="none"/>
              </w:rPr>
              <w:t>17.</w:t>
            </w:r>
            <w:r>
              <w:rPr>
                <w:rFonts w:hint="eastAsia"/>
                <w:color w:val="auto"/>
                <w:sz w:val="18"/>
                <w:szCs w:val="18"/>
                <w:highlight w:val="none"/>
              </w:rPr>
              <w:t>支持通过限制请求并发、限制请求速度、限制单位时间内的请求数、限制响应传输速率、限制请求大小等维度来设置相应阈值进行限流限速，缓解大量请求访问给业务应用造成的压力和资源消耗，进而提升业务的连续性、可用性。</w:t>
            </w:r>
          </w:p>
          <w:p w14:paraId="09EC3CAA">
            <w:pPr>
              <w:pStyle w:val="32"/>
              <w:rPr>
                <w:color w:val="auto"/>
                <w:highlight w:val="none"/>
              </w:rPr>
            </w:pPr>
          </w:p>
          <w:p w14:paraId="31F0A954">
            <w:pPr>
              <w:pStyle w:val="32"/>
              <w:rPr>
                <w:color w:val="auto"/>
                <w:highlight w:val="none"/>
              </w:rPr>
            </w:pPr>
            <w:r>
              <w:rPr>
                <w:color w:val="auto"/>
                <w:highlight w:val="none"/>
              </w:rPr>
              <w:t xml:space="preserve">18. </w:t>
            </w:r>
            <w:r>
              <w:rPr>
                <w:rFonts w:hint="eastAsia"/>
                <w:color w:val="auto"/>
                <w:highlight w:val="none"/>
              </w:rPr>
              <w:t>支持对接不同品牌、厂家的认证网关，兼容多种标准认证协议，可通过标准化接口实现与第三方认证网关的无缝对接与互信认证。</w:t>
            </w:r>
          </w:p>
          <w:p w14:paraId="2C13C47B">
            <w:pPr>
              <w:rPr>
                <w:color w:val="auto"/>
                <w:highlight w:val="none"/>
              </w:rPr>
            </w:pPr>
          </w:p>
        </w:tc>
        <w:tc>
          <w:tcPr>
            <w:tcW w:w="145" w:type="pct"/>
            <w:tcBorders>
              <w:top w:val="nil"/>
              <w:left w:val="nil"/>
              <w:bottom w:val="single" w:color="auto" w:sz="4" w:space="0"/>
              <w:right w:val="single" w:color="auto" w:sz="4" w:space="0"/>
            </w:tcBorders>
            <w:vAlign w:val="center"/>
          </w:tcPr>
          <w:p w14:paraId="29CFCB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208" w:type="pct"/>
            <w:tcBorders>
              <w:top w:val="nil"/>
              <w:left w:val="nil"/>
              <w:bottom w:val="single" w:color="auto" w:sz="4" w:space="0"/>
              <w:right w:val="single" w:color="auto" w:sz="4" w:space="0"/>
            </w:tcBorders>
            <w:vAlign w:val="center"/>
          </w:tcPr>
          <w:p w14:paraId="4E1CE1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4CEE5A14">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EEEB04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四）</w:t>
            </w:r>
          </w:p>
        </w:tc>
        <w:tc>
          <w:tcPr>
            <w:tcW w:w="428" w:type="pct"/>
            <w:tcBorders>
              <w:top w:val="nil"/>
              <w:left w:val="nil"/>
              <w:bottom w:val="single" w:color="auto" w:sz="4" w:space="0"/>
              <w:right w:val="single" w:color="auto" w:sz="4" w:space="0"/>
            </w:tcBorders>
            <w:vAlign w:val="center"/>
          </w:tcPr>
          <w:p w14:paraId="7605051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认证网关</w:t>
            </w:r>
          </w:p>
        </w:tc>
        <w:tc>
          <w:tcPr>
            <w:tcW w:w="3798" w:type="pct"/>
            <w:gridSpan w:val="2"/>
            <w:tcBorders>
              <w:top w:val="nil"/>
              <w:left w:val="nil"/>
              <w:bottom w:val="single" w:color="auto" w:sz="4" w:space="0"/>
              <w:right w:val="single" w:color="auto" w:sz="4" w:space="0"/>
            </w:tcBorders>
            <w:vAlign w:val="center"/>
          </w:tcPr>
          <w:p w14:paraId="5160BFB8">
            <w:pPr>
              <w:pStyle w:val="32"/>
              <w:ind w:firstLine="360" w:firstLineChars="200"/>
              <w:rPr>
                <w:color w:val="auto"/>
                <w:highlight w:val="none"/>
              </w:rPr>
            </w:pPr>
            <w:r>
              <w:rPr>
                <w:rFonts w:hint="eastAsia"/>
                <w:color w:val="auto"/>
                <w:highlight w:val="none"/>
              </w:rPr>
              <w:t>认证网关是认证系统的核心，负责接入认证及流量处理等重要的准入控制职能，支持802.1X、IP流量控制、DHCP、WebAuth等多种准入控制方式，支持设备入网合规性检查，解决各类设备入网合法合规的问题。</w:t>
            </w:r>
          </w:p>
          <w:p w14:paraId="67D00EDB">
            <w:pPr>
              <w:rPr>
                <w:color w:val="auto"/>
                <w:sz w:val="18"/>
                <w:szCs w:val="18"/>
                <w:highlight w:val="none"/>
              </w:rPr>
            </w:pPr>
            <w:r>
              <w:rPr>
                <w:rFonts w:hint="eastAsia"/>
                <w:color w:val="auto"/>
                <w:sz w:val="18"/>
                <w:szCs w:val="18"/>
                <w:highlight w:val="none"/>
              </w:rPr>
              <w:t>一、性能配置要求</w:t>
            </w:r>
          </w:p>
          <w:p w14:paraId="26C46E1B">
            <w:pPr>
              <w:rPr>
                <w:color w:val="auto"/>
                <w:sz w:val="18"/>
                <w:szCs w:val="18"/>
                <w:highlight w:val="none"/>
              </w:rPr>
            </w:pPr>
            <w:r>
              <w:rPr>
                <w:color w:val="auto"/>
                <w:sz w:val="18"/>
                <w:szCs w:val="18"/>
                <w:highlight w:val="none"/>
              </w:rPr>
              <w:t>1.</w:t>
            </w:r>
            <w:r>
              <w:rPr>
                <w:color w:val="auto"/>
                <w:sz w:val="18"/>
                <w:szCs w:val="18"/>
                <w:highlight w:val="none"/>
              </w:rPr>
              <w:tab/>
            </w:r>
            <w:r>
              <w:rPr>
                <w:rFonts w:hint="eastAsia"/>
                <w:color w:val="auto"/>
                <w:sz w:val="18"/>
                <w:szCs w:val="18"/>
                <w:highlight w:val="none"/>
              </w:rPr>
              <w:t>软硬件一体化部署，基于国产化</w:t>
            </w:r>
            <w:r>
              <w:rPr>
                <w:color w:val="auto"/>
                <w:sz w:val="18"/>
                <w:szCs w:val="18"/>
                <w:highlight w:val="none"/>
              </w:rPr>
              <w:t>CPU</w:t>
            </w:r>
            <w:r>
              <w:rPr>
                <w:rFonts w:hint="eastAsia"/>
                <w:color w:val="auto"/>
                <w:sz w:val="18"/>
                <w:szCs w:val="18"/>
                <w:highlight w:val="none"/>
              </w:rPr>
              <w:t>与操作系统，整机支持≥</w:t>
            </w:r>
            <w:r>
              <w:rPr>
                <w:color w:val="auto"/>
                <w:sz w:val="18"/>
                <w:szCs w:val="18"/>
                <w:highlight w:val="none"/>
              </w:rPr>
              <w:t>4000</w:t>
            </w:r>
            <w:r>
              <w:rPr>
                <w:rFonts w:hint="eastAsia"/>
                <w:color w:val="auto"/>
                <w:sz w:val="18"/>
                <w:szCs w:val="18"/>
                <w:highlight w:val="none"/>
              </w:rPr>
              <w:t>终端认证或≥</w:t>
            </w:r>
            <w:r>
              <w:rPr>
                <w:color w:val="auto"/>
                <w:sz w:val="18"/>
                <w:szCs w:val="18"/>
                <w:highlight w:val="none"/>
              </w:rPr>
              <w:t>4G</w:t>
            </w:r>
            <w:r>
              <w:rPr>
                <w:rFonts w:hint="eastAsia"/>
                <w:color w:val="auto"/>
                <w:sz w:val="18"/>
                <w:szCs w:val="18"/>
                <w:highlight w:val="none"/>
              </w:rPr>
              <w:t>网络流量处理能力。</w:t>
            </w:r>
          </w:p>
          <w:p w14:paraId="0FCB4BFC">
            <w:pPr>
              <w:rPr>
                <w:color w:val="auto"/>
                <w:sz w:val="18"/>
                <w:szCs w:val="18"/>
                <w:highlight w:val="none"/>
              </w:rPr>
            </w:pPr>
            <w:r>
              <w:rPr>
                <w:color w:val="auto"/>
                <w:sz w:val="18"/>
                <w:szCs w:val="18"/>
                <w:highlight w:val="none"/>
              </w:rPr>
              <w:t>2.</w:t>
            </w:r>
            <w:r>
              <w:rPr>
                <w:color w:val="auto"/>
                <w:sz w:val="18"/>
                <w:szCs w:val="18"/>
                <w:highlight w:val="none"/>
              </w:rPr>
              <w:tab/>
            </w:r>
            <w:r>
              <w:rPr>
                <w:color w:val="auto"/>
                <w:sz w:val="18"/>
                <w:szCs w:val="18"/>
                <w:highlight w:val="none"/>
              </w:rPr>
              <w:t>2U</w:t>
            </w:r>
            <w:r>
              <w:rPr>
                <w:rFonts w:hint="eastAsia"/>
                <w:color w:val="auto"/>
                <w:sz w:val="18"/>
                <w:szCs w:val="18"/>
                <w:highlight w:val="none"/>
              </w:rPr>
              <w:t>设备，冗余电源。配置≥</w:t>
            </w:r>
            <w:r>
              <w:rPr>
                <w:color w:val="auto"/>
                <w:sz w:val="18"/>
                <w:szCs w:val="18"/>
                <w:highlight w:val="none"/>
              </w:rPr>
              <w:t>1</w:t>
            </w:r>
            <w:r>
              <w:rPr>
                <w:rFonts w:hint="eastAsia"/>
                <w:color w:val="auto"/>
                <w:sz w:val="18"/>
                <w:szCs w:val="18"/>
                <w:highlight w:val="none"/>
              </w:rPr>
              <w:t>个</w:t>
            </w:r>
            <w:r>
              <w:rPr>
                <w:color w:val="auto"/>
                <w:sz w:val="18"/>
                <w:szCs w:val="18"/>
                <w:highlight w:val="none"/>
              </w:rPr>
              <w:t>Console</w:t>
            </w:r>
            <w:r>
              <w:rPr>
                <w:rFonts w:hint="eastAsia"/>
                <w:color w:val="auto"/>
                <w:sz w:val="18"/>
                <w:szCs w:val="18"/>
                <w:highlight w:val="none"/>
              </w:rPr>
              <w:t>口，≥</w:t>
            </w:r>
            <w:r>
              <w:rPr>
                <w:color w:val="auto"/>
                <w:sz w:val="18"/>
                <w:szCs w:val="18"/>
                <w:highlight w:val="none"/>
              </w:rPr>
              <w:t>6</w:t>
            </w:r>
            <w:r>
              <w:rPr>
                <w:rFonts w:hint="eastAsia"/>
                <w:color w:val="auto"/>
                <w:sz w:val="18"/>
                <w:szCs w:val="18"/>
                <w:highlight w:val="none"/>
              </w:rPr>
              <w:t>个千兆电口，≥</w:t>
            </w:r>
            <w:r>
              <w:rPr>
                <w:color w:val="auto"/>
                <w:sz w:val="18"/>
                <w:szCs w:val="18"/>
                <w:highlight w:val="none"/>
              </w:rPr>
              <w:t>4</w:t>
            </w:r>
            <w:r>
              <w:rPr>
                <w:rFonts w:hint="eastAsia"/>
                <w:color w:val="auto"/>
                <w:sz w:val="18"/>
                <w:szCs w:val="18"/>
                <w:highlight w:val="none"/>
              </w:rPr>
              <w:t>个千兆光口，≥</w:t>
            </w:r>
            <w:r>
              <w:rPr>
                <w:color w:val="auto"/>
                <w:sz w:val="18"/>
                <w:szCs w:val="18"/>
                <w:highlight w:val="none"/>
              </w:rPr>
              <w:t>2</w:t>
            </w:r>
            <w:r>
              <w:rPr>
                <w:rFonts w:hint="eastAsia"/>
                <w:color w:val="auto"/>
                <w:sz w:val="18"/>
                <w:szCs w:val="18"/>
                <w:highlight w:val="none"/>
              </w:rPr>
              <w:t>个万兆光口，≥</w:t>
            </w:r>
            <w:r>
              <w:rPr>
                <w:color w:val="auto"/>
                <w:sz w:val="18"/>
                <w:szCs w:val="18"/>
                <w:highlight w:val="none"/>
              </w:rPr>
              <w:t>1</w:t>
            </w:r>
            <w:r>
              <w:rPr>
                <w:rFonts w:hint="eastAsia"/>
                <w:color w:val="auto"/>
                <w:sz w:val="18"/>
                <w:szCs w:val="18"/>
                <w:highlight w:val="none"/>
              </w:rPr>
              <w:t>个扩展槽，</w:t>
            </w:r>
            <w:r>
              <w:rPr>
                <w:color w:val="auto"/>
                <w:sz w:val="18"/>
                <w:szCs w:val="18"/>
                <w:highlight w:val="none"/>
              </w:rPr>
              <w:t xml:space="preserve">4TB </w:t>
            </w:r>
            <w:r>
              <w:rPr>
                <w:rFonts w:hint="eastAsia"/>
                <w:color w:val="auto"/>
                <w:sz w:val="18"/>
                <w:szCs w:val="18"/>
                <w:highlight w:val="none"/>
              </w:rPr>
              <w:t>硬盘。</w:t>
            </w:r>
          </w:p>
          <w:p w14:paraId="6D0255F7">
            <w:pPr>
              <w:rPr>
                <w:color w:val="auto"/>
                <w:sz w:val="18"/>
                <w:szCs w:val="18"/>
                <w:highlight w:val="none"/>
              </w:rPr>
            </w:pPr>
            <w:r>
              <w:rPr>
                <w:color w:val="auto"/>
                <w:sz w:val="18"/>
                <w:szCs w:val="18"/>
                <w:highlight w:val="none"/>
              </w:rPr>
              <w:t>3.</w:t>
            </w:r>
            <w:r>
              <w:rPr>
                <w:color w:val="auto"/>
                <w:sz w:val="18"/>
                <w:szCs w:val="18"/>
                <w:highlight w:val="none"/>
              </w:rPr>
              <w:tab/>
            </w:r>
            <w:r>
              <w:rPr>
                <w:rFonts w:hint="eastAsia"/>
                <w:color w:val="auto"/>
                <w:sz w:val="18"/>
                <w:szCs w:val="18"/>
                <w:highlight w:val="none"/>
              </w:rPr>
              <w:t>配置</w:t>
            </w:r>
            <w:r>
              <w:rPr>
                <w:color w:val="auto"/>
                <w:sz w:val="18"/>
                <w:szCs w:val="18"/>
                <w:highlight w:val="none"/>
              </w:rPr>
              <w:t>3</w:t>
            </w:r>
            <w:r>
              <w:rPr>
                <w:rFonts w:hint="eastAsia"/>
                <w:color w:val="auto"/>
                <w:sz w:val="18"/>
                <w:szCs w:val="18"/>
                <w:highlight w:val="none"/>
              </w:rPr>
              <w:t>年标准维保服务。</w:t>
            </w:r>
          </w:p>
          <w:p w14:paraId="67898112">
            <w:pPr>
              <w:rPr>
                <w:color w:val="auto"/>
                <w:sz w:val="18"/>
                <w:szCs w:val="18"/>
                <w:highlight w:val="none"/>
              </w:rPr>
            </w:pPr>
            <w:r>
              <w:rPr>
                <w:rFonts w:hint="eastAsia"/>
                <w:color w:val="auto"/>
                <w:sz w:val="18"/>
                <w:szCs w:val="18"/>
                <w:highlight w:val="none"/>
              </w:rPr>
              <w:t>二、技术参数要求</w:t>
            </w:r>
          </w:p>
          <w:p w14:paraId="15992998">
            <w:pPr>
              <w:rPr>
                <w:color w:val="auto"/>
                <w:sz w:val="18"/>
                <w:szCs w:val="18"/>
                <w:highlight w:val="none"/>
              </w:rPr>
            </w:pPr>
            <w:r>
              <w:rPr>
                <w:color w:val="auto"/>
                <w:sz w:val="18"/>
                <w:szCs w:val="18"/>
                <w:highlight w:val="none"/>
              </w:rPr>
              <w:t>1.</w:t>
            </w:r>
            <w:r>
              <w:rPr>
                <w:color w:val="auto"/>
                <w:sz w:val="18"/>
                <w:szCs w:val="18"/>
                <w:highlight w:val="none"/>
              </w:rPr>
              <w:tab/>
            </w:r>
            <w:r>
              <w:rPr>
                <w:rFonts w:hint="eastAsia"/>
                <w:color w:val="auto"/>
                <w:sz w:val="18"/>
                <w:szCs w:val="18"/>
                <w:highlight w:val="none"/>
              </w:rPr>
              <w:t>部署模式：支持旁路部署方式，不改变网络架构，可扩展性大，避免串行设备部署导致单点故障。支持策略路由，透明网桥模式部署模式。</w:t>
            </w:r>
          </w:p>
          <w:p w14:paraId="4B756B25">
            <w:pPr>
              <w:rPr>
                <w:color w:val="auto"/>
                <w:sz w:val="18"/>
                <w:szCs w:val="18"/>
                <w:highlight w:val="none"/>
              </w:rPr>
            </w:pPr>
            <w:r>
              <w:rPr>
                <w:color w:val="auto"/>
                <w:sz w:val="18"/>
                <w:szCs w:val="18"/>
                <w:highlight w:val="none"/>
              </w:rPr>
              <w:t>2.</w:t>
            </w:r>
            <w:r>
              <w:rPr>
                <w:color w:val="auto"/>
                <w:sz w:val="18"/>
                <w:szCs w:val="18"/>
                <w:highlight w:val="none"/>
              </w:rPr>
              <w:tab/>
            </w:r>
            <w:r>
              <w:rPr>
                <w:color w:val="auto"/>
                <w:sz w:val="18"/>
                <w:szCs w:val="18"/>
                <w:highlight w:val="none"/>
              </w:rPr>
              <w:t>IPv6</w:t>
            </w:r>
            <w:r>
              <w:rPr>
                <w:rFonts w:hint="eastAsia"/>
                <w:color w:val="auto"/>
                <w:sz w:val="18"/>
                <w:szCs w:val="18"/>
                <w:highlight w:val="none"/>
              </w:rPr>
              <w:t>支持：支持</w:t>
            </w:r>
            <w:r>
              <w:rPr>
                <w:color w:val="auto"/>
                <w:sz w:val="18"/>
                <w:szCs w:val="18"/>
                <w:highlight w:val="none"/>
              </w:rPr>
              <w:t>IPv4</w:t>
            </w:r>
            <w:r>
              <w:rPr>
                <w:rFonts w:hint="eastAsia"/>
                <w:color w:val="auto"/>
                <w:sz w:val="18"/>
                <w:szCs w:val="18"/>
                <w:highlight w:val="none"/>
              </w:rPr>
              <w:t>、</w:t>
            </w:r>
            <w:r>
              <w:rPr>
                <w:color w:val="auto"/>
                <w:sz w:val="18"/>
                <w:szCs w:val="18"/>
                <w:highlight w:val="none"/>
              </w:rPr>
              <w:t>IPv4/IPv6</w:t>
            </w:r>
            <w:r>
              <w:rPr>
                <w:rFonts w:hint="eastAsia"/>
                <w:color w:val="auto"/>
                <w:sz w:val="18"/>
                <w:szCs w:val="18"/>
                <w:highlight w:val="none"/>
              </w:rPr>
              <w:t>双栈、</w:t>
            </w:r>
            <w:r>
              <w:rPr>
                <w:color w:val="auto"/>
                <w:sz w:val="18"/>
                <w:szCs w:val="18"/>
                <w:highlight w:val="none"/>
              </w:rPr>
              <w:t>IPv6 only</w:t>
            </w:r>
            <w:r>
              <w:rPr>
                <w:rFonts w:hint="eastAsia"/>
                <w:color w:val="auto"/>
                <w:sz w:val="18"/>
                <w:szCs w:val="18"/>
                <w:highlight w:val="none"/>
              </w:rPr>
              <w:t>环境下的系统管理与配置，支持对</w:t>
            </w:r>
            <w:r>
              <w:rPr>
                <w:color w:val="auto"/>
                <w:sz w:val="18"/>
                <w:szCs w:val="18"/>
                <w:highlight w:val="none"/>
              </w:rPr>
              <w:t>IPv4</w:t>
            </w:r>
            <w:r>
              <w:rPr>
                <w:rFonts w:hint="eastAsia"/>
                <w:color w:val="auto"/>
                <w:sz w:val="18"/>
                <w:szCs w:val="18"/>
                <w:highlight w:val="none"/>
              </w:rPr>
              <w:t>、</w:t>
            </w:r>
            <w:r>
              <w:rPr>
                <w:color w:val="auto"/>
                <w:sz w:val="18"/>
                <w:szCs w:val="18"/>
                <w:highlight w:val="none"/>
              </w:rPr>
              <w:t>IPv4/IPv6</w:t>
            </w:r>
            <w:r>
              <w:rPr>
                <w:rFonts w:hint="eastAsia"/>
                <w:color w:val="auto"/>
                <w:sz w:val="18"/>
                <w:szCs w:val="18"/>
                <w:highlight w:val="none"/>
              </w:rPr>
              <w:t>双栈、</w:t>
            </w:r>
            <w:r>
              <w:rPr>
                <w:color w:val="auto"/>
                <w:sz w:val="18"/>
                <w:szCs w:val="18"/>
                <w:highlight w:val="none"/>
              </w:rPr>
              <w:t>IPv6 only</w:t>
            </w:r>
            <w:r>
              <w:rPr>
                <w:rFonts w:hint="eastAsia"/>
                <w:color w:val="auto"/>
                <w:sz w:val="18"/>
                <w:szCs w:val="18"/>
                <w:highlight w:val="none"/>
              </w:rPr>
              <w:t>环境下的入网设备进行准入控制</w:t>
            </w:r>
          </w:p>
          <w:p w14:paraId="77A02833">
            <w:pPr>
              <w:rPr>
                <w:color w:val="auto"/>
                <w:sz w:val="18"/>
                <w:szCs w:val="18"/>
                <w:highlight w:val="none"/>
              </w:rPr>
            </w:pPr>
            <w:r>
              <w:rPr>
                <w:color w:val="auto"/>
                <w:sz w:val="18"/>
                <w:szCs w:val="18"/>
                <w:highlight w:val="none"/>
              </w:rPr>
              <w:t>3.</w:t>
            </w:r>
            <w:r>
              <w:rPr>
                <w:color w:val="auto"/>
                <w:sz w:val="18"/>
                <w:szCs w:val="18"/>
                <w:highlight w:val="none"/>
              </w:rPr>
              <w:tab/>
            </w:r>
            <w:r>
              <w:rPr>
                <w:rFonts w:hint="eastAsia"/>
                <w:color w:val="auto"/>
                <w:sz w:val="18"/>
                <w:szCs w:val="18"/>
                <w:highlight w:val="none"/>
              </w:rPr>
              <w:t>高可用</w:t>
            </w:r>
            <w:r>
              <w:rPr>
                <w:color w:val="auto"/>
                <w:sz w:val="18"/>
                <w:szCs w:val="18"/>
                <w:highlight w:val="none"/>
              </w:rPr>
              <w:t>HA</w:t>
            </w:r>
            <w:r>
              <w:rPr>
                <w:rFonts w:hint="eastAsia"/>
                <w:color w:val="auto"/>
                <w:sz w:val="18"/>
                <w:szCs w:val="18"/>
                <w:highlight w:val="none"/>
              </w:rPr>
              <w:t>：设备需支持双机热备</w:t>
            </w:r>
            <w:r>
              <w:rPr>
                <w:color w:val="auto"/>
                <w:sz w:val="18"/>
                <w:szCs w:val="18"/>
                <w:highlight w:val="none"/>
              </w:rPr>
              <w:t>HA</w:t>
            </w:r>
            <w:r>
              <w:rPr>
                <w:rFonts w:hint="eastAsia"/>
                <w:color w:val="auto"/>
                <w:sz w:val="18"/>
                <w:szCs w:val="18"/>
                <w:highlight w:val="none"/>
              </w:rPr>
              <w:t>高可用方式部署，控制中心与控制器均支持双机热备。</w:t>
            </w:r>
          </w:p>
          <w:p w14:paraId="361EAA12">
            <w:pPr>
              <w:rPr>
                <w:color w:val="auto"/>
                <w:sz w:val="18"/>
                <w:szCs w:val="18"/>
                <w:highlight w:val="none"/>
              </w:rPr>
            </w:pPr>
            <w:r>
              <w:rPr>
                <w:color w:val="auto"/>
                <w:sz w:val="18"/>
                <w:szCs w:val="18"/>
                <w:highlight w:val="none"/>
              </w:rPr>
              <w:t>4.</w:t>
            </w:r>
            <w:r>
              <w:rPr>
                <w:color w:val="auto"/>
                <w:sz w:val="18"/>
                <w:szCs w:val="18"/>
                <w:highlight w:val="none"/>
              </w:rPr>
              <w:tab/>
            </w:r>
            <w:r>
              <w:rPr>
                <w:rFonts w:hint="eastAsia"/>
                <w:color w:val="auto"/>
                <w:sz w:val="18"/>
                <w:szCs w:val="18"/>
                <w:highlight w:val="none"/>
              </w:rPr>
              <w:t>应急逃生：为避免平台宕机导致员工无法入网，平台需支持智能应急逃生方式，当系统检测到运行中出现的异常和故障支持自动逃生：一定时间内连续出现多台终端准入失败自动临时放行且阈值可自定义（分钟级别），确保网络的可用性。</w:t>
            </w:r>
          </w:p>
          <w:p w14:paraId="2836458C">
            <w:pPr>
              <w:rPr>
                <w:color w:val="auto"/>
                <w:sz w:val="18"/>
                <w:szCs w:val="18"/>
                <w:highlight w:val="none"/>
              </w:rPr>
            </w:pPr>
            <w:r>
              <w:rPr>
                <w:color w:val="auto"/>
                <w:sz w:val="18"/>
                <w:szCs w:val="18"/>
                <w:highlight w:val="none"/>
              </w:rPr>
              <w:t>5.</w:t>
            </w:r>
            <w:r>
              <w:rPr>
                <w:color w:val="auto"/>
                <w:sz w:val="18"/>
                <w:szCs w:val="18"/>
                <w:highlight w:val="none"/>
              </w:rPr>
              <w:tab/>
            </w:r>
            <w:r>
              <w:rPr>
                <w:rFonts w:hint="eastAsia"/>
                <w:color w:val="auto"/>
                <w:sz w:val="18"/>
                <w:szCs w:val="18"/>
                <w:highlight w:val="none"/>
              </w:rPr>
              <w:t>备份恢复：管理中心和准入引擎支持所有策略及缓存数据的备份与恢复，设备硬件故障时支持平滑迁移至备用设备。</w:t>
            </w:r>
          </w:p>
          <w:p w14:paraId="58764C0C">
            <w:pPr>
              <w:rPr>
                <w:color w:val="auto"/>
                <w:sz w:val="18"/>
                <w:szCs w:val="18"/>
                <w:highlight w:val="none"/>
              </w:rPr>
            </w:pPr>
            <w:r>
              <w:rPr>
                <w:color w:val="auto"/>
                <w:sz w:val="18"/>
                <w:szCs w:val="18"/>
                <w:highlight w:val="none"/>
              </w:rPr>
              <w:t>6.</w:t>
            </w:r>
            <w:r>
              <w:rPr>
                <w:color w:val="auto"/>
                <w:sz w:val="18"/>
                <w:szCs w:val="18"/>
                <w:highlight w:val="none"/>
              </w:rPr>
              <w:tab/>
            </w:r>
            <w:r>
              <w:rPr>
                <w:rFonts w:hint="eastAsia"/>
                <w:color w:val="auto"/>
                <w:sz w:val="18"/>
                <w:szCs w:val="18"/>
                <w:highlight w:val="none"/>
              </w:rPr>
              <w:t>流量复制：设备支持将收到的镜像流量做过滤并将镜像流量复制一份输出给其他流量监测类设备。</w:t>
            </w:r>
          </w:p>
          <w:p w14:paraId="4A54FBF7">
            <w:pPr>
              <w:rPr>
                <w:color w:val="auto"/>
                <w:sz w:val="18"/>
                <w:szCs w:val="18"/>
                <w:highlight w:val="none"/>
              </w:rPr>
            </w:pPr>
            <w:r>
              <w:rPr>
                <w:color w:val="auto"/>
                <w:sz w:val="18"/>
                <w:szCs w:val="18"/>
                <w:highlight w:val="none"/>
              </w:rPr>
              <w:t>7.</w:t>
            </w:r>
            <w:r>
              <w:rPr>
                <w:color w:val="auto"/>
                <w:sz w:val="18"/>
                <w:szCs w:val="18"/>
                <w:highlight w:val="none"/>
              </w:rPr>
              <w:tab/>
            </w:r>
            <w:r>
              <w:rPr>
                <w:rFonts w:hint="eastAsia"/>
                <w:color w:val="auto"/>
                <w:sz w:val="18"/>
                <w:szCs w:val="18"/>
                <w:highlight w:val="none"/>
              </w:rPr>
              <w:t>准入方式：支持策略路由、端口镜像、透明网桥、</w:t>
            </w:r>
            <w:r>
              <w:rPr>
                <w:color w:val="auto"/>
                <w:sz w:val="18"/>
                <w:szCs w:val="18"/>
                <w:highlight w:val="none"/>
              </w:rPr>
              <w:t>802.1X</w:t>
            </w:r>
            <w:r>
              <w:rPr>
                <w:rFonts w:hint="eastAsia"/>
                <w:color w:val="auto"/>
                <w:sz w:val="18"/>
                <w:szCs w:val="18"/>
                <w:highlight w:val="none"/>
              </w:rPr>
              <w:t>、</w:t>
            </w:r>
            <w:r>
              <w:rPr>
                <w:color w:val="auto"/>
                <w:sz w:val="18"/>
                <w:szCs w:val="18"/>
                <w:highlight w:val="none"/>
              </w:rPr>
              <w:t>Portal</w:t>
            </w:r>
            <w:r>
              <w:rPr>
                <w:rFonts w:hint="eastAsia"/>
                <w:color w:val="auto"/>
                <w:sz w:val="18"/>
                <w:szCs w:val="18"/>
                <w:highlight w:val="none"/>
              </w:rPr>
              <w:t>、</w:t>
            </w:r>
            <w:r>
              <w:rPr>
                <w:color w:val="auto"/>
                <w:sz w:val="18"/>
                <w:szCs w:val="18"/>
                <w:highlight w:val="none"/>
              </w:rPr>
              <w:t>DHCP</w:t>
            </w:r>
            <w:r>
              <w:rPr>
                <w:rFonts w:hint="eastAsia"/>
                <w:color w:val="auto"/>
                <w:sz w:val="18"/>
                <w:szCs w:val="18"/>
                <w:highlight w:val="none"/>
              </w:rPr>
              <w:t>准入、</w:t>
            </w:r>
            <w:r>
              <w:rPr>
                <w:color w:val="auto"/>
                <w:sz w:val="18"/>
                <w:szCs w:val="18"/>
                <w:highlight w:val="none"/>
              </w:rPr>
              <w:t>MAB</w:t>
            </w:r>
            <w:r>
              <w:rPr>
                <w:rFonts w:hint="eastAsia"/>
                <w:color w:val="auto"/>
                <w:sz w:val="18"/>
                <w:szCs w:val="18"/>
                <w:highlight w:val="none"/>
              </w:rPr>
              <w:t>、</w:t>
            </w:r>
            <w:r>
              <w:rPr>
                <w:color w:val="auto"/>
                <w:sz w:val="18"/>
                <w:szCs w:val="18"/>
                <w:highlight w:val="none"/>
              </w:rPr>
              <w:t>WebAuth</w:t>
            </w:r>
            <w:r>
              <w:rPr>
                <w:rFonts w:hint="eastAsia"/>
                <w:color w:val="auto"/>
                <w:sz w:val="18"/>
                <w:szCs w:val="18"/>
                <w:highlight w:val="none"/>
              </w:rPr>
              <w:t>等多种准入控制方式。多种准入方式支持组合使用，切换准入方式无需重启系统。</w:t>
            </w:r>
          </w:p>
          <w:p w14:paraId="290BB5C9">
            <w:pPr>
              <w:rPr>
                <w:color w:val="auto"/>
                <w:sz w:val="18"/>
                <w:szCs w:val="18"/>
                <w:highlight w:val="none"/>
              </w:rPr>
            </w:pPr>
            <w:r>
              <w:rPr>
                <w:color w:val="auto"/>
                <w:sz w:val="18"/>
                <w:szCs w:val="18"/>
                <w:highlight w:val="none"/>
              </w:rPr>
              <w:t>8.</w:t>
            </w:r>
            <w:r>
              <w:rPr>
                <w:color w:val="auto"/>
                <w:sz w:val="18"/>
                <w:szCs w:val="18"/>
                <w:highlight w:val="none"/>
              </w:rPr>
              <w:tab/>
            </w:r>
            <w:r>
              <w:rPr>
                <w:rFonts w:hint="eastAsia"/>
                <w:color w:val="auto"/>
                <w:sz w:val="18"/>
                <w:szCs w:val="18"/>
                <w:highlight w:val="none"/>
              </w:rPr>
              <w:t>支持</w:t>
            </w:r>
            <w:r>
              <w:rPr>
                <w:color w:val="auto"/>
                <w:sz w:val="18"/>
                <w:szCs w:val="18"/>
                <w:highlight w:val="none"/>
              </w:rPr>
              <w:t>802.1X</w:t>
            </w:r>
            <w:r>
              <w:rPr>
                <w:rFonts w:hint="eastAsia"/>
                <w:color w:val="auto"/>
                <w:sz w:val="18"/>
                <w:szCs w:val="18"/>
                <w:highlight w:val="none"/>
              </w:rPr>
              <w:t>方式下的双因子认证，至少支持</w:t>
            </w:r>
            <w:r>
              <w:rPr>
                <w:color w:val="auto"/>
                <w:sz w:val="18"/>
                <w:szCs w:val="18"/>
                <w:highlight w:val="none"/>
              </w:rPr>
              <w:t>OTP</w:t>
            </w:r>
            <w:r>
              <w:rPr>
                <w:rFonts w:hint="eastAsia"/>
                <w:color w:val="auto"/>
                <w:sz w:val="18"/>
                <w:szCs w:val="18"/>
                <w:highlight w:val="none"/>
              </w:rPr>
              <w:t>、</w:t>
            </w:r>
            <w:r>
              <w:rPr>
                <w:color w:val="auto"/>
                <w:sz w:val="18"/>
                <w:szCs w:val="18"/>
                <w:highlight w:val="none"/>
              </w:rPr>
              <w:t>SMS</w:t>
            </w:r>
            <w:r>
              <w:rPr>
                <w:rFonts w:hint="eastAsia"/>
                <w:color w:val="auto"/>
                <w:sz w:val="18"/>
                <w:szCs w:val="18"/>
                <w:highlight w:val="none"/>
              </w:rPr>
              <w:t>的双因子认证；认证源异常时，自动选择下一个优先级的认证源；双因素认证源其中一个异常时，使用可用的认证源进行单因素认证。</w:t>
            </w:r>
          </w:p>
          <w:p w14:paraId="5EF5271C">
            <w:pPr>
              <w:rPr>
                <w:color w:val="auto"/>
                <w:sz w:val="18"/>
                <w:szCs w:val="18"/>
                <w:highlight w:val="none"/>
              </w:rPr>
            </w:pPr>
            <w:r>
              <w:rPr>
                <w:color w:val="auto"/>
                <w:sz w:val="18"/>
                <w:szCs w:val="18"/>
                <w:highlight w:val="none"/>
              </w:rPr>
              <w:t>9.</w:t>
            </w:r>
            <w:r>
              <w:rPr>
                <w:color w:val="auto"/>
                <w:sz w:val="18"/>
                <w:szCs w:val="18"/>
                <w:highlight w:val="none"/>
              </w:rPr>
              <w:tab/>
            </w:r>
            <w:r>
              <w:rPr>
                <w:color w:val="auto"/>
                <w:sz w:val="18"/>
                <w:szCs w:val="18"/>
                <w:highlight w:val="none"/>
              </w:rPr>
              <w:t>IP</w:t>
            </w:r>
            <w:r>
              <w:rPr>
                <w:rFonts w:hint="eastAsia"/>
                <w:color w:val="auto"/>
                <w:sz w:val="18"/>
                <w:szCs w:val="18"/>
                <w:highlight w:val="none"/>
              </w:rPr>
              <w:t>流量控制：检测是否安装客户端，达到入网遵从条件，保障入网终端是安全可信的，未安装客户端的终端禁止访问，将被重定向到客户端安装页面快速引导部署。针对未认证或不合规的设备，当终端访问</w:t>
            </w:r>
            <w:r>
              <w:rPr>
                <w:color w:val="auto"/>
                <w:sz w:val="18"/>
                <w:szCs w:val="18"/>
                <w:highlight w:val="none"/>
              </w:rPr>
              <w:t>HTTP</w:t>
            </w:r>
            <w:r>
              <w:rPr>
                <w:rFonts w:hint="eastAsia"/>
                <w:color w:val="auto"/>
                <w:sz w:val="18"/>
                <w:szCs w:val="18"/>
                <w:highlight w:val="none"/>
              </w:rPr>
              <w:t>、</w:t>
            </w:r>
            <w:r>
              <w:rPr>
                <w:color w:val="auto"/>
                <w:sz w:val="18"/>
                <w:szCs w:val="18"/>
                <w:highlight w:val="none"/>
              </w:rPr>
              <w:t>HTTPS</w:t>
            </w:r>
            <w:r>
              <w:rPr>
                <w:rFonts w:hint="eastAsia"/>
                <w:color w:val="auto"/>
                <w:sz w:val="18"/>
                <w:szCs w:val="18"/>
                <w:highlight w:val="none"/>
              </w:rPr>
              <w:t>网站时，支持对其网站访问重定向至引导页面进行身份认证或修复。支持配置</w:t>
            </w:r>
            <w:r>
              <w:rPr>
                <w:color w:val="auto"/>
                <w:sz w:val="18"/>
                <w:szCs w:val="18"/>
                <w:highlight w:val="none"/>
              </w:rPr>
              <w:t>IP</w:t>
            </w:r>
            <w:r>
              <w:rPr>
                <w:rFonts w:hint="eastAsia"/>
                <w:color w:val="auto"/>
                <w:sz w:val="18"/>
                <w:szCs w:val="18"/>
                <w:highlight w:val="none"/>
              </w:rPr>
              <w:t>和域名形式的修复区地址，未入网终端允许访问修复区地址进行客户端下载等修复动作。</w:t>
            </w:r>
          </w:p>
          <w:p w14:paraId="539A40A3">
            <w:pPr>
              <w:rPr>
                <w:color w:val="auto"/>
                <w:sz w:val="18"/>
                <w:szCs w:val="18"/>
                <w:highlight w:val="none"/>
              </w:rPr>
            </w:pPr>
            <w:r>
              <w:rPr>
                <w:color w:val="auto"/>
                <w:sz w:val="18"/>
                <w:szCs w:val="18"/>
                <w:highlight w:val="none"/>
              </w:rPr>
              <w:t>10.</w:t>
            </w:r>
            <w:r>
              <w:rPr>
                <w:color w:val="auto"/>
                <w:sz w:val="18"/>
                <w:szCs w:val="18"/>
                <w:highlight w:val="none"/>
              </w:rPr>
              <w:tab/>
            </w:r>
            <w:r>
              <w:rPr>
                <w:color w:val="auto"/>
                <w:sz w:val="18"/>
                <w:szCs w:val="18"/>
                <w:highlight w:val="none"/>
              </w:rPr>
              <w:t>NAT</w:t>
            </w:r>
            <w:r>
              <w:rPr>
                <w:rFonts w:hint="eastAsia"/>
                <w:color w:val="auto"/>
                <w:sz w:val="18"/>
                <w:szCs w:val="18"/>
                <w:highlight w:val="none"/>
              </w:rPr>
              <w:t>发现：支持发现网络中小路由、</w:t>
            </w:r>
            <w:r>
              <w:rPr>
                <w:color w:val="auto"/>
                <w:sz w:val="18"/>
                <w:szCs w:val="18"/>
                <w:highlight w:val="none"/>
              </w:rPr>
              <w:t>VPN</w:t>
            </w:r>
            <w:r>
              <w:rPr>
                <w:rFonts w:hint="eastAsia"/>
                <w:color w:val="auto"/>
                <w:sz w:val="18"/>
                <w:szCs w:val="18"/>
                <w:highlight w:val="none"/>
              </w:rPr>
              <w:t>等场景接入的</w:t>
            </w:r>
            <w:r>
              <w:rPr>
                <w:color w:val="auto"/>
                <w:sz w:val="18"/>
                <w:szCs w:val="18"/>
                <w:highlight w:val="none"/>
              </w:rPr>
              <w:t>NAT</w:t>
            </w:r>
            <w:r>
              <w:rPr>
                <w:rFonts w:hint="eastAsia"/>
                <w:color w:val="auto"/>
                <w:sz w:val="18"/>
                <w:szCs w:val="18"/>
                <w:highlight w:val="none"/>
              </w:rPr>
              <w:t>网络信息，能够对</w:t>
            </w:r>
            <w:r>
              <w:rPr>
                <w:color w:val="auto"/>
                <w:sz w:val="18"/>
                <w:szCs w:val="18"/>
                <w:highlight w:val="none"/>
              </w:rPr>
              <w:t>NAT</w:t>
            </w:r>
            <w:r>
              <w:rPr>
                <w:rFonts w:hint="eastAsia"/>
                <w:color w:val="auto"/>
                <w:sz w:val="18"/>
                <w:szCs w:val="18"/>
                <w:highlight w:val="none"/>
              </w:rPr>
              <w:t>设备下接的终端进行准入控制。</w:t>
            </w:r>
          </w:p>
          <w:p w14:paraId="6A7F25B6">
            <w:pPr>
              <w:rPr>
                <w:color w:val="auto"/>
                <w:sz w:val="18"/>
                <w:szCs w:val="18"/>
                <w:highlight w:val="none"/>
              </w:rPr>
            </w:pPr>
            <w:r>
              <w:rPr>
                <w:color w:val="auto"/>
                <w:sz w:val="18"/>
                <w:szCs w:val="18"/>
                <w:highlight w:val="none"/>
              </w:rPr>
              <w:t>11.</w:t>
            </w:r>
            <w:r>
              <w:rPr>
                <w:color w:val="auto"/>
                <w:sz w:val="18"/>
                <w:szCs w:val="18"/>
                <w:highlight w:val="none"/>
              </w:rPr>
              <w:tab/>
            </w:r>
            <w:r>
              <w:rPr>
                <w:color w:val="auto"/>
                <w:sz w:val="18"/>
                <w:szCs w:val="18"/>
                <w:highlight w:val="none"/>
              </w:rPr>
              <w:t>NAT</w:t>
            </w:r>
            <w:r>
              <w:rPr>
                <w:rFonts w:hint="eastAsia"/>
                <w:color w:val="auto"/>
                <w:sz w:val="18"/>
                <w:szCs w:val="18"/>
                <w:highlight w:val="none"/>
              </w:rPr>
              <w:t>入网管控：支持对通过小路由、</w:t>
            </w:r>
            <w:r>
              <w:rPr>
                <w:color w:val="auto"/>
                <w:sz w:val="18"/>
                <w:szCs w:val="18"/>
                <w:highlight w:val="none"/>
              </w:rPr>
              <w:t>VPN</w:t>
            </w:r>
            <w:r>
              <w:rPr>
                <w:rFonts w:hint="eastAsia"/>
                <w:color w:val="auto"/>
                <w:sz w:val="18"/>
                <w:szCs w:val="18"/>
                <w:highlight w:val="none"/>
              </w:rPr>
              <w:t>等场景接入的经过</w:t>
            </w:r>
            <w:r>
              <w:rPr>
                <w:color w:val="auto"/>
                <w:sz w:val="18"/>
                <w:szCs w:val="18"/>
                <w:highlight w:val="none"/>
              </w:rPr>
              <w:t>NAT</w:t>
            </w:r>
            <w:r>
              <w:rPr>
                <w:rFonts w:hint="eastAsia"/>
                <w:color w:val="auto"/>
                <w:sz w:val="18"/>
                <w:szCs w:val="18"/>
                <w:highlight w:val="none"/>
              </w:rPr>
              <w:t>转换后的终端强制要求安装客户端、身份认证后方可接入网络。认证方式不限于账号密码认证、短信认证、企业微信扫码认证、钉钉扫码认证等方式。</w:t>
            </w:r>
          </w:p>
          <w:p w14:paraId="09455FC2">
            <w:pPr>
              <w:rPr>
                <w:color w:val="auto"/>
                <w:sz w:val="18"/>
                <w:szCs w:val="18"/>
                <w:highlight w:val="none"/>
              </w:rPr>
            </w:pPr>
            <w:r>
              <w:rPr>
                <w:color w:val="auto"/>
                <w:sz w:val="18"/>
                <w:szCs w:val="18"/>
                <w:highlight w:val="none"/>
              </w:rPr>
              <w:t>12.</w:t>
            </w:r>
            <w:r>
              <w:rPr>
                <w:color w:val="auto"/>
                <w:sz w:val="18"/>
                <w:szCs w:val="18"/>
                <w:highlight w:val="none"/>
              </w:rPr>
              <w:tab/>
            </w:r>
            <w:r>
              <w:rPr>
                <w:rFonts w:hint="eastAsia"/>
                <w:color w:val="auto"/>
                <w:sz w:val="18"/>
                <w:szCs w:val="18"/>
                <w:highlight w:val="none"/>
              </w:rPr>
              <w:t>符合</w:t>
            </w:r>
            <w:r>
              <w:rPr>
                <w:color w:val="auto"/>
                <w:sz w:val="18"/>
                <w:szCs w:val="18"/>
                <w:highlight w:val="none"/>
              </w:rPr>
              <w:t>1788.3</w:t>
            </w:r>
            <w:r>
              <w:rPr>
                <w:rFonts w:hint="eastAsia"/>
                <w:color w:val="auto"/>
                <w:sz w:val="18"/>
                <w:szCs w:val="18"/>
                <w:highlight w:val="none"/>
              </w:rPr>
              <w:t>标准的流媒体设备入网控制：支持对具有唯一性标识的设备（支持</w:t>
            </w:r>
            <w:r>
              <w:rPr>
                <w:color w:val="auto"/>
                <w:sz w:val="18"/>
                <w:szCs w:val="18"/>
                <w:highlight w:val="none"/>
              </w:rPr>
              <w:t xml:space="preserve">GA/T 1400 </w:t>
            </w:r>
            <w:r>
              <w:rPr>
                <w:rFonts w:hint="eastAsia"/>
                <w:color w:val="auto"/>
                <w:sz w:val="18"/>
                <w:szCs w:val="18"/>
                <w:highlight w:val="none"/>
              </w:rPr>
              <w:t>协议、</w:t>
            </w:r>
            <w:r>
              <w:rPr>
                <w:color w:val="auto"/>
                <w:sz w:val="18"/>
                <w:szCs w:val="18"/>
                <w:highlight w:val="none"/>
              </w:rPr>
              <w:t xml:space="preserve">GB/T 28181 </w:t>
            </w:r>
            <w:r>
              <w:rPr>
                <w:rFonts w:hint="eastAsia"/>
                <w:color w:val="auto"/>
                <w:sz w:val="18"/>
                <w:szCs w:val="18"/>
                <w:highlight w:val="none"/>
              </w:rPr>
              <w:t>协议、</w:t>
            </w:r>
            <w:r>
              <w:rPr>
                <w:color w:val="auto"/>
                <w:sz w:val="18"/>
                <w:szCs w:val="18"/>
                <w:highlight w:val="none"/>
              </w:rPr>
              <w:t>GB 35114</w:t>
            </w:r>
            <w:r>
              <w:rPr>
                <w:rFonts w:hint="eastAsia"/>
                <w:color w:val="auto"/>
                <w:sz w:val="18"/>
                <w:szCs w:val="18"/>
                <w:highlight w:val="none"/>
              </w:rPr>
              <w:t>协议）进行认证、注册。</w:t>
            </w:r>
          </w:p>
          <w:p w14:paraId="0E600CD6">
            <w:pPr>
              <w:rPr>
                <w:color w:val="auto"/>
                <w:sz w:val="18"/>
                <w:szCs w:val="18"/>
                <w:highlight w:val="none"/>
              </w:rPr>
            </w:pPr>
            <w:r>
              <w:rPr>
                <w:color w:val="auto"/>
                <w:sz w:val="18"/>
                <w:szCs w:val="18"/>
                <w:highlight w:val="none"/>
              </w:rPr>
              <w:t>13.</w:t>
            </w:r>
            <w:r>
              <w:rPr>
                <w:color w:val="auto"/>
                <w:sz w:val="18"/>
                <w:szCs w:val="18"/>
                <w:highlight w:val="none"/>
              </w:rPr>
              <w:tab/>
            </w:r>
            <w:r>
              <w:rPr>
                <w:rFonts w:hint="eastAsia"/>
                <w:color w:val="auto"/>
                <w:sz w:val="18"/>
                <w:szCs w:val="18"/>
                <w:highlight w:val="none"/>
              </w:rPr>
              <w:t>准入类型：支持无线</w:t>
            </w:r>
            <w:r>
              <w:rPr>
                <w:color w:val="auto"/>
                <w:sz w:val="18"/>
                <w:szCs w:val="18"/>
                <w:highlight w:val="none"/>
              </w:rPr>
              <w:t>/</w:t>
            </w:r>
            <w:r>
              <w:rPr>
                <w:rFonts w:hint="eastAsia"/>
                <w:color w:val="auto"/>
                <w:sz w:val="18"/>
                <w:szCs w:val="18"/>
                <w:highlight w:val="none"/>
              </w:rPr>
              <w:t>有线、</w:t>
            </w:r>
            <w:r>
              <w:rPr>
                <w:color w:val="auto"/>
                <w:sz w:val="18"/>
                <w:szCs w:val="18"/>
                <w:highlight w:val="none"/>
              </w:rPr>
              <w:t>IP</w:t>
            </w:r>
            <w:r>
              <w:rPr>
                <w:rFonts w:hint="eastAsia"/>
                <w:color w:val="auto"/>
                <w:sz w:val="18"/>
                <w:szCs w:val="18"/>
                <w:highlight w:val="none"/>
              </w:rPr>
              <w:t>地址</w:t>
            </w:r>
            <w:r>
              <w:rPr>
                <w:color w:val="auto"/>
                <w:sz w:val="18"/>
                <w:szCs w:val="18"/>
                <w:highlight w:val="none"/>
              </w:rPr>
              <w:t>/</w:t>
            </w:r>
            <w:r>
              <w:rPr>
                <w:rFonts w:hint="eastAsia"/>
                <w:color w:val="auto"/>
                <w:sz w:val="18"/>
                <w:szCs w:val="18"/>
                <w:highlight w:val="none"/>
              </w:rPr>
              <w:t>交换机端口级的接入控制，使用用户名密码、</w:t>
            </w:r>
            <w:r>
              <w:rPr>
                <w:color w:val="auto"/>
                <w:sz w:val="18"/>
                <w:szCs w:val="18"/>
                <w:highlight w:val="none"/>
              </w:rPr>
              <w:t>Ukey</w:t>
            </w:r>
            <w:r>
              <w:rPr>
                <w:rFonts w:hint="eastAsia"/>
                <w:color w:val="auto"/>
                <w:sz w:val="18"/>
                <w:szCs w:val="18"/>
                <w:highlight w:val="none"/>
              </w:rPr>
              <w:t>、主机唯一标识、扫描二维码、短信认证、访客码等认证方式，适应复杂网络环境下的接入控制。</w:t>
            </w:r>
          </w:p>
          <w:p w14:paraId="646DB96B">
            <w:pPr>
              <w:rPr>
                <w:color w:val="auto"/>
                <w:sz w:val="18"/>
                <w:szCs w:val="18"/>
                <w:highlight w:val="none"/>
              </w:rPr>
            </w:pPr>
            <w:r>
              <w:rPr>
                <w:color w:val="auto"/>
                <w:sz w:val="18"/>
                <w:szCs w:val="18"/>
                <w:highlight w:val="none"/>
              </w:rPr>
              <w:t>14.</w:t>
            </w:r>
            <w:r>
              <w:rPr>
                <w:color w:val="auto"/>
                <w:sz w:val="18"/>
                <w:szCs w:val="18"/>
                <w:highlight w:val="none"/>
              </w:rPr>
              <w:tab/>
            </w:r>
            <w:r>
              <w:rPr>
                <w:rFonts w:hint="eastAsia"/>
                <w:color w:val="auto"/>
                <w:sz w:val="18"/>
                <w:szCs w:val="18"/>
                <w:highlight w:val="none"/>
              </w:rPr>
              <w:t>第三方认证源：支持对接</w:t>
            </w:r>
            <w:r>
              <w:rPr>
                <w:color w:val="auto"/>
                <w:sz w:val="18"/>
                <w:szCs w:val="18"/>
                <w:highlight w:val="none"/>
              </w:rPr>
              <w:t>AD</w:t>
            </w:r>
            <w:r>
              <w:rPr>
                <w:rFonts w:hint="eastAsia"/>
                <w:color w:val="auto"/>
                <w:sz w:val="18"/>
                <w:szCs w:val="18"/>
                <w:highlight w:val="none"/>
              </w:rPr>
              <w:t>、</w:t>
            </w:r>
            <w:r>
              <w:rPr>
                <w:color w:val="auto"/>
                <w:sz w:val="18"/>
                <w:szCs w:val="18"/>
                <w:highlight w:val="none"/>
              </w:rPr>
              <w:t>LDAP</w:t>
            </w:r>
            <w:r>
              <w:rPr>
                <w:rFonts w:hint="eastAsia"/>
                <w:color w:val="auto"/>
                <w:sz w:val="18"/>
                <w:szCs w:val="18"/>
                <w:highlight w:val="none"/>
              </w:rPr>
              <w:t>、</w:t>
            </w:r>
            <w:r>
              <w:rPr>
                <w:color w:val="auto"/>
                <w:sz w:val="18"/>
                <w:szCs w:val="18"/>
                <w:highlight w:val="none"/>
              </w:rPr>
              <w:t>Email</w:t>
            </w:r>
            <w:r>
              <w:rPr>
                <w:rFonts w:hint="eastAsia"/>
                <w:color w:val="auto"/>
                <w:sz w:val="18"/>
                <w:szCs w:val="18"/>
                <w:highlight w:val="none"/>
              </w:rPr>
              <w:t>、</w:t>
            </w:r>
            <w:r>
              <w:rPr>
                <w:color w:val="auto"/>
                <w:sz w:val="18"/>
                <w:szCs w:val="18"/>
                <w:highlight w:val="none"/>
              </w:rPr>
              <w:t>Radius</w:t>
            </w:r>
            <w:r>
              <w:rPr>
                <w:rFonts w:hint="eastAsia"/>
                <w:color w:val="auto"/>
                <w:sz w:val="18"/>
                <w:szCs w:val="18"/>
                <w:highlight w:val="none"/>
              </w:rPr>
              <w:t>、竹云、企业微信、钉钉、专有钉钉等用户统一认证系统进行身份认证。</w:t>
            </w:r>
          </w:p>
          <w:p w14:paraId="0F5AA1AB">
            <w:pPr>
              <w:rPr>
                <w:color w:val="auto"/>
                <w:sz w:val="18"/>
                <w:szCs w:val="18"/>
                <w:highlight w:val="none"/>
              </w:rPr>
            </w:pPr>
            <w:r>
              <w:rPr>
                <w:color w:val="auto"/>
                <w:sz w:val="18"/>
                <w:szCs w:val="18"/>
                <w:highlight w:val="none"/>
              </w:rPr>
              <w:t>15.</w:t>
            </w:r>
            <w:r>
              <w:rPr>
                <w:color w:val="auto"/>
                <w:sz w:val="18"/>
                <w:szCs w:val="18"/>
                <w:highlight w:val="none"/>
              </w:rPr>
              <w:tab/>
            </w:r>
            <w:r>
              <w:rPr>
                <w:rFonts w:hint="eastAsia"/>
                <w:color w:val="auto"/>
                <w:sz w:val="18"/>
                <w:szCs w:val="18"/>
                <w:highlight w:val="none"/>
              </w:rPr>
              <w:t>支持基于终端身份标识的设备身份验证方式，支持同时校验用户身份和设备身份的双重认证。</w:t>
            </w:r>
          </w:p>
          <w:p w14:paraId="56C38757">
            <w:pPr>
              <w:rPr>
                <w:color w:val="auto"/>
                <w:sz w:val="18"/>
                <w:szCs w:val="18"/>
                <w:highlight w:val="none"/>
              </w:rPr>
            </w:pPr>
            <w:r>
              <w:rPr>
                <w:color w:val="auto"/>
                <w:sz w:val="18"/>
                <w:szCs w:val="18"/>
                <w:highlight w:val="none"/>
              </w:rPr>
              <w:t>16.</w:t>
            </w:r>
            <w:r>
              <w:rPr>
                <w:color w:val="auto"/>
                <w:sz w:val="18"/>
                <w:szCs w:val="18"/>
                <w:highlight w:val="none"/>
              </w:rPr>
              <w:tab/>
            </w:r>
            <w:r>
              <w:rPr>
                <w:rFonts w:hint="eastAsia"/>
                <w:color w:val="auto"/>
                <w:sz w:val="18"/>
                <w:szCs w:val="18"/>
                <w:highlight w:val="none"/>
              </w:rPr>
              <w:t>人</w:t>
            </w:r>
            <w:r>
              <w:rPr>
                <w:color w:val="auto"/>
                <w:sz w:val="18"/>
                <w:szCs w:val="18"/>
                <w:highlight w:val="none"/>
              </w:rPr>
              <w:t>/</w:t>
            </w:r>
            <w:r>
              <w:rPr>
                <w:rFonts w:hint="eastAsia"/>
                <w:color w:val="auto"/>
                <w:sz w:val="18"/>
                <w:szCs w:val="18"/>
                <w:highlight w:val="none"/>
              </w:rPr>
              <w:t>机</w:t>
            </w:r>
            <w:r>
              <w:rPr>
                <w:color w:val="auto"/>
                <w:sz w:val="18"/>
                <w:szCs w:val="18"/>
                <w:highlight w:val="none"/>
              </w:rPr>
              <w:t>/</w:t>
            </w:r>
            <w:r>
              <w:rPr>
                <w:rFonts w:hint="eastAsia"/>
                <w:color w:val="auto"/>
                <w:sz w:val="18"/>
                <w:szCs w:val="18"/>
                <w:highlight w:val="none"/>
              </w:rPr>
              <w:t>位置混合绑定：支持用户、设备、接入交换机、接入端口之间的</w:t>
            </w:r>
            <w:r>
              <w:rPr>
                <w:color w:val="auto"/>
                <w:sz w:val="18"/>
                <w:szCs w:val="18"/>
                <w:highlight w:val="none"/>
              </w:rPr>
              <w:t>1</w:t>
            </w:r>
            <w:r>
              <w:rPr>
                <w:rFonts w:hint="eastAsia"/>
                <w:color w:val="auto"/>
                <w:sz w:val="18"/>
                <w:szCs w:val="18"/>
                <w:highlight w:val="none"/>
              </w:rPr>
              <w:t>对</w:t>
            </w:r>
            <w:r>
              <w:rPr>
                <w:color w:val="auto"/>
                <w:sz w:val="18"/>
                <w:szCs w:val="18"/>
                <w:highlight w:val="none"/>
              </w:rPr>
              <w:t>1</w:t>
            </w: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对多的混合绑定，支持手动及自动绑定，支持配置自动绑定数量限制</w:t>
            </w:r>
          </w:p>
          <w:p w14:paraId="28D20501">
            <w:pPr>
              <w:rPr>
                <w:color w:val="auto"/>
                <w:sz w:val="18"/>
                <w:szCs w:val="18"/>
                <w:highlight w:val="none"/>
              </w:rPr>
            </w:pPr>
            <w:r>
              <w:rPr>
                <w:color w:val="auto"/>
                <w:sz w:val="18"/>
                <w:szCs w:val="18"/>
                <w:highlight w:val="none"/>
              </w:rPr>
              <w:t>17.</w:t>
            </w:r>
            <w:r>
              <w:rPr>
                <w:color w:val="auto"/>
                <w:sz w:val="18"/>
                <w:szCs w:val="18"/>
                <w:highlight w:val="none"/>
              </w:rPr>
              <w:tab/>
            </w:r>
            <w:r>
              <w:rPr>
                <w:color w:val="auto"/>
                <w:sz w:val="18"/>
                <w:szCs w:val="18"/>
                <w:highlight w:val="none"/>
              </w:rPr>
              <w:t>IP-MAC</w:t>
            </w:r>
            <w:r>
              <w:rPr>
                <w:rFonts w:hint="eastAsia"/>
                <w:color w:val="auto"/>
                <w:sz w:val="18"/>
                <w:szCs w:val="18"/>
                <w:highlight w:val="none"/>
              </w:rPr>
              <w:t>绑定：支持手动或自动学习</w:t>
            </w:r>
            <w:r>
              <w:rPr>
                <w:color w:val="auto"/>
                <w:sz w:val="18"/>
                <w:szCs w:val="18"/>
                <w:highlight w:val="none"/>
              </w:rPr>
              <w:t>IP/MAC</w:t>
            </w:r>
            <w:r>
              <w:rPr>
                <w:rFonts w:hint="eastAsia"/>
                <w:color w:val="auto"/>
                <w:sz w:val="18"/>
                <w:szCs w:val="18"/>
                <w:highlight w:val="none"/>
              </w:rPr>
              <w:t>绑定关系，通过配置策略可对网络内设备随意变更</w:t>
            </w:r>
            <w:r>
              <w:rPr>
                <w:color w:val="auto"/>
                <w:sz w:val="18"/>
                <w:szCs w:val="18"/>
                <w:highlight w:val="none"/>
              </w:rPr>
              <w:t>IP</w:t>
            </w:r>
            <w:r>
              <w:rPr>
                <w:rFonts w:hint="eastAsia"/>
                <w:color w:val="auto"/>
                <w:sz w:val="18"/>
                <w:szCs w:val="18"/>
                <w:highlight w:val="none"/>
              </w:rPr>
              <w:t>地址的行为或随意使用其他设备</w:t>
            </w:r>
            <w:r>
              <w:rPr>
                <w:color w:val="auto"/>
                <w:sz w:val="18"/>
                <w:szCs w:val="18"/>
                <w:highlight w:val="none"/>
              </w:rPr>
              <w:t>IP</w:t>
            </w:r>
            <w:r>
              <w:rPr>
                <w:rFonts w:hint="eastAsia"/>
                <w:color w:val="auto"/>
                <w:sz w:val="18"/>
                <w:szCs w:val="18"/>
                <w:highlight w:val="none"/>
              </w:rPr>
              <w:t>地址的行为进行快速发现和有效阻断。</w:t>
            </w:r>
          </w:p>
          <w:p w14:paraId="4311DCEF">
            <w:pPr>
              <w:rPr>
                <w:color w:val="auto"/>
                <w:sz w:val="18"/>
                <w:szCs w:val="18"/>
                <w:highlight w:val="none"/>
              </w:rPr>
            </w:pPr>
            <w:r>
              <w:rPr>
                <w:color w:val="auto"/>
                <w:sz w:val="18"/>
                <w:szCs w:val="18"/>
                <w:highlight w:val="none"/>
              </w:rPr>
              <w:t>18.</w:t>
            </w:r>
            <w:r>
              <w:rPr>
                <w:color w:val="auto"/>
                <w:sz w:val="18"/>
                <w:szCs w:val="18"/>
                <w:highlight w:val="none"/>
              </w:rPr>
              <w:tab/>
            </w:r>
            <w:r>
              <w:rPr>
                <w:rFonts w:hint="eastAsia"/>
                <w:color w:val="auto"/>
                <w:sz w:val="18"/>
                <w:szCs w:val="18"/>
                <w:highlight w:val="none"/>
              </w:rPr>
              <w:t>安检合规：保证入网终端经过准入安全检查。检查项包括防病毒检查、补丁检查、双系统检查、虚拟环境检查、服务检查、进程检查、软件检查、关键文件和路径检查。</w:t>
            </w:r>
          </w:p>
          <w:p w14:paraId="51DF75A4">
            <w:pPr>
              <w:rPr>
                <w:rFonts w:hint="eastAsia" w:ascii="宋体" w:hAnsi="宋体" w:cs="宋体"/>
                <w:color w:val="auto"/>
                <w:highlight w:val="none"/>
              </w:rPr>
            </w:pPr>
            <w:r>
              <w:rPr>
                <w:color w:val="auto"/>
                <w:sz w:val="18"/>
                <w:szCs w:val="18"/>
                <w:highlight w:val="none"/>
              </w:rPr>
              <w:t>19.</w:t>
            </w:r>
            <w:r>
              <w:rPr>
                <w:color w:val="auto"/>
                <w:sz w:val="18"/>
                <w:szCs w:val="18"/>
                <w:highlight w:val="none"/>
              </w:rPr>
              <w:tab/>
            </w:r>
            <w:r>
              <w:rPr>
                <w:rFonts w:hint="eastAsia"/>
                <w:color w:val="auto"/>
                <w:sz w:val="18"/>
                <w:szCs w:val="18"/>
                <w:highlight w:val="none"/>
              </w:rPr>
              <w:t>客户端：提供有线</w:t>
            </w:r>
            <w:r>
              <w:rPr>
                <w:color w:val="auto"/>
                <w:sz w:val="18"/>
                <w:szCs w:val="18"/>
                <w:highlight w:val="none"/>
              </w:rPr>
              <w:t>802.1X</w:t>
            </w:r>
            <w:r>
              <w:rPr>
                <w:rFonts w:hint="eastAsia"/>
                <w:color w:val="auto"/>
                <w:sz w:val="18"/>
                <w:szCs w:val="18"/>
                <w:highlight w:val="none"/>
              </w:rPr>
              <w:t>、无线</w:t>
            </w:r>
            <w:r>
              <w:rPr>
                <w:color w:val="auto"/>
                <w:sz w:val="18"/>
                <w:szCs w:val="18"/>
                <w:highlight w:val="none"/>
              </w:rPr>
              <w:t>802.1X</w:t>
            </w:r>
            <w:r>
              <w:rPr>
                <w:rFonts w:hint="eastAsia"/>
                <w:color w:val="auto"/>
                <w:sz w:val="18"/>
                <w:szCs w:val="18"/>
                <w:highlight w:val="none"/>
              </w:rPr>
              <w:t>，</w:t>
            </w:r>
            <w:r>
              <w:rPr>
                <w:color w:val="auto"/>
                <w:sz w:val="18"/>
                <w:szCs w:val="18"/>
                <w:highlight w:val="none"/>
              </w:rPr>
              <w:t>http</w:t>
            </w:r>
            <w:r>
              <w:rPr>
                <w:rFonts w:hint="eastAsia"/>
                <w:color w:val="auto"/>
                <w:sz w:val="18"/>
                <w:szCs w:val="18"/>
                <w:highlight w:val="none"/>
              </w:rPr>
              <w:t>认证能力，支持用户名</w:t>
            </w:r>
            <w:r>
              <w:rPr>
                <w:rFonts w:hint="eastAsia"/>
                <w:color w:val="auto"/>
                <w:sz w:val="18"/>
                <w:szCs w:val="18"/>
                <w:highlight w:val="none"/>
                <w:lang w:val="en-US" w:eastAsia="zh-CN"/>
              </w:rPr>
              <w:t>和</w:t>
            </w:r>
            <w:r>
              <w:rPr>
                <w:rFonts w:hint="eastAsia"/>
                <w:color w:val="auto"/>
                <w:sz w:val="18"/>
                <w:szCs w:val="18"/>
                <w:highlight w:val="none"/>
              </w:rPr>
              <w:t>密码，主机认证，证书认证多种认证方式。支持对不合规的终端提供软隔离，对不符合安全策略的计算机终端进行友好提示，提供终端修复向导，支持引导修复和一键修复功能，并支持不同区域终端的修复区域定义。</w:t>
            </w:r>
          </w:p>
        </w:tc>
        <w:tc>
          <w:tcPr>
            <w:tcW w:w="145" w:type="pct"/>
            <w:tcBorders>
              <w:top w:val="nil"/>
              <w:left w:val="nil"/>
              <w:bottom w:val="single" w:color="auto" w:sz="4" w:space="0"/>
              <w:right w:val="single" w:color="auto" w:sz="4" w:space="0"/>
            </w:tcBorders>
            <w:noWrap/>
            <w:vAlign w:val="center"/>
          </w:tcPr>
          <w:p w14:paraId="7849A1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208" w:type="pct"/>
            <w:tcBorders>
              <w:top w:val="nil"/>
              <w:left w:val="nil"/>
              <w:bottom w:val="single" w:color="auto" w:sz="4" w:space="0"/>
              <w:right w:val="single" w:color="auto" w:sz="4" w:space="0"/>
            </w:tcBorders>
            <w:noWrap/>
            <w:vAlign w:val="center"/>
          </w:tcPr>
          <w:p w14:paraId="71558C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7B6B7CB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9E8245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五）</w:t>
            </w:r>
          </w:p>
        </w:tc>
        <w:tc>
          <w:tcPr>
            <w:tcW w:w="428" w:type="pct"/>
            <w:tcBorders>
              <w:top w:val="nil"/>
              <w:left w:val="nil"/>
              <w:bottom w:val="single" w:color="auto" w:sz="4" w:space="0"/>
              <w:right w:val="single" w:color="auto" w:sz="4" w:space="0"/>
            </w:tcBorders>
            <w:vAlign w:val="center"/>
          </w:tcPr>
          <w:p w14:paraId="4FFFA28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认证管理系统</w:t>
            </w:r>
          </w:p>
        </w:tc>
        <w:tc>
          <w:tcPr>
            <w:tcW w:w="3798" w:type="pct"/>
            <w:gridSpan w:val="2"/>
            <w:tcBorders>
              <w:top w:val="nil"/>
              <w:left w:val="nil"/>
              <w:bottom w:val="single" w:color="auto" w:sz="4" w:space="0"/>
              <w:right w:val="single" w:color="auto" w:sz="4" w:space="0"/>
            </w:tcBorders>
            <w:vAlign w:val="center"/>
          </w:tcPr>
          <w:p w14:paraId="58DC5102">
            <w:pPr>
              <w:pStyle w:val="32"/>
              <w:rPr>
                <w:rFonts w:hint="eastAsia" w:ascii="宋体" w:hAnsi="宋体" w:cs="宋体"/>
                <w:color w:val="auto"/>
                <w:highlight w:val="none"/>
              </w:rPr>
            </w:pPr>
            <w:r>
              <w:rPr>
                <w:rFonts w:hint="eastAsia"/>
                <w:color w:val="auto"/>
                <w:highlight w:val="none"/>
                <w:lang w:val="en-US" w:eastAsia="zh-CN"/>
              </w:rPr>
              <w:t xml:space="preserve">    </w:t>
            </w:r>
            <w:r>
              <w:rPr>
                <w:rFonts w:hint="eastAsia"/>
                <w:color w:val="auto"/>
                <w:highlight w:val="none"/>
              </w:rPr>
              <w:t>认证管理系统以软件形式部署，是认证网关的“指挥中枢”，采用B/S架构，支持浏览器远程对设备进行访问，对认证网关下发配置策略，进行操作和监测管理。支持设备发现、设备管控及告警、安检合规、入网控制等功能，能够对网络边界的安全风险和安全事件进行实时的监视和在线的管理。</w:t>
            </w:r>
          </w:p>
          <w:p w14:paraId="532F130B">
            <w:pPr>
              <w:pStyle w:val="32"/>
              <w:spacing w:line="240" w:lineRule="auto"/>
              <w:rPr>
                <w:color w:val="auto"/>
                <w:highlight w:val="none"/>
              </w:rPr>
            </w:pPr>
            <w:r>
              <w:rPr>
                <w:color w:val="auto"/>
                <w:highlight w:val="none"/>
              </w:rPr>
              <w:t>1.</w:t>
            </w:r>
            <w:r>
              <w:rPr>
                <w:color w:val="auto"/>
                <w:highlight w:val="none"/>
              </w:rPr>
              <w:tab/>
            </w:r>
            <w:r>
              <w:rPr>
                <w:rFonts w:hint="eastAsia"/>
                <w:color w:val="auto"/>
                <w:highlight w:val="none"/>
              </w:rPr>
              <w:t>与认证网关联动实现用户组策略配置与权限管控，支持与已有第三方统一身份认证系统对接，动态实现用户申请、授权、撤权、阻断、强制下线。当统一身份认证系统发生变更或升级时，零信任平台可兼容升级后的版本。</w:t>
            </w:r>
          </w:p>
          <w:p w14:paraId="02AA1A23">
            <w:pPr>
              <w:pStyle w:val="32"/>
              <w:spacing w:line="240" w:lineRule="auto"/>
              <w:rPr>
                <w:color w:val="auto"/>
                <w:highlight w:val="none"/>
              </w:rPr>
            </w:pPr>
            <w:r>
              <w:rPr>
                <w:color w:val="auto"/>
                <w:highlight w:val="none"/>
              </w:rPr>
              <w:t>2.</w:t>
            </w:r>
            <w:r>
              <w:rPr>
                <w:color w:val="auto"/>
                <w:highlight w:val="none"/>
              </w:rPr>
              <w:tab/>
            </w:r>
            <w:r>
              <w:rPr>
                <w:rFonts w:hint="eastAsia"/>
                <w:color w:val="auto"/>
                <w:highlight w:val="none"/>
              </w:rPr>
              <w:t>采用</w:t>
            </w:r>
            <w:r>
              <w:rPr>
                <w:color w:val="auto"/>
                <w:highlight w:val="none"/>
              </w:rPr>
              <w:t>B/S</w:t>
            </w:r>
            <w:r>
              <w:rPr>
                <w:rFonts w:hint="eastAsia"/>
                <w:color w:val="auto"/>
                <w:highlight w:val="none"/>
              </w:rPr>
              <w:t>架构，支持管理员分区分权管理模式，灵活配置管理权限，适应大型分级管理组织架构。支持命令行或图形界面方式进行系统配置与运维。</w:t>
            </w:r>
          </w:p>
          <w:p w14:paraId="4AE497ED">
            <w:pPr>
              <w:pStyle w:val="32"/>
              <w:spacing w:line="240" w:lineRule="auto"/>
              <w:rPr>
                <w:color w:val="auto"/>
                <w:highlight w:val="none"/>
              </w:rPr>
            </w:pPr>
            <w:r>
              <w:rPr>
                <w:color w:val="auto"/>
                <w:highlight w:val="none"/>
              </w:rPr>
              <w:t>3.</w:t>
            </w:r>
            <w:r>
              <w:rPr>
                <w:color w:val="auto"/>
                <w:highlight w:val="none"/>
              </w:rPr>
              <w:tab/>
            </w:r>
            <w:r>
              <w:rPr>
                <w:rFonts w:hint="eastAsia"/>
                <w:color w:val="auto"/>
                <w:highlight w:val="none"/>
              </w:rPr>
              <w:t>支持在同一平台上扩展桌面管理、软件管理、移动存储管理、防病毒、检测与响应、补丁管理等管理功能。</w:t>
            </w:r>
          </w:p>
          <w:p w14:paraId="584EA8FD">
            <w:pPr>
              <w:pStyle w:val="32"/>
              <w:widowControl/>
              <w:spacing w:line="240" w:lineRule="auto"/>
              <w:rPr>
                <w:color w:val="auto"/>
                <w:highlight w:val="none"/>
              </w:rPr>
            </w:pPr>
            <w:r>
              <w:rPr>
                <w:color w:val="auto"/>
                <w:highlight w:val="none"/>
              </w:rPr>
              <w:t>4.</w:t>
            </w:r>
            <w:r>
              <w:rPr>
                <w:color w:val="auto"/>
                <w:highlight w:val="none"/>
              </w:rPr>
              <w:tab/>
            </w:r>
            <w:r>
              <w:rPr>
                <w:rFonts w:hint="eastAsia"/>
                <w:color w:val="auto"/>
                <w:highlight w:val="none"/>
              </w:rPr>
              <w:t>支持设备集中管理，可在同一控制中心集中管理所有设备，支持设备分组，权限管理，实现分布式部署、集中管理，满足大型网络环境下的部署要求。</w:t>
            </w:r>
          </w:p>
        </w:tc>
        <w:tc>
          <w:tcPr>
            <w:tcW w:w="145" w:type="pct"/>
            <w:tcBorders>
              <w:top w:val="nil"/>
              <w:left w:val="nil"/>
              <w:bottom w:val="single" w:color="auto" w:sz="4" w:space="0"/>
              <w:right w:val="single" w:color="auto" w:sz="4" w:space="0"/>
            </w:tcBorders>
            <w:noWrap/>
            <w:vAlign w:val="center"/>
          </w:tcPr>
          <w:p w14:paraId="48ADAB5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208" w:type="pct"/>
            <w:tcBorders>
              <w:top w:val="nil"/>
              <w:left w:val="nil"/>
              <w:bottom w:val="single" w:color="auto" w:sz="4" w:space="0"/>
              <w:right w:val="single" w:color="auto" w:sz="4" w:space="0"/>
            </w:tcBorders>
            <w:noWrap/>
            <w:vAlign w:val="center"/>
          </w:tcPr>
          <w:p w14:paraId="31EEE59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71A85235">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F04ADE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七</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vAlign w:val="center"/>
          </w:tcPr>
          <w:p w14:paraId="39FBD501">
            <w:pPr>
              <w:widowControl/>
              <w:jc w:val="center"/>
              <w:rPr>
                <w:rFonts w:hint="eastAsia" w:ascii="宋体" w:hAnsi="宋体" w:cs="宋体"/>
                <w:b/>
                <w:bCs/>
                <w:color w:val="auto"/>
                <w:kern w:val="0"/>
                <w:sz w:val="18"/>
                <w:szCs w:val="18"/>
                <w:highlight w:val="none"/>
              </w:rPr>
            </w:pPr>
            <w:bookmarkStart w:id="45" w:name="_Hlk227939046"/>
            <w:r>
              <w:rPr>
                <w:rFonts w:hint="eastAsia" w:ascii="宋体" w:hAnsi="宋体" w:cs="宋体"/>
                <w:b/>
                <w:bCs/>
                <w:color w:val="auto"/>
                <w:kern w:val="0"/>
                <w:sz w:val="18"/>
                <w:szCs w:val="18"/>
                <w:highlight w:val="none"/>
              </w:rPr>
              <w:t>溯源分析平台</w:t>
            </w:r>
            <w:bookmarkEnd w:id="45"/>
          </w:p>
        </w:tc>
        <w:tc>
          <w:tcPr>
            <w:tcW w:w="3798" w:type="pct"/>
            <w:gridSpan w:val="2"/>
            <w:tcBorders>
              <w:top w:val="nil"/>
              <w:left w:val="nil"/>
              <w:bottom w:val="single" w:color="auto" w:sz="4" w:space="0"/>
              <w:right w:val="single" w:color="auto" w:sz="4" w:space="0"/>
            </w:tcBorders>
            <w:vAlign w:val="center"/>
          </w:tcPr>
          <w:p w14:paraId="50004CBC">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设一套溯源分析平台，采集分析自治区级政务云、政务外网边界流量不低于50Gbps，采集自治区级政务云和自治区级政务外网城域网边界不少于800个点位设备的NAT日志并留存180天，基于运维AI智能体提供的数据质量AI分析能力，对云上信息系统、TCP会话等进行智能自主规划分析，以提升政务云网络性能分析能力，故障定位能力，网络攻击行为回溯能力。溯源分析平台</w:t>
            </w:r>
            <w:r>
              <w:rPr>
                <w:rFonts w:hint="eastAsia" w:ascii="宋体" w:hAnsi="宋体" w:cs="宋体"/>
                <w:color w:val="auto"/>
                <w:kern w:val="0"/>
                <w:sz w:val="18"/>
                <w:szCs w:val="18"/>
                <w:highlight w:val="none"/>
                <w:lang w:val="en-US" w:eastAsia="zh-CN"/>
              </w:rPr>
              <w:t>包括</w:t>
            </w:r>
            <w:r>
              <w:rPr>
                <w:rFonts w:hint="eastAsia" w:ascii="宋体" w:hAnsi="宋体" w:cs="宋体"/>
                <w:color w:val="auto"/>
                <w:kern w:val="0"/>
                <w:sz w:val="18"/>
                <w:szCs w:val="18"/>
                <w:highlight w:val="none"/>
              </w:rPr>
              <w:t>边界全流量回溯分析系统</w:t>
            </w:r>
            <w:r>
              <w:rPr>
                <w:rFonts w:hint="eastAsia" w:ascii="宋体" w:hAnsi="宋体" w:cs="宋体"/>
                <w:color w:val="auto"/>
                <w:kern w:val="0"/>
                <w:sz w:val="18"/>
                <w:szCs w:val="18"/>
                <w:highlight w:val="none"/>
                <w:lang w:eastAsia="zh-CN"/>
              </w:rPr>
              <w:t>、业务性能可视化智能管理系统、NAT日志收集与分析系统</w:t>
            </w:r>
            <w:r>
              <w:rPr>
                <w:rFonts w:hint="eastAsia" w:ascii="宋体" w:hAnsi="宋体" w:cs="宋体"/>
                <w:color w:val="auto"/>
                <w:kern w:val="0"/>
                <w:sz w:val="18"/>
                <w:szCs w:val="18"/>
                <w:highlight w:val="none"/>
                <w:lang w:val="en-US" w:eastAsia="zh-CN"/>
              </w:rPr>
              <w:t>3大部分，具体技术功能要点如下：</w:t>
            </w:r>
          </w:p>
        </w:tc>
        <w:tc>
          <w:tcPr>
            <w:tcW w:w="145" w:type="pct"/>
            <w:tcBorders>
              <w:top w:val="nil"/>
              <w:left w:val="nil"/>
              <w:bottom w:val="single" w:color="auto" w:sz="4" w:space="0"/>
              <w:right w:val="single" w:color="auto" w:sz="4" w:space="0"/>
            </w:tcBorders>
            <w:noWrap/>
            <w:vAlign w:val="center"/>
          </w:tcPr>
          <w:p w14:paraId="1F559FF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08" w:type="pct"/>
            <w:tcBorders>
              <w:top w:val="nil"/>
              <w:left w:val="nil"/>
              <w:bottom w:val="single" w:color="auto" w:sz="4" w:space="0"/>
              <w:right w:val="single" w:color="auto" w:sz="4" w:space="0"/>
            </w:tcBorders>
            <w:noWrap/>
            <w:vAlign w:val="center"/>
          </w:tcPr>
          <w:p w14:paraId="61766B2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8DC7598">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E22CC28">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一）</w:t>
            </w:r>
          </w:p>
        </w:tc>
        <w:tc>
          <w:tcPr>
            <w:tcW w:w="428" w:type="pct"/>
            <w:tcBorders>
              <w:top w:val="nil"/>
              <w:left w:val="nil"/>
              <w:bottom w:val="single" w:color="auto" w:sz="4" w:space="0"/>
              <w:right w:val="single" w:color="auto" w:sz="4" w:space="0"/>
            </w:tcBorders>
            <w:vAlign w:val="center"/>
          </w:tcPr>
          <w:p w14:paraId="0D2F408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边界全流量回溯分析系统</w:t>
            </w:r>
          </w:p>
        </w:tc>
        <w:tc>
          <w:tcPr>
            <w:tcW w:w="3798" w:type="pct"/>
            <w:gridSpan w:val="2"/>
            <w:tcBorders>
              <w:top w:val="nil"/>
              <w:left w:val="nil"/>
              <w:bottom w:val="single" w:color="auto" w:sz="4" w:space="0"/>
              <w:right w:val="single" w:color="auto" w:sz="4" w:space="0"/>
            </w:tcBorders>
            <w:vAlign w:val="center"/>
          </w:tcPr>
          <w:p w14:paraId="5E5E7F2B">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边界全流量回溯分析系统主要功能包括核心数据采集与分析基石，具备报文存储、流量可视化审计及深度分析能力，可对网络流量进行全量采集、分类存储，通过可视化呈现方式实现流量态势实时监控、异常行为审计追溯，为流量管理与安全分析提供精准的数据支撑，分布式部署在各个监控的网络节点，实时分析捕获流量</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实时保存捕获到的网络通讯数据包，进行长时间、大容量的数据存储能力以实现网络流量采集，应用协议解析，流量回溯分析，网络性能分析，业务性能分析，告警分析，元数据日志分析，资产识别等多种功能</w:t>
            </w:r>
            <w:r>
              <w:rPr>
                <w:rFonts w:hint="eastAsia"/>
                <w:highlight w:val="none"/>
                <w:lang w:eastAsia="zh-CN"/>
              </w:rPr>
              <w:t>，</w:t>
            </w:r>
            <w:r>
              <w:rPr>
                <w:rFonts w:hint="eastAsia"/>
                <w:highlight w:val="none"/>
                <w:lang w:val="en-US" w:eastAsia="zh-CN"/>
              </w:rPr>
              <w:t>具体如下：</w:t>
            </w:r>
          </w:p>
        </w:tc>
        <w:tc>
          <w:tcPr>
            <w:tcW w:w="145" w:type="pct"/>
            <w:tcBorders>
              <w:top w:val="nil"/>
              <w:left w:val="nil"/>
              <w:bottom w:val="single" w:color="auto" w:sz="4" w:space="0"/>
              <w:right w:val="single" w:color="auto" w:sz="4" w:space="0"/>
            </w:tcBorders>
            <w:noWrap/>
            <w:vAlign w:val="center"/>
          </w:tcPr>
          <w:p w14:paraId="5CB1E63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D4AD120">
            <w:pPr>
              <w:widowControl/>
              <w:jc w:val="center"/>
              <w:rPr>
                <w:rFonts w:hint="eastAsia" w:ascii="宋体" w:hAnsi="宋体" w:cs="宋体"/>
                <w:color w:val="auto"/>
                <w:kern w:val="0"/>
                <w:sz w:val="18"/>
                <w:szCs w:val="18"/>
                <w:highlight w:val="none"/>
              </w:rPr>
            </w:pPr>
          </w:p>
        </w:tc>
      </w:tr>
      <w:tr w14:paraId="59076CD0">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7919FA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428" w:type="pct"/>
            <w:tcBorders>
              <w:top w:val="nil"/>
              <w:left w:val="nil"/>
              <w:bottom w:val="single" w:color="auto" w:sz="4" w:space="0"/>
              <w:right w:val="single" w:color="auto" w:sz="4" w:space="0"/>
            </w:tcBorders>
            <w:vAlign w:val="center"/>
          </w:tcPr>
          <w:p w14:paraId="595BA78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边界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全流量回溯分析系统（</w:t>
            </w:r>
            <w:r>
              <w:rPr>
                <w:rFonts w:ascii="宋体" w:hAnsi="宋体" w:cs="宋体"/>
                <w:color w:val="auto"/>
                <w:kern w:val="0"/>
                <w:sz w:val="18"/>
                <w:szCs w:val="18"/>
                <w:highlight w:val="none"/>
              </w:rPr>
              <w:t>10Gbps</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rPr>
              <w:br w:type="textWrapping"/>
            </w:r>
          </w:p>
        </w:tc>
        <w:tc>
          <w:tcPr>
            <w:tcW w:w="3798" w:type="pct"/>
            <w:gridSpan w:val="2"/>
            <w:tcBorders>
              <w:top w:val="nil"/>
              <w:left w:val="nil"/>
              <w:bottom w:val="single" w:color="auto" w:sz="4" w:space="0"/>
              <w:right w:val="single" w:color="auto" w:sz="4" w:space="0"/>
            </w:tcBorders>
            <w:vAlign w:val="center"/>
          </w:tcPr>
          <w:p w14:paraId="741514F8">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一、流量回溯基础功能</w:t>
            </w:r>
          </w:p>
          <w:p w14:paraId="496A0978">
            <w:pPr>
              <w:widowControl/>
              <w:jc w:val="left"/>
              <w:rPr>
                <w:rFonts w:hint="eastAsia" w:ascii="宋体" w:hAnsi="宋体" w:eastAsia="宋体" w:cs="宋体"/>
                <w:color w:val="auto"/>
                <w:kern w:val="0"/>
                <w:sz w:val="18"/>
                <w:szCs w:val="18"/>
                <w:highlight w:val="none"/>
                <w:lang w:eastAsia="zh-CN"/>
              </w:rPr>
            </w:pPr>
            <w:r>
              <w:rPr>
                <w:rFonts w:hint="eastAsia" w:ascii="宋体"/>
                <w:color w:val="auto"/>
                <w:highlight w:val="none"/>
              </w:rPr>
              <w:t>★</w:t>
            </w:r>
            <w:r>
              <w:rPr>
                <w:rFonts w:hint="eastAsia" w:ascii="宋体"/>
                <w:color w:val="auto"/>
                <w:sz w:val="18"/>
                <w:szCs w:val="18"/>
                <w:highlight w:val="none"/>
                <w:lang w:val="en-US" w:eastAsia="zh-CN"/>
              </w:rPr>
              <w:t>1</w:t>
            </w: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val="en-US" w:eastAsia="zh-CN"/>
              </w:rPr>
              <w:t>U</w:t>
            </w:r>
            <w:r>
              <w:rPr>
                <w:rFonts w:hint="eastAsia" w:ascii="宋体" w:hAnsi="宋体" w:cs="宋体"/>
                <w:color w:val="auto"/>
                <w:kern w:val="0"/>
                <w:sz w:val="18"/>
                <w:szCs w:val="18"/>
                <w:highlight w:val="none"/>
              </w:rPr>
              <w:t>设备，冗余电源，千兆电口≥4个，万兆光口≥2个；网卡插槽≥2个网卡插槽；配置不少于2颗国产化CPU；内存≥128G</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流量处理性能不少于10Gbps； 存储容量不少于64T</w:t>
            </w:r>
            <w:r>
              <w:rPr>
                <w:rFonts w:hint="eastAsia" w:ascii="宋体" w:hAnsi="宋体" w:cs="宋体"/>
                <w:color w:val="auto"/>
                <w:kern w:val="0"/>
                <w:sz w:val="18"/>
                <w:szCs w:val="18"/>
                <w:highlight w:val="none"/>
                <w:lang w:eastAsia="zh-CN"/>
              </w:rPr>
              <w:t>。</w:t>
            </w:r>
          </w:p>
          <w:p w14:paraId="69F74B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、支持数据检索与分析</w:t>
            </w:r>
            <w:r>
              <w:rPr>
                <w:rFonts w:hint="eastAsia"/>
                <w:color w:val="auto"/>
                <w:sz w:val="18"/>
                <w:szCs w:val="18"/>
                <w:highlight w:val="none"/>
              </w:rPr>
              <w:t>≥</w:t>
            </w:r>
            <w:r>
              <w:rPr>
                <w:rFonts w:hint="eastAsia" w:ascii="宋体" w:hAnsi="宋体" w:cs="宋体"/>
                <w:color w:val="auto"/>
                <w:kern w:val="0"/>
                <w:sz w:val="18"/>
                <w:szCs w:val="18"/>
                <w:highlight w:val="none"/>
              </w:rPr>
              <w:t>1千万条数据时</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能</w:t>
            </w:r>
            <w:r>
              <w:rPr>
                <w:rFonts w:hint="eastAsia" w:ascii="宋体" w:hAnsi="宋体" w:cs="宋体"/>
                <w:color w:val="auto"/>
                <w:kern w:val="0"/>
                <w:sz w:val="18"/>
                <w:szCs w:val="18"/>
                <w:highlight w:val="none"/>
                <w:lang w:val="en-US" w:eastAsia="zh-CN"/>
              </w:rPr>
              <w:t>在≤</w:t>
            </w:r>
            <w:r>
              <w:rPr>
                <w:rFonts w:hint="eastAsia" w:ascii="宋体" w:hAnsi="宋体" w:cs="宋体"/>
                <w:color w:val="auto"/>
                <w:kern w:val="0"/>
                <w:sz w:val="18"/>
                <w:szCs w:val="18"/>
                <w:highlight w:val="none"/>
              </w:rPr>
              <w:t>1秒内响应，会话流量趋势可达秒级粒度展示。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、支持根据应用、协议、VLAN号、VXLAN号、MPLS VPN标签进行数据包的裁剪；支持设置数据包裁剪规则，支持从指定序号的有效载荷数据包开始进行裁剪（指定序号之前的不裁剪），支持将数据包裁剪为64-65535之间的任意长度；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、支持配置聚合链路，支持基于网段、VLAN标识、ISL_VLAN标识、MPLS VPN标识、VXLAN标识、NETFLOW标识、SFLOW标识、MAC地址、创建子链路，支持基于不同用户设置每条子链路流量监控、流量分析、链路警报、链路报表权限；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支持数据包回放功能，能够将通过其他方式获取到的数据包导入系统进行分析，实现与系统捕获的数据包相同的分析功能，支持导入数据包格式至少包括：cap、pcap、rapkt、cscpkt、rawpkt、5vw、pkt、TRC0、TRC1、tr1、pcapng、pcapng.gz、ntar,ntar.gz、Snoop。支持对数据包进行原速回放，从而重现和网络通讯完全一致的效果；支持对数据包进行快速回放，分别为2倍速，4倍速和无限制，有效提升回放效率；支持对数据包进行慢速回放，分别为1/2倍速，1/4倍速和1/8倍速，降低每秒流量，即可让网卡不丢包，确保数据包的全面回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rPr>
              <w:t>、可修改输出报文的源/目的MAC地址或自定义协商字段，以便携带输入端口、命中规则号，或者精确时间戳等信息。同时支持数据包生成功能组件，该组件功能可导入现有数据包，支持多种数据包格式，如*.5vw、*.rapkt、*.cscpkt、*pkt、*.TRC0、*.cap和*.pcap等；编辑数据包时可以通过详细解码编解窗口的字段信息进行编辑，也可以通过十六进制解码编辑窗口直接对十六进制解码和ASCII码进行编辑；在发送数据包时，可以选择部分数据包或全部数据包通过指定网卡发送到网络；支持将生成、编辑后的数据包导出保存在本地，并可选择导出的格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、支持跨物理采集设备的虚拟聚合分析功能，能够将分布在不同物理采集设备上的流量数据聚合成一条逻辑链路进行分析；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二、链路流量分析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支持＞100种IP地址性能指标的基线分析功能，可基于每个性能指标单独配置是否启用基线分析功能，可开启基线分析的指标至少包括：比特率（有效载荷）、峰值流量、发送TCP同步重传包、接收TCP同步重传包、创建会话数、活动会话数、TCP重传率、TCP分段丢失率、发送/接收TCP数据包数（有效载荷）、每秒广播数据包、每秒组播数据包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对链路IP会话进行分析，可分析指标＞180个，分析指标至少包括：总字节数、进/出字节数、会话创建时间（纳秒）、会话结束时间（纳秒）、会话持续时间（纳秒）、端点1/端点2发送负载数据包数、连接建立客户端/服务器重置次数、连接建立客户端/服务器无响应率、TCP同步重传包、TCP同步确认重传包、TCP重传包、TCP分段丢失率、TCP分段丢失包、TCP重复确认包、三次握手次数、三次握手平均时间、上行/下行传输效率、客户端/服务器平均/最小窗口大小、客户端/服务器三次握手最小/平均/最大RTT、客户端/服务器平均/最大重传时延、客户端请求平均/最大传输时间、服务器响应平均/最大传输时间、Apdex、端点1/端点2目标地址（SRv6）、TCP TTL较小值次数等；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支持对链路TCP会话进行分析，可分析指标＞120个，分析指标至少包括：总字节数、状态、客户端/服务器RTT、会话开始/结束时间、连接建立时间、客户端/服务器负载数据包数、客户端/服务器TCP分段丢失率、成功的TCP交易次数、TCP交易总数、最大/平均响应时间、服务器总响应时间、TCP三次握手客户端确认包、服务器字节数（有效载荷）、服务器数据包数（有效载荷）、TCP交易请求/响应/无响应次数、客户端请求总/平均/最大传输时间、服务器响应总/平均/最大传输时间、客户端/服务器平均/最大重传时延、首次响应时延、平均/最大用户响应时间、客户端/服务器TCP小窗口次数、客户端/服务器TCP初始窗口、最大/平均/最小客户端0窗口时延、最大/平均/最小服务器0窗口时延、连接建立客户端/服务器重置率、连接建立客户端/服务器无响应率、客户端/服务器慢连接次数、慢连接占比等指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三、应用质量分析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1、支持基于IP、端口、特征值、URL自定义应用；支持导入密钥文件自定义加密应用；支持基于协议定义应用，内置识别协议数＞2000，支持自定义应用好、正常、差、极差时间阈值；</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自动识别HTTP、Oracle、DB2、Mysql、cache数据库、DNS等应用的交易内容，支持提供交易总数、交易请求/响应/无响应/成功/失败次数、最大/最小/平均响应时间、请求/响应字节数、最大/最小/平均交易处理时间、每秒交易笔数峰值等交易性能指标趋势图，支持基线数据与实际数据在同一个趋势图上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支持为组成业务的每个应用集中配置性能监控警报，支持通过与，或等逻辑条件进行多参数组合报警，警报触发时间间隔可定义1秒、10秒、1分钟、10分钟、1小时、1天，支持定义警报抑制阈值，警报报警参数需大于100种；支持设置警报有效时间段与警报停用时间段，支持警报触发时自动保存数据包；支持在警报配置页面查看该警报历史修改记录，能够查看警报修改人、修改时间与修改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四、数据包解码分析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解码模块具备智能诊断功能，能自动诊断包括：HTTP错误、SMTP/POP3服务器慢响应、SMTP/POP3服务器返回错误、FTP服务器慢响应、FTP服务器错误、TCP连接被拒绝、TCP非法校验和、TCP重复的连接尝试、TCP头部偏移错误、TCP SYN带数据、IP TTL太小、IP地址冲突、路由环路等常见故障场景，并提供故障原因分析及解决办法；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对TCP数据包解码提供时序图分析功能，能够图形化显示TCP会话中的数据交互传输过程，能够图形化显示数据传输中的时间间隔，能够将任意数据包设置为相对基准时间，能够按交易处理时间、服务响应时间、服务器传输时间、重传次数、分段丢失次数等排序并能自动定位到故障数据包在该TCP会话的时序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五、异常流量监控预警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1、支持流量突发警报，可配置比特率、比特率峰值、总字节数、总数据包数、会话总数等统计指标与前N个周期对比突增/突降一定百分比时触发警报；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在线数据包特征回查功能，通过输入数据包特征规则，在无需下载数据包的情况下可回查历史数据包命中特征情况。数据包特征规则支持根据协议、源目的IP、源目的端口、数据包大小、数据包内容、特征表达式等多条件组合创建回查任务。</w:t>
            </w:r>
          </w:p>
        </w:tc>
        <w:tc>
          <w:tcPr>
            <w:tcW w:w="145" w:type="pct"/>
            <w:tcBorders>
              <w:top w:val="nil"/>
              <w:left w:val="nil"/>
              <w:bottom w:val="single" w:color="auto" w:sz="4" w:space="0"/>
              <w:right w:val="single" w:color="auto" w:sz="4" w:space="0"/>
            </w:tcBorders>
            <w:noWrap/>
            <w:vAlign w:val="center"/>
          </w:tcPr>
          <w:p w14:paraId="385E670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208" w:type="pct"/>
            <w:tcBorders>
              <w:top w:val="nil"/>
              <w:left w:val="nil"/>
              <w:bottom w:val="single" w:color="auto" w:sz="4" w:space="0"/>
              <w:right w:val="single" w:color="auto" w:sz="4" w:space="0"/>
            </w:tcBorders>
            <w:noWrap/>
            <w:vAlign w:val="center"/>
          </w:tcPr>
          <w:p w14:paraId="4464480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3BD2F68B">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0B8EFA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p>
        </w:tc>
        <w:tc>
          <w:tcPr>
            <w:tcW w:w="428" w:type="pct"/>
            <w:tcBorders>
              <w:top w:val="nil"/>
              <w:left w:val="nil"/>
              <w:bottom w:val="single" w:color="auto" w:sz="4" w:space="0"/>
              <w:right w:val="single" w:color="auto" w:sz="4" w:space="0"/>
            </w:tcBorders>
            <w:vAlign w:val="center"/>
          </w:tcPr>
          <w:p w14:paraId="0DCAC8F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边界全流量回溯分析系统（20Gbps）</w:t>
            </w:r>
            <w:r>
              <w:rPr>
                <w:rFonts w:hint="eastAsia" w:ascii="宋体" w:hAnsi="宋体" w:cs="宋体"/>
                <w:color w:val="auto"/>
                <w:kern w:val="0"/>
                <w:sz w:val="18"/>
                <w:szCs w:val="18"/>
                <w:highlight w:val="none"/>
              </w:rPr>
              <w:br w:type="textWrapping"/>
            </w:r>
          </w:p>
        </w:tc>
        <w:tc>
          <w:tcPr>
            <w:tcW w:w="3798" w:type="pct"/>
            <w:gridSpan w:val="2"/>
            <w:tcBorders>
              <w:top w:val="nil"/>
              <w:left w:val="nil"/>
              <w:bottom w:val="single" w:color="auto" w:sz="4" w:space="0"/>
              <w:right w:val="single" w:color="auto" w:sz="4" w:space="0"/>
            </w:tcBorders>
            <w:vAlign w:val="center"/>
          </w:tcPr>
          <w:p w14:paraId="0D6C75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一、流量回溯基础功能</w:t>
            </w:r>
          </w:p>
          <w:p w14:paraId="661D4D41">
            <w:pPr>
              <w:widowControl/>
              <w:jc w:val="left"/>
              <w:rPr>
                <w:rFonts w:hint="eastAsia" w:ascii="宋体" w:hAnsi="宋体" w:cs="宋体"/>
                <w:color w:val="auto"/>
                <w:kern w:val="0"/>
                <w:sz w:val="18"/>
                <w:szCs w:val="18"/>
                <w:highlight w:val="none"/>
              </w:rPr>
            </w:pPr>
            <w:r>
              <w:rPr>
                <w:rFonts w:hint="eastAsia" w:ascii="宋体"/>
                <w:color w:val="auto"/>
                <w:highlight w:val="none"/>
              </w:rPr>
              <w:t>★</w:t>
            </w:r>
            <w:r>
              <w:rPr>
                <w:rFonts w:hint="eastAsia" w:ascii="宋体"/>
                <w:color w:val="auto"/>
                <w:sz w:val="18"/>
                <w:szCs w:val="18"/>
                <w:highlight w:val="none"/>
                <w:lang w:val="en-US" w:eastAsia="zh-CN"/>
              </w:rPr>
              <w:t>1</w:t>
            </w:r>
            <w:r>
              <w:rPr>
                <w:rFonts w:hint="eastAsia" w:ascii="宋体" w:hAnsi="宋体" w:cs="宋体"/>
                <w:color w:val="auto"/>
                <w:kern w:val="0"/>
                <w:sz w:val="18"/>
                <w:szCs w:val="18"/>
                <w:highlight w:val="none"/>
              </w:rPr>
              <w:t>、2U设备，冗余电源，千兆</w:t>
            </w:r>
            <w:r>
              <w:rPr>
                <w:rFonts w:hint="eastAsia" w:ascii="宋体" w:hAnsi="宋体" w:cs="宋体"/>
                <w:color w:val="auto"/>
                <w:kern w:val="0"/>
                <w:sz w:val="18"/>
                <w:szCs w:val="18"/>
                <w:highlight w:val="none"/>
                <w:lang w:val="en-US" w:eastAsia="zh-CN"/>
              </w:rPr>
              <w:t>光</w:t>
            </w:r>
            <w:r>
              <w:rPr>
                <w:rFonts w:hint="eastAsia" w:ascii="宋体" w:hAnsi="宋体" w:cs="宋体"/>
                <w:color w:val="auto"/>
                <w:kern w:val="0"/>
                <w:sz w:val="18"/>
                <w:szCs w:val="18"/>
                <w:highlight w:val="none"/>
              </w:rPr>
              <w:t>口≥4个，万兆光口≥4个；网卡插槽≥2个网卡插槽；配置不少于2颗国产化CPU；内存≥128G</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流量处理性能不少于20Gbps； 存储容量不少于128T</w:t>
            </w:r>
            <w:r>
              <w:rPr>
                <w:rFonts w:hint="eastAsia" w:ascii="宋体" w:hAnsi="宋体" w:cs="宋体"/>
                <w:color w:val="auto"/>
                <w:kern w:val="0"/>
                <w:sz w:val="18"/>
                <w:szCs w:val="18"/>
                <w:highlight w:val="none"/>
                <w:lang w:eastAsia="zh-CN"/>
              </w:rPr>
              <w:t>。</w:t>
            </w:r>
          </w:p>
          <w:p w14:paraId="4DA623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、支持数据检索与分析1千万条数据时能1秒内响应，会话流量趋势可达秒级粒度展示。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、支持根据应用、协议、VLAN号、VXLAN号、MPLS VPN标签进行数据包的裁剪；支持设置数据包裁剪规则，支持从指定序号的有效载荷数据包开始进行裁剪（指定序号之前的不裁剪），支持将数据包裁剪为64-65535之间的任意长度；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、支持配置聚合链路，支持基于网段、VLAN标识、ISL_VLAN标识、MPLS VPN标识、VXLAN标识、NETFLOW标识、SFLOW标识、MAC地址、创建子链路，支持基于不同用户设置每条子链路流量监控、流量分析、链路警报、链路报表权限；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支持数据包回放功能，能够将通过其他方式获取到的数据包导入系统进行分析，实现与系统捕获的数据包相同的分析功能，支持导入数据包格式至少包括：cap、pcap、rapkt、cscpkt、rawpkt、5vw、pkt、TRC0、TRC1、tr1、pcapng、pcapng.gz、ntar,ntar.gz、Snoop。支持对数据包进行原速回放，从而重现和网络通讯完全一致的效果；支持对数据包进行快速回放，分别为2倍速，4倍速和无限制，有效提升回放效率；支持对数据包进行慢速回放，分别为1/2倍速，1/4倍速和1/8倍速，降低每秒流量，即可让网卡不丢包，确保数据包的全面回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rPr>
              <w:t>、可修改输出报文的源/目的MAC地址或自定义协商字段，以便携带输入端口、命中规则号，或者精确时间戳等信息。同时支持数据包生成功能组件，该组件功能可导入现有数据包，支持多种数据包格式，如*.5vw、*.rapkt、*.cscpkt、*pkt、*.TRC0、*.cap和*.pcap等；编辑数据包时可以通过详细解码编解窗口的字段信息进行编辑，也可以通过十六进制解码编辑窗口直接对十六进制解码和ASCII码进行编辑；在发送数据包时，可以选择部分数据包或全部数据包通过指定网卡发送到网络；支持将生成、编辑后的数据包导出保存在本地，并可选择导出的格式；</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、支持跨物理采集设备的虚拟聚合分析功能，能够将分布在不同物理采集设备上的流量数据聚合成一条逻辑链路进行分析；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二、链路流量分析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支持＞100种IP地址性能指标的基线分析功能，可基于每个性能指标单独配置是否启用基线分析功能，可开启基线分析的指标至少包括：比特率（有效载荷）、峰值流量、发送TCP同步重传包、接收TCP同步重传包、创建会话数、活动会话数、TCP重传率、TCP分段丢失率、发送/接收TCP数据包数（有效载荷）、每秒广播数据包、每秒组播数据包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对链路IP会话进行分析，可分析指标＞180个，分析指标至少包括：总字节数、进/出字节数、会话创建时间（纳秒）、会话结束时间（纳秒）、会话持续时间（纳秒）、端点1/端点2发送负载数据包数、连接建立客户端/服务器重置次数、连接建立客户端/服务器无响应率、TCP同步重传包、TCP同步确认重传包、TCP重传包、TCP分段丢失率、TCP分段丢失包、TCP重复确认包、三次握手次数、三次握手平均时间、上行/下行传输效率、客户端/服务器平均/最小窗口大小、客户端/服务器三次握手最小/平均/最大RTT、客户端/服务器平均/最大重传时延、客户端请求平均/最大传输时间、服务器响应平均/最大传输时间、Apdex、端点1/端点2目标地址（SRv6）、TCP TTL较小值次数等；</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支持对链路TCP会话进行分析，可分析指标＞120个，分析指标至少包括：总字节数、状态、客户端/服务器RTT、会话开始/结束时间、连接建立时间、客户端/服务器负载数据包数、客户端/服务器TCP分段丢失率、成功的TCP交易次数、TCP交易总数、最大/平均响应时间、服务器总响应时间、TCP三次握手客户端确认包、服务器字节数（有效载荷）、服务器数据包数（有效载荷）、TCP交易请求/响应/无响应次数、客户端请求总/平均/最大传输时间、服务器响应总/平均/最大传输时间、客户端/服务器平均/最大重传时延、首次响应时延、平均/最大用户响应时间、客户端/服务器TCP小窗口次数、客户端/服务器TCP初始窗口、最大/平均/最小客户端0窗口时延、最大/平均/最小服务器0窗口时延、连接建立客户端/服务器重置率、连接建立客户端/服务器无响应率、客户端/服务器慢连接次数、慢连接占比等指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三、应用质量分析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1、支持基于IP、端口、特征值、URL自定义应用；支持导入密钥文件自定义加密应用；支持基于协议定义应用，内置识别协议数＞2000，支持自定义应用好、正常、差、极差时间阈值；</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自动识别HTTP、Oracle、DB2、Mysql、cache数据库、DNS等应用的交易内容，支持提供交易总数、交易请求/响应/无响应/成功/失败次数、最大/最小/平均响应时间、请求/响应字节数、最大/最小/平均交易处理时间、每秒交易笔数峰值等交易性能指标趋势图，支持基线数据与实际数据在同一个趋势图上展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支持为组成业务的每个应用集中配置性能监控警报，支持通过与，或等逻辑条件进行多参数组合报警，警报触发时间间隔可定义1秒、10秒、1分钟、10分钟、1小时、1天，支持定义警报抑制阈值，警报报警参数需大于100种；支持设置警报有效时间段与警报停用时间段，支持警报触发时自动保存数据包；支持在警报配置页面查看该警报历史修改记录，能够查看警报修改人、修改时间与修改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四、数据包解码分析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解码模块具备智能诊断功能，能自动诊断包括：HTTP错误、SMTP/POP3服务器慢响应、SMTP/POP3服务器返回错误、FTP服务器慢响应、FTP服务器错误、TCP连接被拒绝、TCP非法校验和、TCP重复的连接尝试、TCP头部偏移错误、TCP SYN带数据、IP TTL太小、IP地址冲突、路由环路等常见故障场景，并提供故障原因分析及解决办法；</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对TCP数据包解码提供时序图分析功能，能够图形化显示TCP会话中的数据交互传输过程，能够图形化显示数据传输中的时间间隔，能够将任意数据包设置为相对基准时间，能够按交易处理时间、服务响应时间、服务器传输时间、重传次数、分段丢失次数等排序并能自动定位到故障数据包在该TCP会话的时序位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五、异常流量监控预警</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1、支持流量突发警报，可配置比特率、比特率峰值、总字节数、总数据包数、会话总数等统计指标与前N个周期对比突增/突降一定百分比时触发警报；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在线数据包特征回查功能，通过输入数据包特征规则，在无需下载数据包的情况下可回查历史数据包命中特征情况。数据包特征规则支持根据协议、源目的IP、源目的端口、数据包大小、数据包内容、特征表达式等多条件组合创建回查任务。</w:t>
            </w:r>
          </w:p>
        </w:tc>
        <w:tc>
          <w:tcPr>
            <w:tcW w:w="145" w:type="pct"/>
            <w:tcBorders>
              <w:top w:val="nil"/>
              <w:left w:val="nil"/>
              <w:bottom w:val="single" w:color="auto" w:sz="4" w:space="0"/>
              <w:right w:val="single" w:color="auto" w:sz="4" w:space="0"/>
            </w:tcBorders>
            <w:noWrap/>
            <w:vAlign w:val="center"/>
          </w:tcPr>
          <w:p w14:paraId="669237B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208" w:type="pct"/>
            <w:tcBorders>
              <w:top w:val="nil"/>
              <w:left w:val="nil"/>
              <w:bottom w:val="single" w:color="auto" w:sz="4" w:space="0"/>
              <w:right w:val="single" w:color="auto" w:sz="4" w:space="0"/>
            </w:tcBorders>
            <w:noWrap/>
            <w:vAlign w:val="center"/>
          </w:tcPr>
          <w:p w14:paraId="2B4048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r>
      <w:tr w14:paraId="6EE0DC2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D9C978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二）</w:t>
            </w:r>
          </w:p>
        </w:tc>
        <w:tc>
          <w:tcPr>
            <w:tcW w:w="428" w:type="pct"/>
            <w:tcBorders>
              <w:top w:val="nil"/>
              <w:left w:val="nil"/>
              <w:bottom w:val="single" w:color="auto" w:sz="4" w:space="0"/>
              <w:right w:val="single" w:color="auto" w:sz="4" w:space="0"/>
            </w:tcBorders>
            <w:vAlign w:val="center"/>
          </w:tcPr>
          <w:p w14:paraId="26E7CE8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业务性能可视化智能管理系统</w:t>
            </w:r>
          </w:p>
        </w:tc>
        <w:tc>
          <w:tcPr>
            <w:tcW w:w="3798" w:type="pct"/>
            <w:gridSpan w:val="2"/>
            <w:tcBorders>
              <w:top w:val="nil"/>
              <w:left w:val="nil"/>
              <w:bottom w:val="single" w:color="auto" w:sz="4" w:space="0"/>
              <w:right w:val="single" w:color="auto" w:sz="4" w:space="0"/>
            </w:tcBorders>
            <w:vAlign w:val="center"/>
          </w:tcPr>
          <w:p w14:paraId="2B409639">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业务性能可视化智能管理系统以软件形式部署，主要对采集探针进行统一管控，并将探针的分析结果进行集中统一展示，实现探针的全局可视化运维。平台主要具备跨节点数据聚合能力，可将所有分析节点的业务数据进行统一汇总、关联分析，形成全局视角的流量与业务态势视图。</w:t>
            </w:r>
          </w:p>
          <w:p w14:paraId="7529A5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支持绘制关键业务系统服务路径图功能，能够将组成一个业务系统的各个应用组件之间的逻辑关系以图形化方式呈现。支持对服务路径图上每个业务系统各环节的性能指标进行监控分析，可监控的指标至少包含：客户端/服务器TCP小窗口数、创建/关闭/活动会话数、客户端/服务器慢连接次数、响应时间、连接建立时间、警报、客户端个数等关键指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2、支持创建自动巡检任务，可自定义每周、每月、每季度自动对探针设备进行巡检，巡检内容至少包括：CPU利用率趋势、CPU温度趋势图、内存利用率、前端丢包趋势图、硬盘吞吐趋势图等内容；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支持指标智能分析功能，能够将同一个应用在不同采集点的数据进行关联分析，自动分析应用在不同采集点的时延、自动判断应用中出现的丢包节点并以直观视图展示，能够以分组的方式提供关键性能指标趋势图，指标分组能够区分网络性能、主机性能、应用性能，能够在同一个指标趋势图中同时展示不同采集点的指标数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4、支持AI赋能溯源分析，基于运维AI智能体提供数据质量AI分析能力，它可以对链路、应用、IP 会话对象进行网络可用性、网络性能、应用可用性、应用性能维度的网络和应用质量情况进行智能自主规划分析，并输出相关问题会话以及相关问题指标信息。对海量TCP会话数据、服务访问数据进行网络健康度、应用健康度维度的网络和应用质量情况进行自主规划分析，输出智能分析结论，并可基于分析结论进行知识库案例研判，输出包括故障异常描述、故障影响对象、故障分析建议的完整性分析报告。</w:t>
            </w:r>
          </w:p>
          <w:p w14:paraId="25E047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支持数据包解码分析，在不依赖第三方工具的情况能在Web页面上直接打开数据包进行分析；数据包解码提供时序图分析功能，能够图形化显示TCP会话中的数据交互传输过程，能够图形化显示数据传输中的时间间隔，能够将任意数据包设置为相对基准时间。支持时间差大于、等于、小于、范围等逻辑标记或者筛选数据包。在线解码报文支持报文的在线过滤，需兼容Wireshark filter语法、追踪流。 支持智能诊断，支持至少40项诊断，不限于TLS未知CA，TLS缺少证书、TLS自签名证书、TCP乱序、0窗口、快速重传、TCP连接被拒绝等，支持数据包的文件还原，包括FTP、HTTP、SMB、TFTP等，支持数据包的元数据提取，包括HTTP、DNS、TLS协议支持TLS的证书还原。</w:t>
            </w:r>
          </w:p>
          <w:p w14:paraId="31AF4E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回溯分析，能从IP地址、IP会话、TCP会话、UDP会话、虚拟网、端口、资产网段等17个维度对流量数据进行分析，维度之间可以进行多级钻取，支持报文下载与在线解码分析；支持在线数据包特征回查功能，通过输入数据包特征规则，在无需下载数据包的情况下可回查历史数据包命中特征情况。数据包特征规则支持根据协议、源目的IP、源目的端口、数据包大小、数据包内容、特征表达式等多条件组合创建回查任务。支持告警模拟测试，能对配置规则进行模拟告警以评估配置规则的合理性，支持和第三方实名制认证平台对接。</w:t>
            </w:r>
          </w:p>
          <w:p w14:paraId="3290ADD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支持监控看板、大屏、报表，支持内置看板和自定义看板，实时展示性能态势、专线监控、流量态势、资产态势等视图，可以灵活拖拽自定义监控看板视图，支持内置大屏和自定义大屏，实时展示性能态势、专线监控、流量态势、资产态势等大屏，可以灵活拖拽自定义监控大屏视图，支持内置报表和自定义报表，内置报表支持IP地址应用流量报表、MAC地址流量报表、VOIP报表、全局应用流量报表、全网流量概要报表、内网IP流量报表、告警统计报表、外网IP流量报表、子链路专线报表、应用交易质量报表、应用质量报表、行为分析报表、资产地区网段流量报表、链路专线报表、链路流量报表。支持自定义报表，通过拖拽组件、自定义数据源等方式定义。</w:t>
            </w:r>
          </w:p>
          <w:p w14:paraId="3DDB26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画像分析，支持任意IP地址点击进入画像或者输入IP地址进入画像，画像包括IP的流量趋势图、资产信息，分析维度包括性能分析、应用流量、IP会话、访问端口、地区网段、访问关系、域名、Web、文件、邮件、TLS加密流量、告警等维度进行分析、支持任意域名点击进入画像或者输入域名、子域名进入画像，支持动态域名分析；支持请求次数趋势、流量趋势、客户端/服务端TOP；支持从DNS客户端、服务端、解析IP、DNS日志、关联会话、Web访问、访问关系等维度进行画像分析、支持自动识别 API 资产，展示 API 资产总数、请求总数、关联服务器数量，以及正常响应与错误响应的实时计数，支持从客户端和服务端两个维度对 API 访问次数进行排行，快速锁定高频调用源与目标</w:t>
            </w:r>
          </w:p>
          <w:p w14:paraId="4F4285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w:t>
            </w:r>
            <w:r>
              <w:rPr>
                <w:rFonts w:hint="eastAsia" w:ascii="宋体" w:hAnsi="宋体" w:cs="宋体"/>
                <w:color w:val="auto"/>
                <w:kern w:val="0"/>
                <w:sz w:val="18"/>
                <w:szCs w:val="18"/>
                <w:highlight w:val="none"/>
              </w:rPr>
              <w:t>、支持元数据日志分析，包括数据库、账号、DNS、FTP、TLS/SSL、文件、登录、HTTP、Email、SMB、SSH、Socks5、ICMP、Telnet、SIP</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支持对上述日志进行从源IP、目的IP等维度的TOP统计，统计参数可自定义。支持通过与或非多条件组合对日志进行搜索，支持日志关联会话日志。支持日志在线数据包解码。</w:t>
            </w:r>
          </w:p>
          <w:p w14:paraId="4FDE93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r>
              <w:rPr>
                <w:rFonts w:hint="eastAsia" w:ascii="宋体" w:hAnsi="宋体" w:cs="宋体"/>
                <w:color w:val="auto"/>
                <w:kern w:val="0"/>
                <w:sz w:val="18"/>
                <w:szCs w:val="18"/>
                <w:highlight w:val="none"/>
              </w:rPr>
              <w:t>、支持将多个探针上的链路组合成多种聚合链路，能根据聚合链路进行单独分析。</w:t>
            </w:r>
          </w:p>
        </w:tc>
        <w:tc>
          <w:tcPr>
            <w:tcW w:w="145" w:type="pct"/>
            <w:tcBorders>
              <w:top w:val="nil"/>
              <w:left w:val="nil"/>
              <w:bottom w:val="single" w:color="auto" w:sz="4" w:space="0"/>
              <w:right w:val="single" w:color="auto" w:sz="4" w:space="0"/>
            </w:tcBorders>
            <w:noWrap/>
            <w:vAlign w:val="center"/>
          </w:tcPr>
          <w:p w14:paraId="595673B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208" w:type="pct"/>
            <w:tcBorders>
              <w:top w:val="nil"/>
              <w:left w:val="nil"/>
              <w:bottom w:val="single" w:color="auto" w:sz="4" w:space="0"/>
              <w:right w:val="single" w:color="auto" w:sz="4" w:space="0"/>
            </w:tcBorders>
            <w:noWrap/>
            <w:vAlign w:val="center"/>
          </w:tcPr>
          <w:p w14:paraId="1DBFF09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r>
      <w:tr w14:paraId="523714D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E1A51C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三）</w:t>
            </w:r>
          </w:p>
        </w:tc>
        <w:tc>
          <w:tcPr>
            <w:tcW w:w="428" w:type="pct"/>
            <w:tcBorders>
              <w:top w:val="nil"/>
              <w:left w:val="nil"/>
              <w:bottom w:val="single" w:color="auto" w:sz="4" w:space="0"/>
              <w:right w:val="single" w:color="auto" w:sz="4" w:space="0"/>
            </w:tcBorders>
            <w:vAlign w:val="center"/>
          </w:tcPr>
          <w:p w14:paraId="6570904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NAT日志收集与分析系统</w:t>
            </w:r>
          </w:p>
        </w:tc>
        <w:tc>
          <w:tcPr>
            <w:tcW w:w="3798" w:type="pct"/>
            <w:gridSpan w:val="2"/>
            <w:tcBorders>
              <w:top w:val="nil"/>
              <w:left w:val="nil"/>
              <w:bottom w:val="single" w:color="auto" w:sz="4" w:space="0"/>
              <w:right w:val="single" w:color="auto" w:sz="4" w:space="0"/>
            </w:tcBorders>
            <w:vAlign w:val="center"/>
          </w:tcPr>
          <w:p w14:paraId="748D9301">
            <w:pPr>
              <w:pStyle w:val="32"/>
              <w:ind w:firstLine="360" w:firstLineChars="200"/>
              <w:rPr>
                <w:rFonts w:hint="eastAsia" w:ascii="宋体" w:hAnsi="宋体" w:cs="宋体"/>
                <w:color w:val="auto"/>
                <w:highlight w:val="none"/>
              </w:rPr>
            </w:pPr>
            <w:r>
              <w:rPr>
                <w:rFonts w:hint="eastAsia" w:ascii="宋体" w:hAnsi="宋体" w:cs="宋体"/>
                <w:color w:val="auto"/>
                <w:highlight w:val="none"/>
              </w:rPr>
              <w:t>NAT日志收集与分析系统</w:t>
            </w:r>
            <w:r>
              <w:rPr>
                <w:rFonts w:hint="eastAsia" w:ascii="宋体" w:hAnsi="宋体" w:cs="宋体"/>
                <w:color w:val="auto"/>
                <w:highlight w:val="none"/>
                <w:lang w:val="en-US" w:eastAsia="zh-CN"/>
              </w:rPr>
              <w:t>以软件形式部署，</w:t>
            </w:r>
            <w:r>
              <w:rPr>
                <w:rFonts w:hint="eastAsia" w:ascii="宋体" w:hAnsi="宋体" w:cs="宋体"/>
                <w:color w:val="auto"/>
                <w:highlight w:val="none"/>
              </w:rPr>
              <w:t>通过对日志的采集、处理、存储、备份、查询统计、合规报表以及关联分析，实现海量NAT日志的全生命周期管理。</w:t>
            </w:r>
          </w:p>
          <w:p w14:paraId="34E00012">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提供1套管理节点和8套分布式采集节点，日志源共≥500个；日志采集处理均值≥20000EPS，峰值≥35000EPS。</w:t>
            </w:r>
          </w:p>
          <w:p w14:paraId="109C279F">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支持飞腾、海光</w:t>
            </w:r>
            <w:r>
              <w:rPr>
                <w:rFonts w:hint="eastAsia" w:ascii="宋体" w:hAnsi="宋体" w:cs="宋体"/>
                <w:color w:val="auto"/>
                <w:kern w:val="0"/>
                <w:sz w:val="18"/>
                <w:szCs w:val="18"/>
                <w:highlight w:val="none"/>
                <w:lang w:val="en-US" w:eastAsia="zh-CN"/>
              </w:rPr>
              <w:t>等国产CPU、支持</w:t>
            </w:r>
            <w:r>
              <w:rPr>
                <w:rFonts w:hint="eastAsia" w:ascii="宋体" w:hAnsi="宋体" w:cs="宋体"/>
                <w:color w:val="auto"/>
                <w:kern w:val="0"/>
                <w:sz w:val="18"/>
                <w:szCs w:val="18"/>
                <w:highlight w:val="none"/>
              </w:rPr>
              <w:t>麒麟、统信等</w:t>
            </w:r>
            <w:r>
              <w:rPr>
                <w:rFonts w:hint="eastAsia" w:ascii="宋体" w:hAnsi="宋体" w:cs="宋体"/>
                <w:color w:val="auto"/>
                <w:kern w:val="0"/>
                <w:sz w:val="18"/>
                <w:szCs w:val="18"/>
                <w:highlight w:val="none"/>
                <w:lang w:val="en-US" w:eastAsia="zh-CN"/>
              </w:rPr>
              <w:t>国产</w:t>
            </w:r>
            <w:r>
              <w:rPr>
                <w:rFonts w:hint="eastAsia" w:ascii="宋体" w:hAnsi="宋体" w:cs="宋体"/>
                <w:color w:val="auto"/>
                <w:kern w:val="0"/>
                <w:sz w:val="18"/>
                <w:szCs w:val="18"/>
                <w:highlight w:val="none"/>
              </w:rPr>
              <w:t>操作系统。</w:t>
            </w:r>
          </w:p>
          <w:p w14:paraId="5E7D319E">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支持实时自动刷新每个日志源的实时日志列表，支持在实时日志界面通过选择过滤器来监视所关注的特定类型的日志，支持对每个日志源设置过滤条件规则，自动过滤无用日志。</w:t>
            </w:r>
          </w:p>
          <w:p w14:paraId="25B0E123">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支持通过Agent采集日志数据。</w:t>
            </w:r>
          </w:p>
          <w:p w14:paraId="19F20AC5">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支持Syslog、SNMP Trap、Netflow、JDBC、WMI、FTP、SFTP、SCP、文件等方式进行数据采集。</w:t>
            </w:r>
          </w:p>
          <w:p w14:paraId="54EA5A9F">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支持IPv6环境下部署产品。</w:t>
            </w:r>
          </w:p>
          <w:p w14:paraId="183CD071">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支持对日志流量非常大但是日志重要程度低的syslog类型日志源进行限制接收速率，降低对系统资源的占用，保障重要日志的收集。</w:t>
            </w:r>
          </w:p>
          <w:p w14:paraId="56D2B5AC">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支持安全设备、网络设备、中间件、服务器、数据库、操作系统、业务系统等日志数据采集。</w:t>
            </w:r>
          </w:p>
          <w:p w14:paraId="17A34E1A">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支持首页展示日志采集总量统计，可按不同日志源种类分类显示日志总量及大小，并支持导出。</w:t>
            </w:r>
          </w:p>
          <w:p w14:paraId="453EFAB6">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支持独立展示每个被采集源最近24小时的日志数量趋势，便于掌握设备的安全事件情况，支持独立展示每个设备日志的最新采集时间，便于了解设备日志的采集状态。</w:t>
            </w:r>
          </w:p>
          <w:p w14:paraId="4B6147A7">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支持识别解析IPv6地址。</w:t>
            </w:r>
          </w:p>
          <w:p w14:paraId="3F8BF174">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支持根据设备重要程度设置独立设置每个被采集源的日志、报表数据存储时间为1个月、3个月、6个月和永久保存等参数。</w:t>
            </w:r>
          </w:p>
          <w:p w14:paraId="43205186">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支持对常用查询条件进行保存，可重复使用；支持查询条件缓存，通过快速调用系统右侧隐藏栏中缓存的查询条件，提升常用条件的检索速度。</w:t>
            </w:r>
          </w:p>
          <w:p w14:paraId="694F6C9D">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支持为不同类型日志设置不同的查询条件和显示条件。</w:t>
            </w:r>
          </w:p>
          <w:p w14:paraId="0175D98E">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支持展示日志查询情况，包括查询条件命中数、日志总量、查询耗时等信息。</w:t>
            </w:r>
          </w:p>
          <w:p w14:paraId="68BCC7FC">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支持首页以全国地图、全球地图展示最近24小时日志访问源和访问目的的分布，能根据颜色区分访问来源和访问目的数据量大小，能够通过首页地图快速下钻查询指定区域的日志详细信息。</w:t>
            </w:r>
          </w:p>
          <w:p w14:paraId="6F7F96A7">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17.</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支持基于时间轴展示日志数据分布，能够通过时间轴进行查询分析。</w:t>
            </w:r>
          </w:p>
          <w:p w14:paraId="24B68E52">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18.</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支持多种运维管理工具，可对日志源进行HTTP、HTTPS、SSH、SFTP、FTP等操作。</w:t>
            </w:r>
          </w:p>
          <w:p w14:paraId="7D06A364">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19.</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支持首页展示当日告警情况统计；支持展示当日最新告警TOP10、TOP30和TOP50等排名情况。</w:t>
            </w:r>
          </w:p>
          <w:p w14:paraId="78822941">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支持实时告警展示，可根据告警规则、告警级别两个维度进行实时告警监视，并可对刷新事件间隔进行设定。</w:t>
            </w:r>
          </w:p>
          <w:p w14:paraId="2357689B">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21.</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内置系统运行相关告警规则，包括检测到新日志源、节点掉线、主动日志源长期不外发日志、存储上限告警、主机认证失败等，可启用/禁用规则。</w:t>
            </w:r>
          </w:p>
          <w:p w14:paraId="4BD184CD">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22.</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支持基于时间轴展示告警数据分布，能够通过时间轴进行查询分析。</w:t>
            </w:r>
          </w:p>
          <w:p w14:paraId="4826467B">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23.</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支持根据告警级别、告警规则类型、规则名称、时间范围、事件名称、设备IP、源IP、目的IP等方式快速检索安全事件告警，检索结果支持Excel等格式导出。</w:t>
            </w:r>
          </w:p>
          <w:p w14:paraId="4E071C8F">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24.</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支持邮件、Snmp Trap、声音、声光、短信、一信通响应、数据库响应等多种告警方式，支持报警内容引用字段变量参数。</w:t>
            </w:r>
          </w:p>
          <w:p w14:paraId="4BEF452C">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25.</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系统内置报表</w:t>
            </w:r>
            <w:r>
              <w:rPr>
                <w:rFonts w:hint="eastAsia" w:ascii="宋体" w:hAnsi="宋体" w:cs="宋体"/>
                <w:color w:val="auto"/>
                <w:kern w:val="0"/>
                <w:sz w:val="18"/>
                <w:szCs w:val="18"/>
                <w:highlight w:val="none"/>
                <w:lang w:val="en-US" w:eastAsia="zh-CN"/>
              </w:rPr>
              <w:t>模板</w:t>
            </w:r>
            <w:r>
              <w:rPr>
                <w:rFonts w:hint="eastAsia" w:ascii="宋体" w:hAnsi="宋体" w:cs="宋体"/>
                <w:color w:val="auto"/>
                <w:kern w:val="0"/>
                <w:sz w:val="18"/>
                <w:szCs w:val="18"/>
                <w:highlight w:val="none"/>
              </w:rPr>
              <w:t>，支持自动实现智能报表创建，每添加一个日志源，系统自动分析日志源类型进行相应报表创建，无需人工干预，报表和资产一一对应。</w:t>
            </w:r>
          </w:p>
          <w:p w14:paraId="1A6FBFFB">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26.</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支持自定义统计日志数据形成报表，支持统计分析报表以PDF、word、excle、html等方式导出；支持实时报表、计划报表。</w:t>
            </w:r>
          </w:p>
          <w:p w14:paraId="505C7F0E">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27.</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支持手动添加日志源，管理员可以对日志源进行查看、批量修改、添加、编辑、删除以及启\禁用的操作。</w:t>
            </w:r>
          </w:p>
          <w:p w14:paraId="53046A07">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28.</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支持对重点日志源的关注设置，并可通过关注列表快速查看重点日志源的状态、当日日志量、采集日志总量、最近接收时间、业务组等基础信息。</w:t>
            </w:r>
          </w:p>
          <w:p w14:paraId="32B5057D">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29.</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支持以业务角度将日志源进行分组，支持在日志查询时以业务组进行查询，支持在首页拓扑展示时以业务组进行展示。</w:t>
            </w:r>
          </w:p>
          <w:p w14:paraId="50C60816">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支持基于拓扑图的日志源相关数据信息快速查看；支持通过拓扑下钻查看对应日志源的日志、报表、告警数据。</w:t>
            </w:r>
          </w:p>
          <w:p w14:paraId="002D5B65">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31.</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系统内置多种维度的数据在线分析模型，在数据查询结果界面直接对查询结果数据进行多维度在线数据分析，分析结果实时展示，分析模型包括但不限于树图、关系图、折线图、时序图、柱状图等。</w:t>
            </w:r>
          </w:p>
          <w:p w14:paraId="05EA12A5">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32.</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知识库包含常见典型日志事件描述，支持自定义增加日志</w:t>
            </w:r>
            <w:r>
              <w:rPr>
                <w:rFonts w:hint="eastAsia" w:ascii="宋体" w:hAnsi="宋体" w:cs="宋体"/>
                <w:color w:val="auto"/>
                <w:kern w:val="0"/>
                <w:sz w:val="18"/>
                <w:szCs w:val="18"/>
                <w:highlight w:val="none"/>
                <w:lang w:val="en-US" w:eastAsia="zh-CN"/>
              </w:rPr>
              <w:t>事件</w:t>
            </w:r>
            <w:r>
              <w:rPr>
                <w:rFonts w:hint="eastAsia" w:ascii="宋体" w:hAnsi="宋体" w:cs="宋体"/>
                <w:color w:val="auto"/>
                <w:kern w:val="0"/>
                <w:sz w:val="18"/>
                <w:szCs w:val="18"/>
                <w:highlight w:val="none"/>
              </w:rPr>
              <w:t>内容描述，支持在配置告警规则时关联知识库内规则。</w:t>
            </w:r>
          </w:p>
          <w:p w14:paraId="1698D81E">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33.</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系统具有防恶意暴力破解账号与口令功能，口令错误次数可设置，超过错误次数锁定，锁定时间可设置。</w:t>
            </w:r>
          </w:p>
          <w:p w14:paraId="078E983E">
            <w:pPr>
              <w:rPr>
                <w:color w:val="auto"/>
                <w:highlight w:val="none"/>
              </w:rPr>
            </w:pPr>
            <w:r>
              <w:rPr>
                <w:rFonts w:hint="eastAsia" w:ascii="宋体" w:hAnsi="宋体" w:cs="宋体"/>
                <w:color w:val="auto"/>
                <w:kern w:val="0"/>
                <w:sz w:val="18"/>
                <w:szCs w:val="18"/>
                <w:highlight w:val="none"/>
              </w:rPr>
              <w:t>34.</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支持将常用IP地址或IP地址网段标记为自定义名称，在日志查询界面可以在IP列中对应悬浮显示自定义名称。</w:t>
            </w:r>
          </w:p>
        </w:tc>
        <w:tc>
          <w:tcPr>
            <w:tcW w:w="145" w:type="pct"/>
            <w:tcBorders>
              <w:top w:val="nil"/>
              <w:left w:val="nil"/>
              <w:bottom w:val="single" w:color="auto" w:sz="4" w:space="0"/>
              <w:right w:val="single" w:color="auto" w:sz="4" w:space="0"/>
            </w:tcBorders>
            <w:noWrap/>
            <w:vAlign w:val="center"/>
          </w:tcPr>
          <w:p w14:paraId="6052779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208" w:type="pct"/>
            <w:tcBorders>
              <w:top w:val="nil"/>
              <w:left w:val="nil"/>
              <w:bottom w:val="single" w:color="auto" w:sz="4" w:space="0"/>
              <w:right w:val="single" w:color="auto" w:sz="4" w:space="0"/>
            </w:tcBorders>
            <w:noWrap/>
            <w:vAlign w:val="center"/>
          </w:tcPr>
          <w:p w14:paraId="3BAC75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r>
      <w:tr w14:paraId="0600972F">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63475CA">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八</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noWrap/>
            <w:vAlign w:val="center"/>
          </w:tcPr>
          <w:p w14:paraId="7535AD4F">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安全运营服务体系</w:t>
            </w:r>
          </w:p>
        </w:tc>
        <w:tc>
          <w:tcPr>
            <w:tcW w:w="3798" w:type="pct"/>
            <w:gridSpan w:val="2"/>
            <w:tcBorders>
              <w:top w:val="nil"/>
              <w:left w:val="nil"/>
              <w:bottom w:val="single" w:color="auto" w:sz="4" w:space="0"/>
              <w:right w:val="single" w:color="auto" w:sz="4" w:space="0"/>
            </w:tcBorders>
            <w:shd w:val="clear" w:color="auto" w:fill="auto"/>
            <w:noWrap/>
            <w:vAlign w:val="center"/>
          </w:tcPr>
          <w:p w14:paraId="68995745">
            <w:pPr>
              <w:pStyle w:val="32"/>
              <w:ind w:firstLine="360" w:firstLineChars="200"/>
              <w:rPr>
                <w:rFonts w:hint="eastAsia" w:ascii="Times New Roman" w:hAnsi="Times New Roman" w:eastAsia="宋体" w:cs="Times New Roman"/>
                <w:color w:val="auto"/>
                <w:kern w:val="0"/>
                <w:szCs w:val="18"/>
                <w:highlight w:val="none"/>
                <w:lang w:val="en-US" w:eastAsia="zh-CN"/>
              </w:rPr>
            </w:pPr>
            <w:r>
              <w:rPr>
                <w:rFonts w:hint="eastAsia"/>
                <w:color w:val="auto"/>
                <w:highlight w:val="none"/>
                <w:lang w:val="en-GB"/>
              </w:rPr>
              <w:t>建立一套安全运营服务体系，将安全运营服务制度化、流程化和标准化，支撑自治区数字政府一体安全运营工作的开展，实现7*24小时一体安全运营，通过安全运营服务体系，开展日常网络和数据安全监测研判、人工智能模型部署和运行安全检测、威胁情报收集处理、安全事件通报及应急处置工作。并按专项工作要求，配备专项工作支撑人员，落实自治区数据局开展全区攻防演练、渗透测试、数据安全现场检查，支撑网络和数据安全事件调查取证、安全培训等工作，按要求落实全年各项重保服务工作，并完成政务外网安全设备与系统的运维和维保工作，应用安全大模型，提升安全运营团队能力，持续提升一体安全运营能力和成熟度，保障“云、网、端、用、数”一体安全。</w:t>
            </w:r>
            <w:r>
              <w:rPr>
                <w:rFonts w:hint="eastAsia"/>
                <w:color w:val="auto"/>
                <w:highlight w:val="none"/>
                <w:lang w:val="en-US" w:eastAsia="zh-CN"/>
              </w:rPr>
              <w:t>安全运营服务体系包括</w:t>
            </w:r>
            <w:r>
              <w:rPr>
                <w:rFonts w:hint="eastAsia" w:ascii="Times New Roman" w:hAnsi="Times New Roman" w:cs="Times New Roman"/>
                <w:color w:val="auto"/>
                <w:kern w:val="0"/>
                <w:sz w:val="18"/>
                <w:szCs w:val="18"/>
                <w:highlight w:val="none"/>
              </w:rPr>
              <w:t>综合安全运营服务</w:t>
            </w:r>
            <w:r>
              <w:rPr>
                <w:rFonts w:hint="eastAsia" w:ascii="Times New Roman" w:hAnsi="Times New Roman" w:cs="Times New Roman"/>
                <w:color w:val="auto"/>
                <w:kern w:val="0"/>
                <w:sz w:val="18"/>
                <w:szCs w:val="18"/>
                <w:highlight w:val="none"/>
                <w:lang w:eastAsia="zh-CN"/>
              </w:rPr>
              <w:t>、</w:t>
            </w:r>
            <w:r>
              <w:rPr>
                <w:rFonts w:hint="eastAsia" w:ascii="Times New Roman" w:hAnsi="Times New Roman" w:cs="Times New Roman"/>
                <w:color w:val="auto"/>
                <w:kern w:val="0"/>
                <w:sz w:val="18"/>
                <w:szCs w:val="18"/>
                <w:highlight w:val="none"/>
              </w:rPr>
              <w:t>专项服务</w:t>
            </w:r>
            <w:r>
              <w:rPr>
                <w:rFonts w:hint="eastAsia" w:ascii="Times New Roman" w:hAnsi="Times New Roman" w:cs="Times New Roman"/>
                <w:color w:val="auto"/>
                <w:kern w:val="0"/>
                <w:sz w:val="18"/>
                <w:szCs w:val="18"/>
                <w:highlight w:val="none"/>
                <w:lang w:eastAsia="zh-CN"/>
              </w:rPr>
              <w:t>、</w:t>
            </w:r>
            <w:r>
              <w:rPr>
                <w:rFonts w:hint="eastAsia" w:ascii="Times New Roman" w:hAnsi="Times New Roman" w:cs="Times New Roman"/>
                <w:color w:val="auto"/>
                <w:kern w:val="0"/>
                <w:sz w:val="18"/>
                <w:szCs w:val="18"/>
                <w:highlight w:val="none"/>
                <w:lang w:val="en-US" w:eastAsia="zh-CN"/>
              </w:rPr>
              <w:t>安全运营中心团队和软硬件维保服务共4个部分，具体</w:t>
            </w:r>
            <w:r>
              <w:rPr>
                <w:rFonts w:hint="eastAsia" w:cs="Times New Roman"/>
                <w:color w:val="auto"/>
                <w:kern w:val="0"/>
                <w:sz w:val="18"/>
                <w:szCs w:val="18"/>
                <w:highlight w:val="none"/>
                <w:lang w:val="en-US" w:eastAsia="zh-CN"/>
              </w:rPr>
              <w:t>内容或产品</w:t>
            </w:r>
            <w:r>
              <w:rPr>
                <w:rFonts w:hint="eastAsia" w:ascii="Times New Roman" w:hAnsi="Times New Roman" w:cs="Times New Roman"/>
                <w:color w:val="auto"/>
                <w:kern w:val="0"/>
                <w:sz w:val="18"/>
                <w:szCs w:val="18"/>
                <w:highlight w:val="none"/>
                <w:lang w:val="en-US" w:eastAsia="zh-CN"/>
              </w:rPr>
              <w:t>要求如下：</w:t>
            </w:r>
          </w:p>
        </w:tc>
        <w:tc>
          <w:tcPr>
            <w:tcW w:w="145" w:type="pct"/>
            <w:tcBorders>
              <w:top w:val="nil"/>
              <w:left w:val="nil"/>
              <w:bottom w:val="single" w:color="auto" w:sz="4" w:space="0"/>
              <w:right w:val="single" w:color="auto" w:sz="4" w:space="0"/>
            </w:tcBorders>
            <w:noWrap/>
            <w:vAlign w:val="center"/>
          </w:tcPr>
          <w:p w14:paraId="24D006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noWrap/>
            <w:vAlign w:val="center"/>
          </w:tcPr>
          <w:p w14:paraId="1E44C9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项</w:t>
            </w:r>
          </w:p>
        </w:tc>
      </w:tr>
      <w:tr w14:paraId="1BA9D2DE">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52A9024">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w:t>
            </w:r>
          </w:p>
        </w:tc>
        <w:tc>
          <w:tcPr>
            <w:tcW w:w="428" w:type="pct"/>
            <w:tcBorders>
              <w:top w:val="nil"/>
              <w:left w:val="nil"/>
              <w:bottom w:val="single" w:color="auto" w:sz="4" w:space="0"/>
              <w:right w:val="single" w:color="auto" w:sz="4" w:space="0"/>
            </w:tcBorders>
            <w:noWrap/>
            <w:vAlign w:val="center"/>
          </w:tcPr>
          <w:p w14:paraId="385EFDF3">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综合安全运营服务</w:t>
            </w:r>
          </w:p>
        </w:tc>
        <w:tc>
          <w:tcPr>
            <w:tcW w:w="3798" w:type="pct"/>
            <w:gridSpan w:val="2"/>
            <w:tcBorders>
              <w:top w:val="nil"/>
              <w:left w:val="nil"/>
              <w:bottom w:val="single" w:color="auto" w:sz="4" w:space="0"/>
              <w:right w:val="single" w:color="auto" w:sz="4" w:space="0"/>
            </w:tcBorders>
            <w:shd w:val="clear" w:color="auto" w:fill="auto"/>
            <w:noWrap/>
            <w:vAlign w:val="center"/>
          </w:tcPr>
          <w:p w14:paraId="7B5EB876">
            <w:pPr>
              <w:pStyle w:val="32"/>
              <w:rPr>
                <w:rFonts w:hint="eastAsia" w:ascii="Times New Roman" w:hAnsi="Times New Roman" w:cs="Times New Roman"/>
                <w:color w:val="auto"/>
                <w:kern w:val="0"/>
                <w:szCs w:val="18"/>
                <w:highlight w:val="none"/>
              </w:rPr>
            </w:pPr>
            <w:r>
              <w:rPr>
                <w:rFonts w:hint="eastAsia" w:ascii="Times New Roman" w:hAnsi="Times New Roman" w:cs="Times New Roman"/>
                <w:color w:val="auto"/>
                <w:kern w:val="0"/>
                <w:szCs w:val="18"/>
                <w:highlight w:val="none"/>
              </w:rPr>
              <w:t>综合安全运营服务包含资产安全测绘服务、安全漏洞管理服务、安全情报采集服务、基线核查服务、漏洞评估服务及闭环处置、web漏洞扫描服务、安全监测分析服务、流量安全检测服务、安全日志采集服务、密码运营服务、突发热点事件响应、网络和数据安全通报服务、APT威胁分析服务、弱口令专项整治、人工智能安全基座运营和综合管理运营等服务，涵盖了广西数字政府一体安全的日常服务</w:t>
            </w:r>
            <w:r>
              <w:rPr>
                <w:rFonts w:hint="eastAsia" w:cs="Times New Roman"/>
                <w:color w:val="auto"/>
                <w:kern w:val="0"/>
                <w:szCs w:val="18"/>
                <w:highlight w:val="none"/>
                <w:lang w:eastAsia="zh-CN"/>
              </w:rPr>
              <w:t>，</w:t>
            </w:r>
            <w:r>
              <w:rPr>
                <w:rFonts w:hint="eastAsia" w:cs="Times New Roman"/>
                <w:color w:val="auto"/>
                <w:kern w:val="0"/>
                <w:szCs w:val="18"/>
                <w:highlight w:val="none"/>
                <w:lang w:val="en-US" w:eastAsia="zh-CN"/>
              </w:rPr>
              <w:t>具体服务内容如下：</w:t>
            </w:r>
          </w:p>
        </w:tc>
        <w:tc>
          <w:tcPr>
            <w:tcW w:w="145" w:type="pct"/>
            <w:tcBorders>
              <w:top w:val="nil"/>
              <w:left w:val="nil"/>
              <w:bottom w:val="single" w:color="auto" w:sz="4" w:space="0"/>
              <w:right w:val="single" w:color="auto" w:sz="4" w:space="0"/>
            </w:tcBorders>
            <w:noWrap/>
            <w:vAlign w:val="center"/>
          </w:tcPr>
          <w:p w14:paraId="3B93F8E6">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1614DD9C">
            <w:pPr>
              <w:widowControl/>
              <w:jc w:val="left"/>
              <w:rPr>
                <w:rFonts w:hint="eastAsia" w:ascii="宋体" w:hAnsi="宋体" w:cs="宋体"/>
                <w:color w:val="auto"/>
                <w:kern w:val="0"/>
                <w:sz w:val="18"/>
                <w:szCs w:val="18"/>
                <w:highlight w:val="none"/>
              </w:rPr>
            </w:pPr>
          </w:p>
        </w:tc>
      </w:tr>
      <w:tr w14:paraId="43B90032">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D3141B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428" w:type="pct"/>
            <w:tcBorders>
              <w:top w:val="nil"/>
              <w:left w:val="nil"/>
              <w:bottom w:val="single" w:color="auto" w:sz="4" w:space="0"/>
              <w:right w:val="single" w:color="auto" w:sz="4" w:space="0"/>
            </w:tcBorders>
            <w:noWrap/>
            <w:vAlign w:val="center"/>
          </w:tcPr>
          <w:p w14:paraId="4FFC76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资产安全测绘服务</w:t>
            </w:r>
          </w:p>
        </w:tc>
        <w:tc>
          <w:tcPr>
            <w:tcW w:w="3798" w:type="pct"/>
            <w:gridSpan w:val="2"/>
            <w:tcBorders>
              <w:top w:val="nil"/>
              <w:left w:val="nil"/>
              <w:bottom w:val="single" w:color="auto" w:sz="4" w:space="0"/>
              <w:right w:val="single" w:color="auto" w:sz="4" w:space="0"/>
            </w:tcBorders>
            <w:vAlign w:val="center"/>
          </w:tcPr>
          <w:p w14:paraId="01D90D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通过专业的资产测绘工具从不同攻击路径上对自治区电子政务外网、政务云的联网基础设施资产开展资产网络空间测绘，结合人工梳理的方式，补充完善包括资产 IP 地址、端口、资产类型、网络协议、应用协议、网站域名、网站标题、操作系统类型及版本、数据库类型及版本、中间件类型及版本、应用框架及版本、开发语言及版本、UI 框架及版本等属性。</w:t>
            </w:r>
          </w:p>
          <w:p w14:paraId="1B7DE0B6">
            <w:pPr>
              <w:pStyle w:val="32"/>
              <w:rPr>
                <w:color w:val="auto"/>
                <w:highlight w:val="none"/>
              </w:rPr>
            </w:pPr>
            <w:r>
              <w:rPr>
                <w:color w:val="auto"/>
                <w:highlight w:val="none"/>
              </w:rPr>
              <w:t>1.</w:t>
            </w:r>
            <w:r>
              <w:rPr>
                <w:rFonts w:hint="eastAsia"/>
                <w:color w:val="auto"/>
                <w:highlight w:val="none"/>
              </w:rPr>
              <w:t>工作内容</w:t>
            </w:r>
          </w:p>
          <w:p w14:paraId="10B1F185">
            <w:pPr>
              <w:pStyle w:val="32"/>
              <w:rPr>
                <w:color w:val="auto"/>
                <w:highlight w:val="none"/>
              </w:rPr>
            </w:pPr>
            <w:r>
              <w:rPr>
                <w:rFonts w:hint="eastAsia"/>
                <w:color w:val="auto"/>
                <w:highlight w:val="none"/>
              </w:rPr>
              <w:t>资产管理工作包含的重点工作内容：</w:t>
            </w:r>
          </w:p>
          <w:p w14:paraId="1E663CF2">
            <w:pPr>
              <w:pStyle w:val="32"/>
              <w:rPr>
                <w:color w:val="auto"/>
                <w:highlight w:val="none"/>
              </w:rPr>
            </w:pPr>
            <w:r>
              <w:rPr>
                <w:rFonts w:hint="eastAsia"/>
                <w:color w:val="auto"/>
                <w:highlight w:val="none"/>
              </w:rPr>
              <w:t>梳理内外网的主机设备、安全设备、应用系统等资产信息，协助建立完整的资产档案信息，维护资产分类和资产属性，从组织架构、业务分组等不同维度进行资产的维护和管理。针对不同的资产类别，有针对性地梳理资产的关键信息，保证资产信息的良好的可用性，具体梳理资产范围包括但不限于资产类型、</w:t>
            </w:r>
            <w:r>
              <w:rPr>
                <w:color w:val="auto"/>
                <w:highlight w:val="none"/>
              </w:rPr>
              <w:t>WEB</w:t>
            </w:r>
            <w:r>
              <w:rPr>
                <w:rFonts w:hint="eastAsia"/>
                <w:color w:val="auto"/>
                <w:highlight w:val="none"/>
              </w:rPr>
              <w:t>应用类型、中间件、开发语言、开放服务及互联网开放端口等信息。</w:t>
            </w:r>
          </w:p>
          <w:p w14:paraId="154AB379">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）主机类资产：</w:t>
            </w:r>
            <w:r>
              <w:rPr>
                <w:color w:val="auto"/>
                <w:highlight w:val="none"/>
              </w:rPr>
              <w:t>IP</w:t>
            </w:r>
            <w:r>
              <w:rPr>
                <w:rFonts w:hint="eastAsia"/>
                <w:color w:val="auto"/>
                <w:highlight w:val="none"/>
              </w:rPr>
              <w:t>、开放端口、中间件及版本（如：</w:t>
            </w:r>
            <w:r>
              <w:rPr>
                <w:color w:val="auto"/>
                <w:highlight w:val="none"/>
              </w:rPr>
              <w:t>Apache</w:t>
            </w:r>
            <w:r>
              <w:rPr>
                <w:rFonts w:hint="eastAsia"/>
                <w:color w:val="auto"/>
                <w:highlight w:val="none"/>
              </w:rPr>
              <w:t>、</w:t>
            </w:r>
            <w:r>
              <w:rPr>
                <w:color w:val="auto"/>
                <w:highlight w:val="none"/>
              </w:rPr>
              <w:t>Tomcat</w:t>
            </w:r>
            <w:r>
              <w:rPr>
                <w:rFonts w:hint="eastAsia"/>
                <w:color w:val="auto"/>
                <w:highlight w:val="none"/>
              </w:rPr>
              <w:t>、</w:t>
            </w:r>
            <w:r>
              <w:rPr>
                <w:color w:val="auto"/>
                <w:highlight w:val="none"/>
              </w:rPr>
              <w:t>WebLogic</w:t>
            </w:r>
            <w:r>
              <w:rPr>
                <w:rFonts w:hint="eastAsia"/>
                <w:color w:val="auto"/>
                <w:highlight w:val="none"/>
              </w:rPr>
              <w:t>、</w:t>
            </w:r>
            <w:r>
              <w:rPr>
                <w:color w:val="auto"/>
                <w:highlight w:val="none"/>
              </w:rPr>
              <w:t>Nginx</w:t>
            </w:r>
            <w:r>
              <w:rPr>
                <w:rFonts w:hint="eastAsia"/>
                <w:color w:val="auto"/>
                <w:highlight w:val="none"/>
              </w:rPr>
              <w:t>）、数据库及版本（如：</w:t>
            </w:r>
            <w:r>
              <w:rPr>
                <w:color w:val="auto"/>
                <w:highlight w:val="none"/>
              </w:rPr>
              <w:t>PostgreSQL</w:t>
            </w:r>
            <w:r>
              <w:rPr>
                <w:rFonts w:hint="eastAsia"/>
                <w:color w:val="auto"/>
                <w:highlight w:val="none"/>
              </w:rPr>
              <w:t>、</w:t>
            </w:r>
            <w:r>
              <w:rPr>
                <w:color w:val="auto"/>
                <w:highlight w:val="none"/>
              </w:rPr>
              <w:t>MySQL</w:t>
            </w:r>
            <w:r>
              <w:rPr>
                <w:rFonts w:hint="eastAsia"/>
                <w:color w:val="auto"/>
                <w:highlight w:val="none"/>
              </w:rPr>
              <w:t>、</w:t>
            </w:r>
            <w:r>
              <w:rPr>
                <w:color w:val="auto"/>
                <w:highlight w:val="none"/>
              </w:rPr>
              <w:t>SQL Server</w:t>
            </w:r>
            <w:r>
              <w:rPr>
                <w:rFonts w:hint="eastAsia"/>
                <w:color w:val="auto"/>
                <w:highlight w:val="none"/>
              </w:rPr>
              <w:t>、</w:t>
            </w:r>
            <w:r>
              <w:rPr>
                <w:color w:val="auto"/>
                <w:highlight w:val="none"/>
              </w:rPr>
              <w:t xml:space="preserve"> Oracle</w:t>
            </w:r>
            <w:r>
              <w:rPr>
                <w:rFonts w:hint="eastAsia"/>
                <w:color w:val="auto"/>
                <w:highlight w:val="none"/>
              </w:rPr>
              <w:t>）、承载业务、开发语言（如：</w:t>
            </w:r>
            <w:r>
              <w:rPr>
                <w:color w:val="auto"/>
                <w:highlight w:val="none"/>
              </w:rPr>
              <w:t>Java</w:t>
            </w:r>
            <w:r>
              <w:rPr>
                <w:rFonts w:hint="eastAsia"/>
                <w:color w:val="auto"/>
                <w:highlight w:val="none"/>
              </w:rPr>
              <w:t>、</w:t>
            </w:r>
            <w:r>
              <w:rPr>
                <w:color w:val="auto"/>
                <w:highlight w:val="none"/>
              </w:rPr>
              <w:t>PHP</w:t>
            </w:r>
            <w:r>
              <w:rPr>
                <w:rFonts w:hint="eastAsia"/>
                <w:color w:val="auto"/>
                <w:highlight w:val="none"/>
              </w:rPr>
              <w:t>）、操作系统（</w:t>
            </w:r>
            <w:r>
              <w:rPr>
                <w:color w:val="auto"/>
                <w:highlight w:val="none"/>
              </w:rPr>
              <w:t>Windows</w:t>
            </w:r>
            <w:r>
              <w:rPr>
                <w:rFonts w:hint="eastAsia"/>
                <w:color w:val="auto"/>
                <w:highlight w:val="none"/>
              </w:rPr>
              <w:t>、</w:t>
            </w:r>
            <w:r>
              <w:rPr>
                <w:color w:val="auto"/>
                <w:highlight w:val="none"/>
              </w:rPr>
              <w:t>Linux</w:t>
            </w:r>
            <w:r>
              <w:rPr>
                <w:rFonts w:hint="eastAsia"/>
                <w:color w:val="auto"/>
                <w:highlight w:val="none"/>
              </w:rPr>
              <w:t>）、安全域（如：开放区、核心区、隔离区）、是否面向互联网、责任人及部门等信息。</w:t>
            </w:r>
          </w:p>
          <w:p w14:paraId="63C4D911">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）安全设备类资产：</w:t>
            </w:r>
            <w:r>
              <w:rPr>
                <w:color w:val="auto"/>
                <w:highlight w:val="none"/>
              </w:rPr>
              <w:t>IP</w:t>
            </w:r>
            <w:r>
              <w:rPr>
                <w:rFonts w:hint="eastAsia"/>
                <w:color w:val="auto"/>
                <w:highlight w:val="none"/>
              </w:rPr>
              <w:t>、厂商、设备类型（如：</w:t>
            </w:r>
            <w:r>
              <w:rPr>
                <w:color w:val="auto"/>
                <w:highlight w:val="none"/>
              </w:rPr>
              <w:t>IDS</w:t>
            </w:r>
            <w:r>
              <w:rPr>
                <w:rFonts w:hint="eastAsia"/>
                <w:color w:val="auto"/>
                <w:highlight w:val="none"/>
              </w:rPr>
              <w:t>、</w:t>
            </w:r>
            <w:r>
              <w:rPr>
                <w:color w:val="auto"/>
                <w:highlight w:val="none"/>
              </w:rPr>
              <w:t>IPS</w:t>
            </w:r>
            <w:r>
              <w:rPr>
                <w:rFonts w:hint="eastAsia"/>
                <w:color w:val="auto"/>
                <w:highlight w:val="none"/>
              </w:rPr>
              <w:t>、</w:t>
            </w:r>
            <w:r>
              <w:rPr>
                <w:color w:val="auto"/>
                <w:highlight w:val="none"/>
              </w:rPr>
              <w:t>AV</w:t>
            </w:r>
            <w:r>
              <w:rPr>
                <w:rFonts w:hint="eastAsia"/>
                <w:color w:val="auto"/>
                <w:highlight w:val="none"/>
              </w:rPr>
              <w:t>、</w:t>
            </w:r>
            <w:r>
              <w:rPr>
                <w:color w:val="auto"/>
                <w:highlight w:val="none"/>
              </w:rPr>
              <w:t>UTM</w:t>
            </w:r>
            <w:r>
              <w:rPr>
                <w:rFonts w:hint="eastAsia"/>
                <w:color w:val="auto"/>
                <w:highlight w:val="none"/>
              </w:rPr>
              <w:t>、</w:t>
            </w:r>
            <w:r>
              <w:rPr>
                <w:color w:val="auto"/>
                <w:highlight w:val="none"/>
              </w:rPr>
              <w:t>WAF</w:t>
            </w:r>
            <w:r>
              <w:rPr>
                <w:rFonts w:hint="eastAsia"/>
                <w:color w:val="auto"/>
                <w:highlight w:val="none"/>
              </w:rPr>
              <w:t>）、型号、版本、责任人及部门。</w:t>
            </w:r>
          </w:p>
          <w:p w14:paraId="23F4968A">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）应用系统资产：应用系统资产信息识别内容包括：</w:t>
            </w:r>
          </w:p>
          <w:p w14:paraId="0A814F44">
            <w:pPr>
              <w:pStyle w:val="32"/>
              <w:rPr>
                <w:color w:val="auto"/>
                <w:highlight w:val="none"/>
              </w:rPr>
            </w:pPr>
            <w:r>
              <w:rPr>
                <w:color w:val="auto"/>
                <w:highlight w:val="none"/>
              </w:rPr>
              <w:t>a.</w:t>
            </w:r>
            <w:r>
              <w:rPr>
                <w:rFonts w:hint="eastAsia"/>
                <w:color w:val="auto"/>
                <w:highlight w:val="none"/>
              </w:rPr>
              <w:t>应用系统名称、开放服务及端口识别。</w:t>
            </w:r>
          </w:p>
          <w:p w14:paraId="15B9E422">
            <w:pPr>
              <w:pStyle w:val="32"/>
              <w:rPr>
                <w:color w:val="auto"/>
                <w:highlight w:val="none"/>
              </w:rPr>
            </w:pPr>
            <w:r>
              <w:rPr>
                <w:color w:val="auto"/>
                <w:highlight w:val="none"/>
              </w:rPr>
              <w:t>b.</w:t>
            </w:r>
            <w:r>
              <w:rPr>
                <w:rFonts w:hint="eastAsia"/>
                <w:color w:val="auto"/>
                <w:highlight w:val="none"/>
              </w:rPr>
              <w:t>应用系统资产</w:t>
            </w:r>
            <w:r>
              <w:rPr>
                <w:color w:val="auto"/>
                <w:highlight w:val="none"/>
              </w:rPr>
              <w:t>Web</w:t>
            </w:r>
            <w:r>
              <w:rPr>
                <w:rFonts w:hint="eastAsia"/>
                <w:color w:val="auto"/>
                <w:highlight w:val="none"/>
              </w:rPr>
              <w:t>应用识别。</w:t>
            </w:r>
          </w:p>
          <w:p w14:paraId="7671E098">
            <w:pPr>
              <w:pStyle w:val="32"/>
              <w:rPr>
                <w:color w:val="auto"/>
                <w:highlight w:val="none"/>
              </w:rPr>
            </w:pPr>
            <w:r>
              <w:rPr>
                <w:color w:val="auto"/>
                <w:highlight w:val="none"/>
              </w:rPr>
              <w:t>c.</w:t>
            </w:r>
            <w:r>
              <w:rPr>
                <w:rFonts w:hint="eastAsia"/>
                <w:color w:val="auto"/>
                <w:highlight w:val="none"/>
              </w:rPr>
              <w:t>应用系统资产</w:t>
            </w:r>
            <w:r>
              <w:rPr>
                <w:color w:val="auto"/>
                <w:highlight w:val="none"/>
              </w:rPr>
              <w:t>Web</w:t>
            </w:r>
            <w:r>
              <w:rPr>
                <w:rFonts w:hint="eastAsia"/>
                <w:color w:val="auto"/>
                <w:highlight w:val="none"/>
              </w:rPr>
              <w:t>中间件识别。</w:t>
            </w:r>
          </w:p>
          <w:p w14:paraId="2A062BBF">
            <w:pPr>
              <w:pStyle w:val="32"/>
              <w:rPr>
                <w:color w:val="auto"/>
                <w:highlight w:val="none"/>
              </w:rPr>
            </w:pPr>
            <w:r>
              <w:rPr>
                <w:color w:val="auto"/>
                <w:highlight w:val="none"/>
              </w:rPr>
              <w:t>d.</w:t>
            </w:r>
            <w:r>
              <w:rPr>
                <w:rFonts w:hint="eastAsia"/>
                <w:color w:val="auto"/>
                <w:highlight w:val="none"/>
              </w:rPr>
              <w:t>应用系统资产</w:t>
            </w:r>
            <w:r>
              <w:rPr>
                <w:color w:val="auto"/>
                <w:highlight w:val="none"/>
              </w:rPr>
              <w:t>Web</w:t>
            </w:r>
            <w:r>
              <w:rPr>
                <w:rFonts w:hint="eastAsia"/>
                <w:color w:val="auto"/>
                <w:highlight w:val="none"/>
              </w:rPr>
              <w:t>业务类型识别。</w:t>
            </w:r>
          </w:p>
          <w:p w14:paraId="19B8A59E">
            <w:pPr>
              <w:pStyle w:val="32"/>
              <w:rPr>
                <w:color w:val="auto"/>
                <w:highlight w:val="none"/>
              </w:rPr>
            </w:pPr>
            <w:r>
              <w:rPr>
                <w:color w:val="auto"/>
                <w:highlight w:val="none"/>
              </w:rPr>
              <w:t>c.</w:t>
            </w:r>
            <w:r>
              <w:rPr>
                <w:rFonts w:hint="eastAsia"/>
                <w:color w:val="auto"/>
                <w:highlight w:val="none"/>
              </w:rPr>
              <w:t>应用系统资产</w:t>
            </w:r>
            <w:r>
              <w:rPr>
                <w:color w:val="auto"/>
                <w:highlight w:val="none"/>
              </w:rPr>
              <w:t>Web</w:t>
            </w:r>
            <w:r>
              <w:rPr>
                <w:rFonts w:hint="eastAsia"/>
                <w:color w:val="auto"/>
                <w:highlight w:val="none"/>
              </w:rPr>
              <w:t>开发语言识别。</w:t>
            </w:r>
          </w:p>
          <w:p w14:paraId="3130CE8F">
            <w:pPr>
              <w:pStyle w:val="32"/>
              <w:rPr>
                <w:color w:val="auto"/>
                <w:highlight w:val="none"/>
              </w:rPr>
            </w:pPr>
            <w:r>
              <w:rPr>
                <w:color w:val="auto"/>
                <w:highlight w:val="none"/>
              </w:rPr>
              <w:t>e.</w:t>
            </w:r>
            <w:r>
              <w:rPr>
                <w:rFonts w:hint="eastAsia"/>
                <w:color w:val="auto"/>
                <w:highlight w:val="none"/>
              </w:rPr>
              <w:t>应用系统资产应用绑定域名识别（违规上线）等。</w:t>
            </w:r>
          </w:p>
          <w:p w14:paraId="5EDEFA51">
            <w:pPr>
              <w:pStyle w:val="32"/>
              <w:rPr>
                <w:color w:val="auto"/>
                <w:highlight w:val="none"/>
              </w:rPr>
            </w:pPr>
            <w:r>
              <w:rPr>
                <w:color w:val="auto"/>
                <w:highlight w:val="none"/>
              </w:rPr>
              <w:t>2.</w:t>
            </w:r>
            <w:r>
              <w:rPr>
                <w:rFonts w:hint="eastAsia"/>
                <w:color w:val="auto"/>
                <w:highlight w:val="none"/>
              </w:rPr>
              <w:t>工作范围</w:t>
            </w:r>
          </w:p>
          <w:p w14:paraId="09D8E0CF">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）电子政务外网资产：自治区电子政务外网网络设备、安全设备资产等；</w:t>
            </w:r>
          </w:p>
          <w:p w14:paraId="43BF96CF">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）政务云平台信息系统资产：浪潮云、信创云、专用业务云上云单位托管的业务资产、云主机，以及相应的应用、数据库、中间件等。</w:t>
            </w:r>
          </w:p>
          <w:p w14:paraId="455B5EE6">
            <w:pPr>
              <w:pStyle w:val="32"/>
              <w:rPr>
                <w:color w:val="auto"/>
                <w:highlight w:val="none"/>
              </w:rPr>
            </w:pPr>
            <w:r>
              <w:rPr>
                <w:color w:val="auto"/>
                <w:highlight w:val="none"/>
              </w:rPr>
              <w:t>3.</w:t>
            </w:r>
            <w:r>
              <w:rPr>
                <w:rFonts w:hint="eastAsia"/>
                <w:color w:val="auto"/>
                <w:highlight w:val="none"/>
              </w:rPr>
              <w:t>工作频次</w:t>
            </w:r>
          </w:p>
          <w:p w14:paraId="40D78201">
            <w:pPr>
              <w:pStyle w:val="32"/>
              <w:rPr>
                <w:color w:val="auto"/>
                <w:highlight w:val="none"/>
              </w:rPr>
            </w:pPr>
            <w:r>
              <w:rPr>
                <w:rFonts w:hint="eastAsia"/>
                <w:color w:val="auto"/>
                <w:highlight w:val="none"/>
              </w:rPr>
              <w:t>每季度进行一次全量测绘并输出季报。</w:t>
            </w:r>
          </w:p>
          <w:p w14:paraId="67F7D048">
            <w:pPr>
              <w:pStyle w:val="32"/>
              <w:rPr>
                <w:color w:val="auto"/>
                <w:highlight w:val="none"/>
              </w:rPr>
            </w:pPr>
            <w:r>
              <w:rPr>
                <w:color w:val="auto"/>
                <w:highlight w:val="none"/>
              </w:rPr>
              <w:t>4</w:t>
            </w:r>
            <w:r>
              <w:rPr>
                <w:rFonts w:hint="eastAsia"/>
                <w:color w:val="auto"/>
                <w:highlight w:val="none"/>
              </w:rPr>
              <w:t>、工作交付物</w:t>
            </w:r>
          </w:p>
          <w:p w14:paraId="7656B560">
            <w:pPr>
              <w:pStyle w:val="32"/>
              <w:widowControl/>
              <w:rPr>
                <w:rFonts w:hint="eastAsia" w:ascii="宋体" w:hAnsi="宋体" w:cs="宋体"/>
                <w:color w:val="auto"/>
                <w:highlight w:val="none"/>
              </w:rPr>
            </w:pPr>
            <w:r>
              <w:rPr>
                <w:color w:val="auto"/>
                <w:highlight w:val="none"/>
              </w:rPr>
              <w:t xml:space="preserve">  </w:t>
            </w:r>
            <w:r>
              <w:rPr>
                <w:rFonts w:hint="eastAsia"/>
                <w:color w:val="auto"/>
                <w:highlight w:val="none"/>
              </w:rPr>
              <w:t>《信息资产台账》等。</w:t>
            </w:r>
          </w:p>
        </w:tc>
        <w:tc>
          <w:tcPr>
            <w:tcW w:w="145" w:type="pct"/>
            <w:tcBorders>
              <w:top w:val="nil"/>
              <w:left w:val="nil"/>
              <w:bottom w:val="single" w:color="auto" w:sz="4" w:space="0"/>
              <w:right w:val="single" w:color="auto" w:sz="4" w:space="0"/>
            </w:tcBorders>
            <w:noWrap/>
            <w:vAlign w:val="center"/>
          </w:tcPr>
          <w:p w14:paraId="3EE8B987">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7C791914">
            <w:pPr>
              <w:widowControl/>
              <w:jc w:val="center"/>
              <w:rPr>
                <w:rFonts w:hint="eastAsia" w:ascii="宋体" w:hAnsi="宋体" w:cs="宋体"/>
                <w:color w:val="auto"/>
                <w:kern w:val="0"/>
                <w:sz w:val="18"/>
                <w:szCs w:val="18"/>
                <w:highlight w:val="none"/>
              </w:rPr>
            </w:pPr>
          </w:p>
        </w:tc>
      </w:tr>
      <w:tr w14:paraId="62F4DB3F">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1BBBDF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428" w:type="pct"/>
            <w:tcBorders>
              <w:top w:val="nil"/>
              <w:left w:val="nil"/>
              <w:bottom w:val="single" w:color="auto" w:sz="4" w:space="0"/>
              <w:right w:val="single" w:color="auto" w:sz="4" w:space="0"/>
            </w:tcBorders>
            <w:noWrap/>
            <w:vAlign w:val="center"/>
          </w:tcPr>
          <w:p w14:paraId="5042A4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安全漏洞管理服务</w:t>
            </w:r>
          </w:p>
        </w:tc>
        <w:tc>
          <w:tcPr>
            <w:tcW w:w="3798" w:type="pct"/>
            <w:gridSpan w:val="2"/>
            <w:tcBorders>
              <w:top w:val="nil"/>
              <w:left w:val="nil"/>
              <w:bottom w:val="single" w:color="auto" w:sz="4" w:space="0"/>
              <w:right w:val="single" w:color="auto" w:sz="4" w:space="0"/>
            </w:tcBorders>
            <w:vAlign w:val="center"/>
          </w:tcPr>
          <w:p w14:paraId="5AD7E0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过专业的安全漏洞评估系统周期性对自治区电子政务外网和云平台各类基础设施资源及上云业务应用系统开展安全漏洞扫描，及时发现操作系统、数据库、中间件以及常用软件的安全漏洞风险，并由专业安全团队结合业务应用场景、IT 基础环境、管理运维流程给出针对性安全漏洞整改建议，以报告方式指导开展和跟踪安全漏洞整改工作。</w:t>
            </w:r>
          </w:p>
          <w:p w14:paraId="7B787619">
            <w:pPr>
              <w:pStyle w:val="32"/>
              <w:rPr>
                <w:color w:val="auto"/>
                <w:highlight w:val="none"/>
              </w:rPr>
            </w:pPr>
          </w:p>
          <w:p w14:paraId="56B7EB1D">
            <w:pPr>
              <w:rPr>
                <w:color w:val="auto"/>
                <w:sz w:val="18"/>
                <w:szCs w:val="18"/>
                <w:highlight w:val="none"/>
              </w:rPr>
            </w:pPr>
            <w:r>
              <w:rPr>
                <w:color w:val="auto"/>
                <w:sz w:val="18"/>
                <w:szCs w:val="18"/>
                <w:highlight w:val="none"/>
              </w:rPr>
              <w:t>1.</w:t>
            </w:r>
            <w:r>
              <w:rPr>
                <w:rFonts w:hint="eastAsia"/>
                <w:color w:val="auto"/>
                <w:sz w:val="18"/>
                <w:szCs w:val="18"/>
                <w:highlight w:val="none"/>
              </w:rPr>
              <w:t>工作内容</w:t>
            </w:r>
          </w:p>
          <w:p w14:paraId="32F16989">
            <w:pPr>
              <w:rPr>
                <w:color w:val="auto"/>
                <w:sz w:val="18"/>
                <w:szCs w:val="18"/>
                <w:highlight w:val="none"/>
              </w:rPr>
            </w:pP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）提出扫描申请</w:t>
            </w:r>
          </w:p>
          <w:p w14:paraId="22D0BFAC">
            <w:pPr>
              <w:rPr>
                <w:color w:val="auto"/>
                <w:sz w:val="18"/>
                <w:szCs w:val="18"/>
                <w:highlight w:val="none"/>
              </w:rPr>
            </w:pPr>
            <w:r>
              <w:rPr>
                <w:rFonts w:hint="eastAsia"/>
                <w:color w:val="auto"/>
                <w:sz w:val="18"/>
                <w:szCs w:val="18"/>
                <w:highlight w:val="none"/>
              </w:rPr>
              <w:t>在扫描开始前，安全运营团队以书面形式向信息中心提出安全扫描评估申请，申请内容应包括：安全扫描评估工作开始时间、结束时间、执行人、扫描</w:t>
            </w:r>
            <w:r>
              <w:rPr>
                <w:color w:val="auto"/>
                <w:sz w:val="18"/>
                <w:szCs w:val="18"/>
                <w:highlight w:val="none"/>
              </w:rPr>
              <w:t>IP</w:t>
            </w:r>
            <w:r>
              <w:rPr>
                <w:rFonts w:hint="eastAsia"/>
                <w:color w:val="auto"/>
                <w:sz w:val="18"/>
                <w:szCs w:val="18"/>
                <w:highlight w:val="none"/>
              </w:rPr>
              <w:t>地址范围等相关信息。</w:t>
            </w:r>
          </w:p>
          <w:p w14:paraId="3AC23649">
            <w:pPr>
              <w:rPr>
                <w:color w:val="auto"/>
                <w:sz w:val="18"/>
                <w:szCs w:val="18"/>
                <w:highlight w:val="none"/>
              </w:rPr>
            </w:pPr>
            <w:r>
              <w:rPr>
                <w:rFonts w:hint="eastAsia"/>
                <w:color w:val="auto"/>
                <w:sz w:val="18"/>
                <w:szCs w:val="18"/>
                <w:highlight w:val="none"/>
              </w:rPr>
              <w:t>（</w:t>
            </w:r>
            <w:r>
              <w:rPr>
                <w:color w:val="auto"/>
                <w:sz w:val="18"/>
                <w:szCs w:val="18"/>
                <w:highlight w:val="none"/>
              </w:rPr>
              <w:t>2</w:t>
            </w:r>
            <w:r>
              <w:rPr>
                <w:rFonts w:hint="eastAsia"/>
                <w:color w:val="auto"/>
                <w:sz w:val="18"/>
                <w:szCs w:val="18"/>
                <w:highlight w:val="none"/>
              </w:rPr>
              <w:t>）执行扫描操作</w:t>
            </w:r>
          </w:p>
          <w:p w14:paraId="129AD024">
            <w:pPr>
              <w:rPr>
                <w:color w:val="auto"/>
                <w:sz w:val="18"/>
                <w:szCs w:val="18"/>
                <w:highlight w:val="none"/>
              </w:rPr>
            </w:pPr>
            <w:r>
              <w:rPr>
                <w:rFonts w:hint="eastAsia"/>
                <w:color w:val="auto"/>
                <w:sz w:val="18"/>
                <w:szCs w:val="18"/>
                <w:highlight w:val="none"/>
              </w:rPr>
              <w:t>在安全扫描评估申请获得批准后，安全运营团队将在非业务高峰期执行漏洞扫描操作。安全扫描评估以网络为基础进行，扫描工具通过网络对被评估对象进行安全评估。</w:t>
            </w:r>
          </w:p>
          <w:p w14:paraId="3C694803">
            <w:pPr>
              <w:rPr>
                <w:color w:val="auto"/>
                <w:sz w:val="18"/>
                <w:szCs w:val="18"/>
                <w:highlight w:val="none"/>
              </w:rPr>
            </w:pPr>
            <w:r>
              <w:rPr>
                <w:rFonts w:hint="eastAsia"/>
                <w:color w:val="auto"/>
                <w:sz w:val="18"/>
                <w:szCs w:val="18"/>
                <w:highlight w:val="none"/>
              </w:rPr>
              <w:t>（</w:t>
            </w:r>
            <w:r>
              <w:rPr>
                <w:color w:val="auto"/>
                <w:sz w:val="18"/>
                <w:szCs w:val="18"/>
                <w:highlight w:val="none"/>
              </w:rPr>
              <w:t>3</w:t>
            </w:r>
            <w:r>
              <w:rPr>
                <w:rFonts w:hint="eastAsia"/>
                <w:color w:val="auto"/>
                <w:sz w:val="18"/>
                <w:szCs w:val="18"/>
                <w:highlight w:val="none"/>
              </w:rPr>
              <w:t>）生成评估报告</w:t>
            </w:r>
          </w:p>
          <w:p w14:paraId="534C2E11">
            <w:pPr>
              <w:rPr>
                <w:color w:val="auto"/>
                <w:sz w:val="18"/>
                <w:szCs w:val="18"/>
                <w:highlight w:val="none"/>
              </w:rPr>
            </w:pPr>
            <w:r>
              <w:rPr>
                <w:rFonts w:hint="eastAsia"/>
                <w:color w:val="auto"/>
                <w:sz w:val="18"/>
                <w:szCs w:val="18"/>
                <w:highlight w:val="none"/>
              </w:rPr>
              <w:t>安全扫描评估实施结束后，安全运营团队将就本次扫描的结果生成安全扫描评估报告，扫描报告应包含以下信息：执行时间、执行人、</w:t>
            </w:r>
            <w:r>
              <w:rPr>
                <w:color w:val="auto"/>
                <w:sz w:val="18"/>
                <w:szCs w:val="18"/>
                <w:highlight w:val="none"/>
              </w:rPr>
              <w:t>IP</w:t>
            </w:r>
            <w:r>
              <w:rPr>
                <w:rFonts w:hint="eastAsia"/>
                <w:color w:val="auto"/>
                <w:sz w:val="18"/>
                <w:szCs w:val="18"/>
                <w:highlight w:val="none"/>
              </w:rPr>
              <w:t>地址范围、高中低漏洞分布、高中低漏洞列表、漏洞整改方法等信息。</w:t>
            </w:r>
          </w:p>
          <w:p w14:paraId="4D0D9724">
            <w:pPr>
              <w:rPr>
                <w:color w:val="auto"/>
                <w:sz w:val="18"/>
                <w:szCs w:val="18"/>
                <w:highlight w:val="none"/>
              </w:rPr>
            </w:pPr>
            <w:r>
              <w:rPr>
                <w:rFonts w:hint="eastAsia"/>
                <w:color w:val="auto"/>
                <w:sz w:val="18"/>
                <w:szCs w:val="18"/>
                <w:highlight w:val="none"/>
              </w:rPr>
              <w:t>（</w:t>
            </w:r>
            <w:r>
              <w:rPr>
                <w:color w:val="auto"/>
                <w:sz w:val="18"/>
                <w:szCs w:val="18"/>
                <w:highlight w:val="none"/>
              </w:rPr>
              <w:t>4</w:t>
            </w:r>
            <w:r>
              <w:rPr>
                <w:rFonts w:hint="eastAsia"/>
                <w:color w:val="auto"/>
                <w:sz w:val="18"/>
                <w:szCs w:val="18"/>
                <w:highlight w:val="none"/>
              </w:rPr>
              <w:t>）评估报告分发</w:t>
            </w:r>
          </w:p>
          <w:p w14:paraId="7CFBEA5B">
            <w:pPr>
              <w:rPr>
                <w:color w:val="auto"/>
                <w:sz w:val="18"/>
                <w:szCs w:val="18"/>
                <w:highlight w:val="none"/>
              </w:rPr>
            </w:pPr>
            <w:r>
              <w:rPr>
                <w:rFonts w:hint="eastAsia"/>
                <w:color w:val="auto"/>
                <w:sz w:val="18"/>
                <w:szCs w:val="18"/>
                <w:highlight w:val="none"/>
              </w:rPr>
              <w:t>将生成的漏洞扫描报告进行拆解、分类，分发至相关委办厅局、业务部门。</w:t>
            </w:r>
          </w:p>
          <w:p w14:paraId="02507357">
            <w:pPr>
              <w:rPr>
                <w:color w:val="auto"/>
                <w:sz w:val="18"/>
                <w:szCs w:val="18"/>
                <w:highlight w:val="none"/>
              </w:rPr>
            </w:pPr>
            <w:r>
              <w:rPr>
                <w:rFonts w:hint="eastAsia"/>
                <w:color w:val="auto"/>
                <w:sz w:val="18"/>
                <w:szCs w:val="18"/>
                <w:highlight w:val="none"/>
              </w:rPr>
              <w:t>（</w:t>
            </w:r>
            <w:r>
              <w:rPr>
                <w:color w:val="auto"/>
                <w:sz w:val="18"/>
                <w:szCs w:val="18"/>
                <w:highlight w:val="none"/>
              </w:rPr>
              <w:t>5</w:t>
            </w:r>
            <w:r>
              <w:rPr>
                <w:rFonts w:hint="eastAsia"/>
                <w:color w:val="auto"/>
                <w:sz w:val="18"/>
                <w:szCs w:val="18"/>
                <w:highlight w:val="none"/>
              </w:rPr>
              <w:t>）漏洞整改指导</w:t>
            </w:r>
          </w:p>
          <w:p w14:paraId="053DFC80">
            <w:pPr>
              <w:rPr>
                <w:color w:val="auto"/>
                <w:sz w:val="18"/>
                <w:szCs w:val="18"/>
                <w:highlight w:val="none"/>
              </w:rPr>
            </w:pPr>
            <w:r>
              <w:rPr>
                <w:rFonts w:hint="eastAsia"/>
                <w:color w:val="auto"/>
                <w:sz w:val="18"/>
                <w:szCs w:val="18"/>
                <w:highlight w:val="none"/>
              </w:rPr>
              <w:t>结合业务应用场景、</w:t>
            </w:r>
            <w:r>
              <w:rPr>
                <w:color w:val="auto"/>
                <w:sz w:val="18"/>
                <w:szCs w:val="18"/>
                <w:highlight w:val="none"/>
              </w:rPr>
              <w:t xml:space="preserve">IT </w:t>
            </w:r>
            <w:r>
              <w:rPr>
                <w:rFonts w:hint="eastAsia"/>
                <w:color w:val="auto"/>
                <w:sz w:val="18"/>
                <w:szCs w:val="18"/>
                <w:highlight w:val="none"/>
              </w:rPr>
              <w:t>基础环境、管理运维流程给出针对性安全漏洞整改建议，以报告方式指导开展和跟踪安全漏洞整改工作。</w:t>
            </w:r>
          </w:p>
          <w:p w14:paraId="65DAE7B0">
            <w:pPr>
              <w:rPr>
                <w:color w:val="auto"/>
                <w:sz w:val="18"/>
                <w:szCs w:val="18"/>
                <w:highlight w:val="none"/>
              </w:rPr>
            </w:pPr>
            <w:r>
              <w:rPr>
                <w:rFonts w:hint="eastAsia"/>
                <w:color w:val="auto"/>
                <w:sz w:val="18"/>
                <w:szCs w:val="18"/>
                <w:highlight w:val="none"/>
              </w:rPr>
              <w:t>（</w:t>
            </w:r>
            <w:r>
              <w:rPr>
                <w:color w:val="auto"/>
                <w:sz w:val="18"/>
                <w:szCs w:val="18"/>
                <w:highlight w:val="none"/>
              </w:rPr>
              <w:t>6</w:t>
            </w:r>
            <w:r>
              <w:rPr>
                <w:rFonts w:hint="eastAsia"/>
                <w:color w:val="auto"/>
                <w:sz w:val="18"/>
                <w:szCs w:val="18"/>
                <w:highlight w:val="none"/>
              </w:rPr>
              <w:t>）漏洞复测验证</w:t>
            </w:r>
          </w:p>
          <w:p w14:paraId="3B1EAB95">
            <w:pPr>
              <w:rPr>
                <w:color w:val="auto"/>
                <w:sz w:val="18"/>
                <w:szCs w:val="18"/>
                <w:highlight w:val="none"/>
              </w:rPr>
            </w:pPr>
            <w:r>
              <w:rPr>
                <w:rFonts w:hint="eastAsia"/>
                <w:color w:val="auto"/>
                <w:sz w:val="18"/>
                <w:szCs w:val="18"/>
                <w:highlight w:val="none"/>
              </w:rPr>
              <w:t>资产归属单位完成漏洞整改后并反馈整改加固证明材料后，由安全运营团队对漏洞的整改情况进行复核确认，并详细记录漏洞修复情况。</w:t>
            </w:r>
          </w:p>
          <w:p w14:paraId="75CEED9F">
            <w:pPr>
              <w:rPr>
                <w:color w:val="auto"/>
                <w:sz w:val="18"/>
                <w:szCs w:val="18"/>
                <w:highlight w:val="none"/>
              </w:rPr>
            </w:pPr>
            <w:r>
              <w:rPr>
                <w:color w:val="auto"/>
                <w:sz w:val="18"/>
                <w:szCs w:val="18"/>
                <w:highlight w:val="none"/>
              </w:rPr>
              <w:t>2.</w:t>
            </w:r>
            <w:r>
              <w:rPr>
                <w:rFonts w:hint="eastAsia"/>
                <w:color w:val="auto"/>
                <w:sz w:val="18"/>
                <w:szCs w:val="18"/>
                <w:highlight w:val="none"/>
              </w:rPr>
              <w:t>工作范围</w:t>
            </w:r>
          </w:p>
          <w:p w14:paraId="0D2A7698">
            <w:pPr>
              <w:rPr>
                <w:color w:val="auto"/>
                <w:sz w:val="18"/>
                <w:szCs w:val="18"/>
                <w:highlight w:val="none"/>
              </w:rPr>
            </w:pP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）电子政务外网资产：自治区电子政务外网网络设备、安全设备资产；</w:t>
            </w:r>
          </w:p>
          <w:p w14:paraId="0A55437F">
            <w:pPr>
              <w:rPr>
                <w:color w:val="auto"/>
                <w:sz w:val="18"/>
                <w:szCs w:val="18"/>
                <w:highlight w:val="none"/>
              </w:rPr>
            </w:pPr>
            <w:r>
              <w:rPr>
                <w:rFonts w:hint="eastAsia"/>
                <w:color w:val="auto"/>
                <w:sz w:val="18"/>
                <w:szCs w:val="18"/>
                <w:highlight w:val="none"/>
              </w:rPr>
              <w:t>（</w:t>
            </w:r>
            <w:r>
              <w:rPr>
                <w:color w:val="auto"/>
                <w:sz w:val="18"/>
                <w:szCs w:val="18"/>
                <w:highlight w:val="none"/>
              </w:rPr>
              <w:t>2</w:t>
            </w:r>
            <w:r>
              <w:rPr>
                <w:rFonts w:hint="eastAsia"/>
                <w:color w:val="auto"/>
                <w:sz w:val="18"/>
                <w:szCs w:val="18"/>
                <w:highlight w:val="none"/>
              </w:rPr>
              <w:t>）政务云运行资产：浪潮云、信创云、专用业务托管的业务资产，包括相应的主机、应用、数据库、中间件等。</w:t>
            </w:r>
          </w:p>
          <w:p w14:paraId="3B71FFC5">
            <w:pPr>
              <w:rPr>
                <w:color w:val="auto"/>
                <w:sz w:val="18"/>
                <w:szCs w:val="18"/>
                <w:highlight w:val="none"/>
              </w:rPr>
            </w:pPr>
            <w:r>
              <w:rPr>
                <w:color w:val="auto"/>
                <w:sz w:val="18"/>
                <w:szCs w:val="18"/>
                <w:highlight w:val="none"/>
              </w:rPr>
              <w:t>3.</w:t>
            </w:r>
            <w:r>
              <w:rPr>
                <w:rFonts w:hint="eastAsia"/>
                <w:color w:val="auto"/>
                <w:sz w:val="18"/>
                <w:szCs w:val="18"/>
                <w:highlight w:val="none"/>
              </w:rPr>
              <w:t>工作频次</w:t>
            </w:r>
          </w:p>
          <w:p w14:paraId="15F600DC">
            <w:pPr>
              <w:rPr>
                <w:color w:val="auto"/>
                <w:sz w:val="18"/>
                <w:szCs w:val="18"/>
                <w:highlight w:val="none"/>
              </w:rPr>
            </w:pPr>
            <w:r>
              <w:rPr>
                <w:rFonts w:hint="eastAsia"/>
                <w:color w:val="auto"/>
                <w:sz w:val="18"/>
                <w:szCs w:val="18"/>
                <w:highlight w:val="none"/>
              </w:rPr>
              <w:t>政务云上资产每月定期扫描</w:t>
            </w:r>
            <w:r>
              <w:rPr>
                <w:color w:val="auto"/>
                <w:sz w:val="18"/>
                <w:szCs w:val="18"/>
                <w:highlight w:val="none"/>
              </w:rPr>
              <w:t>1</w:t>
            </w:r>
            <w:r>
              <w:rPr>
                <w:rFonts w:hint="eastAsia"/>
                <w:color w:val="auto"/>
                <w:sz w:val="18"/>
                <w:szCs w:val="18"/>
                <w:highlight w:val="none"/>
              </w:rPr>
              <w:t>次；</w:t>
            </w:r>
          </w:p>
          <w:p w14:paraId="3B822232">
            <w:pPr>
              <w:rPr>
                <w:color w:val="auto"/>
                <w:sz w:val="18"/>
                <w:szCs w:val="18"/>
                <w:highlight w:val="none"/>
              </w:rPr>
            </w:pPr>
            <w:r>
              <w:rPr>
                <w:rFonts w:hint="eastAsia"/>
                <w:color w:val="auto"/>
                <w:sz w:val="18"/>
                <w:szCs w:val="18"/>
                <w:highlight w:val="none"/>
              </w:rPr>
              <w:t>政务外网网络安全设备资产每半年扫描</w:t>
            </w:r>
            <w:r>
              <w:rPr>
                <w:color w:val="auto"/>
                <w:sz w:val="18"/>
                <w:szCs w:val="18"/>
                <w:highlight w:val="none"/>
              </w:rPr>
              <w:t>1</w:t>
            </w:r>
            <w:r>
              <w:rPr>
                <w:rFonts w:hint="eastAsia"/>
                <w:color w:val="auto"/>
                <w:sz w:val="18"/>
                <w:szCs w:val="18"/>
                <w:highlight w:val="none"/>
              </w:rPr>
              <w:t>次；</w:t>
            </w:r>
          </w:p>
          <w:p w14:paraId="413104EA">
            <w:pPr>
              <w:rPr>
                <w:color w:val="auto"/>
                <w:sz w:val="18"/>
                <w:szCs w:val="18"/>
                <w:highlight w:val="none"/>
              </w:rPr>
            </w:pPr>
            <w:r>
              <w:rPr>
                <w:rFonts w:hint="eastAsia"/>
                <w:color w:val="auto"/>
                <w:sz w:val="18"/>
                <w:szCs w:val="18"/>
                <w:highlight w:val="none"/>
              </w:rPr>
              <w:t>根据威胁情报预警的高危漏洞，可立即开展全量资产紧急排查高危漏洞风险；</w:t>
            </w:r>
          </w:p>
          <w:p w14:paraId="33697BCD">
            <w:pPr>
              <w:rPr>
                <w:color w:val="auto"/>
                <w:sz w:val="18"/>
                <w:szCs w:val="18"/>
                <w:highlight w:val="none"/>
              </w:rPr>
            </w:pPr>
            <w:r>
              <w:rPr>
                <w:color w:val="auto"/>
                <w:sz w:val="18"/>
                <w:szCs w:val="18"/>
                <w:highlight w:val="none"/>
              </w:rPr>
              <w:t>4</w:t>
            </w:r>
            <w:r>
              <w:rPr>
                <w:rFonts w:hint="eastAsia"/>
                <w:color w:val="auto"/>
                <w:sz w:val="18"/>
                <w:szCs w:val="18"/>
                <w:highlight w:val="none"/>
              </w:rPr>
              <w:t>、工作交付物</w:t>
            </w:r>
          </w:p>
          <w:p w14:paraId="4560DFA9">
            <w:pPr>
              <w:rPr>
                <w:color w:val="auto"/>
                <w:sz w:val="18"/>
                <w:szCs w:val="18"/>
                <w:highlight w:val="none"/>
              </w:rPr>
            </w:pPr>
            <w:r>
              <w:rPr>
                <w:rFonts w:hint="eastAsia"/>
                <w:color w:val="auto"/>
                <w:sz w:val="18"/>
                <w:szCs w:val="18"/>
                <w:highlight w:val="none"/>
              </w:rPr>
              <w:t>《安全漏洞扫描报告》。</w:t>
            </w:r>
          </w:p>
        </w:tc>
        <w:tc>
          <w:tcPr>
            <w:tcW w:w="145" w:type="pct"/>
            <w:tcBorders>
              <w:top w:val="nil"/>
              <w:left w:val="nil"/>
              <w:bottom w:val="single" w:color="auto" w:sz="4" w:space="0"/>
              <w:right w:val="single" w:color="auto" w:sz="4" w:space="0"/>
            </w:tcBorders>
            <w:noWrap/>
            <w:vAlign w:val="center"/>
          </w:tcPr>
          <w:p w14:paraId="734006CC">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3AE5B4E0">
            <w:pPr>
              <w:widowControl/>
              <w:jc w:val="center"/>
              <w:rPr>
                <w:rFonts w:hint="eastAsia" w:ascii="宋体" w:hAnsi="宋体" w:cs="宋体"/>
                <w:color w:val="auto"/>
                <w:kern w:val="0"/>
                <w:sz w:val="18"/>
                <w:szCs w:val="18"/>
                <w:highlight w:val="none"/>
              </w:rPr>
            </w:pPr>
          </w:p>
        </w:tc>
      </w:tr>
      <w:tr w14:paraId="4E332C71">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318870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428" w:type="pct"/>
            <w:tcBorders>
              <w:top w:val="nil"/>
              <w:left w:val="nil"/>
              <w:bottom w:val="single" w:color="auto" w:sz="4" w:space="0"/>
              <w:right w:val="single" w:color="auto" w:sz="4" w:space="0"/>
            </w:tcBorders>
            <w:noWrap/>
            <w:vAlign w:val="center"/>
          </w:tcPr>
          <w:p w14:paraId="0FDB3D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安全情报采集服务</w:t>
            </w:r>
          </w:p>
        </w:tc>
        <w:tc>
          <w:tcPr>
            <w:tcW w:w="3798" w:type="pct"/>
            <w:gridSpan w:val="2"/>
            <w:tcBorders>
              <w:top w:val="nil"/>
              <w:left w:val="nil"/>
              <w:bottom w:val="single" w:color="auto" w:sz="4" w:space="0"/>
              <w:right w:val="single" w:color="auto" w:sz="4" w:space="0"/>
            </w:tcBorders>
            <w:vAlign w:val="center"/>
          </w:tcPr>
          <w:p w14:paraId="1CEA5A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过公共开放的网络安全威胁情报中心，获取更广范围、更精准化漏洞情报和威胁情报数据，为安全监测分析和安全预警提供情报数据支撑，提升数据发现的准确性和可信度，有效识别发现外部威胁攻击情况，并根据政务外网和政务云资产测绘的结果，面向全区各级政务部门和运维建设服务单位发送网络安全预警通告</w:t>
            </w:r>
          </w:p>
          <w:p w14:paraId="1D88EAA5">
            <w:pPr>
              <w:rPr>
                <w:color w:val="auto"/>
                <w:sz w:val="18"/>
                <w:szCs w:val="18"/>
                <w:highlight w:val="none"/>
              </w:rPr>
            </w:pPr>
            <w:r>
              <w:rPr>
                <w:color w:val="auto"/>
                <w:sz w:val="18"/>
                <w:szCs w:val="18"/>
                <w:highlight w:val="none"/>
              </w:rPr>
              <w:t>1.</w:t>
            </w:r>
            <w:r>
              <w:rPr>
                <w:rFonts w:hint="eastAsia"/>
                <w:color w:val="auto"/>
                <w:sz w:val="18"/>
                <w:szCs w:val="18"/>
                <w:highlight w:val="none"/>
              </w:rPr>
              <w:t>工作内容</w:t>
            </w:r>
          </w:p>
          <w:p w14:paraId="7A645F35">
            <w:pPr>
              <w:rPr>
                <w:color w:val="auto"/>
                <w:sz w:val="18"/>
                <w:szCs w:val="18"/>
                <w:highlight w:val="none"/>
              </w:rPr>
            </w:pPr>
            <w:r>
              <w:rPr>
                <w:rFonts w:hint="eastAsia"/>
                <w:color w:val="auto"/>
                <w:sz w:val="18"/>
                <w:szCs w:val="18"/>
                <w:highlight w:val="none"/>
              </w:rPr>
              <w:t>安全情报采集服务主要内容：</w:t>
            </w:r>
          </w:p>
          <w:p w14:paraId="2FDCFA8C">
            <w:pPr>
              <w:rPr>
                <w:color w:val="auto"/>
                <w:sz w:val="18"/>
                <w:szCs w:val="18"/>
                <w:highlight w:val="none"/>
              </w:rPr>
            </w:pP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）信息收集</w:t>
            </w:r>
          </w:p>
          <w:p w14:paraId="5E598739">
            <w:pPr>
              <w:rPr>
                <w:color w:val="auto"/>
                <w:sz w:val="18"/>
                <w:szCs w:val="18"/>
                <w:highlight w:val="none"/>
              </w:rPr>
            </w:pPr>
            <w:r>
              <w:rPr>
                <w:rFonts w:hint="eastAsia"/>
                <w:color w:val="auto"/>
                <w:sz w:val="18"/>
                <w:szCs w:val="18"/>
                <w:highlight w:val="none"/>
              </w:rPr>
              <w:t>利用安全厂商自身的威胁情报、安全大数据及攻防能力，整合自有渠道和各厂商及安全组织机构等第三方机构发布的漏洞信息及事件信息，第一时间获得可能已暴露出的安全漏洞。</w:t>
            </w:r>
          </w:p>
          <w:p w14:paraId="2F0767D1">
            <w:pPr>
              <w:rPr>
                <w:color w:val="auto"/>
                <w:sz w:val="18"/>
                <w:szCs w:val="18"/>
                <w:highlight w:val="none"/>
              </w:rPr>
            </w:pPr>
            <w:r>
              <w:rPr>
                <w:rFonts w:hint="eastAsia"/>
                <w:color w:val="auto"/>
                <w:sz w:val="18"/>
                <w:szCs w:val="18"/>
                <w:highlight w:val="none"/>
              </w:rPr>
              <w:t>（</w:t>
            </w:r>
            <w:r>
              <w:rPr>
                <w:color w:val="auto"/>
                <w:sz w:val="18"/>
                <w:szCs w:val="18"/>
                <w:highlight w:val="none"/>
              </w:rPr>
              <w:t>2</w:t>
            </w:r>
            <w:r>
              <w:rPr>
                <w:rFonts w:hint="eastAsia"/>
                <w:color w:val="auto"/>
                <w:sz w:val="18"/>
                <w:szCs w:val="18"/>
                <w:highlight w:val="none"/>
              </w:rPr>
              <w:t>）漏洞</w:t>
            </w:r>
            <w:r>
              <w:rPr>
                <w:color w:val="auto"/>
                <w:sz w:val="18"/>
                <w:szCs w:val="18"/>
                <w:highlight w:val="none"/>
              </w:rPr>
              <w:t>/</w:t>
            </w:r>
            <w:r>
              <w:rPr>
                <w:rFonts w:hint="eastAsia"/>
                <w:color w:val="auto"/>
                <w:sz w:val="18"/>
                <w:szCs w:val="18"/>
                <w:highlight w:val="none"/>
              </w:rPr>
              <w:t>事件分析</w:t>
            </w:r>
          </w:p>
          <w:p w14:paraId="4F1CF987">
            <w:pPr>
              <w:rPr>
                <w:color w:val="auto"/>
                <w:sz w:val="18"/>
                <w:szCs w:val="18"/>
                <w:highlight w:val="none"/>
              </w:rPr>
            </w:pPr>
            <w:r>
              <w:rPr>
                <w:rFonts w:hint="eastAsia"/>
                <w:color w:val="auto"/>
                <w:sz w:val="18"/>
                <w:szCs w:val="18"/>
                <w:highlight w:val="none"/>
              </w:rPr>
              <w:t>安全运营团队中经验丰富的安全专家基于获得的信息及情报，对漏洞原理、漏洞产生安全的原因、漏洞的利用、受影响的范围、漏洞危害、处置建议等进行详细的分析。</w:t>
            </w:r>
          </w:p>
          <w:p w14:paraId="701C0AFB">
            <w:pPr>
              <w:rPr>
                <w:color w:val="auto"/>
                <w:sz w:val="18"/>
                <w:szCs w:val="18"/>
                <w:highlight w:val="none"/>
              </w:rPr>
            </w:pPr>
            <w:r>
              <w:rPr>
                <w:rFonts w:hint="eastAsia"/>
                <w:color w:val="auto"/>
                <w:sz w:val="18"/>
                <w:szCs w:val="18"/>
                <w:highlight w:val="none"/>
              </w:rPr>
              <w:t>（</w:t>
            </w:r>
            <w:r>
              <w:rPr>
                <w:color w:val="auto"/>
                <w:sz w:val="18"/>
                <w:szCs w:val="18"/>
                <w:highlight w:val="none"/>
              </w:rPr>
              <w:t>3</w:t>
            </w:r>
            <w:r>
              <w:rPr>
                <w:rFonts w:hint="eastAsia"/>
                <w:color w:val="auto"/>
                <w:sz w:val="18"/>
                <w:szCs w:val="18"/>
                <w:highlight w:val="none"/>
              </w:rPr>
              <w:t>）形成安全通报</w:t>
            </w:r>
          </w:p>
          <w:p w14:paraId="15B7CBE0">
            <w:pPr>
              <w:rPr>
                <w:color w:val="auto"/>
                <w:sz w:val="18"/>
                <w:szCs w:val="18"/>
                <w:highlight w:val="none"/>
              </w:rPr>
            </w:pPr>
            <w:r>
              <w:rPr>
                <w:rFonts w:hint="eastAsia"/>
                <w:color w:val="auto"/>
                <w:sz w:val="18"/>
                <w:szCs w:val="18"/>
                <w:highlight w:val="none"/>
              </w:rPr>
              <w:t>根据上述分析的结果，形成安全预警通告，通过邮件等方式实时发送给相关单位并持续追踪安全预警通告的处置情况。</w:t>
            </w:r>
          </w:p>
          <w:p w14:paraId="53ED90D9">
            <w:pPr>
              <w:rPr>
                <w:color w:val="auto"/>
                <w:sz w:val="18"/>
                <w:szCs w:val="18"/>
                <w:highlight w:val="none"/>
              </w:rPr>
            </w:pPr>
            <w:r>
              <w:rPr>
                <w:color w:val="auto"/>
                <w:sz w:val="18"/>
                <w:szCs w:val="18"/>
                <w:highlight w:val="none"/>
              </w:rPr>
              <w:t>2.</w:t>
            </w:r>
            <w:r>
              <w:rPr>
                <w:rFonts w:hint="eastAsia"/>
                <w:color w:val="auto"/>
                <w:sz w:val="18"/>
                <w:szCs w:val="18"/>
                <w:highlight w:val="none"/>
              </w:rPr>
              <w:t>工作范围</w:t>
            </w:r>
          </w:p>
          <w:p w14:paraId="34B9000A">
            <w:pPr>
              <w:rPr>
                <w:color w:val="auto"/>
                <w:sz w:val="18"/>
                <w:szCs w:val="18"/>
                <w:highlight w:val="none"/>
              </w:rPr>
            </w:pPr>
            <w:r>
              <w:rPr>
                <w:rFonts w:hint="eastAsia"/>
                <w:color w:val="auto"/>
                <w:sz w:val="18"/>
                <w:szCs w:val="18"/>
                <w:highlight w:val="none"/>
              </w:rPr>
              <w:t>从互联网各类知名威胁情报库，如</w:t>
            </w:r>
            <w:r>
              <w:rPr>
                <w:color w:val="auto"/>
                <w:sz w:val="18"/>
                <w:szCs w:val="18"/>
                <w:highlight w:val="none"/>
              </w:rPr>
              <w:t>CCNVD</w:t>
            </w:r>
            <w:r>
              <w:rPr>
                <w:rFonts w:hint="eastAsia"/>
                <w:color w:val="auto"/>
                <w:sz w:val="18"/>
                <w:szCs w:val="18"/>
                <w:highlight w:val="none"/>
              </w:rPr>
              <w:t>、</w:t>
            </w:r>
            <w:r>
              <w:rPr>
                <w:color w:val="auto"/>
                <w:sz w:val="18"/>
                <w:szCs w:val="18"/>
                <w:highlight w:val="none"/>
              </w:rPr>
              <w:t>CNVD</w:t>
            </w:r>
            <w:r>
              <w:rPr>
                <w:rFonts w:hint="eastAsia"/>
                <w:color w:val="auto"/>
                <w:sz w:val="18"/>
                <w:szCs w:val="18"/>
                <w:highlight w:val="none"/>
              </w:rPr>
              <w:t>、漏洞银行、漏洞盒子、众测平台、威胁情报平台、漏洞响应中心进行安全情报信息收集，并对相关情报信息进行梳理、整合，通报至信息中心及各委办局。</w:t>
            </w:r>
          </w:p>
          <w:p w14:paraId="0A0F2792">
            <w:pPr>
              <w:rPr>
                <w:color w:val="auto"/>
                <w:sz w:val="18"/>
                <w:szCs w:val="18"/>
                <w:highlight w:val="none"/>
              </w:rPr>
            </w:pPr>
            <w:r>
              <w:rPr>
                <w:color w:val="auto"/>
                <w:sz w:val="18"/>
                <w:szCs w:val="18"/>
                <w:highlight w:val="none"/>
              </w:rPr>
              <w:t>3.</w:t>
            </w:r>
            <w:r>
              <w:rPr>
                <w:rFonts w:hint="eastAsia"/>
                <w:color w:val="auto"/>
                <w:sz w:val="18"/>
                <w:szCs w:val="18"/>
                <w:highlight w:val="none"/>
              </w:rPr>
              <w:t>工作频次</w:t>
            </w:r>
          </w:p>
          <w:p w14:paraId="3BF05325">
            <w:pPr>
              <w:rPr>
                <w:color w:val="auto"/>
                <w:sz w:val="18"/>
                <w:szCs w:val="18"/>
                <w:highlight w:val="none"/>
              </w:rPr>
            </w:pP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）安全情报采集工作的驻场人员常态化安全情报威胁运营。</w:t>
            </w:r>
          </w:p>
          <w:p w14:paraId="7228FB4A">
            <w:pPr>
              <w:rPr>
                <w:color w:val="auto"/>
                <w:sz w:val="18"/>
                <w:szCs w:val="18"/>
                <w:highlight w:val="none"/>
              </w:rPr>
            </w:pPr>
            <w:r>
              <w:rPr>
                <w:rFonts w:hint="eastAsia"/>
                <w:color w:val="auto"/>
                <w:sz w:val="18"/>
                <w:szCs w:val="18"/>
                <w:highlight w:val="none"/>
              </w:rPr>
              <w:t>（</w:t>
            </w:r>
            <w:r>
              <w:rPr>
                <w:color w:val="auto"/>
                <w:sz w:val="18"/>
                <w:szCs w:val="18"/>
                <w:highlight w:val="none"/>
              </w:rPr>
              <w:t>2</w:t>
            </w:r>
            <w:r>
              <w:rPr>
                <w:rFonts w:hint="eastAsia"/>
                <w:color w:val="auto"/>
                <w:sz w:val="18"/>
                <w:szCs w:val="18"/>
                <w:highlight w:val="none"/>
              </w:rPr>
              <w:t>）每日关注重点高危漏洞（</w:t>
            </w:r>
            <w:r>
              <w:rPr>
                <w:color w:val="auto"/>
                <w:sz w:val="18"/>
                <w:szCs w:val="18"/>
                <w:highlight w:val="none"/>
              </w:rPr>
              <w:t>8.8</w:t>
            </w:r>
            <w:r>
              <w:rPr>
                <w:rFonts w:hint="eastAsia"/>
                <w:color w:val="auto"/>
                <w:sz w:val="18"/>
                <w:szCs w:val="18"/>
                <w:highlight w:val="none"/>
              </w:rPr>
              <w:t>分以上）信息。重保期间加强收集高风险威胁情报；</w:t>
            </w:r>
          </w:p>
          <w:p w14:paraId="3CE25C94">
            <w:pPr>
              <w:rPr>
                <w:color w:val="auto"/>
                <w:sz w:val="18"/>
                <w:szCs w:val="18"/>
                <w:highlight w:val="none"/>
              </w:rPr>
            </w:pPr>
            <w:r>
              <w:rPr>
                <w:rFonts w:hint="eastAsia"/>
                <w:color w:val="auto"/>
                <w:sz w:val="18"/>
                <w:szCs w:val="18"/>
                <w:highlight w:val="none"/>
              </w:rPr>
              <w:t>（</w:t>
            </w:r>
            <w:r>
              <w:rPr>
                <w:color w:val="auto"/>
                <w:sz w:val="18"/>
                <w:szCs w:val="18"/>
                <w:highlight w:val="none"/>
              </w:rPr>
              <w:t>3</w:t>
            </w:r>
            <w:r>
              <w:rPr>
                <w:rFonts w:hint="eastAsia"/>
                <w:color w:val="auto"/>
                <w:sz w:val="18"/>
                <w:szCs w:val="18"/>
                <w:highlight w:val="none"/>
              </w:rPr>
              <w:t>）高危漏洞爆发（如</w:t>
            </w:r>
            <w:r>
              <w:rPr>
                <w:color w:val="auto"/>
                <w:sz w:val="18"/>
                <w:szCs w:val="18"/>
                <w:highlight w:val="none"/>
              </w:rPr>
              <w:t xml:space="preserve"> 0day </w:t>
            </w:r>
            <w:r>
              <w:rPr>
                <w:rFonts w:hint="eastAsia"/>
                <w:color w:val="auto"/>
                <w:sz w:val="18"/>
                <w:szCs w:val="18"/>
                <w:highlight w:val="none"/>
              </w:rPr>
              <w:t>漏洞通报）：相关情报库实时跟踪，快速完成首轮采集与初步筛选。</w:t>
            </w:r>
          </w:p>
          <w:p w14:paraId="4A9B0213">
            <w:pPr>
              <w:rPr>
                <w:color w:val="auto"/>
                <w:sz w:val="18"/>
                <w:szCs w:val="18"/>
                <w:highlight w:val="none"/>
              </w:rPr>
            </w:pPr>
            <w:r>
              <w:rPr>
                <w:color w:val="auto"/>
                <w:sz w:val="18"/>
                <w:szCs w:val="18"/>
                <w:highlight w:val="none"/>
              </w:rPr>
              <w:t xml:space="preserve">4. </w:t>
            </w:r>
            <w:r>
              <w:rPr>
                <w:rFonts w:hint="eastAsia"/>
                <w:color w:val="auto"/>
                <w:sz w:val="18"/>
                <w:szCs w:val="18"/>
                <w:highlight w:val="none"/>
              </w:rPr>
              <w:t>工作交付物</w:t>
            </w:r>
          </w:p>
          <w:p w14:paraId="304C64E2">
            <w:pPr>
              <w:rPr>
                <w:color w:val="auto"/>
                <w:highlight w:val="none"/>
              </w:rPr>
            </w:pPr>
            <w:r>
              <w:rPr>
                <w:rFonts w:hint="eastAsia"/>
                <w:color w:val="auto"/>
                <w:sz w:val="18"/>
                <w:szCs w:val="18"/>
                <w:highlight w:val="none"/>
              </w:rPr>
              <w:t>《安全情报分析周报》、《高危漏洞预警通告》等。</w:t>
            </w:r>
          </w:p>
        </w:tc>
        <w:tc>
          <w:tcPr>
            <w:tcW w:w="145" w:type="pct"/>
            <w:tcBorders>
              <w:top w:val="nil"/>
              <w:left w:val="nil"/>
              <w:bottom w:val="single" w:color="auto" w:sz="4" w:space="0"/>
              <w:right w:val="single" w:color="auto" w:sz="4" w:space="0"/>
            </w:tcBorders>
            <w:noWrap/>
            <w:vAlign w:val="center"/>
          </w:tcPr>
          <w:p w14:paraId="3900C261">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0D7F8E1F">
            <w:pPr>
              <w:widowControl/>
              <w:jc w:val="center"/>
              <w:rPr>
                <w:rFonts w:hint="eastAsia" w:ascii="宋体" w:hAnsi="宋体" w:cs="宋体"/>
                <w:color w:val="auto"/>
                <w:kern w:val="0"/>
                <w:sz w:val="18"/>
                <w:szCs w:val="18"/>
                <w:highlight w:val="none"/>
              </w:rPr>
            </w:pPr>
          </w:p>
        </w:tc>
      </w:tr>
      <w:tr w14:paraId="30B0542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B0DFE4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428" w:type="pct"/>
            <w:tcBorders>
              <w:top w:val="nil"/>
              <w:left w:val="nil"/>
              <w:bottom w:val="single" w:color="auto" w:sz="4" w:space="0"/>
              <w:right w:val="single" w:color="auto" w:sz="4" w:space="0"/>
            </w:tcBorders>
            <w:noWrap/>
            <w:vAlign w:val="center"/>
          </w:tcPr>
          <w:p w14:paraId="6DB896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基线核查服务</w:t>
            </w:r>
          </w:p>
        </w:tc>
        <w:tc>
          <w:tcPr>
            <w:tcW w:w="3798" w:type="pct"/>
            <w:gridSpan w:val="2"/>
            <w:tcBorders>
              <w:top w:val="nil"/>
              <w:left w:val="nil"/>
              <w:bottom w:val="single" w:color="auto" w:sz="4" w:space="0"/>
              <w:right w:val="single" w:color="auto" w:sz="4" w:space="0"/>
            </w:tcBorders>
            <w:vAlign w:val="center"/>
          </w:tcPr>
          <w:p w14:paraId="3656BB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通过专业的安全配置核查工具对各委办局上云应用系统的数据库、中间件和云主机操作系统开展安全配置核查，及时发现操作系统、数据库、中间件的安全配置弱点。专业安全团队结合业务应用场景、IT 基础环境、管理运维流程给出针对性安全配置整改建议，以报告方式指导开展安全配置整改工作。</w:t>
            </w:r>
          </w:p>
          <w:p w14:paraId="22172431">
            <w:pPr>
              <w:pStyle w:val="32"/>
              <w:rPr>
                <w:color w:val="auto"/>
                <w:highlight w:val="none"/>
              </w:rPr>
            </w:pPr>
            <w:r>
              <w:rPr>
                <w:color w:val="auto"/>
                <w:highlight w:val="none"/>
              </w:rPr>
              <w:t>1.</w:t>
            </w:r>
            <w:r>
              <w:rPr>
                <w:rFonts w:hint="eastAsia"/>
                <w:color w:val="auto"/>
                <w:highlight w:val="none"/>
              </w:rPr>
              <w:t>工作内容</w:t>
            </w:r>
          </w:p>
          <w:p w14:paraId="6B39959F">
            <w:pPr>
              <w:pStyle w:val="32"/>
              <w:rPr>
                <w:color w:val="auto"/>
                <w:highlight w:val="none"/>
              </w:rPr>
            </w:pPr>
            <w:r>
              <w:rPr>
                <w:rFonts w:hint="eastAsia"/>
                <w:color w:val="auto"/>
                <w:highlight w:val="none"/>
              </w:rPr>
              <w:t>安全基线核查主要工作内容如下。</w:t>
            </w:r>
          </w:p>
          <w:p w14:paraId="6BEC45F8">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）设备配置检查及记录：</w:t>
            </w:r>
          </w:p>
          <w:p w14:paraId="269213D6">
            <w:pPr>
              <w:pStyle w:val="32"/>
              <w:rPr>
                <w:color w:val="auto"/>
                <w:highlight w:val="none"/>
              </w:rPr>
            </w:pPr>
            <w:r>
              <w:rPr>
                <w:rFonts w:hint="eastAsia"/>
                <w:color w:val="auto"/>
                <w:highlight w:val="none"/>
              </w:rPr>
              <w:t>根据基线检查在操作系统、数据库、中间件等各个层面的最佳实践，对目标信息系统进行配置核查，并记录当前设备的配置情况。</w:t>
            </w:r>
          </w:p>
          <w:p w14:paraId="100847DF">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）配置安全分析：</w:t>
            </w:r>
          </w:p>
          <w:p w14:paraId="1C6B73FE">
            <w:pPr>
              <w:pStyle w:val="32"/>
              <w:rPr>
                <w:color w:val="auto"/>
                <w:highlight w:val="none"/>
              </w:rPr>
            </w:pPr>
            <w:r>
              <w:rPr>
                <w:rFonts w:hint="eastAsia"/>
                <w:color w:val="auto"/>
                <w:highlight w:val="none"/>
              </w:rPr>
              <w:t>根据基线检查整体现状记录情况，参照操作系统、数据库、中间件等各个层面的最佳实践，对当前的安全配置情况进行分析，找出在安全配置方面的差距并作出记录。</w:t>
            </w:r>
          </w:p>
          <w:p w14:paraId="03244D6B">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）形成检查报告及建议：</w:t>
            </w:r>
          </w:p>
          <w:p w14:paraId="4D3DB4CA">
            <w:pPr>
              <w:pStyle w:val="32"/>
              <w:rPr>
                <w:color w:val="auto"/>
                <w:highlight w:val="none"/>
              </w:rPr>
            </w:pPr>
            <w:r>
              <w:rPr>
                <w:rFonts w:hint="eastAsia"/>
                <w:color w:val="auto"/>
                <w:highlight w:val="none"/>
              </w:rPr>
              <w:t>根据基线检查整体差距分析情况，结合委办局重要信息系统当前的情况，编写完成最终的基线检查整体报告，在报告中提供配置整改建议，并提供技术指导。</w:t>
            </w:r>
          </w:p>
          <w:p w14:paraId="11BDF80A">
            <w:pPr>
              <w:pStyle w:val="32"/>
              <w:rPr>
                <w:color w:val="auto"/>
                <w:highlight w:val="none"/>
              </w:rPr>
            </w:pPr>
            <w:r>
              <w:rPr>
                <w:color w:val="auto"/>
                <w:highlight w:val="none"/>
              </w:rPr>
              <w:t>2.</w:t>
            </w:r>
            <w:r>
              <w:rPr>
                <w:rFonts w:hint="eastAsia"/>
                <w:color w:val="auto"/>
                <w:highlight w:val="none"/>
              </w:rPr>
              <w:t>工作范围</w:t>
            </w:r>
          </w:p>
          <w:p w14:paraId="597A26C9">
            <w:pPr>
              <w:pStyle w:val="32"/>
              <w:rPr>
                <w:color w:val="auto"/>
                <w:highlight w:val="none"/>
              </w:rPr>
            </w:pPr>
            <w:r>
              <w:rPr>
                <w:rFonts w:hint="eastAsia"/>
                <w:color w:val="auto"/>
                <w:highlight w:val="none"/>
              </w:rPr>
              <w:t>各委办局新上云应用系统的数据库、中间件和云主机操作系统执行安全配置核查。</w:t>
            </w:r>
          </w:p>
          <w:p w14:paraId="6F076294">
            <w:pPr>
              <w:pStyle w:val="32"/>
              <w:rPr>
                <w:color w:val="auto"/>
                <w:highlight w:val="none"/>
              </w:rPr>
            </w:pPr>
            <w:r>
              <w:rPr>
                <w:color w:val="auto"/>
                <w:highlight w:val="none"/>
              </w:rPr>
              <w:t>3.</w:t>
            </w:r>
            <w:r>
              <w:rPr>
                <w:rFonts w:hint="eastAsia"/>
                <w:color w:val="auto"/>
                <w:highlight w:val="none"/>
              </w:rPr>
              <w:t>工作频次</w:t>
            </w:r>
          </w:p>
          <w:p w14:paraId="3F4BCDC6">
            <w:pPr>
              <w:pStyle w:val="32"/>
              <w:rPr>
                <w:color w:val="auto"/>
                <w:highlight w:val="none"/>
              </w:rPr>
            </w:pPr>
            <w:r>
              <w:rPr>
                <w:rFonts w:hint="eastAsia"/>
                <w:color w:val="auto"/>
                <w:highlight w:val="none"/>
              </w:rPr>
              <w:t>针对各委办局新上云应用系统按需开展。</w:t>
            </w:r>
          </w:p>
          <w:p w14:paraId="014E9E33">
            <w:pPr>
              <w:pStyle w:val="32"/>
              <w:rPr>
                <w:color w:val="auto"/>
                <w:highlight w:val="none"/>
              </w:rPr>
            </w:pPr>
            <w:r>
              <w:rPr>
                <w:color w:val="auto"/>
                <w:highlight w:val="none"/>
              </w:rPr>
              <w:t>4</w:t>
            </w:r>
            <w:r>
              <w:rPr>
                <w:rFonts w:hint="eastAsia"/>
                <w:color w:val="auto"/>
                <w:highlight w:val="none"/>
              </w:rPr>
              <w:t>、工作交付物</w:t>
            </w:r>
          </w:p>
          <w:p w14:paraId="617AE1EA">
            <w:pPr>
              <w:pStyle w:val="32"/>
              <w:widowControl/>
              <w:rPr>
                <w:rFonts w:hint="eastAsia" w:ascii="宋体" w:hAnsi="宋体" w:cs="宋体"/>
                <w:color w:val="auto"/>
                <w:highlight w:val="none"/>
              </w:rPr>
            </w:pPr>
            <w:r>
              <w:rPr>
                <w:rFonts w:hint="eastAsia"/>
                <w:color w:val="auto"/>
                <w:highlight w:val="none"/>
              </w:rPr>
              <w:t>《基线配置核查报告》。</w:t>
            </w:r>
          </w:p>
        </w:tc>
        <w:tc>
          <w:tcPr>
            <w:tcW w:w="145" w:type="pct"/>
            <w:tcBorders>
              <w:top w:val="nil"/>
              <w:left w:val="nil"/>
              <w:bottom w:val="single" w:color="auto" w:sz="4" w:space="0"/>
              <w:right w:val="single" w:color="auto" w:sz="4" w:space="0"/>
            </w:tcBorders>
            <w:noWrap/>
            <w:vAlign w:val="center"/>
          </w:tcPr>
          <w:p w14:paraId="593C90D3">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1D2F25BC">
            <w:pPr>
              <w:widowControl/>
              <w:jc w:val="center"/>
              <w:rPr>
                <w:rFonts w:hint="eastAsia" w:ascii="宋体" w:hAnsi="宋体" w:cs="宋体"/>
                <w:color w:val="auto"/>
                <w:kern w:val="0"/>
                <w:sz w:val="18"/>
                <w:szCs w:val="18"/>
                <w:highlight w:val="none"/>
              </w:rPr>
            </w:pPr>
          </w:p>
        </w:tc>
      </w:tr>
      <w:tr w14:paraId="1D5CB3CE">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AC2211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428" w:type="pct"/>
            <w:tcBorders>
              <w:top w:val="nil"/>
              <w:left w:val="nil"/>
              <w:bottom w:val="single" w:color="auto" w:sz="4" w:space="0"/>
              <w:right w:val="single" w:color="auto" w:sz="4" w:space="0"/>
            </w:tcBorders>
            <w:noWrap/>
            <w:vAlign w:val="center"/>
          </w:tcPr>
          <w:p w14:paraId="63E521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漏洞评估服务及闭环处置</w:t>
            </w:r>
          </w:p>
        </w:tc>
        <w:tc>
          <w:tcPr>
            <w:tcW w:w="3798" w:type="pct"/>
            <w:gridSpan w:val="2"/>
            <w:tcBorders>
              <w:top w:val="nil"/>
              <w:left w:val="nil"/>
              <w:bottom w:val="single" w:color="auto" w:sz="4" w:space="0"/>
              <w:right w:val="single" w:color="auto" w:sz="4" w:space="0"/>
            </w:tcBorders>
            <w:vAlign w:val="center"/>
          </w:tcPr>
          <w:p w14:paraId="3BFD9948">
            <w:pPr>
              <w:pStyle w:val="32"/>
              <w:widowControl/>
              <w:rPr>
                <w:rFonts w:hint="eastAsia" w:ascii="宋体" w:hAnsi="宋体" w:cs="宋体"/>
                <w:color w:val="auto"/>
                <w:highlight w:val="none"/>
              </w:rPr>
            </w:pPr>
            <w:r>
              <w:rPr>
                <w:rFonts w:hint="eastAsia" w:ascii="宋体" w:hAnsi="宋体" w:cs="宋体"/>
                <w:color w:val="auto"/>
                <w:highlight w:val="none"/>
              </w:rPr>
              <w:t>漏洞评估服务及闭环处置聚焦于各类安全检测工作检测发现的安全漏洞及风险，建立并维护安全漏洞跟进表并进行持续动态更新，建立漏洞闭环管理机制，跟进并协调相关漏洞责任单位开展安全漏洞整改修复，对相关单位反馈的整改修复情况进行复核、确认，更新相关安全漏洞跟进表信息。</w:t>
            </w:r>
          </w:p>
          <w:p w14:paraId="5A4CA9A2">
            <w:pPr>
              <w:pStyle w:val="32"/>
              <w:rPr>
                <w:color w:val="auto"/>
                <w:highlight w:val="none"/>
              </w:rPr>
            </w:pPr>
            <w:r>
              <w:rPr>
                <w:color w:val="auto"/>
                <w:highlight w:val="none"/>
              </w:rPr>
              <w:t>1.</w:t>
            </w:r>
            <w:r>
              <w:rPr>
                <w:rFonts w:hint="eastAsia"/>
                <w:color w:val="auto"/>
                <w:highlight w:val="none"/>
              </w:rPr>
              <w:t>工作内容</w:t>
            </w:r>
          </w:p>
          <w:p w14:paraId="25497129">
            <w:pPr>
              <w:pStyle w:val="32"/>
              <w:rPr>
                <w:color w:val="auto"/>
                <w:highlight w:val="none"/>
              </w:rPr>
            </w:pPr>
            <w:r>
              <w:rPr>
                <w:rFonts w:hint="eastAsia"/>
                <w:color w:val="auto"/>
                <w:highlight w:val="none"/>
              </w:rPr>
              <w:t>漏洞评估服务及闭环处置主要工作包括：</w:t>
            </w:r>
          </w:p>
          <w:p w14:paraId="7CE64506">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）建立并维护安全漏洞跟进表，将安全漏洞管理工作、基线核查工作、</w:t>
            </w:r>
            <w:r>
              <w:rPr>
                <w:color w:val="auto"/>
                <w:highlight w:val="none"/>
              </w:rPr>
              <w:t>web</w:t>
            </w:r>
            <w:r>
              <w:rPr>
                <w:rFonts w:hint="eastAsia"/>
                <w:color w:val="auto"/>
                <w:highlight w:val="none"/>
              </w:rPr>
              <w:t>漏洞扫描工作检测发现的安全漏洞进行汇总、统计、分析、跟进，并进行每月更新，督促有关责任单位进行漏洞修复；</w:t>
            </w:r>
          </w:p>
          <w:p w14:paraId="5574853F">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）每个月将安全漏洞管理工作交付的主机系统漏洞扫描报告进行拆分、分类，下发对应的责任单位，督促漏洞修复；</w:t>
            </w:r>
          </w:p>
          <w:p w14:paraId="6EEEDEBB">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）每半年将安全漏洞管理工作交付的网络及安全设备漏洞扫描报告进行拆分、分类，下发对应的责任单位，督促漏洞修复；</w:t>
            </w:r>
          </w:p>
          <w:p w14:paraId="5181B546">
            <w:pPr>
              <w:pStyle w:val="32"/>
              <w:rPr>
                <w:color w:val="auto"/>
                <w:highlight w:val="none"/>
              </w:rPr>
            </w:pPr>
            <w:r>
              <w:rPr>
                <w:rFonts w:hint="eastAsia"/>
                <w:color w:val="auto"/>
                <w:highlight w:val="none"/>
              </w:rPr>
              <w:t>（</w:t>
            </w:r>
            <w:r>
              <w:rPr>
                <w:color w:val="auto"/>
                <w:highlight w:val="none"/>
              </w:rPr>
              <w:t>4</w:t>
            </w:r>
            <w:r>
              <w:rPr>
                <w:rFonts w:hint="eastAsia"/>
                <w:color w:val="auto"/>
                <w:highlight w:val="none"/>
              </w:rPr>
              <w:t>）每年将</w:t>
            </w:r>
            <w:r>
              <w:rPr>
                <w:color w:val="auto"/>
                <w:highlight w:val="none"/>
              </w:rPr>
              <w:t>web</w:t>
            </w:r>
            <w:r>
              <w:rPr>
                <w:rFonts w:hint="eastAsia"/>
                <w:color w:val="auto"/>
                <w:highlight w:val="none"/>
              </w:rPr>
              <w:t>漏洞扫描工作交付的</w:t>
            </w:r>
            <w:r>
              <w:rPr>
                <w:color w:val="auto"/>
                <w:highlight w:val="none"/>
              </w:rPr>
              <w:t>web</w:t>
            </w:r>
            <w:r>
              <w:rPr>
                <w:rFonts w:hint="eastAsia"/>
                <w:color w:val="auto"/>
                <w:highlight w:val="none"/>
              </w:rPr>
              <w:t>扫描报告进行拆分、分类，下发对应的责任单位，督促漏洞修复；</w:t>
            </w:r>
          </w:p>
          <w:p w14:paraId="49E7673D">
            <w:pPr>
              <w:pStyle w:val="32"/>
              <w:rPr>
                <w:color w:val="auto"/>
                <w:highlight w:val="none"/>
              </w:rPr>
            </w:pPr>
            <w:r>
              <w:rPr>
                <w:rFonts w:hint="eastAsia"/>
                <w:color w:val="auto"/>
                <w:highlight w:val="none"/>
              </w:rPr>
              <w:t>（</w:t>
            </w:r>
            <w:r>
              <w:rPr>
                <w:color w:val="auto"/>
                <w:highlight w:val="none"/>
              </w:rPr>
              <w:t>5</w:t>
            </w:r>
            <w:r>
              <w:rPr>
                <w:rFonts w:hint="eastAsia"/>
                <w:color w:val="auto"/>
                <w:highlight w:val="none"/>
              </w:rPr>
              <w:t>）为自治区信息中心归属业务系统资产提供的漏洞整改技术支持、漏洞复测等支持，为其他委办厅局单位提供必要的漏洞整改技术咨询。</w:t>
            </w:r>
            <w:r>
              <w:rPr>
                <w:color w:val="auto"/>
                <w:highlight w:val="none"/>
              </w:rPr>
              <w:t xml:space="preserve">     </w:t>
            </w:r>
          </w:p>
          <w:p w14:paraId="5F3B335F">
            <w:pPr>
              <w:pStyle w:val="32"/>
              <w:rPr>
                <w:color w:val="auto"/>
                <w:highlight w:val="none"/>
              </w:rPr>
            </w:pPr>
            <w:r>
              <w:rPr>
                <w:color w:val="auto"/>
                <w:highlight w:val="none"/>
              </w:rPr>
              <w:t>2.</w:t>
            </w:r>
            <w:r>
              <w:rPr>
                <w:rFonts w:hint="eastAsia"/>
                <w:color w:val="auto"/>
                <w:highlight w:val="none"/>
              </w:rPr>
              <w:t>工作范围</w:t>
            </w:r>
          </w:p>
          <w:p w14:paraId="5BA5EFA1">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）电子政务外网资产：自治区电子政务外网网络设备、安全设备资产；</w:t>
            </w:r>
          </w:p>
          <w:p w14:paraId="5822AF7A">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）政务云运行资产：浪潮云、信创云、专用业务云上云业务资产，包括相应的主机、应用、数据库、中间件等。</w:t>
            </w:r>
          </w:p>
          <w:p w14:paraId="274D7F7E">
            <w:pPr>
              <w:pStyle w:val="32"/>
              <w:rPr>
                <w:color w:val="auto"/>
                <w:highlight w:val="none"/>
              </w:rPr>
            </w:pPr>
            <w:r>
              <w:rPr>
                <w:color w:val="auto"/>
                <w:highlight w:val="none"/>
              </w:rPr>
              <w:t>3.</w:t>
            </w:r>
            <w:r>
              <w:rPr>
                <w:rFonts w:hint="eastAsia"/>
                <w:color w:val="auto"/>
                <w:highlight w:val="none"/>
              </w:rPr>
              <w:t>工作频次</w:t>
            </w:r>
          </w:p>
          <w:p w14:paraId="42BA0253">
            <w:pPr>
              <w:pStyle w:val="32"/>
              <w:rPr>
                <w:color w:val="auto"/>
                <w:highlight w:val="none"/>
              </w:rPr>
            </w:pPr>
            <w:r>
              <w:rPr>
                <w:rFonts w:hint="eastAsia"/>
                <w:color w:val="auto"/>
                <w:highlight w:val="none"/>
              </w:rPr>
              <w:t>安全驻场运营人员提供</w:t>
            </w:r>
            <w:r>
              <w:rPr>
                <w:color w:val="auto"/>
                <w:highlight w:val="none"/>
              </w:rPr>
              <w:t>5</w:t>
            </w:r>
            <w:r>
              <w:rPr>
                <w:rFonts w:hint="eastAsia"/>
                <w:color w:val="auto"/>
                <w:highlight w:val="none"/>
              </w:rPr>
              <w:t>×</w:t>
            </w:r>
            <w:r>
              <w:rPr>
                <w:color w:val="auto"/>
                <w:highlight w:val="none"/>
              </w:rPr>
              <w:t>8</w:t>
            </w:r>
            <w:r>
              <w:rPr>
                <w:rFonts w:hint="eastAsia"/>
                <w:color w:val="auto"/>
                <w:highlight w:val="none"/>
              </w:rPr>
              <w:t>小时运营管理服务，提供如下服务：</w:t>
            </w:r>
          </w:p>
          <w:p w14:paraId="491F7EC1">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）建立并维护安全漏洞跟进表，将安全漏洞管理工作、基线核查工作、</w:t>
            </w:r>
            <w:r>
              <w:rPr>
                <w:color w:val="auto"/>
                <w:highlight w:val="none"/>
              </w:rPr>
              <w:t>web</w:t>
            </w:r>
            <w:r>
              <w:rPr>
                <w:rFonts w:hint="eastAsia"/>
                <w:color w:val="auto"/>
                <w:highlight w:val="none"/>
              </w:rPr>
              <w:t>漏洞扫描工作检测发现的安全漏洞进行汇总、统计、分析、跟进，并进行每月更新，督促有关责任单位进行漏洞修复；</w:t>
            </w:r>
          </w:p>
          <w:p w14:paraId="3FEAF396">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）每个月将主机系统漏洞扫描报告进行拆分、分类，下发对应的责任单位，督促漏洞修复；</w:t>
            </w:r>
          </w:p>
          <w:p w14:paraId="52687920">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）每半年将网络及安全设备漏洞扫描报告进行拆分、分类，下发对应的责任单位，督促漏洞修复；</w:t>
            </w:r>
          </w:p>
          <w:p w14:paraId="2653B6B6">
            <w:pPr>
              <w:pStyle w:val="32"/>
              <w:rPr>
                <w:color w:val="auto"/>
                <w:highlight w:val="none"/>
              </w:rPr>
            </w:pPr>
            <w:r>
              <w:rPr>
                <w:rFonts w:hint="eastAsia"/>
                <w:color w:val="auto"/>
                <w:highlight w:val="none"/>
              </w:rPr>
              <w:t>（</w:t>
            </w:r>
            <w:r>
              <w:rPr>
                <w:color w:val="auto"/>
                <w:highlight w:val="none"/>
              </w:rPr>
              <w:t>4</w:t>
            </w:r>
            <w:r>
              <w:rPr>
                <w:rFonts w:hint="eastAsia"/>
                <w:color w:val="auto"/>
                <w:highlight w:val="none"/>
              </w:rPr>
              <w:t>）每年将</w:t>
            </w:r>
            <w:r>
              <w:rPr>
                <w:color w:val="auto"/>
                <w:highlight w:val="none"/>
              </w:rPr>
              <w:t>web</w:t>
            </w:r>
            <w:r>
              <w:rPr>
                <w:rFonts w:hint="eastAsia"/>
                <w:color w:val="auto"/>
                <w:highlight w:val="none"/>
              </w:rPr>
              <w:t>漏洞扫描工作交付的</w:t>
            </w:r>
            <w:r>
              <w:rPr>
                <w:color w:val="auto"/>
                <w:highlight w:val="none"/>
              </w:rPr>
              <w:t>web</w:t>
            </w:r>
            <w:r>
              <w:rPr>
                <w:rFonts w:hint="eastAsia"/>
                <w:color w:val="auto"/>
                <w:highlight w:val="none"/>
              </w:rPr>
              <w:t>扫描报告进行拆分、分类，下发对应的责任单位，督促漏洞修复。</w:t>
            </w:r>
          </w:p>
          <w:p w14:paraId="45A89E45">
            <w:pPr>
              <w:pStyle w:val="32"/>
              <w:rPr>
                <w:color w:val="auto"/>
                <w:highlight w:val="none"/>
              </w:rPr>
            </w:pPr>
            <w:r>
              <w:rPr>
                <w:color w:val="auto"/>
                <w:highlight w:val="none"/>
              </w:rPr>
              <w:t>4</w:t>
            </w:r>
            <w:r>
              <w:rPr>
                <w:rFonts w:hint="eastAsia"/>
                <w:color w:val="auto"/>
                <w:highlight w:val="none"/>
              </w:rPr>
              <w:t>、工作交付物</w:t>
            </w:r>
          </w:p>
          <w:p w14:paraId="473545EA">
            <w:pPr>
              <w:pStyle w:val="32"/>
              <w:widowControl/>
              <w:rPr>
                <w:rFonts w:hint="eastAsia" w:ascii="宋体" w:hAnsi="宋体" w:cs="宋体"/>
                <w:color w:val="auto"/>
                <w:kern w:val="2"/>
                <w:sz w:val="21"/>
                <w:szCs w:val="24"/>
                <w:highlight w:val="none"/>
              </w:rPr>
            </w:pPr>
            <w:r>
              <w:rPr>
                <w:rFonts w:hint="eastAsia"/>
                <w:color w:val="auto"/>
                <w:highlight w:val="none"/>
              </w:rPr>
              <w:t>《安全漏洞跟进表》。</w:t>
            </w:r>
          </w:p>
        </w:tc>
        <w:tc>
          <w:tcPr>
            <w:tcW w:w="145" w:type="pct"/>
            <w:tcBorders>
              <w:top w:val="nil"/>
              <w:left w:val="nil"/>
              <w:bottom w:val="single" w:color="auto" w:sz="4" w:space="0"/>
              <w:right w:val="single" w:color="auto" w:sz="4" w:space="0"/>
            </w:tcBorders>
            <w:noWrap/>
            <w:vAlign w:val="center"/>
          </w:tcPr>
          <w:p w14:paraId="15A49081">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1F4106D0">
            <w:pPr>
              <w:widowControl/>
              <w:jc w:val="center"/>
              <w:rPr>
                <w:rFonts w:hint="eastAsia" w:ascii="宋体" w:hAnsi="宋体" w:cs="宋体"/>
                <w:color w:val="auto"/>
                <w:kern w:val="0"/>
                <w:sz w:val="18"/>
                <w:szCs w:val="18"/>
                <w:highlight w:val="none"/>
              </w:rPr>
            </w:pPr>
          </w:p>
        </w:tc>
      </w:tr>
      <w:tr w14:paraId="5831D784">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DDBD5E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428" w:type="pct"/>
            <w:tcBorders>
              <w:top w:val="nil"/>
              <w:left w:val="nil"/>
              <w:bottom w:val="single" w:color="auto" w:sz="4" w:space="0"/>
              <w:right w:val="single" w:color="auto" w:sz="4" w:space="0"/>
            </w:tcBorders>
            <w:noWrap/>
            <w:vAlign w:val="center"/>
          </w:tcPr>
          <w:p w14:paraId="3DE45D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web漏洞扫描服务</w:t>
            </w:r>
          </w:p>
        </w:tc>
        <w:tc>
          <w:tcPr>
            <w:tcW w:w="3798" w:type="pct"/>
            <w:gridSpan w:val="2"/>
            <w:tcBorders>
              <w:top w:val="nil"/>
              <w:left w:val="nil"/>
              <w:bottom w:val="single" w:color="auto" w:sz="4" w:space="0"/>
              <w:right w:val="single" w:color="auto" w:sz="4" w:space="0"/>
            </w:tcBorders>
            <w:vAlign w:val="center"/>
          </w:tcPr>
          <w:p w14:paraId="797474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通过专业的 Web 安全漏洞评估工具周期性对政务云上云或托管的各类 Web 应用系统开展 Web安全扫描，主要检查内容包括：SQL 注入、XSS、命令注入、反序列化、越权访问，并针对扫描发现的安全漏洞进行验证分析和跟踪整改情况。</w:t>
            </w:r>
          </w:p>
          <w:p w14:paraId="69780D8E">
            <w:pPr>
              <w:pStyle w:val="32"/>
              <w:rPr>
                <w:color w:val="auto"/>
                <w:highlight w:val="none"/>
              </w:rPr>
            </w:pPr>
            <w:r>
              <w:rPr>
                <w:color w:val="auto"/>
                <w:highlight w:val="none"/>
              </w:rPr>
              <w:t>1.</w:t>
            </w:r>
            <w:r>
              <w:rPr>
                <w:rFonts w:hint="eastAsia"/>
                <w:color w:val="auto"/>
                <w:highlight w:val="none"/>
              </w:rPr>
              <w:t>工作内容</w:t>
            </w:r>
          </w:p>
          <w:p w14:paraId="40AF45D8">
            <w:pPr>
              <w:pStyle w:val="32"/>
              <w:rPr>
                <w:color w:val="auto"/>
                <w:highlight w:val="none"/>
              </w:rPr>
            </w:pPr>
            <w:r>
              <w:rPr>
                <w:color w:val="auto"/>
                <w:highlight w:val="none"/>
              </w:rPr>
              <w:t>web</w:t>
            </w:r>
            <w:r>
              <w:rPr>
                <w:rFonts w:hint="eastAsia"/>
                <w:color w:val="auto"/>
                <w:highlight w:val="none"/>
              </w:rPr>
              <w:t>漏洞扫描服务主要工作内容如下：</w:t>
            </w:r>
          </w:p>
          <w:p w14:paraId="77A5AF6B">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）提出扫描申请</w:t>
            </w:r>
          </w:p>
          <w:p w14:paraId="0B2D2C3D">
            <w:pPr>
              <w:pStyle w:val="32"/>
              <w:rPr>
                <w:color w:val="auto"/>
                <w:highlight w:val="none"/>
              </w:rPr>
            </w:pPr>
            <w:r>
              <w:rPr>
                <w:rFonts w:hint="eastAsia"/>
                <w:color w:val="auto"/>
                <w:highlight w:val="none"/>
              </w:rPr>
              <w:t>在扫描开始前，安全运营团队以书面形式向信息中心提出安全扫描评估申请，申请内容应包括：安全扫描评估工作开始时间、结束时间、执行人、扫描</w:t>
            </w:r>
            <w:r>
              <w:rPr>
                <w:color w:val="auto"/>
                <w:highlight w:val="none"/>
              </w:rPr>
              <w:t>WEB</w:t>
            </w:r>
            <w:r>
              <w:rPr>
                <w:rFonts w:hint="eastAsia"/>
                <w:color w:val="auto"/>
                <w:highlight w:val="none"/>
              </w:rPr>
              <w:t>业务系统、</w:t>
            </w:r>
            <w:r>
              <w:rPr>
                <w:color w:val="auto"/>
                <w:highlight w:val="none"/>
              </w:rPr>
              <w:t>URL</w:t>
            </w:r>
            <w:r>
              <w:rPr>
                <w:rFonts w:hint="eastAsia"/>
                <w:color w:val="auto"/>
                <w:highlight w:val="none"/>
              </w:rPr>
              <w:t>地址范围等相关信息。</w:t>
            </w:r>
          </w:p>
          <w:p w14:paraId="0C08064D">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）执行扫描操作</w:t>
            </w:r>
          </w:p>
          <w:p w14:paraId="36C7596D">
            <w:pPr>
              <w:pStyle w:val="32"/>
              <w:rPr>
                <w:color w:val="auto"/>
                <w:highlight w:val="none"/>
              </w:rPr>
            </w:pPr>
            <w:r>
              <w:rPr>
                <w:rFonts w:hint="eastAsia"/>
                <w:color w:val="auto"/>
                <w:highlight w:val="none"/>
              </w:rPr>
              <w:t>在</w:t>
            </w:r>
            <w:r>
              <w:rPr>
                <w:color w:val="auto"/>
                <w:highlight w:val="none"/>
              </w:rPr>
              <w:t xml:space="preserve"> Web </w:t>
            </w:r>
            <w:r>
              <w:rPr>
                <w:rFonts w:hint="eastAsia"/>
                <w:color w:val="auto"/>
                <w:highlight w:val="none"/>
              </w:rPr>
              <w:t>安全扫描评估申请获得批准后，安全运营团队将在非业务高峰期执行漏洞扫描操作。安全扫描评估以网络为基础进行，扫描工具通过网络对被评估</w:t>
            </w:r>
            <w:r>
              <w:rPr>
                <w:color w:val="auto"/>
                <w:highlight w:val="none"/>
              </w:rPr>
              <w:t>WEB</w:t>
            </w:r>
            <w:r>
              <w:rPr>
                <w:rFonts w:hint="eastAsia"/>
                <w:color w:val="auto"/>
                <w:highlight w:val="none"/>
              </w:rPr>
              <w:t>对象进行安全检测。</w:t>
            </w:r>
          </w:p>
          <w:p w14:paraId="5CD49074">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）生成评估报告</w:t>
            </w:r>
          </w:p>
          <w:p w14:paraId="5FB86C60">
            <w:pPr>
              <w:pStyle w:val="32"/>
              <w:rPr>
                <w:color w:val="auto"/>
                <w:highlight w:val="none"/>
              </w:rPr>
            </w:pPr>
            <w:r>
              <w:rPr>
                <w:rFonts w:hint="eastAsia"/>
                <w:color w:val="auto"/>
                <w:highlight w:val="none"/>
              </w:rPr>
              <w:t>安全扫描评估实施结束后，工程师安全运营团队就本次扫描的结果生成安全扫描评估报告，扫描报告应包含以下信息：执行时间、执行人、</w:t>
            </w:r>
            <w:r>
              <w:rPr>
                <w:color w:val="auto"/>
                <w:highlight w:val="none"/>
              </w:rPr>
              <w:t>WEB</w:t>
            </w:r>
            <w:r>
              <w:rPr>
                <w:rFonts w:hint="eastAsia"/>
                <w:color w:val="auto"/>
                <w:highlight w:val="none"/>
              </w:rPr>
              <w:t>业务系统、高中低漏洞分布、高中低漏洞列表、漏洞整改建议等信息。</w:t>
            </w:r>
          </w:p>
          <w:p w14:paraId="762F3C27">
            <w:pPr>
              <w:pStyle w:val="32"/>
              <w:rPr>
                <w:color w:val="auto"/>
                <w:highlight w:val="none"/>
              </w:rPr>
            </w:pPr>
            <w:r>
              <w:rPr>
                <w:rFonts w:hint="eastAsia"/>
                <w:color w:val="auto"/>
                <w:highlight w:val="none"/>
              </w:rPr>
              <w:t>（</w:t>
            </w:r>
            <w:r>
              <w:rPr>
                <w:color w:val="auto"/>
                <w:highlight w:val="none"/>
              </w:rPr>
              <w:t>4</w:t>
            </w:r>
            <w:r>
              <w:rPr>
                <w:rFonts w:hint="eastAsia"/>
                <w:color w:val="auto"/>
                <w:highlight w:val="none"/>
              </w:rPr>
              <w:t>）评估报告分发</w:t>
            </w:r>
          </w:p>
          <w:p w14:paraId="6B06FF02">
            <w:pPr>
              <w:pStyle w:val="32"/>
              <w:rPr>
                <w:color w:val="auto"/>
                <w:highlight w:val="none"/>
              </w:rPr>
            </w:pPr>
            <w:r>
              <w:rPr>
                <w:rFonts w:hint="eastAsia"/>
                <w:color w:val="auto"/>
                <w:highlight w:val="none"/>
              </w:rPr>
              <w:t>将生成的漏洞扫描报告进行拆解、分类，分发至相关委办厅局、业务部门。</w:t>
            </w:r>
          </w:p>
          <w:p w14:paraId="7196ECBE">
            <w:pPr>
              <w:pStyle w:val="32"/>
              <w:rPr>
                <w:color w:val="auto"/>
                <w:highlight w:val="none"/>
              </w:rPr>
            </w:pPr>
            <w:r>
              <w:rPr>
                <w:rFonts w:hint="eastAsia"/>
                <w:color w:val="auto"/>
                <w:highlight w:val="none"/>
              </w:rPr>
              <w:t>（</w:t>
            </w:r>
            <w:r>
              <w:rPr>
                <w:color w:val="auto"/>
                <w:highlight w:val="none"/>
              </w:rPr>
              <w:t>5</w:t>
            </w:r>
            <w:r>
              <w:rPr>
                <w:rFonts w:hint="eastAsia"/>
                <w:color w:val="auto"/>
                <w:highlight w:val="none"/>
              </w:rPr>
              <w:t>）漏洞整改指导</w:t>
            </w:r>
          </w:p>
          <w:p w14:paraId="24630ED3">
            <w:pPr>
              <w:pStyle w:val="32"/>
              <w:rPr>
                <w:color w:val="auto"/>
                <w:highlight w:val="none"/>
              </w:rPr>
            </w:pPr>
            <w:r>
              <w:rPr>
                <w:rFonts w:hint="eastAsia"/>
                <w:color w:val="auto"/>
                <w:highlight w:val="none"/>
              </w:rPr>
              <w:t>结合业务应用场景、</w:t>
            </w:r>
            <w:r>
              <w:rPr>
                <w:color w:val="auto"/>
                <w:highlight w:val="none"/>
              </w:rPr>
              <w:t xml:space="preserve">IT </w:t>
            </w:r>
            <w:r>
              <w:rPr>
                <w:rFonts w:hint="eastAsia"/>
                <w:color w:val="auto"/>
                <w:highlight w:val="none"/>
              </w:rPr>
              <w:t>基础环境、管理运维流程给出针对性安全漏洞整改建议，以报告方式指导开展和跟踪安全漏洞整改工作。</w:t>
            </w:r>
          </w:p>
          <w:p w14:paraId="02AEF3EE">
            <w:pPr>
              <w:pStyle w:val="32"/>
              <w:rPr>
                <w:color w:val="auto"/>
                <w:highlight w:val="none"/>
              </w:rPr>
            </w:pPr>
            <w:r>
              <w:rPr>
                <w:rFonts w:hint="eastAsia"/>
                <w:color w:val="auto"/>
                <w:highlight w:val="none"/>
              </w:rPr>
              <w:t>（</w:t>
            </w:r>
            <w:r>
              <w:rPr>
                <w:color w:val="auto"/>
                <w:highlight w:val="none"/>
              </w:rPr>
              <w:t>6</w:t>
            </w:r>
            <w:r>
              <w:rPr>
                <w:rFonts w:hint="eastAsia"/>
                <w:color w:val="auto"/>
                <w:highlight w:val="none"/>
              </w:rPr>
              <w:t>）漏洞复测验证</w:t>
            </w:r>
          </w:p>
          <w:p w14:paraId="230E553C">
            <w:pPr>
              <w:pStyle w:val="32"/>
              <w:rPr>
                <w:color w:val="auto"/>
                <w:highlight w:val="none"/>
              </w:rPr>
            </w:pPr>
            <w:r>
              <w:rPr>
                <w:rFonts w:hint="eastAsia"/>
                <w:color w:val="auto"/>
                <w:highlight w:val="none"/>
              </w:rPr>
              <w:t>资产归属单位完成漏洞整改后并反馈整改加固证明材料后，由安全运营团队对漏洞的整改情况进行复核确认，并详细记录漏洞修复情况。</w:t>
            </w:r>
          </w:p>
          <w:p w14:paraId="59A1CC41">
            <w:pPr>
              <w:pStyle w:val="32"/>
              <w:rPr>
                <w:color w:val="auto"/>
                <w:highlight w:val="none"/>
              </w:rPr>
            </w:pPr>
            <w:r>
              <w:rPr>
                <w:color w:val="auto"/>
                <w:highlight w:val="none"/>
              </w:rPr>
              <w:t>2.</w:t>
            </w:r>
            <w:r>
              <w:rPr>
                <w:rFonts w:hint="eastAsia"/>
                <w:color w:val="auto"/>
                <w:highlight w:val="none"/>
              </w:rPr>
              <w:t>工作范围</w:t>
            </w:r>
          </w:p>
          <w:p w14:paraId="1359C4E8">
            <w:pPr>
              <w:pStyle w:val="32"/>
              <w:rPr>
                <w:color w:val="auto"/>
                <w:highlight w:val="none"/>
              </w:rPr>
            </w:pPr>
            <w:r>
              <w:rPr>
                <w:rFonts w:hint="eastAsia"/>
                <w:color w:val="auto"/>
                <w:highlight w:val="none"/>
              </w:rPr>
              <w:t>政务云托管的面向互联网开放的</w:t>
            </w:r>
            <w:r>
              <w:rPr>
                <w:color w:val="auto"/>
                <w:highlight w:val="none"/>
              </w:rPr>
              <w:t xml:space="preserve"> Web </w:t>
            </w:r>
            <w:r>
              <w:rPr>
                <w:rFonts w:hint="eastAsia"/>
                <w:color w:val="auto"/>
                <w:highlight w:val="none"/>
              </w:rPr>
              <w:t>应用系统数量根据实际可能做调整。</w:t>
            </w:r>
          </w:p>
          <w:p w14:paraId="18EA98ED">
            <w:pPr>
              <w:pStyle w:val="32"/>
              <w:rPr>
                <w:color w:val="auto"/>
                <w:highlight w:val="none"/>
              </w:rPr>
            </w:pPr>
            <w:r>
              <w:rPr>
                <w:color w:val="auto"/>
                <w:highlight w:val="none"/>
              </w:rPr>
              <w:t>3.</w:t>
            </w:r>
            <w:r>
              <w:rPr>
                <w:rFonts w:hint="eastAsia"/>
                <w:color w:val="auto"/>
                <w:highlight w:val="none"/>
              </w:rPr>
              <w:t>工作频次</w:t>
            </w:r>
          </w:p>
          <w:p w14:paraId="268B61D4">
            <w:pPr>
              <w:pStyle w:val="32"/>
              <w:rPr>
                <w:color w:val="auto"/>
                <w:highlight w:val="none"/>
              </w:rPr>
            </w:pPr>
            <w:r>
              <w:rPr>
                <w:rFonts w:hint="eastAsia"/>
                <w:color w:val="auto"/>
                <w:highlight w:val="none"/>
              </w:rPr>
              <w:t>每年开展</w:t>
            </w:r>
            <w:r>
              <w:rPr>
                <w:color w:val="auto"/>
                <w:highlight w:val="none"/>
              </w:rPr>
              <w:t>1</w:t>
            </w:r>
            <w:r>
              <w:rPr>
                <w:rFonts w:hint="eastAsia"/>
                <w:color w:val="auto"/>
                <w:highlight w:val="none"/>
              </w:rPr>
              <w:t>次针对面向互联网开放的</w:t>
            </w:r>
            <w:r>
              <w:rPr>
                <w:color w:val="auto"/>
                <w:highlight w:val="none"/>
              </w:rPr>
              <w:t xml:space="preserve"> Web </w:t>
            </w:r>
            <w:r>
              <w:rPr>
                <w:rFonts w:hint="eastAsia"/>
                <w:color w:val="auto"/>
                <w:highlight w:val="none"/>
              </w:rPr>
              <w:t>应用系统的安全扫描。</w:t>
            </w:r>
          </w:p>
          <w:p w14:paraId="22170FBA">
            <w:pPr>
              <w:pStyle w:val="32"/>
              <w:rPr>
                <w:color w:val="auto"/>
                <w:highlight w:val="none"/>
              </w:rPr>
            </w:pPr>
            <w:r>
              <w:rPr>
                <w:color w:val="auto"/>
                <w:highlight w:val="none"/>
              </w:rPr>
              <w:t>4.</w:t>
            </w:r>
            <w:r>
              <w:rPr>
                <w:rFonts w:hint="eastAsia"/>
                <w:color w:val="auto"/>
                <w:highlight w:val="none"/>
              </w:rPr>
              <w:t>工作交付物</w:t>
            </w:r>
          </w:p>
          <w:p w14:paraId="23EBA54D">
            <w:pPr>
              <w:pStyle w:val="32"/>
              <w:widowControl/>
              <w:rPr>
                <w:rFonts w:hint="eastAsia" w:ascii="宋体" w:hAnsi="宋体" w:cs="宋体"/>
                <w:color w:val="auto"/>
                <w:highlight w:val="none"/>
              </w:rPr>
            </w:pPr>
            <w:r>
              <w:rPr>
                <w:color w:val="auto"/>
                <w:highlight w:val="none"/>
              </w:rPr>
              <w:t xml:space="preserve">   </w:t>
            </w:r>
            <w:r>
              <w:rPr>
                <w:rFonts w:hint="eastAsia"/>
                <w:color w:val="auto"/>
                <w:highlight w:val="none"/>
              </w:rPr>
              <w:t>《</w:t>
            </w:r>
            <w:r>
              <w:rPr>
                <w:color w:val="auto"/>
                <w:highlight w:val="none"/>
              </w:rPr>
              <w:t>web</w:t>
            </w:r>
            <w:r>
              <w:rPr>
                <w:rFonts w:hint="eastAsia"/>
                <w:color w:val="auto"/>
                <w:highlight w:val="none"/>
              </w:rPr>
              <w:t>漏洞扫描报告》。</w:t>
            </w:r>
          </w:p>
        </w:tc>
        <w:tc>
          <w:tcPr>
            <w:tcW w:w="145" w:type="pct"/>
            <w:tcBorders>
              <w:top w:val="nil"/>
              <w:left w:val="nil"/>
              <w:bottom w:val="single" w:color="auto" w:sz="4" w:space="0"/>
              <w:right w:val="single" w:color="auto" w:sz="4" w:space="0"/>
            </w:tcBorders>
            <w:noWrap/>
            <w:vAlign w:val="center"/>
          </w:tcPr>
          <w:p w14:paraId="1CB936D6">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215962C0">
            <w:pPr>
              <w:widowControl/>
              <w:jc w:val="center"/>
              <w:rPr>
                <w:rFonts w:hint="eastAsia" w:ascii="宋体" w:hAnsi="宋体" w:cs="宋体"/>
                <w:color w:val="auto"/>
                <w:kern w:val="0"/>
                <w:sz w:val="18"/>
                <w:szCs w:val="18"/>
                <w:highlight w:val="none"/>
              </w:rPr>
            </w:pPr>
          </w:p>
        </w:tc>
      </w:tr>
      <w:tr w14:paraId="43EBCB7A">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B8E0C3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428" w:type="pct"/>
            <w:tcBorders>
              <w:top w:val="nil"/>
              <w:left w:val="nil"/>
              <w:bottom w:val="single" w:color="auto" w:sz="4" w:space="0"/>
              <w:right w:val="single" w:color="auto" w:sz="4" w:space="0"/>
            </w:tcBorders>
            <w:noWrap/>
            <w:vAlign w:val="center"/>
          </w:tcPr>
          <w:p w14:paraId="385B49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安全监测分析服务</w:t>
            </w:r>
          </w:p>
        </w:tc>
        <w:tc>
          <w:tcPr>
            <w:tcW w:w="3798" w:type="pct"/>
            <w:gridSpan w:val="2"/>
            <w:tcBorders>
              <w:top w:val="nil"/>
              <w:left w:val="nil"/>
              <w:bottom w:val="single" w:color="auto" w:sz="4" w:space="0"/>
              <w:right w:val="single" w:color="auto" w:sz="4" w:space="0"/>
            </w:tcBorders>
            <w:vAlign w:val="center"/>
          </w:tcPr>
          <w:p w14:paraId="17308D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基于资产发现、流量安全检测、威胁情报，以及人工数据录入等安全数据，由专业安全技术人员基于攻防视角进行全面地监测分析，对各类安全告警事件开展手工验证，并根据相关规则优化分析能</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力，提高分析结果的准确性，及时发现自治区政务云平台上各委办局的应用系统的安全状况，分析内容包括网页漏洞利用分析、网络攻击分析、数据库安全分析、恶意软件分析、密码爆破行为分析等。</w:t>
            </w:r>
          </w:p>
          <w:p w14:paraId="2A76D87D">
            <w:pPr>
              <w:pStyle w:val="32"/>
              <w:rPr>
                <w:color w:val="auto"/>
                <w:highlight w:val="none"/>
              </w:rPr>
            </w:pPr>
            <w:r>
              <w:rPr>
                <w:rFonts w:hint="eastAsia"/>
                <w:color w:val="auto"/>
                <w:highlight w:val="none"/>
              </w:rPr>
              <w:t>1.工作内容</w:t>
            </w:r>
          </w:p>
          <w:p w14:paraId="662AC3F2">
            <w:pPr>
              <w:pStyle w:val="32"/>
              <w:rPr>
                <w:color w:val="auto"/>
                <w:highlight w:val="none"/>
              </w:rPr>
            </w:pPr>
            <w:r>
              <w:rPr>
                <w:rFonts w:hint="eastAsia"/>
                <w:color w:val="auto"/>
                <w:highlight w:val="none"/>
              </w:rPr>
              <w:t>安全监测分析包括但不限于如下内容：</w:t>
            </w:r>
          </w:p>
          <w:p w14:paraId="129A98E8">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）服务器被攻击行为检测分析</w:t>
            </w:r>
          </w:p>
          <w:p w14:paraId="12CEF7FE">
            <w:pPr>
              <w:pStyle w:val="32"/>
              <w:rPr>
                <w:color w:val="auto"/>
                <w:highlight w:val="none"/>
              </w:rPr>
            </w:pPr>
            <w:r>
              <w:rPr>
                <w:rFonts w:hint="eastAsia"/>
                <w:color w:val="auto"/>
                <w:highlight w:val="none"/>
              </w:rPr>
              <w:t>对服务器资产进行检测分析，梳理高危漏洞和开放服务端口，能够识别反弹</w:t>
            </w:r>
            <w:r>
              <w:rPr>
                <w:color w:val="auto"/>
                <w:highlight w:val="none"/>
              </w:rPr>
              <w:t>shell</w:t>
            </w:r>
            <w:r>
              <w:rPr>
                <w:rFonts w:hint="eastAsia"/>
                <w:color w:val="auto"/>
                <w:highlight w:val="none"/>
              </w:rPr>
              <w:t>、</w:t>
            </w:r>
            <w:r>
              <w:rPr>
                <w:color w:val="auto"/>
                <w:highlight w:val="none"/>
              </w:rPr>
              <w:t>Redis</w:t>
            </w:r>
            <w:r>
              <w:rPr>
                <w:rFonts w:hint="eastAsia"/>
                <w:color w:val="auto"/>
                <w:highlight w:val="none"/>
              </w:rPr>
              <w:t>命令执行、</w:t>
            </w:r>
            <w:r>
              <w:rPr>
                <w:color w:val="auto"/>
                <w:highlight w:val="none"/>
              </w:rPr>
              <w:t xml:space="preserve">DNS </w:t>
            </w:r>
            <w:r>
              <w:rPr>
                <w:rFonts w:hint="eastAsia"/>
                <w:color w:val="auto"/>
                <w:highlight w:val="none"/>
              </w:rPr>
              <w:t>隧道、反序列化攻击、权限提升等高危行为。</w:t>
            </w:r>
          </w:p>
          <w:p w14:paraId="2C0CBD2E">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）数据库危险操作分析</w:t>
            </w:r>
          </w:p>
          <w:p w14:paraId="1CE79AAC">
            <w:pPr>
              <w:pStyle w:val="32"/>
              <w:rPr>
                <w:color w:val="auto"/>
                <w:highlight w:val="none"/>
              </w:rPr>
            </w:pPr>
            <w:r>
              <w:rPr>
                <w:rFonts w:hint="eastAsia"/>
                <w:color w:val="auto"/>
                <w:highlight w:val="none"/>
              </w:rPr>
              <w:t>通过深入分析数据库操作网络流量日志，能够发现数据库系统异常登录、</w:t>
            </w:r>
            <w:r>
              <w:rPr>
                <w:color w:val="auto"/>
                <w:highlight w:val="none"/>
              </w:rPr>
              <w:t>SQL</w:t>
            </w:r>
            <w:r>
              <w:rPr>
                <w:rFonts w:hint="eastAsia"/>
                <w:color w:val="auto"/>
                <w:highlight w:val="none"/>
              </w:rPr>
              <w:t>注入漏洞、数据库敏感操作、数据库权限提升、高危存储过程和数据库系统非常规命令执行等行为，并分析给出处置建议。</w:t>
            </w:r>
          </w:p>
          <w:p w14:paraId="2FB5B91F">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）违规检测分析</w:t>
            </w:r>
          </w:p>
          <w:p w14:paraId="5CD52AC5">
            <w:pPr>
              <w:pStyle w:val="32"/>
              <w:rPr>
                <w:color w:val="auto"/>
                <w:highlight w:val="none"/>
              </w:rPr>
            </w:pPr>
            <w:r>
              <w:rPr>
                <w:rFonts w:hint="eastAsia"/>
                <w:color w:val="auto"/>
                <w:highlight w:val="none"/>
              </w:rPr>
              <w:t>能够发现违规使用</w:t>
            </w:r>
            <w:r>
              <w:rPr>
                <w:color w:val="auto"/>
                <w:highlight w:val="none"/>
              </w:rPr>
              <w:t>HTTP</w:t>
            </w:r>
            <w:r>
              <w:rPr>
                <w:rFonts w:hint="eastAsia"/>
                <w:color w:val="auto"/>
                <w:highlight w:val="none"/>
              </w:rPr>
              <w:t>代理、</w:t>
            </w:r>
            <w:r>
              <w:rPr>
                <w:color w:val="auto"/>
                <w:highlight w:val="none"/>
              </w:rPr>
              <w:t>SOCKS</w:t>
            </w:r>
            <w:r>
              <w:rPr>
                <w:rFonts w:hint="eastAsia"/>
                <w:color w:val="auto"/>
                <w:highlight w:val="none"/>
              </w:rPr>
              <w:t>代理、</w:t>
            </w:r>
            <w:r>
              <w:rPr>
                <w:color w:val="auto"/>
                <w:highlight w:val="none"/>
              </w:rPr>
              <w:t>Regeory</w:t>
            </w:r>
            <w:r>
              <w:rPr>
                <w:rFonts w:hint="eastAsia"/>
                <w:color w:val="auto"/>
                <w:highlight w:val="none"/>
              </w:rPr>
              <w:t>隧道、</w:t>
            </w:r>
            <w:r>
              <w:rPr>
                <w:color w:val="auto"/>
                <w:highlight w:val="none"/>
              </w:rPr>
              <w:t>Teamview</w:t>
            </w:r>
            <w:r>
              <w:rPr>
                <w:rFonts w:hint="eastAsia"/>
                <w:color w:val="auto"/>
                <w:highlight w:val="none"/>
              </w:rPr>
              <w:t>远程访问等行为。</w:t>
            </w:r>
          </w:p>
          <w:p w14:paraId="407E7FB4">
            <w:pPr>
              <w:pStyle w:val="32"/>
              <w:rPr>
                <w:color w:val="auto"/>
                <w:highlight w:val="none"/>
              </w:rPr>
            </w:pPr>
            <w:r>
              <w:rPr>
                <w:rFonts w:hint="eastAsia"/>
                <w:color w:val="auto"/>
                <w:highlight w:val="none"/>
              </w:rPr>
              <w:t>（</w:t>
            </w:r>
            <w:r>
              <w:rPr>
                <w:color w:val="auto"/>
                <w:highlight w:val="none"/>
              </w:rPr>
              <w:t>4</w:t>
            </w:r>
            <w:r>
              <w:rPr>
                <w:rFonts w:hint="eastAsia"/>
                <w:color w:val="auto"/>
                <w:highlight w:val="none"/>
              </w:rPr>
              <w:t>）账户风险分析</w:t>
            </w:r>
          </w:p>
          <w:p w14:paraId="224E6755">
            <w:pPr>
              <w:pStyle w:val="32"/>
              <w:rPr>
                <w:color w:val="auto"/>
                <w:highlight w:val="none"/>
              </w:rPr>
            </w:pPr>
            <w:r>
              <w:rPr>
                <w:rFonts w:hint="eastAsia"/>
                <w:color w:val="auto"/>
                <w:highlight w:val="none"/>
              </w:rPr>
              <w:t>能够发现账号弱口令及各类风险，并统计账号风险情况。能够发现网络中存在的异常登录行为，结合具体的场景进行分析，如多个账号同时从同一源地址进行尝试登录的批量用户账号口令猜测行为；同一个源地址在短时间之内多次尝试登录的密码猜测行为；以及同一账号在不同源地址同时登录的行为进行分析。</w:t>
            </w:r>
          </w:p>
          <w:p w14:paraId="6A547352">
            <w:pPr>
              <w:pStyle w:val="32"/>
              <w:rPr>
                <w:color w:val="auto"/>
                <w:highlight w:val="none"/>
              </w:rPr>
            </w:pPr>
            <w:r>
              <w:rPr>
                <w:rFonts w:hint="eastAsia"/>
                <w:color w:val="auto"/>
                <w:highlight w:val="none"/>
              </w:rPr>
              <w:t>（</w:t>
            </w:r>
            <w:r>
              <w:rPr>
                <w:color w:val="auto"/>
                <w:highlight w:val="none"/>
              </w:rPr>
              <w:t>5</w:t>
            </w:r>
            <w:r>
              <w:rPr>
                <w:rFonts w:hint="eastAsia"/>
                <w:color w:val="auto"/>
                <w:highlight w:val="none"/>
              </w:rPr>
              <w:t>）异常外联分析</w:t>
            </w:r>
          </w:p>
          <w:p w14:paraId="4596D651">
            <w:pPr>
              <w:pStyle w:val="32"/>
              <w:rPr>
                <w:color w:val="auto"/>
                <w:highlight w:val="none"/>
              </w:rPr>
            </w:pPr>
            <w:r>
              <w:rPr>
                <w:rFonts w:hint="eastAsia"/>
                <w:color w:val="auto"/>
                <w:highlight w:val="none"/>
              </w:rPr>
              <w:t>能够发现服务器非法外联、</w:t>
            </w:r>
            <w:r>
              <w:rPr>
                <w:color w:val="auto"/>
                <w:highlight w:val="none"/>
              </w:rPr>
              <w:t>SSH</w:t>
            </w:r>
            <w:r>
              <w:rPr>
                <w:rFonts w:hint="eastAsia"/>
                <w:color w:val="auto"/>
                <w:highlight w:val="none"/>
              </w:rPr>
              <w:t>隧道外联、基于威胁情报的外联等行为。</w:t>
            </w:r>
          </w:p>
          <w:p w14:paraId="66BA0BC5">
            <w:pPr>
              <w:pStyle w:val="32"/>
              <w:rPr>
                <w:color w:val="auto"/>
                <w:highlight w:val="none"/>
              </w:rPr>
            </w:pPr>
            <w:r>
              <w:rPr>
                <w:rFonts w:hint="eastAsia"/>
                <w:color w:val="auto"/>
                <w:highlight w:val="none"/>
              </w:rPr>
              <w:t>（</w:t>
            </w:r>
            <w:r>
              <w:rPr>
                <w:color w:val="auto"/>
                <w:highlight w:val="none"/>
              </w:rPr>
              <w:t>6</w:t>
            </w:r>
            <w:r>
              <w:rPr>
                <w:rFonts w:hint="eastAsia"/>
                <w:color w:val="auto"/>
                <w:highlight w:val="none"/>
              </w:rPr>
              <w:t>）暴力破解分析</w:t>
            </w:r>
          </w:p>
          <w:p w14:paraId="46839F7A">
            <w:pPr>
              <w:pStyle w:val="32"/>
              <w:rPr>
                <w:color w:val="auto"/>
                <w:highlight w:val="none"/>
              </w:rPr>
            </w:pPr>
            <w:r>
              <w:rPr>
                <w:rFonts w:hint="eastAsia"/>
                <w:color w:val="auto"/>
                <w:highlight w:val="none"/>
              </w:rPr>
              <w:t>对邮箱、数据库、</w:t>
            </w:r>
            <w:r>
              <w:rPr>
                <w:color w:val="auto"/>
                <w:highlight w:val="none"/>
              </w:rPr>
              <w:t>FTP</w:t>
            </w:r>
            <w:r>
              <w:rPr>
                <w:rFonts w:hint="eastAsia"/>
                <w:color w:val="auto"/>
                <w:highlight w:val="none"/>
              </w:rPr>
              <w:t>等服务登录动作进行分析，结合登录协议、登录失败次数、发包请求间隔时间等多个条件进行分析判断是否服务被成功爆破。</w:t>
            </w:r>
          </w:p>
          <w:p w14:paraId="61B68BC4">
            <w:pPr>
              <w:pStyle w:val="32"/>
              <w:rPr>
                <w:color w:val="auto"/>
                <w:highlight w:val="none"/>
              </w:rPr>
            </w:pPr>
            <w:r>
              <w:rPr>
                <w:rFonts w:hint="eastAsia"/>
                <w:color w:val="auto"/>
                <w:highlight w:val="none"/>
              </w:rPr>
              <w:t>（</w:t>
            </w:r>
            <w:r>
              <w:rPr>
                <w:color w:val="auto"/>
                <w:highlight w:val="none"/>
              </w:rPr>
              <w:t>7</w:t>
            </w:r>
            <w:r>
              <w:rPr>
                <w:rFonts w:hint="eastAsia"/>
                <w:color w:val="auto"/>
                <w:highlight w:val="none"/>
              </w:rPr>
              <w:t>）后门利用分析</w:t>
            </w:r>
          </w:p>
          <w:p w14:paraId="517B6E64">
            <w:pPr>
              <w:pStyle w:val="32"/>
              <w:rPr>
                <w:color w:val="auto"/>
                <w:highlight w:val="none"/>
              </w:rPr>
            </w:pPr>
            <w:r>
              <w:rPr>
                <w:rFonts w:hint="eastAsia"/>
                <w:color w:val="auto"/>
                <w:highlight w:val="none"/>
              </w:rPr>
              <w:t>通过深入分析网络流量，能够判断出恶意后门是否被植入服务器中。通常攻击者会通过后门进行高危操作，如执行命令、下载文件、删除文件等，这些行为会直接被监控平台捕获，分析人员对告警的服务器主机后门进行溯源分析、行为分析、影响分析并给出相应的处置建议。</w:t>
            </w:r>
          </w:p>
          <w:p w14:paraId="33BCEF7C">
            <w:pPr>
              <w:pStyle w:val="32"/>
              <w:rPr>
                <w:color w:val="auto"/>
                <w:highlight w:val="none"/>
              </w:rPr>
            </w:pPr>
            <w:r>
              <w:rPr>
                <w:rFonts w:hint="eastAsia"/>
                <w:color w:val="auto"/>
                <w:highlight w:val="none"/>
              </w:rPr>
              <w:t>（</w:t>
            </w:r>
            <w:r>
              <w:rPr>
                <w:color w:val="auto"/>
                <w:highlight w:val="none"/>
              </w:rPr>
              <w:t>8</w:t>
            </w:r>
            <w:r>
              <w:rPr>
                <w:rFonts w:hint="eastAsia"/>
                <w:color w:val="auto"/>
                <w:highlight w:val="none"/>
              </w:rPr>
              <w:t>）威胁情报命中告警分析</w:t>
            </w:r>
          </w:p>
          <w:p w14:paraId="004DE696">
            <w:pPr>
              <w:pStyle w:val="32"/>
              <w:rPr>
                <w:color w:val="auto"/>
                <w:highlight w:val="none"/>
              </w:rPr>
            </w:pPr>
            <w:r>
              <w:rPr>
                <w:rFonts w:hint="eastAsia"/>
                <w:color w:val="auto"/>
                <w:highlight w:val="none"/>
              </w:rPr>
              <w:t>能够根据内部</w:t>
            </w:r>
            <w:r>
              <w:rPr>
                <w:color w:val="auto"/>
                <w:highlight w:val="none"/>
              </w:rPr>
              <w:t>IP</w:t>
            </w:r>
            <w:r>
              <w:rPr>
                <w:rFonts w:hint="eastAsia"/>
                <w:color w:val="auto"/>
                <w:highlight w:val="none"/>
              </w:rPr>
              <w:t>频繁请求恶意域名情况，结合分析网络中是否有恶意流量交互，判断出是否命中威胁情报等。如分析人员使用威胁情报分析该域名的历史攻击行为记录、恶意行为特点、关联信息，并进行深入追踪，能够发现内部主机已经和外部</w:t>
            </w:r>
            <w:r>
              <w:rPr>
                <w:color w:val="auto"/>
                <w:highlight w:val="none"/>
              </w:rPr>
              <w:t>C&amp;C</w:t>
            </w:r>
            <w:r>
              <w:rPr>
                <w:rFonts w:hint="eastAsia"/>
                <w:color w:val="auto"/>
                <w:highlight w:val="none"/>
              </w:rPr>
              <w:t>进行通信等。</w:t>
            </w:r>
          </w:p>
          <w:p w14:paraId="0296CB77">
            <w:pPr>
              <w:pStyle w:val="32"/>
              <w:rPr>
                <w:color w:val="auto"/>
                <w:highlight w:val="none"/>
              </w:rPr>
            </w:pPr>
            <w:r>
              <w:rPr>
                <w:rFonts w:hint="eastAsia"/>
                <w:color w:val="auto"/>
                <w:highlight w:val="none"/>
              </w:rPr>
              <w:t>（</w:t>
            </w:r>
            <w:r>
              <w:rPr>
                <w:color w:val="auto"/>
                <w:highlight w:val="none"/>
              </w:rPr>
              <w:t>9</w:t>
            </w:r>
            <w:r>
              <w:rPr>
                <w:rFonts w:hint="eastAsia"/>
                <w:color w:val="auto"/>
                <w:highlight w:val="none"/>
              </w:rPr>
              <w:t>）</w:t>
            </w:r>
            <w:r>
              <w:rPr>
                <w:color w:val="auto"/>
                <w:highlight w:val="none"/>
              </w:rPr>
              <w:t>Web</w:t>
            </w:r>
            <w:r>
              <w:rPr>
                <w:rFonts w:hint="eastAsia"/>
                <w:color w:val="auto"/>
                <w:highlight w:val="none"/>
              </w:rPr>
              <w:t>失陷检测分析</w:t>
            </w:r>
          </w:p>
          <w:p w14:paraId="608141F9">
            <w:pPr>
              <w:pStyle w:val="32"/>
              <w:rPr>
                <w:color w:val="auto"/>
                <w:highlight w:val="none"/>
              </w:rPr>
            </w:pPr>
            <w:r>
              <w:rPr>
                <w:rFonts w:hint="eastAsia"/>
                <w:color w:val="auto"/>
                <w:highlight w:val="none"/>
              </w:rPr>
              <w:t>能够从入侵进攻的维度进行分析，发现网络中潜在的失陷主机，并基于溯源技术，找到问题发生的根本原因。同时收集该攻击者在不同时间段使用的</w:t>
            </w:r>
            <w:r>
              <w:rPr>
                <w:color w:val="auto"/>
                <w:highlight w:val="none"/>
              </w:rPr>
              <w:t>IP</w:t>
            </w:r>
            <w:r>
              <w:rPr>
                <w:rFonts w:hint="eastAsia"/>
                <w:color w:val="auto"/>
                <w:highlight w:val="none"/>
              </w:rPr>
              <w:t>，可根据攻击者不同的技能制定相应的技术防御策略，或使用边界安全防护类设备对</w:t>
            </w:r>
            <w:r>
              <w:rPr>
                <w:color w:val="auto"/>
                <w:highlight w:val="none"/>
              </w:rPr>
              <w:t>IP</w:t>
            </w:r>
            <w:r>
              <w:rPr>
                <w:rFonts w:hint="eastAsia"/>
                <w:color w:val="auto"/>
                <w:highlight w:val="none"/>
              </w:rPr>
              <w:t>进行实时阻断。</w:t>
            </w:r>
          </w:p>
          <w:p w14:paraId="1BE5F655">
            <w:pPr>
              <w:pStyle w:val="32"/>
              <w:rPr>
                <w:color w:val="auto"/>
                <w:highlight w:val="none"/>
              </w:rPr>
            </w:pPr>
            <w:r>
              <w:rPr>
                <w:rFonts w:hint="eastAsia"/>
                <w:color w:val="auto"/>
                <w:highlight w:val="none"/>
              </w:rPr>
              <w:t>（</w:t>
            </w:r>
            <w:r>
              <w:rPr>
                <w:color w:val="auto"/>
                <w:highlight w:val="none"/>
              </w:rPr>
              <w:t>10</w:t>
            </w:r>
            <w:r>
              <w:rPr>
                <w:rFonts w:hint="eastAsia"/>
                <w:color w:val="auto"/>
                <w:highlight w:val="none"/>
              </w:rPr>
              <w:t>）恶意代码检测分析</w:t>
            </w:r>
          </w:p>
          <w:p w14:paraId="220FF2CA">
            <w:pPr>
              <w:pStyle w:val="32"/>
              <w:rPr>
                <w:color w:val="auto"/>
                <w:highlight w:val="none"/>
              </w:rPr>
            </w:pPr>
            <w:r>
              <w:rPr>
                <w:rFonts w:hint="eastAsia"/>
                <w:color w:val="auto"/>
                <w:highlight w:val="none"/>
              </w:rPr>
              <w:t>恶意代码统计攻击者通常通过执行恶意代码在网站中写入后门，从而控制网站，盗取网站的数据，严重影响网站的正常运行，造成不良社会影响。通过恶意代码检测分析服务能够发现恶意代码活动，能够实现对恶意代码的检测核查，及时协同处置并消除恶意代码安全威胁。</w:t>
            </w:r>
          </w:p>
          <w:p w14:paraId="6719F30C">
            <w:pPr>
              <w:pStyle w:val="32"/>
              <w:rPr>
                <w:color w:val="auto"/>
                <w:highlight w:val="none"/>
              </w:rPr>
            </w:pPr>
            <w:r>
              <w:rPr>
                <w:rFonts w:hint="eastAsia"/>
                <w:color w:val="auto"/>
                <w:highlight w:val="none"/>
              </w:rPr>
              <w:t>（</w:t>
            </w:r>
            <w:r>
              <w:rPr>
                <w:color w:val="auto"/>
                <w:highlight w:val="none"/>
              </w:rPr>
              <w:t>11</w:t>
            </w:r>
            <w:r>
              <w:rPr>
                <w:rFonts w:hint="eastAsia"/>
                <w:color w:val="auto"/>
                <w:highlight w:val="none"/>
              </w:rPr>
              <w:t>）数据安全风险分析</w:t>
            </w:r>
          </w:p>
          <w:p w14:paraId="48991098">
            <w:pPr>
              <w:pStyle w:val="32"/>
              <w:rPr>
                <w:color w:val="auto"/>
                <w:highlight w:val="none"/>
              </w:rPr>
            </w:pPr>
            <w:r>
              <w:rPr>
                <w:rFonts w:hint="eastAsia"/>
                <w:color w:val="auto"/>
                <w:highlight w:val="none"/>
              </w:rPr>
              <w:t>依托数据安全态势感知等相关数据安全设备对敏感数据操作行为、数据安全缺陷风险进行分析。</w:t>
            </w:r>
          </w:p>
          <w:p w14:paraId="5F16D2D7">
            <w:pPr>
              <w:pStyle w:val="32"/>
              <w:rPr>
                <w:color w:val="auto"/>
                <w:highlight w:val="none"/>
              </w:rPr>
            </w:pPr>
            <w:r>
              <w:rPr>
                <w:color w:val="auto"/>
                <w:highlight w:val="none"/>
              </w:rPr>
              <w:t>2.</w:t>
            </w:r>
            <w:r>
              <w:rPr>
                <w:rFonts w:hint="eastAsia"/>
                <w:color w:val="auto"/>
                <w:highlight w:val="none"/>
              </w:rPr>
              <w:t>工作范围</w:t>
            </w:r>
          </w:p>
          <w:p w14:paraId="4451DE5D">
            <w:pPr>
              <w:pStyle w:val="32"/>
              <w:rPr>
                <w:color w:val="auto"/>
                <w:highlight w:val="none"/>
              </w:rPr>
            </w:pPr>
            <w:r>
              <w:rPr>
                <w:rFonts w:hint="eastAsia"/>
                <w:color w:val="auto"/>
                <w:highlight w:val="none"/>
              </w:rPr>
              <w:t>自治区信息中心政务云、信创云上已部署的网络威胁监测系统、态势感知、数据安全监测系统等安全平台，监测范围覆盖电子政务云三朵云、电子政务外网骨干网。</w:t>
            </w:r>
          </w:p>
          <w:p w14:paraId="00F5E328">
            <w:pPr>
              <w:pStyle w:val="32"/>
              <w:rPr>
                <w:color w:val="auto"/>
                <w:highlight w:val="none"/>
              </w:rPr>
            </w:pPr>
            <w:r>
              <w:rPr>
                <w:color w:val="auto"/>
                <w:highlight w:val="none"/>
              </w:rPr>
              <w:t>3.</w:t>
            </w:r>
            <w:r>
              <w:rPr>
                <w:rFonts w:hint="eastAsia"/>
                <w:color w:val="auto"/>
                <w:highlight w:val="none"/>
              </w:rPr>
              <w:t>工作频次</w:t>
            </w:r>
          </w:p>
          <w:p w14:paraId="0B59A1C6">
            <w:pPr>
              <w:pStyle w:val="32"/>
              <w:rPr>
                <w:color w:val="auto"/>
                <w:highlight w:val="none"/>
              </w:rPr>
            </w:pPr>
            <w:r>
              <w:rPr>
                <w:color w:val="auto"/>
                <w:highlight w:val="none"/>
              </w:rPr>
              <w:t>7</w:t>
            </w:r>
            <w:r>
              <w:rPr>
                <w:rFonts w:hint="eastAsia"/>
                <w:color w:val="auto"/>
                <w:highlight w:val="none"/>
              </w:rPr>
              <w:t>×</w:t>
            </w:r>
            <w:r>
              <w:rPr>
                <w:color w:val="auto"/>
                <w:highlight w:val="none"/>
              </w:rPr>
              <w:t>24</w:t>
            </w:r>
            <w:r>
              <w:rPr>
                <w:rFonts w:hint="eastAsia"/>
                <w:color w:val="auto"/>
                <w:highlight w:val="none"/>
              </w:rPr>
              <w:t>小时常态化驻场实施。每周输出周报、每月输出月报，每年一次总结。</w:t>
            </w:r>
          </w:p>
          <w:p w14:paraId="0DFA3259">
            <w:pPr>
              <w:pStyle w:val="32"/>
              <w:rPr>
                <w:color w:val="auto"/>
                <w:highlight w:val="none"/>
              </w:rPr>
            </w:pPr>
            <w:r>
              <w:rPr>
                <w:color w:val="auto"/>
                <w:highlight w:val="none"/>
              </w:rPr>
              <w:t>4.</w:t>
            </w:r>
            <w:r>
              <w:rPr>
                <w:rFonts w:hint="eastAsia"/>
                <w:color w:val="auto"/>
                <w:highlight w:val="none"/>
              </w:rPr>
              <w:t>工作交付物</w:t>
            </w:r>
          </w:p>
          <w:p w14:paraId="0597BCAA">
            <w:pPr>
              <w:pStyle w:val="32"/>
              <w:widowControl/>
              <w:rPr>
                <w:rFonts w:hint="eastAsia" w:ascii="宋体" w:hAnsi="宋体" w:cs="宋体"/>
                <w:color w:val="auto"/>
                <w:highlight w:val="none"/>
              </w:rPr>
            </w:pPr>
            <w:r>
              <w:rPr>
                <w:color w:val="auto"/>
                <w:highlight w:val="none"/>
              </w:rPr>
              <w:t xml:space="preserve"> </w:t>
            </w:r>
            <w:r>
              <w:rPr>
                <w:rFonts w:hint="eastAsia"/>
                <w:color w:val="auto"/>
                <w:highlight w:val="none"/>
              </w:rPr>
              <w:t>《安全监测分析周报》、《安全监测分析月报》等。</w:t>
            </w:r>
          </w:p>
        </w:tc>
        <w:tc>
          <w:tcPr>
            <w:tcW w:w="145" w:type="pct"/>
            <w:tcBorders>
              <w:top w:val="nil"/>
              <w:left w:val="nil"/>
              <w:bottom w:val="single" w:color="auto" w:sz="4" w:space="0"/>
              <w:right w:val="single" w:color="auto" w:sz="4" w:space="0"/>
            </w:tcBorders>
            <w:noWrap/>
            <w:vAlign w:val="center"/>
          </w:tcPr>
          <w:p w14:paraId="7A1927AE">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6C5A22B5">
            <w:pPr>
              <w:widowControl/>
              <w:jc w:val="center"/>
              <w:rPr>
                <w:rFonts w:hint="eastAsia" w:ascii="宋体" w:hAnsi="宋体" w:cs="宋体"/>
                <w:color w:val="auto"/>
                <w:kern w:val="0"/>
                <w:sz w:val="18"/>
                <w:szCs w:val="18"/>
                <w:highlight w:val="none"/>
              </w:rPr>
            </w:pPr>
          </w:p>
        </w:tc>
      </w:tr>
      <w:tr w14:paraId="3BD9F251">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2B7760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428" w:type="pct"/>
            <w:tcBorders>
              <w:top w:val="nil"/>
              <w:left w:val="nil"/>
              <w:bottom w:val="single" w:color="auto" w:sz="4" w:space="0"/>
              <w:right w:val="single" w:color="auto" w:sz="4" w:space="0"/>
            </w:tcBorders>
            <w:noWrap/>
            <w:vAlign w:val="center"/>
          </w:tcPr>
          <w:p w14:paraId="061654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流量安全检测服务</w:t>
            </w:r>
          </w:p>
        </w:tc>
        <w:tc>
          <w:tcPr>
            <w:tcW w:w="3798" w:type="pct"/>
            <w:gridSpan w:val="2"/>
            <w:tcBorders>
              <w:top w:val="nil"/>
              <w:left w:val="nil"/>
              <w:bottom w:val="single" w:color="auto" w:sz="4" w:space="0"/>
              <w:right w:val="single" w:color="auto" w:sz="4" w:space="0"/>
            </w:tcBorders>
            <w:vAlign w:val="center"/>
          </w:tcPr>
          <w:p w14:paraId="50C4401A">
            <w:pPr>
              <w:widowControl/>
              <w:jc w:val="left"/>
              <w:rPr>
                <w:color w:val="auto"/>
                <w:highlight w:val="none"/>
              </w:rPr>
            </w:pPr>
            <w:r>
              <w:rPr>
                <w:rFonts w:hint="eastAsia" w:ascii="宋体" w:hAnsi="宋体" w:cs="宋体"/>
                <w:color w:val="auto"/>
                <w:kern w:val="0"/>
                <w:sz w:val="18"/>
                <w:szCs w:val="18"/>
                <w:highlight w:val="none"/>
              </w:rPr>
              <w:t>通过在自治区信息中心在管的互联网、电子政务外网城域网、政务云各网络区域边界，行业云边界，各运营商服务目录云边界，部署流量采集探针，覆盖对自治区级单位所有接入电子政务外网的单位以及上云单位的网络流量采集，并对外http/https/ftp/smtp/pop/imap/telnet/ssh等协议进行7*24 小时安全监测，发现网络流量中的网络安全攻击、网络安全脆弱性等问题，并将检测数据回传至数据安全监测平台进行监测分析。</w:t>
            </w:r>
          </w:p>
          <w:p w14:paraId="2B907DDB">
            <w:pPr>
              <w:rPr>
                <w:color w:val="auto"/>
                <w:sz w:val="18"/>
                <w:szCs w:val="18"/>
                <w:highlight w:val="none"/>
              </w:rPr>
            </w:pPr>
            <w:r>
              <w:rPr>
                <w:color w:val="auto"/>
                <w:sz w:val="18"/>
                <w:szCs w:val="18"/>
                <w:highlight w:val="none"/>
              </w:rPr>
              <w:t>1.</w:t>
            </w:r>
            <w:r>
              <w:rPr>
                <w:rFonts w:hint="eastAsia"/>
                <w:color w:val="auto"/>
                <w:sz w:val="18"/>
                <w:szCs w:val="18"/>
                <w:highlight w:val="none"/>
              </w:rPr>
              <w:t>工作内容</w:t>
            </w:r>
          </w:p>
          <w:p w14:paraId="7AC8E9CD">
            <w:pPr>
              <w:rPr>
                <w:color w:val="auto"/>
                <w:sz w:val="18"/>
                <w:szCs w:val="18"/>
                <w:highlight w:val="none"/>
              </w:rPr>
            </w:pP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）配置探针采集策略，明确采集范围（全量流量</w:t>
            </w:r>
            <w:r>
              <w:rPr>
                <w:color w:val="auto"/>
                <w:sz w:val="18"/>
                <w:szCs w:val="18"/>
                <w:highlight w:val="none"/>
              </w:rPr>
              <w:t xml:space="preserve"> / </w:t>
            </w:r>
            <w:r>
              <w:rPr>
                <w:rFonts w:hint="eastAsia"/>
                <w:color w:val="auto"/>
                <w:sz w:val="18"/>
                <w:szCs w:val="18"/>
                <w:highlight w:val="none"/>
              </w:rPr>
              <w:t>重点业务流量），同步对接数据安全监测平台。</w:t>
            </w:r>
          </w:p>
          <w:p w14:paraId="108C38C4">
            <w:pPr>
              <w:rPr>
                <w:color w:val="auto"/>
                <w:sz w:val="18"/>
                <w:szCs w:val="18"/>
                <w:highlight w:val="none"/>
              </w:rPr>
            </w:pPr>
            <w:r>
              <w:rPr>
                <w:rFonts w:hint="eastAsia"/>
                <w:color w:val="auto"/>
                <w:sz w:val="18"/>
                <w:szCs w:val="18"/>
                <w:highlight w:val="none"/>
              </w:rPr>
              <w:t>（</w:t>
            </w:r>
            <w:r>
              <w:rPr>
                <w:color w:val="auto"/>
                <w:sz w:val="18"/>
                <w:szCs w:val="18"/>
                <w:highlight w:val="none"/>
              </w:rPr>
              <w:t>2</w:t>
            </w:r>
            <w:r>
              <w:rPr>
                <w:rFonts w:hint="eastAsia"/>
                <w:color w:val="auto"/>
                <w:sz w:val="18"/>
                <w:szCs w:val="18"/>
                <w:highlight w:val="none"/>
              </w:rPr>
              <w:t>）配置流量过滤规则，剔除无效冗余流量（如内部正常办公无风险流量），聚焦跨网络边界流量、异常端口通信流量、大流量传输等重点监测对象。</w:t>
            </w:r>
          </w:p>
          <w:p w14:paraId="0B5F30F4">
            <w:pPr>
              <w:rPr>
                <w:color w:val="auto"/>
                <w:sz w:val="18"/>
                <w:szCs w:val="18"/>
                <w:highlight w:val="none"/>
              </w:rPr>
            </w:pPr>
            <w:r>
              <w:rPr>
                <w:color w:val="auto"/>
                <w:sz w:val="18"/>
                <w:szCs w:val="18"/>
                <w:highlight w:val="none"/>
              </w:rPr>
              <w:t>2.</w:t>
            </w:r>
            <w:r>
              <w:rPr>
                <w:rFonts w:hint="eastAsia"/>
                <w:color w:val="auto"/>
                <w:sz w:val="18"/>
                <w:szCs w:val="18"/>
                <w:highlight w:val="none"/>
              </w:rPr>
              <w:t>工作范围</w:t>
            </w:r>
          </w:p>
          <w:p w14:paraId="66368D36">
            <w:pPr>
              <w:rPr>
                <w:color w:val="auto"/>
                <w:sz w:val="18"/>
                <w:szCs w:val="18"/>
                <w:highlight w:val="none"/>
              </w:rPr>
            </w:pPr>
            <w:r>
              <w:rPr>
                <w:rFonts w:hint="eastAsia"/>
                <w:color w:val="auto"/>
                <w:sz w:val="18"/>
                <w:szCs w:val="18"/>
                <w:highlight w:val="none"/>
              </w:rPr>
              <w:t>监测现有网络流量采集平台及探针，范围覆盖信息中心在管的互联网、电子政务外网城域网、政务云各网络区域边界，行业云边界，各运营商服务目录云边界。</w:t>
            </w:r>
          </w:p>
          <w:p w14:paraId="4F1E6B9A">
            <w:pPr>
              <w:rPr>
                <w:color w:val="auto"/>
                <w:sz w:val="18"/>
                <w:szCs w:val="18"/>
                <w:highlight w:val="none"/>
              </w:rPr>
            </w:pPr>
            <w:r>
              <w:rPr>
                <w:color w:val="auto"/>
                <w:sz w:val="18"/>
                <w:szCs w:val="18"/>
                <w:highlight w:val="none"/>
              </w:rPr>
              <w:t>3.</w:t>
            </w:r>
            <w:r>
              <w:rPr>
                <w:rFonts w:hint="eastAsia"/>
                <w:color w:val="auto"/>
                <w:sz w:val="18"/>
                <w:szCs w:val="18"/>
                <w:highlight w:val="none"/>
              </w:rPr>
              <w:t>工作频次</w:t>
            </w:r>
          </w:p>
          <w:p w14:paraId="4144E134">
            <w:pPr>
              <w:rPr>
                <w:color w:val="auto"/>
                <w:sz w:val="18"/>
                <w:szCs w:val="18"/>
                <w:highlight w:val="none"/>
              </w:rPr>
            </w:pP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）日常实时监测：每日监测互联网、电子政务外网、云平台出口等网络边界，实时盯防流量异常（如攻击流量、违规传输）</w:t>
            </w:r>
          </w:p>
          <w:p w14:paraId="2E88591E">
            <w:pPr>
              <w:rPr>
                <w:color w:val="auto"/>
                <w:sz w:val="18"/>
                <w:szCs w:val="18"/>
                <w:highlight w:val="none"/>
              </w:rPr>
            </w:pPr>
            <w:r>
              <w:rPr>
                <w:rFonts w:hint="eastAsia"/>
                <w:color w:val="auto"/>
                <w:sz w:val="18"/>
                <w:szCs w:val="18"/>
                <w:highlight w:val="none"/>
              </w:rPr>
              <w:t>（</w:t>
            </w:r>
            <w:r>
              <w:rPr>
                <w:color w:val="auto"/>
                <w:sz w:val="18"/>
                <w:szCs w:val="18"/>
                <w:highlight w:val="none"/>
              </w:rPr>
              <w:t>2</w:t>
            </w:r>
            <w:r>
              <w:rPr>
                <w:rFonts w:hint="eastAsia"/>
                <w:color w:val="auto"/>
                <w:sz w:val="18"/>
                <w:szCs w:val="18"/>
                <w:highlight w:val="none"/>
              </w:rPr>
              <w:t>）每周</w:t>
            </w:r>
            <w:r>
              <w:rPr>
                <w:color w:val="auto"/>
                <w:sz w:val="18"/>
                <w:szCs w:val="18"/>
                <w:highlight w:val="none"/>
              </w:rPr>
              <w:t xml:space="preserve"> 1 </w:t>
            </w:r>
            <w:r>
              <w:rPr>
                <w:rFonts w:hint="eastAsia"/>
                <w:color w:val="auto"/>
                <w:sz w:val="18"/>
                <w:szCs w:val="18"/>
                <w:highlight w:val="none"/>
              </w:rPr>
              <w:t>次全量流量趋势分析，识别潜在隐蔽威胁。</w:t>
            </w:r>
          </w:p>
          <w:p w14:paraId="77F973A8">
            <w:pPr>
              <w:rPr>
                <w:color w:val="auto"/>
                <w:sz w:val="18"/>
                <w:szCs w:val="18"/>
                <w:highlight w:val="none"/>
              </w:rPr>
            </w:pPr>
            <w:r>
              <w:rPr>
                <w:rFonts w:hint="eastAsia"/>
                <w:color w:val="auto"/>
                <w:sz w:val="18"/>
                <w:szCs w:val="18"/>
                <w:highlight w:val="none"/>
              </w:rPr>
              <w:t>（</w:t>
            </w:r>
            <w:r>
              <w:rPr>
                <w:color w:val="auto"/>
                <w:sz w:val="18"/>
                <w:szCs w:val="18"/>
                <w:highlight w:val="none"/>
              </w:rPr>
              <w:t>3</w:t>
            </w:r>
            <w:r>
              <w:rPr>
                <w:rFonts w:hint="eastAsia"/>
                <w:color w:val="auto"/>
                <w:sz w:val="18"/>
                <w:szCs w:val="18"/>
                <w:highlight w:val="none"/>
              </w:rPr>
              <w:t>）每月编制流量安全报告编制，同步优化监测规则。</w:t>
            </w:r>
          </w:p>
          <w:p w14:paraId="6FE13677">
            <w:pPr>
              <w:rPr>
                <w:color w:val="auto"/>
                <w:sz w:val="18"/>
                <w:szCs w:val="18"/>
                <w:highlight w:val="none"/>
              </w:rPr>
            </w:pPr>
            <w:r>
              <w:rPr>
                <w:color w:val="auto"/>
                <w:sz w:val="18"/>
                <w:szCs w:val="18"/>
                <w:highlight w:val="none"/>
              </w:rPr>
              <w:t>4.</w:t>
            </w:r>
            <w:r>
              <w:rPr>
                <w:rFonts w:hint="eastAsia"/>
                <w:color w:val="auto"/>
                <w:sz w:val="18"/>
                <w:szCs w:val="18"/>
                <w:highlight w:val="none"/>
              </w:rPr>
              <w:t>工作交付物</w:t>
            </w:r>
          </w:p>
          <w:p w14:paraId="61F03AA6">
            <w:pPr>
              <w:rPr>
                <w:color w:val="auto"/>
                <w:highlight w:val="none"/>
              </w:rPr>
            </w:pPr>
            <w:r>
              <w:rPr>
                <w:rFonts w:hint="eastAsia"/>
                <w:color w:val="auto"/>
                <w:sz w:val="18"/>
                <w:szCs w:val="18"/>
                <w:highlight w:val="none"/>
              </w:rPr>
              <w:t>《流量安全监测分析日</w:t>
            </w:r>
            <w:r>
              <w:rPr>
                <w:color w:val="auto"/>
                <w:sz w:val="18"/>
                <w:szCs w:val="18"/>
                <w:highlight w:val="none"/>
              </w:rPr>
              <w:t>/</w:t>
            </w:r>
            <w:r>
              <w:rPr>
                <w:rFonts w:hint="eastAsia"/>
                <w:color w:val="auto"/>
                <w:sz w:val="18"/>
                <w:szCs w:val="18"/>
                <w:highlight w:val="none"/>
              </w:rPr>
              <w:t>周</w:t>
            </w:r>
            <w:r>
              <w:rPr>
                <w:color w:val="auto"/>
                <w:sz w:val="18"/>
                <w:szCs w:val="18"/>
                <w:highlight w:val="none"/>
              </w:rPr>
              <w:t>/</w:t>
            </w:r>
            <w:r>
              <w:rPr>
                <w:rFonts w:hint="eastAsia"/>
                <w:color w:val="auto"/>
                <w:sz w:val="18"/>
                <w:szCs w:val="18"/>
                <w:highlight w:val="none"/>
              </w:rPr>
              <w:t>月报》、《突发事件流量分析报告》（按需）。</w:t>
            </w:r>
          </w:p>
        </w:tc>
        <w:tc>
          <w:tcPr>
            <w:tcW w:w="145" w:type="pct"/>
            <w:tcBorders>
              <w:top w:val="nil"/>
              <w:left w:val="nil"/>
              <w:bottom w:val="single" w:color="auto" w:sz="4" w:space="0"/>
              <w:right w:val="single" w:color="auto" w:sz="4" w:space="0"/>
            </w:tcBorders>
            <w:noWrap/>
            <w:vAlign w:val="center"/>
          </w:tcPr>
          <w:p w14:paraId="734800A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2B613D45">
            <w:pPr>
              <w:widowControl/>
              <w:jc w:val="center"/>
              <w:rPr>
                <w:rFonts w:hint="eastAsia" w:ascii="宋体" w:hAnsi="宋体" w:cs="宋体"/>
                <w:color w:val="auto"/>
                <w:kern w:val="0"/>
                <w:sz w:val="18"/>
                <w:szCs w:val="18"/>
                <w:highlight w:val="none"/>
              </w:rPr>
            </w:pPr>
          </w:p>
        </w:tc>
      </w:tr>
      <w:tr w14:paraId="08164CA0">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C75BFD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428" w:type="pct"/>
            <w:tcBorders>
              <w:top w:val="nil"/>
              <w:left w:val="nil"/>
              <w:bottom w:val="single" w:color="auto" w:sz="4" w:space="0"/>
              <w:right w:val="single" w:color="auto" w:sz="4" w:space="0"/>
            </w:tcBorders>
            <w:noWrap/>
            <w:vAlign w:val="center"/>
          </w:tcPr>
          <w:p w14:paraId="7C54BC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安全日志采集服务</w:t>
            </w:r>
          </w:p>
        </w:tc>
        <w:tc>
          <w:tcPr>
            <w:tcW w:w="3798" w:type="pct"/>
            <w:gridSpan w:val="2"/>
            <w:tcBorders>
              <w:top w:val="nil"/>
              <w:left w:val="nil"/>
              <w:bottom w:val="single" w:color="auto" w:sz="4" w:space="0"/>
              <w:right w:val="single" w:color="auto" w:sz="4" w:space="0"/>
            </w:tcBorders>
            <w:vAlign w:val="center"/>
          </w:tcPr>
          <w:p w14:paraId="69F15154">
            <w:pPr>
              <w:pStyle w:val="32"/>
              <w:rPr>
                <w:color w:val="auto"/>
                <w:highlight w:val="none"/>
              </w:rPr>
            </w:pPr>
            <w:r>
              <w:rPr>
                <w:rFonts w:hint="eastAsia"/>
                <w:color w:val="auto"/>
                <w:highlight w:val="none"/>
              </w:rPr>
              <w:t>通过溯源分析平台深入分析全区政务网络各节点的</w:t>
            </w:r>
            <w:r>
              <w:rPr>
                <w:color w:val="auto"/>
                <w:highlight w:val="none"/>
              </w:rPr>
              <w:t>NAT</w:t>
            </w:r>
            <w:r>
              <w:rPr>
                <w:rFonts w:hint="eastAsia"/>
                <w:color w:val="auto"/>
                <w:highlight w:val="none"/>
              </w:rPr>
              <w:t>日志，以及政务外网骨干、互联网出口、政务运营出口的全数据包流量，对一定时间范围内的目标历史流量进行行为分析，挖掘对应的流量分布情况、多维度的流量趋势、多维度的流量统计等价值信息。</w:t>
            </w:r>
          </w:p>
          <w:p w14:paraId="1B557BFE">
            <w:pPr>
              <w:pStyle w:val="32"/>
              <w:rPr>
                <w:color w:val="auto"/>
                <w:highlight w:val="none"/>
              </w:rPr>
            </w:pPr>
            <w:r>
              <w:rPr>
                <w:color w:val="auto"/>
                <w:highlight w:val="none"/>
              </w:rPr>
              <w:t>1.</w:t>
            </w:r>
            <w:r>
              <w:rPr>
                <w:rFonts w:hint="eastAsia"/>
                <w:color w:val="auto"/>
                <w:highlight w:val="none"/>
              </w:rPr>
              <w:t>工作内容</w:t>
            </w:r>
          </w:p>
          <w:p w14:paraId="26F7A0BC">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）建立溯源分析平台运维机制，每日监控平台运行状态（数据接收效率、分析响应速度、存储资源占用），处理平台故障、数据传输中断等问题。</w:t>
            </w:r>
          </w:p>
          <w:p w14:paraId="3DF3962B">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）配置采集策略，明确</w:t>
            </w:r>
            <w:r>
              <w:rPr>
                <w:color w:val="auto"/>
                <w:highlight w:val="none"/>
              </w:rPr>
              <w:t xml:space="preserve"> NAT </w:t>
            </w:r>
            <w:r>
              <w:rPr>
                <w:rFonts w:hint="eastAsia"/>
                <w:color w:val="auto"/>
                <w:highlight w:val="none"/>
              </w:rPr>
              <w:t>日志实时采集、全数据包按需采集（支持按时间范围、</w:t>
            </w:r>
            <w:r>
              <w:rPr>
                <w:color w:val="auto"/>
                <w:highlight w:val="none"/>
              </w:rPr>
              <w:t xml:space="preserve">IP </w:t>
            </w:r>
            <w:r>
              <w:rPr>
                <w:rFonts w:hint="eastAsia"/>
                <w:color w:val="auto"/>
                <w:highlight w:val="none"/>
              </w:rPr>
              <w:t>范围、协议类型筛选），平衡采集效率与存储成本。</w:t>
            </w:r>
          </w:p>
          <w:p w14:paraId="5BB5F800">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）流量统计分析：开展多维度统计，包括</w:t>
            </w:r>
            <w:r>
              <w:rPr>
                <w:color w:val="auto"/>
                <w:highlight w:val="none"/>
              </w:rPr>
              <w:t xml:space="preserve"> IP </w:t>
            </w:r>
            <w:r>
              <w:rPr>
                <w:rFonts w:hint="eastAsia"/>
                <w:color w:val="auto"/>
                <w:highlight w:val="none"/>
              </w:rPr>
              <w:t>通信频次、端口使用热度、协议分布占比、</w:t>
            </w:r>
            <w:r>
              <w:rPr>
                <w:color w:val="auto"/>
                <w:highlight w:val="none"/>
              </w:rPr>
              <w:t xml:space="preserve">NAT </w:t>
            </w:r>
            <w:r>
              <w:rPr>
                <w:rFonts w:hint="eastAsia"/>
                <w:color w:val="auto"/>
                <w:highlight w:val="none"/>
              </w:rPr>
              <w:t>映射关系统计等，提炼关键指标（如</w:t>
            </w:r>
            <w:r>
              <w:rPr>
                <w:color w:val="auto"/>
                <w:highlight w:val="none"/>
              </w:rPr>
              <w:t xml:space="preserve"> Top10 </w:t>
            </w:r>
            <w:r>
              <w:rPr>
                <w:rFonts w:hint="eastAsia"/>
                <w:color w:val="auto"/>
                <w:highlight w:val="none"/>
              </w:rPr>
              <w:t>通信</w:t>
            </w:r>
            <w:r>
              <w:rPr>
                <w:color w:val="auto"/>
                <w:highlight w:val="none"/>
              </w:rPr>
              <w:t xml:space="preserve"> IP</w:t>
            </w:r>
            <w:r>
              <w:rPr>
                <w:rFonts w:hint="eastAsia"/>
                <w:color w:val="auto"/>
                <w:highlight w:val="none"/>
              </w:rPr>
              <w:t>、高频访问端口、异常协议占比）。</w:t>
            </w:r>
          </w:p>
          <w:p w14:paraId="2ED2CE1D">
            <w:pPr>
              <w:pStyle w:val="32"/>
              <w:rPr>
                <w:color w:val="auto"/>
                <w:highlight w:val="none"/>
              </w:rPr>
            </w:pPr>
            <w:r>
              <w:rPr>
                <w:color w:val="auto"/>
                <w:highlight w:val="none"/>
              </w:rPr>
              <w:t>2.</w:t>
            </w:r>
            <w:r>
              <w:rPr>
                <w:rFonts w:hint="eastAsia"/>
                <w:color w:val="auto"/>
                <w:highlight w:val="none"/>
              </w:rPr>
              <w:t>工作范围</w:t>
            </w:r>
          </w:p>
          <w:p w14:paraId="5428790F">
            <w:pPr>
              <w:pStyle w:val="32"/>
              <w:rPr>
                <w:color w:val="auto"/>
                <w:highlight w:val="none"/>
              </w:rPr>
            </w:pPr>
            <w:r>
              <w:rPr>
                <w:rFonts w:hint="eastAsia"/>
                <w:color w:val="auto"/>
                <w:highlight w:val="none"/>
              </w:rPr>
              <w:t>现有流量采集平台及探针，采集流量覆盖电子政务外网出口、互联网出口、政务运营出口，全区政务网络各节点的</w:t>
            </w:r>
            <w:r>
              <w:rPr>
                <w:color w:val="auto"/>
                <w:highlight w:val="none"/>
              </w:rPr>
              <w:t>NAT</w:t>
            </w:r>
            <w:r>
              <w:rPr>
                <w:rFonts w:hint="eastAsia"/>
                <w:color w:val="auto"/>
                <w:highlight w:val="none"/>
              </w:rPr>
              <w:t>日志源；</w:t>
            </w:r>
          </w:p>
          <w:p w14:paraId="77B624A9">
            <w:pPr>
              <w:pStyle w:val="32"/>
              <w:rPr>
                <w:color w:val="auto"/>
                <w:highlight w:val="none"/>
              </w:rPr>
            </w:pPr>
            <w:r>
              <w:rPr>
                <w:color w:val="auto"/>
                <w:highlight w:val="none"/>
              </w:rPr>
              <w:t>3.</w:t>
            </w:r>
            <w:r>
              <w:rPr>
                <w:rFonts w:hint="eastAsia"/>
                <w:color w:val="auto"/>
                <w:highlight w:val="none"/>
              </w:rPr>
              <w:t>工作频次</w:t>
            </w:r>
          </w:p>
          <w:p w14:paraId="4904B248">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）驻场运营人员</w:t>
            </w:r>
            <w:r>
              <w:rPr>
                <w:color w:val="auto"/>
                <w:highlight w:val="none"/>
              </w:rPr>
              <w:t>5</w:t>
            </w:r>
            <w:r>
              <w:rPr>
                <w:rFonts w:hint="eastAsia"/>
                <w:color w:val="auto"/>
                <w:highlight w:val="none"/>
              </w:rPr>
              <w:t>×</w:t>
            </w:r>
            <w:r>
              <w:rPr>
                <w:color w:val="auto"/>
                <w:highlight w:val="none"/>
              </w:rPr>
              <w:t>8</w:t>
            </w:r>
            <w:r>
              <w:rPr>
                <w:rFonts w:hint="eastAsia"/>
                <w:color w:val="auto"/>
                <w:highlight w:val="none"/>
              </w:rPr>
              <w:t>小时，实时监测分析：实时筛查</w:t>
            </w:r>
            <w:r>
              <w:rPr>
                <w:color w:val="auto"/>
                <w:highlight w:val="none"/>
              </w:rPr>
              <w:t>NAT</w:t>
            </w:r>
            <w:r>
              <w:rPr>
                <w:rFonts w:hint="eastAsia"/>
                <w:color w:val="auto"/>
                <w:highlight w:val="none"/>
              </w:rPr>
              <w:t>日志中的异常行为（如非法地址转换、端口扫描、违规访问），高风险日志</w:t>
            </w:r>
            <w:r>
              <w:rPr>
                <w:rFonts w:hint="eastAsia"/>
                <w:color w:val="auto"/>
                <w:highlight w:val="none"/>
                <w:lang w:val="en-US" w:eastAsia="zh-CN"/>
              </w:rPr>
              <w:t>及时</w:t>
            </w:r>
            <w:r>
              <w:rPr>
                <w:rFonts w:hint="eastAsia"/>
                <w:color w:val="auto"/>
                <w:highlight w:val="none"/>
              </w:rPr>
              <w:t>告警并初步研判。</w:t>
            </w:r>
          </w:p>
          <w:p w14:paraId="7CC7629F">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）每月</w:t>
            </w:r>
            <w:r>
              <w:rPr>
                <w:color w:val="auto"/>
                <w:highlight w:val="none"/>
              </w:rPr>
              <w:t xml:space="preserve"> 1 </w:t>
            </w:r>
            <w:r>
              <w:rPr>
                <w:rFonts w:hint="eastAsia"/>
                <w:color w:val="auto"/>
                <w:highlight w:val="none"/>
              </w:rPr>
              <w:t>编制日志分析报告，优化采集与分析规则。</w:t>
            </w:r>
          </w:p>
          <w:p w14:paraId="3B67B26D">
            <w:pPr>
              <w:pStyle w:val="32"/>
              <w:rPr>
                <w:color w:val="auto"/>
                <w:highlight w:val="none"/>
              </w:rPr>
            </w:pPr>
            <w:r>
              <w:rPr>
                <w:color w:val="auto"/>
                <w:highlight w:val="none"/>
              </w:rPr>
              <w:t>4.</w:t>
            </w:r>
            <w:r>
              <w:rPr>
                <w:rFonts w:hint="eastAsia"/>
                <w:color w:val="auto"/>
                <w:highlight w:val="none"/>
              </w:rPr>
              <w:t>工作交付物</w:t>
            </w:r>
          </w:p>
          <w:p w14:paraId="38950262">
            <w:pPr>
              <w:pStyle w:val="32"/>
              <w:widowControl/>
              <w:rPr>
                <w:rFonts w:hint="eastAsia" w:ascii="宋体" w:hAnsi="宋体" w:cs="宋体"/>
                <w:color w:val="auto"/>
                <w:highlight w:val="none"/>
              </w:rPr>
            </w:pPr>
            <w:r>
              <w:rPr>
                <w:rFonts w:hint="eastAsia"/>
                <w:color w:val="auto"/>
                <w:highlight w:val="none"/>
              </w:rPr>
              <w:t>《安全日志监测日报</w:t>
            </w:r>
            <w:r>
              <w:rPr>
                <w:color w:val="auto"/>
                <w:highlight w:val="none"/>
              </w:rPr>
              <w:t>/</w:t>
            </w:r>
            <w:r>
              <w:rPr>
                <w:rFonts w:hint="eastAsia"/>
                <w:color w:val="auto"/>
                <w:highlight w:val="none"/>
              </w:rPr>
              <w:t>月报》。</w:t>
            </w:r>
          </w:p>
        </w:tc>
        <w:tc>
          <w:tcPr>
            <w:tcW w:w="145" w:type="pct"/>
            <w:tcBorders>
              <w:top w:val="nil"/>
              <w:left w:val="nil"/>
              <w:bottom w:val="single" w:color="auto" w:sz="4" w:space="0"/>
              <w:right w:val="single" w:color="auto" w:sz="4" w:space="0"/>
            </w:tcBorders>
            <w:noWrap/>
            <w:vAlign w:val="center"/>
          </w:tcPr>
          <w:p w14:paraId="23DEEB75">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4F1BC303">
            <w:pPr>
              <w:widowControl/>
              <w:jc w:val="center"/>
              <w:rPr>
                <w:rFonts w:hint="eastAsia" w:ascii="宋体" w:hAnsi="宋体" w:cs="宋体"/>
                <w:color w:val="auto"/>
                <w:kern w:val="0"/>
                <w:sz w:val="18"/>
                <w:szCs w:val="18"/>
                <w:highlight w:val="none"/>
              </w:rPr>
            </w:pPr>
          </w:p>
        </w:tc>
      </w:tr>
      <w:tr w14:paraId="69A5F851">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14720FA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428" w:type="pct"/>
            <w:tcBorders>
              <w:top w:val="nil"/>
              <w:left w:val="nil"/>
              <w:bottom w:val="single" w:color="auto" w:sz="4" w:space="0"/>
              <w:right w:val="single" w:color="auto" w:sz="4" w:space="0"/>
            </w:tcBorders>
            <w:noWrap/>
            <w:vAlign w:val="center"/>
          </w:tcPr>
          <w:p w14:paraId="232411F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密码运营服务</w:t>
            </w:r>
          </w:p>
        </w:tc>
        <w:tc>
          <w:tcPr>
            <w:tcW w:w="3798" w:type="pct"/>
            <w:gridSpan w:val="2"/>
            <w:tcBorders>
              <w:top w:val="nil"/>
              <w:left w:val="nil"/>
              <w:bottom w:val="single" w:color="auto" w:sz="4" w:space="0"/>
              <w:right w:val="single" w:color="auto" w:sz="4" w:space="0"/>
            </w:tcBorders>
            <w:vAlign w:val="center"/>
          </w:tcPr>
          <w:p w14:paraId="225F0D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面向区信息中心责任范围内的业务系统，建立常态化密码安全监测机制。通过对密码服务运行状态、算法合规性及密钥生命周期的持续监控，确保政务云密码应用符合安全要求，及时发现并处置密码安全风险。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开展日常密码安全监测工作，具体包括：每日对政务云密码服务进行运行状态巡检，7×24小时实时采集密码算法合规性、密钥操作记录等核心数据；通过安全运营平台对密码应用违规行为进行自动检测，动态追踪密钥全生命周期状态；对发现的密码安全风险生成告警并创建整改工单，跟踪督办整改进度直至问题闭环。基于监测数据定期生成密码安全态势报告，更新密码资产清单，为安全决策和上级监管提供数据支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为确保云密码服务平台能够持续、高效、合规地发挥其核心安全价值，须建立一个集技术运维、专业咨询、流程服务、开发支持于一体的综合管理与服务体系，定义并规范密码基础设施投产后的所有管理和服务活动，将其打造成一个响应及时、服务专业、管理规范的云密码服务平台。其中：</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自治区信息中心等管理部门：作为平台的管理者和使用者。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各委办局单位：作为密码服务的最终消费者。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应用系统开发商：作为密码服务的直接集成者和开发者。</w:t>
            </w:r>
          </w:p>
          <w:p w14:paraId="40681783">
            <w:pPr>
              <w:pStyle w:val="32"/>
              <w:rPr>
                <w:color w:val="auto"/>
                <w:highlight w:val="none"/>
              </w:rPr>
            </w:pPr>
            <w:r>
              <w:rPr>
                <w:color w:val="auto"/>
                <w:highlight w:val="none"/>
              </w:rPr>
              <w:t>1.</w:t>
            </w:r>
            <w:r>
              <w:rPr>
                <w:rFonts w:hint="eastAsia"/>
                <w:color w:val="auto"/>
                <w:highlight w:val="none"/>
              </w:rPr>
              <w:t>工作内容</w:t>
            </w:r>
          </w:p>
          <w:p w14:paraId="7672D2FE">
            <w:pPr>
              <w:pStyle w:val="32"/>
              <w:rPr>
                <w:color w:val="auto"/>
                <w:highlight w:val="none"/>
              </w:rPr>
            </w:pPr>
            <w:r>
              <w:rPr>
                <w:rFonts w:hint="eastAsia"/>
                <w:color w:val="auto"/>
                <w:highlight w:val="none"/>
              </w:rPr>
              <w:t>开展日常密码安全监测工作，具体包括：每日对政务云密码服务进行运行状态巡检，</w:t>
            </w:r>
            <w:r>
              <w:rPr>
                <w:color w:val="auto"/>
                <w:highlight w:val="none"/>
              </w:rPr>
              <w:t>7</w:t>
            </w:r>
            <w:r>
              <w:rPr>
                <w:rFonts w:hint="eastAsia"/>
                <w:color w:val="auto"/>
                <w:highlight w:val="none"/>
              </w:rPr>
              <w:t>×</w:t>
            </w:r>
            <w:r>
              <w:rPr>
                <w:color w:val="auto"/>
                <w:highlight w:val="none"/>
              </w:rPr>
              <w:t>24</w:t>
            </w:r>
            <w:r>
              <w:rPr>
                <w:rFonts w:hint="eastAsia"/>
                <w:color w:val="auto"/>
                <w:highlight w:val="none"/>
              </w:rPr>
              <w:t>小时实时采集密码算法合规性、密钥操作记录等核心数据；通过安全运营平台对密码应用违规行为进行自动检测，动态追踪密钥全生命周期状态；对发现的密码安全风险生成告警并创建整改工单，跟踪督办整改进度直至问题闭环。基于监测数据定期生成密码安全态势报告，更新密码资产清单，为安全决策和上级监管提供数据支撑。</w:t>
            </w:r>
          </w:p>
          <w:p w14:paraId="33914ECE">
            <w:pPr>
              <w:pStyle w:val="32"/>
              <w:rPr>
                <w:color w:val="auto"/>
                <w:highlight w:val="none"/>
              </w:rPr>
            </w:pPr>
            <w:r>
              <w:rPr>
                <w:color w:val="auto"/>
                <w:highlight w:val="none"/>
              </w:rPr>
              <w:t>2.</w:t>
            </w:r>
            <w:r>
              <w:rPr>
                <w:rFonts w:hint="eastAsia"/>
                <w:color w:val="auto"/>
                <w:highlight w:val="none"/>
              </w:rPr>
              <w:t>工作范围</w:t>
            </w:r>
          </w:p>
          <w:p w14:paraId="27D9C0D2">
            <w:pPr>
              <w:pStyle w:val="32"/>
              <w:rPr>
                <w:color w:val="auto"/>
                <w:highlight w:val="none"/>
              </w:rPr>
            </w:pPr>
            <w:r>
              <w:rPr>
                <w:rFonts w:hint="eastAsia"/>
                <w:color w:val="auto"/>
                <w:highlight w:val="none"/>
              </w:rPr>
              <w:t>政务云密码安全资源池、密码安全监管平台。</w:t>
            </w:r>
          </w:p>
          <w:p w14:paraId="4350D51E">
            <w:pPr>
              <w:pStyle w:val="32"/>
              <w:rPr>
                <w:color w:val="auto"/>
                <w:highlight w:val="none"/>
              </w:rPr>
            </w:pPr>
            <w:r>
              <w:rPr>
                <w:color w:val="auto"/>
                <w:highlight w:val="none"/>
              </w:rPr>
              <w:t>3.</w:t>
            </w:r>
            <w:r>
              <w:rPr>
                <w:rFonts w:hint="eastAsia"/>
                <w:color w:val="auto"/>
                <w:highlight w:val="none"/>
              </w:rPr>
              <w:t>工作频次</w:t>
            </w:r>
          </w:p>
          <w:p w14:paraId="748C5B50">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）通过</w:t>
            </w:r>
            <w:r>
              <w:rPr>
                <w:color w:val="auto"/>
                <w:highlight w:val="none"/>
              </w:rPr>
              <w:t>5</w:t>
            </w:r>
            <w:r>
              <w:rPr>
                <w:rFonts w:hint="eastAsia"/>
                <w:color w:val="auto"/>
                <w:highlight w:val="none"/>
              </w:rPr>
              <w:t>×</w:t>
            </w:r>
            <w:r>
              <w:rPr>
                <w:color w:val="auto"/>
                <w:highlight w:val="none"/>
              </w:rPr>
              <w:t>8</w:t>
            </w:r>
            <w:r>
              <w:rPr>
                <w:rFonts w:hint="eastAsia"/>
                <w:color w:val="auto"/>
                <w:highlight w:val="none"/>
              </w:rPr>
              <w:t>小时驻场开展常态化密码安全持续运营，保障政务云密码应用合规与安全。</w:t>
            </w:r>
          </w:p>
          <w:p w14:paraId="3BB35B62">
            <w:pPr>
              <w:pStyle w:val="32"/>
              <w:rPr>
                <w:color w:val="auto"/>
                <w:highlight w:val="none"/>
              </w:rPr>
            </w:pPr>
            <w:r>
              <w:rPr>
                <w:color w:val="auto"/>
                <w:highlight w:val="none"/>
              </w:rPr>
              <w:t>4.</w:t>
            </w:r>
            <w:r>
              <w:rPr>
                <w:rFonts w:hint="eastAsia"/>
                <w:color w:val="auto"/>
                <w:highlight w:val="none"/>
              </w:rPr>
              <w:t>工作交付物</w:t>
            </w:r>
          </w:p>
          <w:p w14:paraId="6BF87117">
            <w:pPr>
              <w:pStyle w:val="32"/>
              <w:widowControl/>
              <w:rPr>
                <w:rFonts w:hint="eastAsia" w:ascii="宋体" w:hAnsi="宋体" w:cs="宋体"/>
                <w:color w:val="auto"/>
                <w:highlight w:val="none"/>
              </w:rPr>
            </w:pPr>
            <w:r>
              <w:rPr>
                <w:rFonts w:hint="eastAsia"/>
                <w:color w:val="auto"/>
                <w:highlight w:val="none"/>
              </w:rPr>
              <w:t>《密码运营服务周报</w:t>
            </w:r>
            <w:r>
              <w:rPr>
                <w:color w:val="auto"/>
                <w:highlight w:val="none"/>
              </w:rPr>
              <w:t>/</w:t>
            </w:r>
            <w:r>
              <w:rPr>
                <w:rFonts w:hint="eastAsia"/>
                <w:color w:val="auto"/>
                <w:highlight w:val="none"/>
              </w:rPr>
              <w:t>月报》。</w:t>
            </w:r>
          </w:p>
        </w:tc>
        <w:tc>
          <w:tcPr>
            <w:tcW w:w="145" w:type="pct"/>
            <w:tcBorders>
              <w:top w:val="nil"/>
              <w:left w:val="nil"/>
              <w:bottom w:val="single" w:color="auto" w:sz="4" w:space="0"/>
              <w:right w:val="single" w:color="auto" w:sz="4" w:space="0"/>
            </w:tcBorders>
            <w:noWrap/>
            <w:vAlign w:val="center"/>
          </w:tcPr>
          <w:p w14:paraId="469A1929">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6B7DA6C6">
            <w:pPr>
              <w:widowControl/>
              <w:jc w:val="center"/>
              <w:rPr>
                <w:rFonts w:hint="eastAsia" w:ascii="宋体" w:hAnsi="宋体" w:cs="宋体"/>
                <w:color w:val="auto"/>
                <w:kern w:val="0"/>
                <w:sz w:val="18"/>
                <w:szCs w:val="18"/>
                <w:highlight w:val="none"/>
              </w:rPr>
            </w:pPr>
          </w:p>
        </w:tc>
      </w:tr>
      <w:tr w14:paraId="750B9D91">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5AC93D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428" w:type="pct"/>
            <w:tcBorders>
              <w:top w:val="nil"/>
              <w:left w:val="nil"/>
              <w:bottom w:val="single" w:color="auto" w:sz="4" w:space="0"/>
              <w:right w:val="single" w:color="auto" w:sz="4" w:space="0"/>
            </w:tcBorders>
            <w:noWrap/>
            <w:vAlign w:val="center"/>
          </w:tcPr>
          <w:p w14:paraId="0147BD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突发热点事件响应</w:t>
            </w:r>
          </w:p>
        </w:tc>
        <w:tc>
          <w:tcPr>
            <w:tcW w:w="3798" w:type="pct"/>
            <w:gridSpan w:val="2"/>
            <w:tcBorders>
              <w:top w:val="nil"/>
              <w:left w:val="nil"/>
              <w:bottom w:val="single" w:color="auto" w:sz="4" w:space="0"/>
              <w:right w:val="single" w:color="auto" w:sz="4" w:space="0"/>
            </w:tcBorders>
            <w:vAlign w:val="center"/>
          </w:tcPr>
          <w:p w14:paraId="708289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跟踪安全热点事件，对最新披露的高危安全漏洞的影响范围，对自治区信息中心在管的各类资产和各委办局上云应用系统进行重点匹配筛查，确认影响范围，并及时下发通告，对已经受影响资产启动应急响应机制，预估每年提供 100 次突发热点事件响应服务。</w:t>
            </w:r>
          </w:p>
          <w:p w14:paraId="11FD8419">
            <w:pPr>
              <w:pStyle w:val="32"/>
              <w:rPr>
                <w:color w:val="auto"/>
                <w:highlight w:val="none"/>
              </w:rPr>
            </w:pPr>
            <w:r>
              <w:rPr>
                <w:color w:val="auto"/>
                <w:highlight w:val="none"/>
              </w:rPr>
              <w:t>1.</w:t>
            </w:r>
            <w:r>
              <w:rPr>
                <w:rFonts w:hint="eastAsia"/>
                <w:color w:val="auto"/>
                <w:highlight w:val="none"/>
              </w:rPr>
              <w:t>工作内容</w:t>
            </w:r>
          </w:p>
          <w:p w14:paraId="4ADEBA15">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）多渠道监测突发热点事件，实时跟踪国家信息安全漏洞库（</w:t>
            </w:r>
            <w:r>
              <w:rPr>
                <w:color w:val="auto"/>
                <w:highlight w:val="none"/>
              </w:rPr>
              <w:t>CNVD</w:t>
            </w:r>
            <w:r>
              <w:rPr>
                <w:rFonts w:hint="eastAsia"/>
                <w:color w:val="auto"/>
                <w:highlight w:val="none"/>
              </w:rPr>
              <w:t>）、</w:t>
            </w:r>
            <w:r>
              <w:rPr>
                <w:color w:val="auto"/>
                <w:highlight w:val="none"/>
              </w:rPr>
              <w:t>CVE</w:t>
            </w:r>
            <w:r>
              <w:rPr>
                <w:rFonts w:hint="eastAsia"/>
                <w:color w:val="auto"/>
                <w:highlight w:val="none"/>
              </w:rPr>
              <w:t>、安全厂商公告、政务安全预警平台等渠道，重点关注高危漏洞、新型攻击、重大安全事件等热点信息。</w:t>
            </w:r>
          </w:p>
          <w:p w14:paraId="1C9CA49B">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）第一时间收集热点事件核心信息，包括漏洞详情、攻击手法、利用资产管理工具初步判断影响范围等。</w:t>
            </w:r>
          </w:p>
          <w:p w14:paraId="5DA603FA">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）开展资产匹配筛查，结合热点事件影响范围（如特定系统版本、组件类型），通过漏洞扫描工具、资产探测平台进行批量核查，精准定位受影响资产。</w:t>
            </w:r>
          </w:p>
          <w:p w14:paraId="12C86870">
            <w:pPr>
              <w:pStyle w:val="32"/>
              <w:rPr>
                <w:color w:val="auto"/>
                <w:highlight w:val="none"/>
              </w:rPr>
            </w:pPr>
            <w:r>
              <w:rPr>
                <w:rFonts w:hint="eastAsia"/>
                <w:color w:val="auto"/>
                <w:highlight w:val="none"/>
              </w:rPr>
              <w:t>（</w:t>
            </w:r>
            <w:r>
              <w:rPr>
                <w:color w:val="auto"/>
                <w:highlight w:val="none"/>
              </w:rPr>
              <w:t>4</w:t>
            </w:r>
            <w:r>
              <w:rPr>
                <w:rFonts w:hint="eastAsia"/>
                <w:color w:val="auto"/>
                <w:highlight w:val="none"/>
              </w:rPr>
              <w:t>）对高风险受影响资产进行重点标记，同步核查是否存在已被利用的迹象（如异常日志、攻击流量），为应急处置提供依据。</w:t>
            </w:r>
          </w:p>
          <w:p w14:paraId="264F2BEC">
            <w:pPr>
              <w:pStyle w:val="32"/>
              <w:rPr>
                <w:color w:val="auto"/>
                <w:highlight w:val="none"/>
              </w:rPr>
            </w:pPr>
            <w:r>
              <w:rPr>
                <w:color w:val="auto"/>
                <w:highlight w:val="none"/>
              </w:rPr>
              <w:t>2.</w:t>
            </w:r>
            <w:r>
              <w:rPr>
                <w:rFonts w:hint="eastAsia"/>
                <w:color w:val="auto"/>
                <w:highlight w:val="none"/>
              </w:rPr>
              <w:t>工作范围</w:t>
            </w:r>
          </w:p>
          <w:p w14:paraId="0B1EDB35">
            <w:pPr>
              <w:pStyle w:val="32"/>
              <w:rPr>
                <w:color w:val="auto"/>
                <w:highlight w:val="none"/>
              </w:rPr>
            </w:pPr>
            <w:r>
              <w:rPr>
                <w:rFonts w:hint="eastAsia"/>
                <w:color w:val="auto"/>
                <w:highlight w:val="none"/>
              </w:rPr>
              <w:t>为自治区信息中心在管的各类资产和各委办局上云应用系统提供热点事件应急排查服务。</w:t>
            </w:r>
          </w:p>
          <w:p w14:paraId="113D5AEF">
            <w:pPr>
              <w:pStyle w:val="32"/>
              <w:rPr>
                <w:color w:val="auto"/>
                <w:highlight w:val="none"/>
              </w:rPr>
            </w:pPr>
            <w:r>
              <w:rPr>
                <w:color w:val="auto"/>
                <w:highlight w:val="none"/>
              </w:rPr>
              <w:t>3.</w:t>
            </w:r>
            <w:r>
              <w:rPr>
                <w:rFonts w:hint="eastAsia"/>
                <w:color w:val="auto"/>
                <w:highlight w:val="none"/>
              </w:rPr>
              <w:t>工作频次</w:t>
            </w:r>
          </w:p>
          <w:p w14:paraId="2FFA0500">
            <w:pPr>
              <w:pStyle w:val="32"/>
              <w:rPr>
                <w:color w:val="auto"/>
                <w:highlight w:val="none"/>
              </w:rPr>
            </w:pPr>
            <w:r>
              <w:rPr>
                <w:rFonts w:hint="eastAsia"/>
                <w:color w:val="auto"/>
                <w:highlight w:val="none"/>
              </w:rPr>
              <w:t>驻场运营人员</w:t>
            </w:r>
            <w:r>
              <w:rPr>
                <w:color w:val="auto"/>
                <w:highlight w:val="none"/>
              </w:rPr>
              <w:t>5</w:t>
            </w:r>
            <w:r>
              <w:rPr>
                <w:rFonts w:hint="eastAsia"/>
                <w:color w:val="auto"/>
                <w:highlight w:val="none"/>
              </w:rPr>
              <w:t>×</w:t>
            </w:r>
            <w:r>
              <w:rPr>
                <w:color w:val="auto"/>
                <w:highlight w:val="none"/>
              </w:rPr>
              <w:t>8</w:t>
            </w:r>
            <w:r>
              <w:rPr>
                <w:rFonts w:hint="eastAsia"/>
                <w:color w:val="auto"/>
                <w:highlight w:val="none"/>
              </w:rPr>
              <w:t>小时每天定期访问、巡查国内重点安全咨询网站、威胁情报平台、漏洞库平台等突发热点事件发布平台，及时发现突发热点事件信息并进行响应。</w:t>
            </w:r>
          </w:p>
          <w:p w14:paraId="68694246">
            <w:pPr>
              <w:pStyle w:val="32"/>
              <w:rPr>
                <w:color w:val="auto"/>
                <w:highlight w:val="none"/>
              </w:rPr>
            </w:pPr>
            <w:r>
              <w:rPr>
                <w:color w:val="auto"/>
                <w:highlight w:val="none"/>
              </w:rPr>
              <w:t>4</w:t>
            </w:r>
            <w:r>
              <w:rPr>
                <w:rFonts w:hint="eastAsia"/>
                <w:color w:val="auto"/>
                <w:highlight w:val="none"/>
              </w:rPr>
              <w:t>、工作交付物</w:t>
            </w:r>
          </w:p>
          <w:p w14:paraId="67C339F1">
            <w:pPr>
              <w:pStyle w:val="32"/>
              <w:widowControl/>
              <w:rPr>
                <w:rFonts w:hint="eastAsia" w:ascii="宋体" w:hAnsi="宋体" w:cs="宋体"/>
                <w:color w:val="auto"/>
                <w:highlight w:val="none"/>
              </w:rPr>
            </w:pPr>
            <w:r>
              <w:rPr>
                <w:rFonts w:hint="eastAsia"/>
                <w:color w:val="auto"/>
                <w:highlight w:val="none"/>
              </w:rPr>
              <w:t>《突发热点事件预警》等。</w:t>
            </w:r>
          </w:p>
        </w:tc>
        <w:tc>
          <w:tcPr>
            <w:tcW w:w="145" w:type="pct"/>
            <w:tcBorders>
              <w:top w:val="nil"/>
              <w:left w:val="nil"/>
              <w:bottom w:val="single" w:color="auto" w:sz="4" w:space="0"/>
              <w:right w:val="single" w:color="auto" w:sz="4" w:space="0"/>
            </w:tcBorders>
            <w:noWrap/>
            <w:vAlign w:val="center"/>
          </w:tcPr>
          <w:p w14:paraId="704DA2BA">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71EA8427">
            <w:pPr>
              <w:widowControl/>
              <w:jc w:val="center"/>
              <w:rPr>
                <w:rFonts w:hint="eastAsia" w:ascii="宋体" w:hAnsi="宋体" w:cs="宋体"/>
                <w:color w:val="auto"/>
                <w:kern w:val="0"/>
                <w:sz w:val="18"/>
                <w:szCs w:val="18"/>
                <w:highlight w:val="none"/>
              </w:rPr>
            </w:pPr>
          </w:p>
        </w:tc>
      </w:tr>
      <w:tr w14:paraId="023CA1F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1A144D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428" w:type="pct"/>
            <w:tcBorders>
              <w:top w:val="nil"/>
              <w:left w:val="nil"/>
              <w:bottom w:val="single" w:color="auto" w:sz="4" w:space="0"/>
              <w:right w:val="single" w:color="auto" w:sz="4" w:space="0"/>
            </w:tcBorders>
            <w:noWrap/>
            <w:vAlign w:val="center"/>
          </w:tcPr>
          <w:p w14:paraId="5F912E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网络和数据安全通报服务</w:t>
            </w:r>
          </w:p>
        </w:tc>
        <w:tc>
          <w:tcPr>
            <w:tcW w:w="3798" w:type="pct"/>
            <w:gridSpan w:val="2"/>
            <w:tcBorders>
              <w:top w:val="nil"/>
              <w:left w:val="nil"/>
              <w:bottom w:val="single" w:color="auto" w:sz="4" w:space="0"/>
              <w:right w:val="single" w:color="auto" w:sz="4" w:space="0"/>
            </w:tcBorders>
            <w:vAlign w:val="center"/>
          </w:tcPr>
          <w:p w14:paraId="27C871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针对各安全子系统等发现的安全告警事件，经过专业安全技术人员验证，并确认存在的网络安全漏洞，对自治区信息中心各业务部门、各运维服务商，上云委办局单位，政务外网接入单位开展安全事件通报和处置跟踪，督促其及时完成整改，并对整改结果进行评审复测，确保整改措施有效落实。预估每年提供 2000 起安全事件通告通报。</w:t>
            </w:r>
          </w:p>
          <w:p w14:paraId="0080BFDC">
            <w:pPr>
              <w:pStyle w:val="32"/>
              <w:rPr>
                <w:color w:val="auto"/>
                <w:highlight w:val="none"/>
              </w:rPr>
            </w:pPr>
          </w:p>
          <w:p w14:paraId="7314752A">
            <w:pPr>
              <w:rPr>
                <w:color w:val="auto"/>
                <w:sz w:val="18"/>
                <w:szCs w:val="18"/>
                <w:highlight w:val="none"/>
              </w:rPr>
            </w:pPr>
            <w:r>
              <w:rPr>
                <w:color w:val="auto"/>
                <w:sz w:val="18"/>
                <w:szCs w:val="18"/>
                <w:highlight w:val="none"/>
              </w:rPr>
              <w:t>1.</w:t>
            </w:r>
            <w:r>
              <w:rPr>
                <w:rFonts w:hint="eastAsia"/>
                <w:color w:val="auto"/>
                <w:sz w:val="18"/>
                <w:szCs w:val="18"/>
                <w:highlight w:val="none"/>
              </w:rPr>
              <w:t>工作内容</w:t>
            </w:r>
          </w:p>
          <w:p w14:paraId="44D2A5CD">
            <w:pPr>
              <w:rPr>
                <w:color w:val="auto"/>
                <w:sz w:val="18"/>
                <w:szCs w:val="18"/>
                <w:highlight w:val="none"/>
              </w:rPr>
            </w:pP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）通报分级：基于通报分级分类机制，按风险等级划分通报优先级，按通报对象（信息中心业务部门、运维服务商、上云委办局、政务外网接入单位）明确通报范围，同步制定对应响应时限（如紧急通报</w:t>
            </w:r>
            <w:r>
              <w:rPr>
                <w:color w:val="auto"/>
                <w:sz w:val="18"/>
                <w:szCs w:val="18"/>
                <w:highlight w:val="none"/>
              </w:rPr>
              <w:t xml:space="preserve"> 24 </w:t>
            </w:r>
            <w:r>
              <w:rPr>
                <w:rFonts w:hint="eastAsia"/>
                <w:color w:val="auto"/>
                <w:sz w:val="18"/>
                <w:szCs w:val="18"/>
                <w:highlight w:val="none"/>
              </w:rPr>
              <w:t>小时内响应）。</w:t>
            </w:r>
          </w:p>
          <w:p w14:paraId="6FFB382C">
            <w:pPr>
              <w:rPr>
                <w:color w:val="auto"/>
                <w:sz w:val="18"/>
                <w:szCs w:val="18"/>
                <w:highlight w:val="none"/>
              </w:rPr>
            </w:pPr>
            <w:r>
              <w:rPr>
                <w:rFonts w:hint="eastAsia"/>
                <w:color w:val="auto"/>
                <w:sz w:val="18"/>
                <w:szCs w:val="18"/>
                <w:highlight w:val="none"/>
              </w:rPr>
              <w:t>（</w:t>
            </w:r>
            <w:r>
              <w:rPr>
                <w:color w:val="auto"/>
                <w:sz w:val="18"/>
                <w:szCs w:val="18"/>
                <w:highlight w:val="none"/>
              </w:rPr>
              <w:t>2</w:t>
            </w:r>
            <w:r>
              <w:rPr>
                <w:rFonts w:hint="eastAsia"/>
                <w:color w:val="auto"/>
                <w:sz w:val="18"/>
                <w:szCs w:val="18"/>
                <w:highlight w:val="none"/>
              </w:rPr>
              <w:t>）标准化模板：制定标准化通报模板，包括：安全事件描述（漏洞类型、攻击手法）、影响资产（</w:t>
            </w:r>
            <w:r>
              <w:rPr>
                <w:color w:val="auto"/>
                <w:sz w:val="18"/>
                <w:szCs w:val="18"/>
                <w:highlight w:val="none"/>
              </w:rPr>
              <w:t>IP</w:t>
            </w:r>
            <w:r>
              <w:rPr>
                <w:rFonts w:hint="eastAsia"/>
                <w:color w:val="auto"/>
                <w:sz w:val="18"/>
                <w:szCs w:val="18"/>
                <w:highlight w:val="none"/>
              </w:rPr>
              <w:t>、系统名称）、风险危害、整改要求。</w:t>
            </w:r>
          </w:p>
          <w:p w14:paraId="59B81929">
            <w:pPr>
              <w:rPr>
                <w:color w:val="auto"/>
                <w:sz w:val="18"/>
                <w:szCs w:val="18"/>
                <w:highlight w:val="none"/>
              </w:rPr>
            </w:pPr>
            <w:r>
              <w:rPr>
                <w:rFonts w:hint="eastAsia"/>
                <w:color w:val="auto"/>
                <w:sz w:val="18"/>
                <w:szCs w:val="18"/>
                <w:highlight w:val="none"/>
              </w:rPr>
              <w:t>（</w:t>
            </w:r>
            <w:r>
              <w:rPr>
                <w:color w:val="auto"/>
                <w:sz w:val="18"/>
                <w:szCs w:val="18"/>
                <w:highlight w:val="none"/>
              </w:rPr>
              <w:t>3</w:t>
            </w:r>
            <w:r>
              <w:rPr>
                <w:rFonts w:hint="eastAsia"/>
                <w:color w:val="auto"/>
                <w:sz w:val="18"/>
                <w:szCs w:val="18"/>
                <w:highlight w:val="none"/>
              </w:rPr>
              <w:t>）编制台账：梳理通报对象台账，包含单位名称、对接人、联系方式（邮件、电话、政务平台账号）、分管业务及资产范围，责任主体。建立整改跟踪台账，记录通报编号、风险详情、通报对象、整改时限、责任人、整改进度等信息。</w:t>
            </w:r>
          </w:p>
          <w:p w14:paraId="0E1B881C">
            <w:pPr>
              <w:rPr>
                <w:color w:val="auto"/>
                <w:sz w:val="18"/>
                <w:szCs w:val="18"/>
                <w:highlight w:val="none"/>
              </w:rPr>
            </w:pPr>
            <w:r>
              <w:rPr>
                <w:rFonts w:hint="eastAsia"/>
                <w:color w:val="auto"/>
                <w:sz w:val="18"/>
                <w:szCs w:val="18"/>
                <w:highlight w:val="none"/>
              </w:rPr>
              <w:t>（</w:t>
            </w:r>
            <w:r>
              <w:rPr>
                <w:color w:val="auto"/>
                <w:sz w:val="18"/>
                <w:szCs w:val="18"/>
                <w:highlight w:val="none"/>
              </w:rPr>
              <w:t>4</w:t>
            </w:r>
            <w:r>
              <w:rPr>
                <w:rFonts w:hint="eastAsia"/>
                <w:color w:val="auto"/>
                <w:sz w:val="18"/>
                <w:szCs w:val="18"/>
                <w:highlight w:val="none"/>
              </w:rPr>
              <w:t>）通报推送：建立多渠道通报推送机制，优先通过安全运营服务系统平台、加密邮件发送，紧急情况叠加短信或专项电话通知，同步记录推送时间、接收状态。</w:t>
            </w:r>
          </w:p>
          <w:p w14:paraId="767A0FD8">
            <w:pPr>
              <w:rPr>
                <w:color w:val="auto"/>
                <w:sz w:val="18"/>
                <w:szCs w:val="18"/>
                <w:highlight w:val="none"/>
              </w:rPr>
            </w:pPr>
            <w:r>
              <w:rPr>
                <w:rFonts w:hint="eastAsia"/>
                <w:color w:val="auto"/>
                <w:sz w:val="18"/>
                <w:szCs w:val="18"/>
                <w:highlight w:val="none"/>
              </w:rPr>
              <w:t>（</w:t>
            </w:r>
            <w:r>
              <w:rPr>
                <w:color w:val="auto"/>
                <w:sz w:val="18"/>
                <w:szCs w:val="18"/>
                <w:highlight w:val="none"/>
              </w:rPr>
              <w:t>5</w:t>
            </w:r>
            <w:r>
              <w:rPr>
                <w:rFonts w:hint="eastAsia"/>
                <w:color w:val="auto"/>
                <w:sz w:val="18"/>
                <w:szCs w:val="18"/>
                <w:highlight w:val="none"/>
              </w:rPr>
              <w:t>）通报反馈：收集整改反馈材料，包括整改措施说明、配置截图、日志记录等，核查材料完整性与合规性，对不符合要求的退回补充。</w:t>
            </w:r>
          </w:p>
          <w:p w14:paraId="313555E6">
            <w:pPr>
              <w:rPr>
                <w:color w:val="auto"/>
                <w:sz w:val="18"/>
                <w:szCs w:val="18"/>
                <w:highlight w:val="none"/>
              </w:rPr>
            </w:pPr>
            <w:r>
              <w:rPr>
                <w:rFonts w:hint="eastAsia"/>
                <w:color w:val="auto"/>
                <w:sz w:val="18"/>
                <w:szCs w:val="18"/>
                <w:highlight w:val="none"/>
              </w:rPr>
              <w:t>（</w:t>
            </w:r>
            <w:r>
              <w:rPr>
                <w:color w:val="auto"/>
                <w:sz w:val="18"/>
                <w:szCs w:val="18"/>
                <w:highlight w:val="none"/>
              </w:rPr>
              <w:t>6</w:t>
            </w:r>
            <w:r>
              <w:rPr>
                <w:rFonts w:hint="eastAsia"/>
                <w:color w:val="auto"/>
                <w:sz w:val="18"/>
                <w:szCs w:val="18"/>
                <w:highlight w:val="none"/>
              </w:rPr>
              <w:t>）通报沟通：建立过程沟通机制，开通专项咨询通道，解答整改过程中的技术疑问，协调跨单位、跨部门协同整改。</w:t>
            </w:r>
          </w:p>
          <w:p w14:paraId="13F1E236">
            <w:pPr>
              <w:rPr>
                <w:color w:val="auto"/>
                <w:sz w:val="18"/>
                <w:szCs w:val="18"/>
                <w:highlight w:val="none"/>
              </w:rPr>
            </w:pPr>
            <w:r>
              <w:rPr>
                <w:color w:val="auto"/>
                <w:sz w:val="18"/>
                <w:szCs w:val="18"/>
                <w:highlight w:val="none"/>
              </w:rPr>
              <w:t>2.</w:t>
            </w:r>
            <w:r>
              <w:rPr>
                <w:rFonts w:hint="eastAsia"/>
                <w:color w:val="auto"/>
                <w:sz w:val="18"/>
                <w:szCs w:val="18"/>
                <w:highlight w:val="none"/>
              </w:rPr>
              <w:t>工作范围</w:t>
            </w:r>
          </w:p>
          <w:p w14:paraId="08FE83AA">
            <w:pPr>
              <w:rPr>
                <w:color w:val="auto"/>
                <w:sz w:val="18"/>
                <w:szCs w:val="18"/>
                <w:highlight w:val="none"/>
              </w:rPr>
            </w:pPr>
            <w:r>
              <w:rPr>
                <w:rFonts w:hint="eastAsia"/>
                <w:color w:val="auto"/>
                <w:sz w:val="18"/>
                <w:szCs w:val="18"/>
                <w:highlight w:val="none"/>
              </w:rPr>
              <w:t>面向一体化安全运营中心提供服务，服务对象是区信息中心各业务部门、各运维服务商，上云委办局单位，政务外网接入单位。</w:t>
            </w:r>
          </w:p>
          <w:p w14:paraId="0A4C2FB6">
            <w:pPr>
              <w:rPr>
                <w:color w:val="auto"/>
                <w:sz w:val="18"/>
                <w:szCs w:val="18"/>
                <w:highlight w:val="none"/>
              </w:rPr>
            </w:pPr>
            <w:r>
              <w:rPr>
                <w:color w:val="auto"/>
                <w:sz w:val="18"/>
                <w:szCs w:val="18"/>
                <w:highlight w:val="none"/>
              </w:rPr>
              <w:t>3.</w:t>
            </w:r>
            <w:r>
              <w:rPr>
                <w:rFonts w:hint="eastAsia"/>
                <w:color w:val="auto"/>
                <w:sz w:val="18"/>
                <w:szCs w:val="18"/>
                <w:highlight w:val="none"/>
              </w:rPr>
              <w:t>工作频次</w:t>
            </w:r>
          </w:p>
          <w:p w14:paraId="7C1A0478">
            <w:pPr>
              <w:rPr>
                <w:color w:val="auto"/>
                <w:sz w:val="18"/>
                <w:szCs w:val="18"/>
                <w:highlight w:val="none"/>
              </w:rPr>
            </w:pPr>
            <w:r>
              <w:rPr>
                <w:rFonts w:hint="eastAsia"/>
                <w:color w:val="auto"/>
                <w:sz w:val="18"/>
                <w:szCs w:val="18"/>
                <w:highlight w:val="none"/>
              </w:rPr>
              <w:t>通过</w:t>
            </w:r>
            <w:r>
              <w:rPr>
                <w:color w:val="auto"/>
                <w:sz w:val="18"/>
                <w:szCs w:val="18"/>
                <w:highlight w:val="none"/>
              </w:rPr>
              <w:t>5</w:t>
            </w:r>
            <w:r>
              <w:rPr>
                <w:rFonts w:hint="eastAsia"/>
                <w:color w:val="auto"/>
                <w:sz w:val="18"/>
                <w:szCs w:val="18"/>
                <w:highlight w:val="none"/>
              </w:rPr>
              <w:t>×</w:t>
            </w:r>
            <w:r>
              <w:rPr>
                <w:color w:val="auto"/>
                <w:sz w:val="18"/>
                <w:szCs w:val="18"/>
                <w:highlight w:val="none"/>
              </w:rPr>
              <w:t>8</w:t>
            </w:r>
            <w:r>
              <w:rPr>
                <w:rFonts w:hint="eastAsia"/>
                <w:color w:val="auto"/>
                <w:sz w:val="18"/>
                <w:szCs w:val="18"/>
                <w:highlight w:val="none"/>
              </w:rPr>
              <w:t>小时驻场开展常态化运营。</w:t>
            </w:r>
          </w:p>
          <w:p w14:paraId="2A5770B4">
            <w:pPr>
              <w:rPr>
                <w:color w:val="auto"/>
                <w:sz w:val="18"/>
                <w:szCs w:val="18"/>
                <w:highlight w:val="none"/>
              </w:rPr>
            </w:pPr>
            <w:r>
              <w:rPr>
                <w:color w:val="auto"/>
                <w:sz w:val="18"/>
                <w:szCs w:val="18"/>
                <w:highlight w:val="none"/>
              </w:rPr>
              <w:t>4</w:t>
            </w:r>
            <w:r>
              <w:rPr>
                <w:rFonts w:hint="eastAsia"/>
                <w:color w:val="auto"/>
                <w:sz w:val="18"/>
                <w:szCs w:val="18"/>
                <w:highlight w:val="none"/>
              </w:rPr>
              <w:t>、工作交付物</w:t>
            </w:r>
          </w:p>
          <w:p w14:paraId="70F0D1CD">
            <w:pPr>
              <w:rPr>
                <w:color w:val="auto"/>
                <w:sz w:val="18"/>
                <w:szCs w:val="18"/>
                <w:highlight w:val="none"/>
              </w:rPr>
            </w:pPr>
            <w:r>
              <w:rPr>
                <w:rFonts w:hint="eastAsia"/>
                <w:color w:val="auto"/>
                <w:sz w:val="18"/>
                <w:szCs w:val="18"/>
                <w:highlight w:val="none"/>
              </w:rPr>
              <w:t>《网络和数据安全通报》、《网络和数据安全通报跟踪表》等。</w:t>
            </w:r>
          </w:p>
        </w:tc>
        <w:tc>
          <w:tcPr>
            <w:tcW w:w="145" w:type="pct"/>
            <w:tcBorders>
              <w:top w:val="nil"/>
              <w:left w:val="nil"/>
              <w:bottom w:val="single" w:color="auto" w:sz="4" w:space="0"/>
              <w:right w:val="single" w:color="auto" w:sz="4" w:space="0"/>
            </w:tcBorders>
            <w:noWrap/>
            <w:vAlign w:val="center"/>
          </w:tcPr>
          <w:p w14:paraId="57F411A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C70F86C">
            <w:pPr>
              <w:widowControl/>
              <w:jc w:val="center"/>
              <w:rPr>
                <w:rFonts w:hint="eastAsia" w:ascii="宋体" w:hAnsi="宋体" w:cs="宋体"/>
                <w:color w:val="auto"/>
                <w:kern w:val="0"/>
                <w:sz w:val="18"/>
                <w:szCs w:val="18"/>
                <w:highlight w:val="none"/>
              </w:rPr>
            </w:pPr>
          </w:p>
        </w:tc>
      </w:tr>
      <w:tr w14:paraId="4548BEB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A724D7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428" w:type="pct"/>
            <w:tcBorders>
              <w:top w:val="nil"/>
              <w:left w:val="nil"/>
              <w:bottom w:val="single" w:color="auto" w:sz="4" w:space="0"/>
              <w:right w:val="single" w:color="auto" w:sz="4" w:space="0"/>
            </w:tcBorders>
            <w:noWrap/>
            <w:vAlign w:val="center"/>
          </w:tcPr>
          <w:p w14:paraId="21F5C3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APT威胁分析服务</w:t>
            </w:r>
          </w:p>
        </w:tc>
        <w:tc>
          <w:tcPr>
            <w:tcW w:w="3798" w:type="pct"/>
            <w:gridSpan w:val="2"/>
            <w:tcBorders>
              <w:top w:val="nil"/>
              <w:left w:val="nil"/>
              <w:bottom w:val="single" w:color="auto" w:sz="4" w:space="0"/>
              <w:right w:val="single" w:color="auto" w:sz="4" w:space="0"/>
            </w:tcBorders>
            <w:vAlign w:val="center"/>
          </w:tcPr>
          <w:p w14:paraId="199D8D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利用各安全子平台，结合区域流量日志和威胁情报数据，发现潜在的 APT 组织活动行为，并以报告的形式告知客户，避免 APT组织渗入客户内网。每年提供不少于1 次 APT 威胁分析。</w:t>
            </w:r>
          </w:p>
          <w:p w14:paraId="37EA96AA">
            <w:pPr>
              <w:rPr>
                <w:color w:val="auto"/>
                <w:sz w:val="18"/>
                <w:szCs w:val="18"/>
                <w:highlight w:val="none"/>
              </w:rPr>
            </w:pPr>
            <w:r>
              <w:rPr>
                <w:color w:val="auto"/>
                <w:sz w:val="18"/>
                <w:szCs w:val="18"/>
                <w:highlight w:val="none"/>
              </w:rPr>
              <w:t>1.</w:t>
            </w:r>
            <w:r>
              <w:rPr>
                <w:rFonts w:hint="eastAsia"/>
                <w:color w:val="auto"/>
                <w:sz w:val="18"/>
                <w:szCs w:val="18"/>
                <w:highlight w:val="none"/>
              </w:rPr>
              <w:t>工作内容</w:t>
            </w:r>
          </w:p>
          <w:p w14:paraId="14187051">
            <w:pPr>
              <w:rPr>
                <w:color w:val="auto"/>
                <w:sz w:val="18"/>
                <w:szCs w:val="18"/>
                <w:highlight w:val="none"/>
              </w:rPr>
            </w:pPr>
            <w:r>
              <w:rPr>
                <w:color w:val="auto"/>
                <w:sz w:val="18"/>
                <w:szCs w:val="18"/>
                <w:highlight w:val="none"/>
              </w:rPr>
              <w:t>APT</w:t>
            </w:r>
            <w:r>
              <w:rPr>
                <w:rFonts w:hint="eastAsia"/>
                <w:color w:val="auto"/>
                <w:sz w:val="18"/>
                <w:szCs w:val="18"/>
                <w:highlight w:val="none"/>
              </w:rPr>
              <w:t>威胁分析从分析对象、分析事项、分析分类、攻击者信息等方面开展：</w:t>
            </w:r>
          </w:p>
          <w:p w14:paraId="3F3576E4">
            <w:pPr>
              <w:rPr>
                <w:color w:val="auto"/>
                <w:sz w:val="18"/>
                <w:szCs w:val="18"/>
                <w:highlight w:val="none"/>
              </w:rPr>
            </w:pPr>
            <w:r>
              <w:rPr>
                <w:rFonts w:hint="eastAsia"/>
                <w:color w:val="auto"/>
                <w:sz w:val="18"/>
                <w:szCs w:val="18"/>
                <w:highlight w:val="none"/>
              </w:rPr>
              <w:t>（</w:t>
            </w:r>
            <w:r>
              <w:rPr>
                <w:color w:val="auto"/>
                <w:sz w:val="18"/>
                <w:szCs w:val="18"/>
                <w:highlight w:val="none"/>
              </w:rPr>
              <w:t>1</w:t>
            </w:r>
            <w:r>
              <w:rPr>
                <w:rFonts w:hint="eastAsia"/>
                <w:color w:val="auto"/>
                <w:sz w:val="18"/>
                <w:szCs w:val="18"/>
                <w:highlight w:val="none"/>
              </w:rPr>
              <w:t>）</w:t>
            </w:r>
            <w:r>
              <w:rPr>
                <w:color w:val="auto"/>
                <w:sz w:val="18"/>
                <w:szCs w:val="18"/>
                <w:highlight w:val="none"/>
              </w:rPr>
              <w:t>APT</w:t>
            </w:r>
            <w:r>
              <w:rPr>
                <w:rFonts w:hint="eastAsia"/>
                <w:color w:val="auto"/>
                <w:sz w:val="18"/>
                <w:szCs w:val="18"/>
                <w:highlight w:val="none"/>
              </w:rPr>
              <w:t>威胁分析对象</w:t>
            </w:r>
          </w:p>
          <w:p w14:paraId="26D87110">
            <w:pPr>
              <w:rPr>
                <w:color w:val="auto"/>
                <w:sz w:val="18"/>
                <w:szCs w:val="18"/>
                <w:highlight w:val="none"/>
              </w:rPr>
            </w:pPr>
            <w:r>
              <w:rPr>
                <w:color w:val="auto"/>
                <w:sz w:val="18"/>
                <w:szCs w:val="18"/>
                <w:highlight w:val="none"/>
              </w:rPr>
              <w:t>a.</w:t>
            </w:r>
            <w:r>
              <w:rPr>
                <w:rFonts w:hint="eastAsia"/>
                <w:color w:val="auto"/>
                <w:sz w:val="18"/>
                <w:szCs w:val="18"/>
                <w:highlight w:val="none"/>
              </w:rPr>
              <w:t>外部</w:t>
            </w:r>
            <w:r>
              <w:rPr>
                <w:color w:val="auto"/>
                <w:sz w:val="18"/>
                <w:szCs w:val="18"/>
                <w:highlight w:val="none"/>
              </w:rPr>
              <w:t>WAF</w:t>
            </w:r>
            <w:r>
              <w:rPr>
                <w:rFonts w:hint="eastAsia"/>
                <w:color w:val="auto"/>
                <w:sz w:val="18"/>
                <w:szCs w:val="18"/>
                <w:highlight w:val="none"/>
              </w:rPr>
              <w:t>、防火墙、</w:t>
            </w:r>
            <w:r>
              <w:rPr>
                <w:color w:val="auto"/>
                <w:sz w:val="18"/>
                <w:szCs w:val="18"/>
                <w:highlight w:val="none"/>
              </w:rPr>
              <w:t>IPS</w:t>
            </w:r>
            <w:r>
              <w:rPr>
                <w:rFonts w:hint="eastAsia"/>
                <w:color w:val="auto"/>
                <w:sz w:val="18"/>
                <w:szCs w:val="18"/>
                <w:highlight w:val="none"/>
              </w:rPr>
              <w:t>及流量分析告警</w:t>
            </w:r>
          </w:p>
          <w:p w14:paraId="0F971D62">
            <w:pPr>
              <w:rPr>
                <w:color w:val="auto"/>
                <w:sz w:val="18"/>
                <w:szCs w:val="18"/>
                <w:highlight w:val="none"/>
              </w:rPr>
            </w:pPr>
            <w:r>
              <w:rPr>
                <w:color w:val="auto"/>
                <w:sz w:val="18"/>
                <w:szCs w:val="18"/>
                <w:highlight w:val="none"/>
              </w:rPr>
              <w:t>b.</w:t>
            </w:r>
            <w:r>
              <w:rPr>
                <w:rFonts w:hint="eastAsia"/>
                <w:color w:val="auto"/>
                <w:sz w:val="18"/>
                <w:szCs w:val="18"/>
                <w:highlight w:val="none"/>
              </w:rPr>
              <w:t>态势感知系统、数据安全态势感知系统、主机行为告警、蜜罐告警、其他安全流量日志告警等。</w:t>
            </w:r>
          </w:p>
          <w:p w14:paraId="1899281B">
            <w:pPr>
              <w:rPr>
                <w:color w:val="auto"/>
                <w:sz w:val="18"/>
                <w:szCs w:val="18"/>
                <w:highlight w:val="none"/>
              </w:rPr>
            </w:pPr>
            <w:r>
              <w:rPr>
                <w:rFonts w:hint="eastAsia"/>
                <w:color w:val="auto"/>
                <w:sz w:val="18"/>
                <w:szCs w:val="18"/>
                <w:highlight w:val="none"/>
              </w:rPr>
              <w:t>（</w:t>
            </w:r>
            <w:r>
              <w:rPr>
                <w:color w:val="auto"/>
                <w:sz w:val="18"/>
                <w:szCs w:val="18"/>
                <w:highlight w:val="none"/>
              </w:rPr>
              <w:t>2</w:t>
            </w:r>
            <w:r>
              <w:rPr>
                <w:rFonts w:hint="eastAsia"/>
                <w:color w:val="auto"/>
                <w:sz w:val="18"/>
                <w:szCs w:val="18"/>
                <w:highlight w:val="none"/>
              </w:rPr>
              <w:t>）重点分析事项</w:t>
            </w:r>
          </w:p>
          <w:p w14:paraId="40545848">
            <w:pPr>
              <w:rPr>
                <w:color w:val="auto"/>
                <w:sz w:val="18"/>
                <w:szCs w:val="18"/>
                <w:highlight w:val="none"/>
              </w:rPr>
            </w:pPr>
            <w:r>
              <w:rPr>
                <w:color w:val="auto"/>
                <w:sz w:val="18"/>
                <w:szCs w:val="18"/>
                <w:highlight w:val="none"/>
              </w:rPr>
              <w:t>a.</w:t>
            </w:r>
            <w:r>
              <w:rPr>
                <w:rFonts w:hint="eastAsia"/>
                <w:color w:val="auto"/>
                <w:sz w:val="18"/>
                <w:szCs w:val="18"/>
                <w:highlight w:val="none"/>
              </w:rPr>
              <w:t>命令执行</w:t>
            </w:r>
          </w:p>
          <w:p w14:paraId="15A68028">
            <w:pPr>
              <w:rPr>
                <w:color w:val="auto"/>
                <w:sz w:val="18"/>
                <w:szCs w:val="18"/>
                <w:highlight w:val="none"/>
              </w:rPr>
            </w:pPr>
            <w:r>
              <w:rPr>
                <w:color w:val="auto"/>
                <w:sz w:val="18"/>
                <w:szCs w:val="18"/>
                <w:highlight w:val="none"/>
              </w:rPr>
              <w:t>b.</w:t>
            </w:r>
            <w:r>
              <w:rPr>
                <w:rFonts w:hint="eastAsia"/>
                <w:color w:val="auto"/>
                <w:sz w:val="18"/>
                <w:szCs w:val="18"/>
                <w:highlight w:val="none"/>
              </w:rPr>
              <w:t>文件上传</w:t>
            </w:r>
          </w:p>
          <w:p w14:paraId="47F21E0C">
            <w:pPr>
              <w:rPr>
                <w:color w:val="auto"/>
                <w:sz w:val="18"/>
                <w:szCs w:val="18"/>
                <w:highlight w:val="none"/>
              </w:rPr>
            </w:pPr>
            <w:r>
              <w:rPr>
                <w:color w:val="auto"/>
                <w:sz w:val="18"/>
                <w:szCs w:val="18"/>
                <w:highlight w:val="none"/>
              </w:rPr>
              <w:t>c.</w:t>
            </w:r>
            <w:r>
              <w:rPr>
                <w:rFonts w:hint="eastAsia"/>
                <w:color w:val="auto"/>
                <w:sz w:val="18"/>
                <w:szCs w:val="18"/>
                <w:highlight w:val="none"/>
              </w:rPr>
              <w:t>加密编码的攻击行为</w:t>
            </w:r>
          </w:p>
          <w:p w14:paraId="15970190">
            <w:pPr>
              <w:rPr>
                <w:color w:val="auto"/>
                <w:sz w:val="18"/>
                <w:szCs w:val="18"/>
                <w:highlight w:val="none"/>
              </w:rPr>
            </w:pPr>
            <w:r>
              <w:rPr>
                <w:color w:val="auto"/>
                <w:sz w:val="18"/>
                <w:szCs w:val="18"/>
                <w:highlight w:val="none"/>
              </w:rPr>
              <w:t>d.</w:t>
            </w:r>
            <w:r>
              <w:rPr>
                <w:rFonts w:hint="eastAsia"/>
                <w:color w:val="auto"/>
                <w:sz w:val="18"/>
                <w:szCs w:val="18"/>
                <w:highlight w:val="none"/>
              </w:rPr>
              <w:t>外部加载的攻击行为</w:t>
            </w:r>
          </w:p>
          <w:p w14:paraId="14A864D7">
            <w:pPr>
              <w:rPr>
                <w:color w:val="auto"/>
                <w:sz w:val="18"/>
                <w:szCs w:val="18"/>
                <w:highlight w:val="none"/>
              </w:rPr>
            </w:pPr>
            <w:r>
              <w:rPr>
                <w:color w:val="auto"/>
                <w:sz w:val="18"/>
                <w:szCs w:val="18"/>
                <w:highlight w:val="none"/>
              </w:rPr>
              <w:t>e.</w:t>
            </w:r>
            <w:r>
              <w:rPr>
                <w:rFonts w:hint="eastAsia"/>
                <w:color w:val="auto"/>
                <w:sz w:val="18"/>
                <w:szCs w:val="18"/>
                <w:highlight w:val="none"/>
              </w:rPr>
              <w:t>隐藏进程和后门</w:t>
            </w:r>
          </w:p>
          <w:p w14:paraId="41B471FB">
            <w:pPr>
              <w:rPr>
                <w:color w:val="auto"/>
                <w:sz w:val="18"/>
                <w:szCs w:val="18"/>
                <w:highlight w:val="none"/>
              </w:rPr>
            </w:pPr>
            <w:r>
              <w:rPr>
                <w:color w:val="auto"/>
                <w:sz w:val="18"/>
                <w:szCs w:val="18"/>
                <w:highlight w:val="none"/>
              </w:rPr>
              <w:t>f.</w:t>
            </w:r>
            <w:r>
              <w:rPr>
                <w:rFonts w:hint="eastAsia"/>
                <w:color w:val="auto"/>
                <w:sz w:val="18"/>
                <w:szCs w:val="18"/>
                <w:highlight w:val="none"/>
              </w:rPr>
              <w:t>信息收集行为</w:t>
            </w:r>
          </w:p>
          <w:p w14:paraId="17F308B2">
            <w:pPr>
              <w:rPr>
                <w:color w:val="auto"/>
                <w:sz w:val="18"/>
                <w:szCs w:val="18"/>
                <w:highlight w:val="none"/>
              </w:rPr>
            </w:pPr>
            <w:r>
              <w:rPr>
                <w:color w:val="auto"/>
                <w:sz w:val="18"/>
                <w:szCs w:val="18"/>
                <w:highlight w:val="none"/>
              </w:rPr>
              <w:t>g.</w:t>
            </w:r>
            <w:r>
              <w:rPr>
                <w:rFonts w:hint="eastAsia"/>
                <w:color w:val="auto"/>
                <w:sz w:val="18"/>
                <w:szCs w:val="18"/>
                <w:highlight w:val="none"/>
              </w:rPr>
              <w:t>隧道代理</w:t>
            </w:r>
          </w:p>
          <w:p w14:paraId="5755AF93">
            <w:pPr>
              <w:rPr>
                <w:color w:val="auto"/>
                <w:sz w:val="18"/>
                <w:szCs w:val="18"/>
                <w:highlight w:val="none"/>
              </w:rPr>
            </w:pPr>
            <w:r>
              <w:rPr>
                <w:color w:val="auto"/>
                <w:sz w:val="18"/>
                <w:szCs w:val="18"/>
                <w:highlight w:val="none"/>
              </w:rPr>
              <w:t>h.</w:t>
            </w:r>
            <w:r>
              <w:rPr>
                <w:rFonts w:hint="eastAsia"/>
                <w:color w:val="auto"/>
                <w:sz w:val="18"/>
                <w:szCs w:val="18"/>
                <w:highlight w:val="none"/>
              </w:rPr>
              <w:t>日志记录的清除与伪造等</w:t>
            </w:r>
          </w:p>
          <w:p w14:paraId="2A3F7A70">
            <w:pPr>
              <w:rPr>
                <w:color w:val="auto"/>
                <w:sz w:val="18"/>
                <w:szCs w:val="18"/>
                <w:highlight w:val="none"/>
              </w:rPr>
            </w:pPr>
            <w:r>
              <w:rPr>
                <w:rFonts w:hint="eastAsia"/>
                <w:color w:val="auto"/>
                <w:sz w:val="18"/>
                <w:szCs w:val="18"/>
                <w:highlight w:val="none"/>
              </w:rPr>
              <w:t>（</w:t>
            </w:r>
            <w:r>
              <w:rPr>
                <w:color w:val="auto"/>
                <w:sz w:val="18"/>
                <w:szCs w:val="18"/>
                <w:highlight w:val="none"/>
              </w:rPr>
              <w:t>3</w:t>
            </w:r>
            <w:r>
              <w:rPr>
                <w:rFonts w:hint="eastAsia"/>
                <w:color w:val="auto"/>
                <w:sz w:val="18"/>
                <w:szCs w:val="18"/>
                <w:highlight w:val="none"/>
              </w:rPr>
              <w:t>）分析分类</w:t>
            </w:r>
          </w:p>
          <w:p w14:paraId="2B4218D7">
            <w:pPr>
              <w:rPr>
                <w:color w:val="auto"/>
                <w:sz w:val="18"/>
                <w:szCs w:val="18"/>
                <w:highlight w:val="none"/>
              </w:rPr>
            </w:pPr>
            <w:r>
              <w:rPr>
                <w:color w:val="auto"/>
                <w:sz w:val="18"/>
                <w:szCs w:val="18"/>
                <w:highlight w:val="none"/>
              </w:rPr>
              <w:t>a.</w:t>
            </w:r>
            <w:r>
              <w:rPr>
                <w:rFonts w:hint="eastAsia"/>
                <w:color w:val="auto"/>
                <w:sz w:val="18"/>
                <w:szCs w:val="18"/>
                <w:highlight w:val="none"/>
              </w:rPr>
              <w:t>主动发现类：通过态势感知系统、数据安全态势感知系统、主机行为告警、蜜罐告警、</w:t>
            </w:r>
            <w:r>
              <w:rPr>
                <w:color w:val="auto"/>
                <w:sz w:val="18"/>
                <w:szCs w:val="18"/>
                <w:highlight w:val="none"/>
              </w:rPr>
              <w:t>WAF</w:t>
            </w:r>
            <w:r>
              <w:rPr>
                <w:rFonts w:hint="eastAsia"/>
                <w:color w:val="auto"/>
                <w:sz w:val="18"/>
                <w:szCs w:val="18"/>
                <w:highlight w:val="none"/>
              </w:rPr>
              <w:t>、防火墙、</w:t>
            </w:r>
            <w:r>
              <w:rPr>
                <w:color w:val="auto"/>
                <w:sz w:val="18"/>
                <w:szCs w:val="18"/>
                <w:highlight w:val="none"/>
              </w:rPr>
              <w:t>IPS</w:t>
            </w:r>
            <w:r>
              <w:rPr>
                <w:rFonts w:hint="eastAsia"/>
                <w:color w:val="auto"/>
                <w:sz w:val="18"/>
                <w:szCs w:val="18"/>
                <w:highlight w:val="none"/>
              </w:rPr>
              <w:t>等安全设备告警；</w:t>
            </w:r>
          </w:p>
          <w:p w14:paraId="3A515FD9">
            <w:pPr>
              <w:rPr>
                <w:color w:val="auto"/>
                <w:sz w:val="18"/>
                <w:szCs w:val="18"/>
                <w:highlight w:val="none"/>
              </w:rPr>
            </w:pPr>
            <w:r>
              <w:rPr>
                <w:color w:val="auto"/>
                <w:sz w:val="18"/>
                <w:szCs w:val="18"/>
                <w:highlight w:val="none"/>
              </w:rPr>
              <w:t>b.</w:t>
            </w:r>
            <w:r>
              <w:rPr>
                <w:rFonts w:hint="eastAsia"/>
                <w:color w:val="auto"/>
                <w:sz w:val="18"/>
                <w:szCs w:val="18"/>
                <w:highlight w:val="none"/>
              </w:rPr>
              <w:t>被动发现类：用户反馈、钓鱼邮件、外部通报等。</w:t>
            </w:r>
          </w:p>
          <w:p w14:paraId="2BD1D92D">
            <w:pPr>
              <w:rPr>
                <w:color w:val="auto"/>
                <w:sz w:val="18"/>
                <w:szCs w:val="18"/>
                <w:highlight w:val="none"/>
              </w:rPr>
            </w:pPr>
            <w:r>
              <w:rPr>
                <w:rFonts w:hint="eastAsia"/>
                <w:color w:val="auto"/>
                <w:sz w:val="18"/>
                <w:szCs w:val="18"/>
                <w:highlight w:val="none"/>
              </w:rPr>
              <w:t>（</w:t>
            </w:r>
            <w:r>
              <w:rPr>
                <w:color w:val="auto"/>
                <w:sz w:val="18"/>
                <w:szCs w:val="18"/>
                <w:highlight w:val="none"/>
              </w:rPr>
              <w:t>4</w:t>
            </w:r>
            <w:r>
              <w:rPr>
                <w:rFonts w:hint="eastAsia"/>
                <w:color w:val="auto"/>
                <w:sz w:val="18"/>
                <w:szCs w:val="18"/>
                <w:highlight w:val="none"/>
              </w:rPr>
              <w:t>）攻击者信息分析</w:t>
            </w:r>
          </w:p>
          <w:p w14:paraId="55EEC642">
            <w:pPr>
              <w:rPr>
                <w:color w:val="auto"/>
                <w:sz w:val="18"/>
                <w:szCs w:val="18"/>
                <w:highlight w:val="none"/>
              </w:rPr>
            </w:pPr>
            <w:r>
              <w:rPr>
                <w:color w:val="auto"/>
                <w:sz w:val="18"/>
                <w:szCs w:val="18"/>
                <w:highlight w:val="none"/>
              </w:rPr>
              <w:t>a.IP</w:t>
            </w:r>
            <w:r>
              <w:rPr>
                <w:rFonts w:hint="eastAsia"/>
                <w:color w:val="auto"/>
                <w:sz w:val="18"/>
                <w:szCs w:val="18"/>
                <w:highlight w:val="none"/>
              </w:rPr>
              <w:t>、域名注册信息反查获取关键信息：通过</w:t>
            </w:r>
            <w:r>
              <w:rPr>
                <w:color w:val="auto"/>
                <w:sz w:val="18"/>
                <w:szCs w:val="18"/>
                <w:highlight w:val="none"/>
              </w:rPr>
              <w:t>whois</w:t>
            </w:r>
            <w:r>
              <w:rPr>
                <w:rFonts w:hint="eastAsia"/>
                <w:color w:val="auto"/>
                <w:sz w:val="18"/>
                <w:szCs w:val="18"/>
                <w:highlight w:val="none"/>
              </w:rPr>
              <w:t>反查同域名、域名注册信息，</w:t>
            </w:r>
            <w:r>
              <w:rPr>
                <w:color w:val="auto"/>
                <w:sz w:val="18"/>
                <w:szCs w:val="18"/>
                <w:highlight w:val="none"/>
              </w:rPr>
              <w:t>IP</w:t>
            </w:r>
            <w:r>
              <w:rPr>
                <w:rFonts w:hint="eastAsia"/>
                <w:color w:val="auto"/>
                <w:sz w:val="18"/>
                <w:szCs w:val="18"/>
                <w:highlight w:val="none"/>
              </w:rPr>
              <w:t>、域名注册信息有效信息筛选，直接访问域名收集信息或者提取域名中的关键字作为搜索词汇。</w:t>
            </w:r>
          </w:p>
          <w:p w14:paraId="4FFF90F7">
            <w:pPr>
              <w:rPr>
                <w:color w:val="auto"/>
                <w:sz w:val="18"/>
                <w:szCs w:val="18"/>
                <w:highlight w:val="none"/>
              </w:rPr>
            </w:pPr>
            <w:r>
              <w:rPr>
                <w:color w:val="auto"/>
                <w:sz w:val="18"/>
                <w:szCs w:val="18"/>
                <w:highlight w:val="none"/>
              </w:rPr>
              <w:t>b.</w:t>
            </w:r>
            <w:r>
              <w:rPr>
                <w:rFonts w:hint="eastAsia"/>
                <w:color w:val="auto"/>
                <w:sz w:val="18"/>
                <w:szCs w:val="18"/>
                <w:highlight w:val="none"/>
              </w:rPr>
              <w:t>分析攻击者服务器恶意文件内容，提取关键信息：提取一些</w:t>
            </w:r>
            <w:r>
              <w:rPr>
                <w:color w:val="auto"/>
                <w:sz w:val="18"/>
                <w:szCs w:val="18"/>
                <w:highlight w:val="none"/>
              </w:rPr>
              <w:t>url</w:t>
            </w:r>
            <w:r>
              <w:rPr>
                <w:rFonts w:hint="eastAsia"/>
                <w:color w:val="auto"/>
                <w:sz w:val="18"/>
                <w:szCs w:val="18"/>
                <w:highlight w:val="none"/>
              </w:rPr>
              <w:t>中的关键字段，分析攻击者服务器恶意文件内容，提取关键信息；</w:t>
            </w:r>
          </w:p>
          <w:p w14:paraId="0D76142B">
            <w:pPr>
              <w:rPr>
                <w:color w:val="auto"/>
                <w:sz w:val="18"/>
                <w:szCs w:val="18"/>
                <w:highlight w:val="none"/>
              </w:rPr>
            </w:pPr>
            <w:r>
              <w:rPr>
                <w:color w:val="auto"/>
                <w:sz w:val="18"/>
                <w:szCs w:val="18"/>
                <w:highlight w:val="none"/>
              </w:rPr>
              <w:t>c.</w:t>
            </w:r>
            <w:r>
              <w:rPr>
                <w:rFonts w:hint="eastAsia"/>
                <w:color w:val="auto"/>
                <w:sz w:val="18"/>
                <w:szCs w:val="18"/>
                <w:highlight w:val="none"/>
              </w:rPr>
              <w:t>搜索引擎搜索</w:t>
            </w:r>
            <w:r>
              <w:rPr>
                <w:color w:val="auto"/>
                <w:sz w:val="18"/>
                <w:szCs w:val="18"/>
                <w:highlight w:val="none"/>
              </w:rPr>
              <w:t>IP</w:t>
            </w:r>
            <w:r>
              <w:rPr>
                <w:rFonts w:hint="eastAsia"/>
                <w:color w:val="auto"/>
                <w:sz w:val="18"/>
                <w:szCs w:val="18"/>
                <w:highlight w:val="none"/>
              </w:rPr>
              <w:t>地址、域名、关键词获取互联网侧信息：通过谷歌、百度搜索互联网侧相关的公开信息，通过</w:t>
            </w:r>
            <w:r>
              <w:rPr>
                <w:color w:val="auto"/>
                <w:sz w:val="18"/>
                <w:szCs w:val="18"/>
                <w:highlight w:val="none"/>
              </w:rPr>
              <w:t>fofa</w:t>
            </w:r>
            <w:r>
              <w:rPr>
                <w:rFonts w:hint="eastAsia"/>
                <w:color w:val="auto"/>
                <w:sz w:val="18"/>
                <w:szCs w:val="18"/>
                <w:highlight w:val="none"/>
              </w:rPr>
              <w:t>搜索发现更多</w:t>
            </w:r>
            <w:r>
              <w:rPr>
                <w:color w:val="auto"/>
                <w:sz w:val="18"/>
                <w:szCs w:val="18"/>
                <w:highlight w:val="none"/>
              </w:rPr>
              <w:t>IP</w:t>
            </w:r>
            <w:r>
              <w:rPr>
                <w:rFonts w:hint="eastAsia"/>
                <w:color w:val="auto"/>
                <w:sz w:val="18"/>
                <w:szCs w:val="18"/>
                <w:highlight w:val="none"/>
              </w:rPr>
              <w:t>、域名等关联信息，通过</w:t>
            </w:r>
            <w:r>
              <w:rPr>
                <w:color w:val="auto"/>
                <w:sz w:val="18"/>
                <w:szCs w:val="18"/>
                <w:highlight w:val="none"/>
              </w:rPr>
              <w:t>shodan</w:t>
            </w:r>
            <w:r>
              <w:rPr>
                <w:rFonts w:hint="eastAsia"/>
                <w:color w:val="auto"/>
                <w:sz w:val="18"/>
                <w:szCs w:val="18"/>
                <w:highlight w:val="none"/>
              </w:rPr>
              <w:t>搜索攻击者</w:t>
            </w:r>
            <w:r>
              <w:rPr>
                <w:color w:val="auto"/>
                <w:sz w:val="18"/>
                <w:szCs w:val="18"/>
                <w:highlight w:val="none"/>
              </w:rPr>
              <w:t>IP</w:t>
            </w:r>
            <w:r>
              <w:rPr>
                <w:rFonts w:hint="eastAsia"/>
                <w:color w:val="auto"/>
                <w:sz w:val="18"/>
                <w:szCs w:val="18"/>
                <w:highlight w:val="none"/>
              </w:rPr>
              <w:t>的端口、服务信息，可用于后续分析；</w:t>
            </w:r>
          </w:p>
          <w:p w14:paraId="413C4795">
            <w:pPr>
              <w:rPr>
                <w:color w:val="auto"/>
                <w:sz w:val="18"/>
                <w:szCs w:val="18"/>
                <w:highlight w:val="none"/>
              </w:rPr>
            </w:pPr>
            <w:r>
              <w:rPr>
                <w:color w:val="auto"/>
                <w:sz w:val="18"/>
                <w:szCs w:val="18"/>
                <w:highlight w:val="none"/>
              </w:rPr>
              <w:t>d.</w:t>
            </w:r>
            <w:r>
              <w:rPr>
                <w:rFonts w:hint="eastAsia"/>
                <w:color w:val="auto"/>
                <w:sz w:val="18"/>
                <w:szCs w:val="18"/>
                <w:highlight w:val="none"/>
              </w:rPr>
              <w:t>手机号反查：查询手机号归属地，搜索引擎搜索手机号，获取互联网侧信息，常用软件关联查询，</w:t>
            </w:r>
          </w:p>
          <w:p w14:paraId="33ACE75C">
            <w:pPr>
              <w:rPr>
                <w:color w:val="auto"/>
                <w:sz w:val="18"/>
                <w:szCs w:val="18"/>
                <w:highlight w:val="none"/>
              </w:rPr>
            </w:pPr>
            <w:r>
              <w:rPr>
                <w:color w:val="auto"/>
                <w:sz w:val="18"/>
                <w:szCs w:val="18"/>
                <w:highlight w:val="none"/>
              </w:rPr>
              <w:t>e.</w:t>
            </w:r>
            <w:r>
              <w:rPr>
                <w:rFonts w:hint="eastAsia"/>
                <w:color w:val="auto"/>
                <w:sz w:val="18"/>
                <w:szCs w:val="18"/>
                <w:highlight w:val="none"/>
              </w:rPr>
              <w:t>邮箱反查：反查除已知攻击者域名的其他注册域名；</w:t>
            </w:r>
          </w:p>
          <w:p w14:paraId="4551F2D4">
            <w:pPr>
              <w:rPr>
                <w:color w:val="auto"/>
                <w:sz w:val="18"/>
                <w:szCs w:val="18"/>
                <w:highlight w:val="none"/>
              </w:rPr>
            </w:pPr>
            <w:r>
              <w:rPr>
                <w:color w:val="auto"/>
                <w:sz w:val="18"/>
                <w:szCs w:val="18"/>
                <w:highlight w:val="none"/>
              </w:rPr>
              <w:t>f.</w:t>
            </w:r>
            <w:r>
              <w:rPr>
                <w:rFonts w:hint="eastAsia"/>
                <w:color w:val="auto"/>
                <w:sz w:val="18"/>
                <w:szCs w:val="18"/>
                <w:highlight w:val="none"/>
              </w:rPr>
              <w:t>邮箱反查：通过获取的常用信息等查询</w:t>
            </w:r>
            <w:r>
              <w:rPr>
                <w:color w:val="auto"/>
                <w:sz w:val="18"/>
                <w:szCs w:val="18"/>
                <w:highlight w:val="none"/>
              </w:rPr>
              <w:t>QQ</w:t>
            </w:r>
            <w:r>
              <w:rPr>
                <w:rFonts w:hint="eastAsia"/>
                <w:color w:val="auto"/>
                <w:sz w:val="18"/>
                <w:szCs w:val="18"/>
                <w:highlight w:val="none"/>
              </w:rPr>
              <w:t>、微信、手机号，通过猜测的常用</w:t>
            </w:r>
            <w:r>
              <w:rPr>
                <w:color w:val="auto"/>
                <w:sz w:val="18"/>
                <w:szCs w:val="18"/>
                <w:highlight w:val="none"/>
              </w:rPr>
              <w:t>ID</w:t>
            </w:r>
            <w:r>
              <w:rPr>
                <w:rFonts w:hint="eastAsia"/>
                <w:color w:val="auto"/>
                <w:sz w:val="18"/>
                <w:szCs w:val="18"/>
                <w:highlight w:val="none"/>
              </w:rPr>
              <w:t>作为关键词检索社交账号信息。</w:t>
            </w:r>
          </w:p>
          <w:p w14:paraId="42474EEF">
            <w:pPr>
              <w:rPr>
                <w:color w:val="auto"/>
                <w:sz w:val="18"/>
                <w:szCs w:val="18"/>
                <w:highlight w:val="none"/>
              </w:rPr>
            </w:pPr>
            <w:r>
              <w:rPr>
                <w:color w:val="auto"/>
                <w:sz w:val="18"/>
                <w:szCs w:val="18"/>
                <w:highlight w:val="none"/>
              </w:rPr>
              <w:t>g.</w:t>
            </w:r>
            <w:r>
              <w:rPr>
                <w:rFonts w:hint="eastAsia"/>
                <w:color w:val="auto"/>
                <w:sz w:val="18"/>
                <w:szCs w:val="18"/>
                <w:highlight w:val="none"/>
              </w:rPr>
              <w:t>反向渗透攻击者服务器，获取有价值信息。</w:t>
            </w:r>
          </w:p>
          <w:p w14:paraId="5CE5D100">
            <w:pPr>
              <w:rPr>
                <w:color w:val="auto"/>
                <w:sz w:val="18"/>
                <w:szCs w:val="18"/>
                <w:highlight w:val="none"/>
              </w:rPr>
            </w:pPr>
            <w:r>
              <w:rPr>
                <w:color w:val="auto"/>
                <w:sz w:val="18"/>
                <w:szCs w:val="18"/>
                <w:highlight w:val="none"/>
              </w:rPr>
              <w:t>2.</w:t>
            </w:r>
            <w:r>
              <w:rPr>
                <w:rFonts w:hint="eastAsia"/>
                <w:color w:val="auto"/>
                <w:sz w:val="18"/>
                <w:szCs w:val="18"/>
                <w:highlight w:val="none"/>
              </w:rPr>
              <w:t>工作范围</w:t>
            </w:r>
          </w:p>
          <w:p w14:paraId="7277DD44">
            <w:pPr>
              <w:rPr>
                <w:color w:val="auto"/>
                <w:sz w:val="18"/>
                <w:szCs w:val="18"/>
                <w:highlight w:val="none"/>
              </w:rPr>
            </w:pPr>
            <w:r>
              <w:rPr>
                <w:rFonts w:hint="eastAsia"/>
                <w:color w:val="auto"/>
                <w:sz w:val="18"/>
                <w:szCs w:val="18"/>
                <w:highlight w:val="none"/>
              </w:rPr>
              <w:t>面向自治区信息中心电子政务外网资产、政务云运行资产（浪潮云、信创云、专用业务云）业务资产、主机及相应数据库、中间件等。</w:t>
            </w:r>
          </w:p>
          <w:p w14:paraId="6CD5D578">
            <w:pPr>
              <w:rPr>
                <w:color w:val="auto"/>
                <w:sz w:val="18"/>
                <w:szCs w:val="18"/>
                <w:highlight w:val="none"/>
              </w:rPr>
            </w:pPr>
            <w:r>
              <w:rPr>
                <w:color w:val="auto"/>
                <w:sz w:val="18"/>
                <w:szCs w:val="18"/>
                <w:highlight w:val="none"/>
              </w:rPr>
              <w:t>3.</w:t>
            </w:r>
            <w:r>
              <w:rPr>
                <w:rFonts w:hint="eastAsia"/>
                <w:color w:val="auto"/>
                <w:sz w:val="18"/>
                <w:szCs w:val="18"/>
                <w:highlight w:val="none"/>
              </w:rPr>
              <w:t>工作频次</w:t>
            </w:r>
          </w:p>
          <w:p w14:paraId="7BAD208E">
            <w:pPr>
              <w:rPr>
                <w:color w:val="auto"/>
                <w:sz w:val="18"/>
                <w:szCs w:val="18"/>
                <w:highlight w:val="none"/>
              </w:rPr>
            </w:pPr>
            <w:r>
              <w:rPr>
                <w:rFonts w:hint="eastAsia"/>
                <w:color w:val="auto"/>
                <w:sz w:val="18"/>
                <w:szCs w:val="18"/>
                <w:highlight w:val="none"/>
              </w:rPr>
              <w:t>每年提供</w:t>
            </w:r>
            <w:r>
              <w:rPr>
                <w:color w:val="auto"/>
                <w:sz w:val="18"/>
                <w:szCs w:val="18"/>
                <w:highlight w:val="none"/>
              </w:rPr>
              <w:t>1</w:t>
            </w:r>
            <w:r>
              <w:rPr>
                <w:rFonts w:hint="eastAsia"/>
                <w:color w:val="auto"/>
                <w:sz w:val="18"/>
                <w:szCs w:val="18"/>
                <w:highlight w:val="none"/>
              </w:rPr>
              <w:t>次全网</w:t>
            </w:r>
            <w:r>
              <w:rPr>
                <w:color w:val="auto"/>
                <w:sz w:val="18"/>
                <w:szCs w:val="18"/>
                <w:highlight w:val="none"/>
              </w:rPr>
              <w:t>APT</w:t>
            </w:r>
            <w:r>
              <w:rPr>
                <w:rFonts w:hint="eastAsia"/>
                <w:color w:val="auto"/>
                <w:sz w:val="18"/>
                <w:szCs w:val="18"/>
                <w:highlight w:val="none"/>
              </w:rPr>
              <w:t>威胁深度分析服务。</w:t>
            </w:r>
          </w:p>
          <w:p w14:paraId="0723DE1C">
            <w:pPr>
              <w:rPr>
                <w:color w:val="auto"/>
                <w:sz w:val="18"/>
                <w:szCs w:val="18"/>
                <w:highlight w:val="none"/>
              </w:rPr>
            </w:pPr>
            <w:r>
              <w:rPr>
                <w:color w:val="auto"/>
                <w:sz w:val="18"/>
                <w:szCs w:val="18"/>
                <w:highlight w:val="none"/>
              </w:rPr>
              <w:t>4.</w:t>
            </w:r>
            <w:r>
              <w:rPr>
                <w:rFonts w:hint="eastAsia"/>
                <w:color w:val="auto"/>
                <w:sz w:val="18"/>
                <w:szCs w:val="18"/>
                <w:highlight w:val="none"/>
              </w:rPr>
              <w:t>工作交付物</w:t>
            </w:r>
          </w:p>
          <w:p w14:paraId="27317302">
            <w:pPr>
              <w:rPr>
                <w:color w:val="auto"/>
                <w:highlight w:val="none"/>
              </w:rPr>
            </w:pPr>
            <w:r>
              <w:rPr>
                <w:color w:val="auto"/>
                <w:sz w:val="18"/>
                <w:szCs w:val="18"/>
                <w:highlight w:val="none"/>
              </w:rPr>
              <w:t xml:space="preserve">   </w:t>
            </w:r>
            <w:r>
              <w:rPr>
                <w:rFonts w:hint="eastAsia"/>
                <w:color w:val="auto"/>
                <w:sz w:val="18"/>
                <w:szCs w:val="18"/>
                <w:highlight w:val="none"/>
              </w:rPr>
              <w:t>《</w:t>
            </w:r>
            <w:r>
              <w:rPr>
                <w:color w:val="auto"/>
                <w:sz w:val="18"/>
                <w:szCs w:val="18"/>
                <w:highlight w:val="none"/>
              </w:rPr>
              <w:t>APT</w:t>
            </w:r>
            <w:r>
              <w:rPr>
                <w:rFonts w:hint="eastAsia"/>
                <w:color w:val="auto"/>
                <w:sz w:val="18"/>
                <w:szCs w:val="18"/>
                <w:highlight w:val="none"/>
              </w:rPr>
              <w:t>威胁分析报告》</w:t>
            </w:r>
            <w:r>
              <w:rPr>
                <w:color w:val="auto"/>
                <w:sz w:val="18"/>
                <w:szCs w:val="18"/>
                <w:highlight w:val="none"/>
              </w:rPr>
              <w:t>1</w:t>
            </w:r>
            <w:r>
              <w:rPr>
                <w:rFonts w:hint="eastAsia"/>
                <w:color w:val="auto"/>
                <w:sz w:val="18"/>
                <w:szCs w:val="18"/>
                <w:highlight w:val="none"/>
              </w:rPr>
              <w:t>份。</w:t>
            </w:r>
          </w:p>
        </w:tc>
        <w:tc>
          <w:tcPr>
            <w:tcW w:w="145" w:type="pct"/>
            <w:tcBorders>
              <w:top w:val="nil"/>
              <w:left w:val="nil"/>
              <w:bottom w:val="single" w:color="auto" w:sz="4" w:space="0"/>
              <w:right w:val="single" w:color="auto" w:sz="4" w:space="0"/>
            </w:tcBorders>
            <w:noWrap/>
            <w:vAlign w:val="center"/>
          </w:tcPr>
          <w:p w14:paraId="418C50F9">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3FC662F1">
            <w:pPr>
              <w:widowControl/>
              <w:jc w:val="center"/>
              <w:rPr>
                <w:rFonts w:hint="eastAsia" w:ascii="宋体" w:hAnsi="宋体" w:cs="宋体"/>
                <w:color w:val="auto"/>
                <w:kern w:val="0"/>
                <w:sz w:val="18"/>
                <w:szCs w:val="18"/>
                <w:highlight w:val="none"/>
              </w:rPr>
            </w:pPr>
          </w:p>
        </w:tc>
      </w:tr>
      <w:tr w14:paraId="1DEBE19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D5C9F8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428" w:type="pct"/>
            <w:tcBorders>
              <w:top w:val="nil"/>
              <w:left w:val="nil"/>
              <w:bottom w:val="single" w:color="auto" w:sz="4" w:space="0"/>
              <w:right w:val="single" w:color="auto" w:sz="4" w:space="0"/>
            </w:tcBorders>
            <w:noWrap/>
            <w:vAlign w:val="center"/>
          </w:tcPr>
          <w:p w14:paraId="32490C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弱口令专项整治</w:t>
            </w:r>
          </w:p>
        </w:tc>
        <w:tc>
          <w:tcPr>
            <w:tcW w:w="3798" w:type="pct"/>
            <w:gridSpan w:val="2"/>
            <w:tcBorders>
              <w:top w:val="nil"/>
              <w:left w:val="nil"/>
              <w:bottom w:val="single" w:color="auto" w:sz="4" w:space="0"/>
              <w:right w:val="single" w:color="auto" w:sz="4" w:space="0"/>
            </w:tcBorders>
            <w:vAlign w:val="center"/>
          </w:tcPr>
          <w:p w14:paraId="017BC1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对各类网络设备、安全设备、云平台等各类基础设施，以及上云应用系统的操作系统、数据库以及各种应用程序开展弱口令的专项评估工作，并协调督促相关单位进行整改，进一步完善符合监管的信息安全和风险管理手段，降低敏感信息外泄的风险，活动连续开展不少于 3 个月。</w:t>
            </w:r>
          </w:p>
          <w:p w14:paraId="604BCEAE">
            <w:pPr>
              <w:pStyle w:val="32"/>
              <w:rPr>
                <w:color w:val="auto"/>
                <w:highlight w:val="none"/>
              </w:rPr>
            </w:pPr>
            <w:r>
              <w:rPr>
                <w:color w:val="auto"/>
                <w:highlight w:val="none"/>
              </w:rPr>
              <w:t>1.</w:t>
            </w:r>
            <w:r>
              <w:rPr>
                <w:rFonts w:hint="eastAsia"/>
                <w:color w:val="auto"/>
                <w:highlight w:val="none"/>
              </w:rPr>
              <w:t>工作内容</w:t>
            </w:r>
          </w:p>
          <w:p w14:paraId="7990C153">
            <w:pPr>
              <w:pStyle w:val="32"/>
              <w:rPr>
                <w:color w:val="auto"/>
                <w:highlight w:val="none"/>
              </w:rPr>
            </w:pPr>
            <w:r>
              <w:rPr>
                <w:rFonts w:hint="eastAsia"/>
                <w:color w:val="auto"/>
                <w:highlight w:val="none"/>
              </w:rPr>
              <w:t>弱口令专项整治工作包括如下内容：</w:t>
            </w:r>
          </w:p>
          <w:p w14:paraId="0FE3BCF7">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）检测方式：</w:t>
            </w:r>
            <w:r>
              <w:rPr>
                <w:color w:val="auto"/>
                <w:highlight w:val="none"/>
              </w:rPr>
              <w:t></w:t>
            </w:r>
          </w:p>
          <w:p w14:paraId="3F694E57">
            <w:pPr>
              <w:pStyle w:val="32"/>
              <w:rPr>
                <w:color w:val="auto"/>
                <w:highlight w:val="none"/>
              </w:rPr>
            </w:pPr>
            <w:r>
              <w:rPr>
                <w:color w:val="auto"/>
                <w:highlight w:val="none"/>
              </w:rPr>
              <w:t>a.</w:t>
            </w:r>
            <w:r>
              <w:rPr>
                <w:rFonts w:hint="eastAsia"/>
                <w:color w:val="auto"/>
                <w:highlight w:val="none"/>
              </w:rPr>
              <w:t>对于网络设备、安全设备，采用人工核查结合自动化工具的方式，协同网络管理员现场检查网络设备、安全设备的口令使用；</w:t>
            </w:r>
          </w:p>
          <w:p w14:paraId="76BD88EC">
            <w:pPr>
              <w:pStyle w:val="32"/>
              <w:rPr>
                <w:color w:val="auto"/>
                <w:highlight w:val="none"/>
              </w:rPr>
            </w:pPr>
            <w:r>
              <w:rPr>
                <w:color w:val="auto"/>
                <w:highlight w:val="none"/>
              </w:rPr>
              <w:t>b.</w:t>
            </w:r>
            <w:r>
              <w:rPr>
                <w:rFonts w:hint="eastAsia"/>
                <w:color w:val="auto"/>
                <w:highlight w:val="none"/>
              </w:rPr>
              <w:t>对主机操作系统，采用服务器安全管理软件、自动化检测工具扫描、态势感知平台流量分析等方式组织开展弱口令排查；</w:t>
            </w:r>
          </w:p>
          <w:p w14:paraId="583A81A7">
            <w:pPr>
              <w:pStyle w:val="32"/>
              <w:rPr>
                <w:color w:val="auto"/>
                <w:highlight w:val="none"/>
              </w:rPr>
            </w:pPr>
            <w:r>
              <w:rPr>
                <w:color w:val="auto"/>
                <w:highlight w:val="none"/>
              </w:rPr>
              <w:t>c.</w:t>
            </w:r>
            <w:r>
              <w:rPr>
                <w:rFonts w:hint="eastAsia"/>
                <w:color w:val="auto"/>
                <w:highlight w:val="none"/>
              </w:rPr>
              <w:t>对于业务系统，则采用自动化检测工作、态势感知平台流量分析等方式组织开展弱口令排查。</w:t>
            </w:r>
          </w:p>
          <w:p w14:paraId="319AB164">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）检查设备类型：</w:t>
            </w:r>
          </w:p>
          <w:p w14:paraId="0B14CDFD">
            <w:pPr>
              <w:pStyle w:val="32"/>
              <w:rPr>
                <w:color w:val="auto"/>
                <w:highlight w:val="none"/>
              </w:rPr>
            </w:pPr>
            <w:r>
              <w:rPr>
                <w:color w:val="auto"/>
                <w:highlight w:val="none"/>
              </w:rPr>
              <w:t>a.</w:t>
            </w:r>
            <w:r>
              <w:rPr>
                <w:rFonts w:hint="eastAsia"/>
                <w:color w:val="auto"/>
                <w:highlight w:val="none"/>
              </w:rPr>
              <w:t>主机层面，如：</w:t>
            </w:r>
            <w:r>
              <w:rPr>
                <w:color w:val="auto"/>
                <w:highlight w:val="none"/>
              </w:rPr>
              <w:t>windows</w:t>
            </w:r>
            <w:r>
              <w:rPr>
                <w:rFonts w:hint="eastAsia"/>
                <w:color w:val="auto"/>
                <w:highlight w:val="none"/>
              </w:rPr>
              <w:t>、</w:t>
            </w:r>
            <w:r>
              <w:rPr>
                <w:color w:val="auto"/>
                <w:highlight w:val="none"/>
              </w:rPr>
              <w:t>linux</w:t>
            </w:r>
            <w:r>
              <w:rPr>
                <w:rFonts w:hint="eastAsia"/>
                <w:color w:val="auto"/>
                <w:highlight w:val="none"/>
              </w:rPr>
              <w:t>等常见主机操作系统；</w:t>
            </w:r>
          </w:p>
          <w:p w14:paraId="2B35E1D1">
            <w:pPr>
              <w:pStyle w:val="32"/>
              <w:rPr>
                <w:color w:val="auto"/>
                <w:highlight w:val="none"/>
              </w:rPr>
            </w:pPr>
            <w:r>
              <w:rPr>
                <w:color w:val="auto"/>
                <w:highlight w:val="none"/>
              </w:rPr>
              <w:t>b.</w:t>
            </w:r>
            <w:r>
              <w:rPr>
                <w:rFonts w:hint="eastAsia"/>
                <w:color w:val="auto"/>
                <w:highlight w:val="none"/>
              </w:rPr>
              <w:t>数据库</w:t>
            </w:r>
            <w:r>
              <w:rPr>
                <w:color w:val="auto"/>
                <w:highlight w:val="none"/>
              </w:rPr>
              <w:t>&amp;</w:t>
            </w:r>
            <w:r>
              <w:rPr>
                <w:rFonts w:hint="eastAsia"/>
                <w:color w:val="auto"/>
                <w:highlight w:val="none"/>
              </w:rPr>
              <w:t>中间件，如：</w:t>
            </w:r>
            <w:r>
              <w:rPr>
                <w:color w:val="auto"/>
                <w:highlight w:val="none"/>
              </w:rPr>
              <w:t>mysql</w:t>
            </w:r>
            <w:r>
              <w:rPr>
                <w:rFonts w:hint="eastAsia"/>
                <w:color w:val="auto"/>
                <w:highlight w:val="none"/>
              </w:rPr>
              <w:t>、</w:t>
            </w:r>
            <w:r>
              <w:rPr>
                <w:color w:val="auto"/>
                <w:highlight w:val="none"/>
              </w:rPr>
              <w:t>oracle</w:t>
            </w:r>
            <w:r>
              <w:rPr>
                <w:rFonts w:hint="eastAsia"/>
                <w:color w:val="auto"/>
                <w:highlight w:val="none"/>
              </w:rPr>
              <w:t>、</w:t>
            </w:r>
            <w:r>
              <w:rPr>
                <w:color w:val="auto"/>
                <w:highlight w:val="none"/>
              </w:rPr>
              <w:t>tomcat</w:t>
            </w:r>
            <w:r>
              <w:rPr>
                <w:rFonts w:hint="eastAsia"/>
                <w:color w:val="auto"/>
                <w:highlight w:val="none"/>
              </w:rPr>
              <w:t>等常见数据库</w:t>
            </w:r>
            <w:r>
              <w:rPr>
                <w:color w:val="auto"/>
                <w:highlight w:val="none"/>
              </w:rPr>
              <w:t>&amp;</w:t>
            </w:r>
            <w:r>
              <w:rPr>
                <w:rFonts w:hint="eastAsia"/>
                <w:color w:val="auto"/>
                <w:highlight w:val="none"/>
              </w:rPr>
              <w:t>中间件；</w:t>
            </w:r>
          </w:p>
          <w:p w14:paraId="42632A75">
            <w:pPr>
              <w:pStyle w:val="32"/>
              <w:rPr>
                <w:color w:val="auto"/>
                <w:highlight w:val="none"/>
              </w:rPr>
            </w:pPr>
            <w:r>
              <w:rPr>
                <w:color w:val="auto"/>
                <w:highlight w:val="none"/>
              </w:rPr>
              <w:t>c.</w:t>
            </w:r>
            <w:r>
              <w:rPr>
                <w:rFonts w:hint="eastAsia"/>
                <w:color w:val="auto"/>
                <w:highlight w:val="none"/>
              </w:rPr>
              <w:t>网络</w:t>
            </w:r>
            <w:r>
              <w:rPr>
                <w:color w:val="auto"/>
                <w:highlight w:val="none"/>
              </w:rPr>
              <w:t>&amp;</w:t>
            </w:r>
            <w:r>
              <w:rPr>
                <w:rFonts w:hint="eastAsia"/>
                <w:color w:val="auto"/>
                <w:highlight w:val="none"/>
              </w:rPr>
              <w:t>安全设备，如：路由器、交换机等；</w:t>
            </w:r>
          </w:p>
          <w:p w14:paraId="5F5FB275">
            <w:pPr>
              <w:pStyle w:val="32"/>
              <w:rPr>
                <w:color w:val="auto"/>
                <w:highlight w:val="none"/>
              </w:rPr>
            </w:pPr>
            <w:r>
              <w:rPr>
                <w:color w:val="auto"/>
                <w:highlight w:val="none"/>
              </w:rPr>
              <w:t>d.</w:t>
            </w:r>
            <w:r>
              <w:rPr>
                <w:rFonts w:hint="eastAsia"/>
                <w:color w:val="auto"/>
                <w:highlight w:val="none"/>
              </w:rPr>
              <w:t>业务系统，如：网站系统、</w:t>
            </w:r>
            <w:r>
              <w:rPr>
                <w:color w:val="auto"/>
                <w:highlight w:val="none"/>
              </w:rPr>
              <w:t>OA</w:t>
            </w:r>
            <w:r>
              <w:rPr>
                <w:rFonts w:hint="eastAsia"/>
                <w:color w:val="auto"/>
                <w:highlight w:val="none"/>
              </w:rPr>
              <w:t>系统、邮件系统等；</w:t>
            </w:r>
          </w:p>
          <w:p w14:paraId="6712D297">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）检测内容：</w:t>
            </w:r>
          </w:p>
          <w:p w14:paraId="07594F64">
            <w:pPr>
              <w:pStyle w:val="32"/>
              <w:rPr>
                <w:color w:val="auto"/>
                <w:highlight w:val="none"/>
              </w:rPr>
            </w:pPr>
            <w:r>
              <w:rPr>
                <w:color w:val="auto"/>
                <w:highlight w:val="none"/>
              </w:rPr>
              <w:t>a.</w:t>
            </w:r>
            <w:r>
              <w:rPr>
                <w:rFonts w:hint="eastAsia"/>
                <w:color w:val="auto"/>
                <w:highlight w:val="none"/>
              </w:rPr>
              <w:t>弱口令，如：</w:t>
            </w:r>
            <w:r>
              <w:rPr>
                <w:color w:val="auto"/>
                <w:highlight w:val="none"/>
              </w:rPr>
              <w:t>123456</w:t>
            </w:r>
            <w:r>
              <w:rPr>
                <w:rFonts w:hint="eastAsia"/>
                <w:color w:val="auto"/>
                <w:highlight w:val="none"/>
              </w:rPr>
              <w:t>、</w:t>
            </w:r>
            <w:r>
              <w:rPr>
                <w:color w:val="auto"/>
                <w:highlight w:val="none"/>
              </w:rPr>
              <w:t>1qaz@WSX</w:t>
            </w:r>
            <w:r>
              <w:rPr>
                <w:rFonts w:hint="eastAsia"/>
                <w:color w:val="auto"/>
                <w:highlight w:val="none"/>
              </w:rPr>
              <w:t>、</w:t>
            </w:r>
            <w:r>
              <w:rPr>
                <w:color w:val="auto"/>
                <w:highlight w:val="none"/>
              </w:rPr>
              <w:t>Pass@word</w:t>
            </w:r>
            <w:r>
              <w:rPr>
                <w:rFonts w:hint="eastAsia"/>
                <w:color w:val="auto"/>
                <w:highlight w:val="none"/>
              </w:rPr>
              <w:t>等；</w:t>
            </w:r>
          </w:p>
          <w:p w14:paraId="3C311C2F">
            <w:pPr>
              <w:pStyle w:val="32"/>
              <w:rPr>
                <w:color w:val="auto"/>
                <w:highlight w:val="none"/>
              </w:rPr>
            </w:pPr>
            <w:r>
              <w:rPr>
                <w:color w:val="auto"/>
                <w:highlight w:val="none"/>
              </w:rPr>
              <w:t>b.</w:t>
            </w:r>
            <w:r>
              <w:rPr>
                <w:rFonts w:hint="eastAsia"/>
                <w:color w:val="auto"/>
                <w:highlight w:val="none"/>
              </w:rPr>
              <w:t>默认口令（缺省口令），如：</w:t>
            </w:r>
            <w:r>
              <w:rPr>
                <w:color w:val="auto"/>
                <w:highlight w:val="none"/>
              </w:rPr>
              <w:t>teln</w:t>
            </w:r>
            <w:r>
              <w:rPr>
                <w:rFonts w:hint="eastAsia"/>
                <w:color w:val="auto"/>
                <w:highlight w:val="none"/>
                <w:lang w:val="en-US" w:eastAsia="zh-CN"/>
              </w:rPr>
              <w:t>e</w:t>
            </w:r>
            <w:r>
              <w:rPr>
                <w:color w:val="auto"/>
                <w:highlight w:val="none"/>
              </w:rPr>
              <w:t>t</w:t>
            </w:r>
            <w:r>
              <w:rPr>
                <w:rFonts w:hint="eastAsia"/>
                <w:color w:val="auto"/>
                <w:highlight w:val="none"/>
              </w:rPr>
              <w:t>、</w:t>
            </w:r>
            <w:r>
              <w:rPr>
                <w:color w:val="auto"/>
                <w:highlight w:val="none"/>
              </w:rPr>
              <w:t>admin</w:t>
            </w:r>
            <w:r>
              <w:rPr>
                <w:rFonts w:hint="eastAsia"/>
                <w:color w:val="auto"/>
                <w:highlight w:val="none"/>
              </w:rPr>
              <w:t>等；</w:t>
            </w:r>
          </w:p>
          <w:p w14:paraId="456A3CC6">
            <w:pPr>
              <w:pStyle w:val="32"/>
              <w:rPr>
                <w:color w:val="auto"/>
                <w:highlight w:val="none"/>
              </w:rPr>
            </w:pPr>
            <w:r>
              <w:rPr>
                <w:color w:val="auto"/>
                <w:highlight w:val="none"/>
              </w:rPr>
              <w:t>c.</w:t>
            </w:r>
            <w:r>
              <w:rPr>
                <w:rFonts w:hint="eastAsia"/>
                <w:color w:val="auto"/>
                <w:highlight w:val="none"/>
              </w:rPr>
              <w:t>口令复用，即多台设备使用相同口令；</w:t>
            </w:r>
          </w:p>
          <w:p w14:paraId="3C8AF79B">
            <w:pPr>
              <w:pStyle w:val="32"/>
              <w:rPr>
                <w:color w:val="auto"/>
                <w:highlight w:val="none"/>
              </w:rPr>
            </w:pPr>
            <w:r>
              <w:rPr>
                <w:color w:val="auto"/>
                <w:highlight w:val="none"/>
              </w:rPr>
              <w:t>2.</w:t>
            </w:r>
            <w:r>
              <w:rPr>
                <w:rFonts w:hint="eastAsia"/>
                <w:color w:val="auto"/>
                <w:highlight w:val="none"/>
              </w:rPr>
              <w:t>工作范围</w:t>
            </w:r>
          </w:p>
          <w:p w14:paraId="30B4270F">
            <w:pPr>
              <w:pStyle w:val="32"/>
              <w:rPr>
                <w:color w:val="auto"/>
                <w:highlight w:val="none"/>
              </w:rPr>
            </w:pPr>
            <w:r>
              <w:rPr>
                <w:rFonts w:hint="eastAsia"/>
                <w:color w:val="auto"/>
                <w:highlight w:val="none"/>
              </w:rPr>
              <w:t>各类网络设备、安全设备、云平台等各类基础设施，以及上云应用系统的操作系统、数据库以及各种应用程序。</w:t>
            </w:r>
          </w:p>
          <w:p w14:paraId="6831F9A8">
            <w:pPr>
              <w:pStyle w:val="32"/>
              <w:rPr>
                <w:color w:val="auto"/>
                <w:highlight w:val="none"/>
              </w:rPr>
            </w:pPr>
            <w:r>
              <w:rPr>
                <w:color w:val="auto"/>
                <w:highlight w:val="none"/>
              </w:rPr>
              <w:t>3.</w:t>
            </w:r>
            <w:r>
              <w:rPr>
                <w:rFonts w:hint="eastAsia"/>
                <w:color w:val="auto"/>
                <w:highlight w:val="none"/>
              </w:rPr>
              <w:t>工作频次</w:t>
            </w:r>
          </w:p>
          <w:p w14:paraId="18FCF003">
            <w:pPr>
              <w:pStyle w:val="32"/>
              <w:rPr>
                <w:color w:val="auto"/>
                <w:highlight w:val="none"/>
              </w:rPr>
            </w:pPr>
            <w:r>
              <w:rPr>
                <w:rFonts w:hint="eastAsia"/>
                <w:color w:val="auto"/>
                <w:highlight w:val="none"/>
              </w:rPr>
              <w:t>每年开展</w:t>
            </w:r>
            <w:r>
              <w:rPr>
                <w:color w:val="auto"/>
                <w:highlight w:val="none"/>
              </w:rPr>
              <w:t>1</w:t>
            </w:r>
            <w:r>
              <w:rPr>
                <w:rFonts w:hint="eastAsia"/>
                <w:color w:val="auto"/>
                <w:highlight w:val="none"/>
              </w:rPr>
              <w:t>次，持续过程不少于</w:t>
            </w:r>
            <w:r>
              <w:rPr>
                <w:color w:val="auto"/>
                <w:highlight w:val="none"/>
              </w:rPr>
              <w:t>3</w:t>
            </w:r>
            <w:r>
              <w:rPr>
                <w:rFonts w:hint="eastAsia"/>
                <w:color w:val="auto"/>
                <w:highlight w:val="none"/>
              </w:rPr>
              <w:t>个月。</w:t>
            </w:r>
          </w:p>
          <w:p w14:paraId="60F18362">
            <w:pPr>
              <w:pStyle w:val="32"/>
              <w:rPr>
                <w:color w:val="auto"/>
                <w:highlight w:val="none"/>
              </w:rPr>
            </w:pPr>
            <w:r>
              <w:rPr>
                <w:color w:val="auto"/>
                <w:highlight w:val="none"/>
              </w:rPr>
              <w:t>4.</w:t>
            </w:r>
            <w:r>
              <w:rPr>
                <w:rFonts w:hint="eastAsia"/>
                <w:color w:val="auto"/>
                <w:highlight w:val="none"/>
              </w:rPr>
              <w:t>工作交付物</w:t>
            </w:r>
          </w:p>
          <w:p w14:paraId="3B7F98B4">
            <w:pPr>
              <w:pStyle w:val="32"/>
              <w:widowControl/>
              <w:rPr>
                <w:rFonts w:hint="eastAsia" w:ascii="宋体" w:hAnsi="宋体" w:cs="宋体"/>
                <w:color w:val="auto"/>
                <w:highlight w:val="none"/>
              </w:rPr>
            </w:pPr>
            <w:r>
              <w:rPr>
                <w:color w:val="auto"/>
                <w:highlight w:val="none"/>
              </w:rPr>
              <w:t xml:space="preserve">  </w:t>
            </w:r>
            <w:r>
              <w:rPr>
                <w:rFonts w:hint="eastAsia"/>
                <w:color w:val="auto"/>
                <w:highlight w:val="none"/>
              </w:rPr>
              <w:t>《弱口令专项整治报告》。</w:t>
            </w:r>
          </w:p>
        </w:tc>
        <w:tc>
          <w:tcPr>
            <w:tcW w:w="145" w:type="pct"/>
            <w:tcBorders>
              <w:top w:val="nil"/>
              <w:left w:val="nil"/>
              <w:bottom w:val="single" w:color="auto" w:sz="4" w:space="0"/>
              <w:right w:val="single" w:color="auto" w:sz="4" w:space="0"/>
            </w:tcBorders>
            <w:noWrap/>
            <w:vAlign w:val="center"/>
          </w:tcPr>
          <w:p w14:paraId="67ABF937">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F0A3C89">
            <w:pPr>
              <w:widowControl/>
              <w:jc w:val="center"/>
              <w:rPr>
                <w:rFonts w:hint="eastAsia" w:ascii="宋体" w:hAnsi="宋体" w:cs="宋体"/>
                <w:color w:val="auto"/>
                <w:kern w:val="0"/>
                <w:sz w:val="18"/>
                <w:szCs w:val="18"/>
                <w:highlight w:val="none"/>
              </w:rPr>
            </w:pPr>
          </w:p>
        </w:tc>
      </w:tr>
      <w:tr w14:paraId="0E2CBF6C">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5E3786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428" w:type="pct"/>
            <w:tcBorders>
              <w:top w:val="nil"/>
              <w:left w:val="nil"/>
              <w:bottom w:val="single" w:color="auto" w:sz="4" w:space="0"/>
              <w:right w:val="single" w:color="auto" w:sz="4" w:space="0"/>
            </w:tcBorders>
            <w:noWrap/>
            <w:vAlign w:val="center"/>
          </w:tcPr>
          <w:p w14:paraId="6EDAA1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人工智能安全基座运营</w:t>
            </w:r>
          </w:p>
        </w:tc>
        <w:tc>
          <w:tcPr>
            <w:tcW w:w="3798" w:type="pct"/>
            <w:gridSpan w:val="2"/>
            <w:tcBorders>
              <w:top w:val="nil"/>
              <w:left w:val="nil"/>
              <w:bottom w:val="single" w:color="auto" w:sz="4" w:space="0"/>
              <w:right w:val="single" w:color="auto" w:sz="4" w:space="0"/>
            </w:tcBorders>
            <w:vAlign w:val="center"/>
          </w:tcPr>
          <w:p w14:paraId="0108841C">
            <w:pPr>
              <w:widowControl/>
              <w:jc w:val="left"/>
              <w:rPr>
                <w:rFonts w:hint="eastAsia" w:ascii="宋体" w:hAnsi="宋体" w:cs="宋体"/>
                <w:color w:val="auto"/>
                <w:kern w:val="0"/>
                <w:sz w:val="18"/>
                <w:szCs w:val="18"/>
                <w:highlight w:val="none"/>
              </w:rPr>
            </w:pPr>
          </w:p>
          <w:p w14:paraId="25FCA3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面向自治区信息中心的人工智能基座系统，建立一套常态化的人工智能安全基座安全运营保障机制。通过对人工智能基座运行状态、模型内容合规性及潜在安全攻击的持续监控与管理，确保人工智能基座运行的应用在满足性能要求的同时，符合法律法规与安全策略，并能及时发现、响应和处置各类人工智能特有的安全风险。开展日常人工智能基座安全运营工作，具体包括：对人工智能基座及核心模型服务进行运行状态巡检，实时监测模型输出内容的合规性与API调用行为的安全性；使用人工智能安全测试工具对内容违规、模型规避等风险进行检测；对发现的安全风险生成告警并创建处置工单，跟踪处理进度直至问题闭环。基于运营数据，定期生成人工智能底座安全态势报告，更新人工智能资产与风险清单，并提出具体的防护加固建议，为安全决策和合规审计提供数据支撑。</w:t>
            </w:r>
          </w:p>
          <w:p w14:paraId="714B6B7F">
            <w:pPr>
              <w:pStyle w:val="32"/>
              <w:rPr>
                <w:color w:val="auto"/>
                <w:highlight w:val="none"/>
              </w:rPr>
            </w:pPr>
            <w:r>
              <w:rPr>
                <w:color w:val="auto"/>
                <w:highlight w:val="none"/>
              </w:rPr>
              <w:t>1.</w:t>
            </w:r>
            <w:r>
              <w:rPr>
                <w:rFonts w:hint="eastAsia"/>
                <w:color w:val="auto"/>
                <w:highlight w:val="none"/>
              </w:rPr>
              <w:t>工作内容</w:t>
            </w:r>
          </w:p>
          <w:p w14:paraId="02E89C24">
            <w:pPr>
              <w:pStyle w:val="32"/>
              <w:rPr>
                <w:color w:val="auto"/>
                <w:highlight w:val="none"/>
              </w:rPr>
            </w:pPr>
            <w:r>
              <w:rPr>
                <w:rFonts w:hint="eastAsia"/>
                <w:color w:val="auto"/>
                <w:highlight w:val="none"/>
              </w:rPr>
              <w:t>开展日常人工智能基座安全运营工作，具体包括：</w:t>
            </w:r>
          </w:p>
          <w:p w14:paraId="498849D7">
            <w:pPr>
              <w:pStyle w:val="32"/>
              <w:rPr>
                <w:color w:val="auto"/>
                <w:highlight w:val="none"/>
              </w:rPr>
            </w:pPr>
            <w:r>
              <w:rPr>
                <w:color w:val="auto"/>
                <w:highlight w:val="none"/>
              </w:rPr>
              <w:t>a.</w:t>
            </w:r>
            <w:r>
              <w:rPr>
                <w:rFonts w:hint="eastAsia"/>
                <w:color w:val="auto"/>
                <w:highlight w:val="none"/>
              </w:rPr>
              <w:t>对人工智能基座及核心模型服务进行运行状态巡检，实时监测模型输出内容的合规性与</w:t>
            </w:r>
            <w:r>
              <w:rPr>
                <w:color w:val="auto"/>
                <w:highlight w:val="none"/>
              </w:rPr>
              <w:t>API</w:t>
            </w:r>
            <w:r>
              <w:rPr>
                <w:rFonts w:hint="eastAsia"/>
                <w:color w:val="auto"/>
                <w:highlight w:val="none"/>
              </w:rPr>
              <w:t>调用行为的安全性；</w:t>
            </w:r>
          </w:p>
          <w:p w14:paraId="4755FBFD">
            <w:pPr>
              <w:pStyle w:val="32"/>
              <w:rPr>
                <w:color w:val="auto"/>
                <w:highlight w:val="none"/>
              </w:rPr>
            </w:pPr>
            <w:r>
              <w:rPr>
                <w:color w:val="auto"/>
                <w:highlight w:val="none"/>
              </w:rPr>
              <w:t>b.</w:t>
            </w:r>
            <w:r>
              <w:rPr>
                <w:rFonts w:hint="eastAsia"/>
                <w:color w:val="auto"/>
                <w:highlight w:val="none"/>
              </w:rPr>
              <w:t>使用人工智能安全测试工具对内容违规、模型规避等风险进行检测；对发现的安全风险生成告警并创建处置工单，跟踪处理进度直至问题闭环。</w:t>
            </w:r>
          </w:p>
          <w:p w14:paraId="337A1F6C">
            <w:pPr>
              <w:pStyle w:val="32"/>
              <w:rPr>
                <w:color w:val="auto"/>
                <w:highlight w:val="none"/>
              </w:rPr>
            </w:pPr>
            <w:r>
              <w:rPr>
                <w:color w:val="auto"/>
                <w:highlight w:val="none"/>
              </w:rPr>
              <w:t>c</w:t>
            </w:r>
            <w:r>
              <w:rPr>
                <w:rFonts w:hint="eastAsia"/>
                <w:color w:val="auto"/>
                <w:highlight w:val="none"/>
              </w:rPr>
              <w:t>基于运营数据，定期生成人工智能底座安全态势报告，更新人工智能资产与风险清单，并提出具体的防护加固建议，为安全决策和合规审计提供数据支撑。</w:t>
            </w:r>
          </w:p>
          <w:p w14:paraId="3CD6FD42">
            <w:pPr>
              <w:pStyle w:val="32"/>
              <w:rPr>
                <w:color w:val="auto"/>
                <w:highlight w:val="none"/>
              </w:rPr>
            </w:pPr>
            <w:r>
              <w:rPr>
                <w:color w:val="auto"/>
                <w:highlight w:val="none"/>
              </w:rPr>
              <w:t>2.</w:t>
            </w:r>
            <w:r>
              <w:rPr>
                <w:rFonts w:hint="eastAsia"/>
                <w:color w:val="auto"/>
                <w:highlight w:val="none"/>
              </w:rPr>
              <w:t>工作范围</w:t>
            </w:r>
          </w:p>
          <w:p w14:paraId="49ABC00D">
            <w:pPr>
              <w:pStyle w:val="32"/>
              <w:rPr>
                <w:color w:val="auto"/>
                <w:highlight w:val="none"/>
              </w:rPr>
            </w:pPr>
            <w:r>
              <w:rPr>
                <w:rFonts w:hint="eastAsia"/>
                <w:color w:val="auto"/>
                <w:highlight w:val="none"/>
              </w:rPr>
              <w:t>人工智能安全基座平台。</w:t>
            </w:r>
          </w:p>
          <w:p w14:paraId="76BE29B2">
            <w:pPr>
              <w:pStyle w:val="32"/>
              <w:rPr>
                <w:color w:val="auto"/>
                <w:highlight w:val="none"/>
              </w:rPr>
            </w:pPr>
            <w:r>
              <w:rPr>
                <w:color w:val="auto"/>
                <w:highlight w:val="none"/>
              </w:rPr>
              <w:t>3.</w:t>
            </w:r>
            <w:r>
              <w:rPr>
                <w:rFonts w:hint="eastAsia"/>
                <w:color w:val="auto"/>
                <w:highlight w:val="none"/>
              </w:rPr>
              <w:t>工作频次</w:t>
            </w:r>
          </w:p>
          <w:p w14:paraId="111ADD72">
            <w:pPr>
              <w:pStyle w:val="32"/>
              <w:rPr>
                <w:color w:val="auto"/>
                <w:highlight w:val="none"/>
              </w:rPr>
            </w:pPr>
            <w:r>
              <w:rPr>
                <w:rFonts w:hint="eastAsia"/>
                <w:color w:val="auto"/>
                <w:highlight w:val="none"/>
              </w:rPr>
              <w:t>通过</w:t>
            </w:r>
            <w:r>
              <w:rPr>
                <w:color w:val="auto"/>
                <w:highlight w:val="none"/>
              </w:rPr>
              <w:t>5</w:t>
            </w:r>
            <w:r>
              <w:rPr>
                <w:rFonts w:hint="eastAsia"/>
                <w:color w:val="auto"/>
                <w:highlight w:val="none"/>
              </w:rPr>
              <w:t>×</w:t>
            </w:r>
            <w:r>
              <w:rPr>
                <w:color w:val="auto"/>
                <w:highlight w:val="none"/>
              </w:rPr>
              <w:t>8</w:t>
            </w:r>
            <w:r>
              <w:rPr>
                <w:rFonts w:hint="eastAsia"/>
                <w:color w:val="auto"/>
                <w:highlight w:val="none"/>
              </w:rPr>
              <w:t>小时驻场开展常态化运营。每日对人工智能基座的运行状态及安全策略进行巡检。</w:t>
            </w:r>
          </w:p>
          <w:p w14:paraId="517D2D37">
            <w:pPr>
              <w:pStyle w:val="32"/>
              <w:rPr>
                <w:color w:val="auto"/>
                <w:highlight w:val="none"/>
              </w:rPr>
            </w:pPr>
            <w:r>
              <w:rPr>
                <w:color w:val="auto"/>
                <w:highlight w:val="none"/>
              </w:rPr>
              <w:t>4</w:t>
            </w:r>
            <w:r>
              <w:rPr>
                <w:rFonts w:hint="eastAsia"/>
                <w:color w:val="auto"/>
                <w:highlight w:val="none"/>
              </w:rPr>
              <w:t>、工作交付物</w:t>
            </w:r>
          </w:p>
          <w:p w14:paraId="70965CB2">
            <w:pPr>
              <w:pStyle w:val="32"/>
              <w:widowControl/>
              <w:rPr>
                <w:rFonts w:hint="eastAsia" w:ascii="宋体" w:hAnsi="宋体" w:cs="宋体"/>
                <w:color w:val="auto"/>
                <w:highlight w:val="none"/>
              </w:rPr>
            </w:pPr>
            <w:r>
              <w:rPr>
                <w:rFonts w:hint="eastAsia"/>
                <w:color w:val="auto"/>
                <w:highlight w:val="none"/>
              </w:rPr>
              <w:t>《人工智能安全基座运营报告》。</w:t>
            </w:r>
          </w:p>
        </w:tc>
        <w:tc>
          <w:tcPr>
            <w:tcW w:w="145" w:type="pct"/>
            <w:tcBorders>
              <w:top w:val="nil"/>
              <w:left w:val="nil"/>
              <w:bottom w:val="single" w:color="auto" w:sz="4" w:space="0"/>
              <w:right w:val="single" w:color="auto" w:sz="4" w:space="0"/>
            </w:tcBorders>
            <w:noWrap/>
            <w:vAlign w:val="center"/>
          </w:tcPr>
          <w:p w14:paraId="375FBD10">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40AFDA4E">
            <w:pPr>
              <w:widowControl/>
              <w:jc w:val="center"/>
              <w:rPr>
                <w:rFonts w:hint="eastAsia" w:ascii="宋体" w:hAnsi="宋体" w:cs="宋体"/>
                <w:color w:val="auto"/>
                <w:kern w:val="0"/>
                <w:sz w:val="18"/>
                <w:szCs w:val="18"/>
                <w:highlight w:val="none"/>
              </w:rPr>
            </w:pPr>
          </w:p>
        </w:tc>
      </w:tr>
      <w:tr w14:paraId="685F5D8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D1F72D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428" w:type="pct"/>
            <w:tcBorders>
              <w:top w:val="nil"/>
              <w:left w:val="nil"/>
              <w:bottom w:val="single" w:color="auto" w:sz="4" w:space="0"/>
              <w:right w:val="single" w:color="auto" w:sz="4" w:space="0"/>
            </w:tcBorders>
            <w:noWrap/>
            <w:vAlign w:val="center"/>
          </w:tcPr>
          <w:p w14:paraId="715247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综合管理运营</w:t>
            </w:r>
          </w:p>
        </w:tc>
        <w:tc>
          <w:tcPr>
            <w:tcW w:w="3798" w:type="pct"/>
            <w:gridSpan w:val="2"/>
            <w:tcBorders>
              <w:top w:val="nil"/>
              <w:left w:val="nil"/>
              <w:bottom w:val="single" w:color="auto" w:sz="4" w:space="0"/>
              <w:right w:val="single" w:color="auto" w:sz="4" w:space="0"/>
            </w:tcBorders>
            <w:vAlign w:val="center"/>
          </w:tcPr>
          <w:p w14:paraId="46779A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综合管理运营是安全运营中心的统筹者，负责全面开展运营团队管理工作，统筹现场驻场安全运营服务工作，强化团队能力与凝聚力；每日把控安全态势，对重大风险亲自统筹处置；建立内外部协同机制，协调内部门安全需求，对接监管、厂商等外部资源，每月编月报、每季度提分析报告，重大事项</w:t>
            </w:r>
            <w:r>
              <w:rPr>
                <w:rFonts w:hint="eastAsia" w:ascii="宋体" w:hAnsi="宋体" w:cs="宋体"/>
                <w:color w:val="auto"/>
                <w:kern w:val="0"/>
                <w:sz w:val="18"/>
                <w:szCs w:val="18"/>
                <w:highlight w:val="none"/>
                <w:lang w:val="en-US" w:eastAsia="zh-CN"/>
              </w:rPr>
              <w:t>及时</w:t>
            </w:r>
            <w:r>
              <w:rPr>
                <w:rFonts w:hint="eastAsia" w:ascii="宋体" w:hAnsi="宋体" w:cs="宋体"/>
                <w:color w:val="auto"/>
                <w:kern w:val="0"/>
                <w:sz w:val="18"/>
                <w:szCs w:val="18"/>
                <w:highlight w:val="none"/>
              </w:rPr>
              <w:t>汇报，统筹汇报材料提供数据支撑；跟踪前沿技术试点落地，建立运营知识库沉淀经验并推动标准化运营，全方位保障安全运营中心高效运转，处理信息中心交办的其他综合事务。</w:t>
            </w:r>
          </w:p>
          <w:p w14:paraId="0510BDEF">
            <w:pPr>
              <w:pStyle w:val="32"/>
              <w:rPr>
                <w:color w:val="auto"/>
                <w:highlight w:val="none"/>
              </w:rPr>
            </w:pPr>
            <w:r>
              <w:rPr>
                <w:color w:val="auto"/>
                <w:highlight w:val="none"/>
              </w:rPr>
              <w:t>1.</w:t>
            </w:r>
            <w:r>
              <w:rPr>
                <w:rFonts w:hint="eastAsia"/>
                <w:color w:val="auto"/>
                <w:highlight w:val="none"/>
              </w:rPr>
              <w:t>工作内容</w:t>
            </w:r>
          </w:p>
          <w:p w14:paraId="7D748650">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）负责全面开展运营团队管理工作，统筹现场驻场安全运营服务工作，强化团队能力与凝聚力；</w:t>
            </w:r>
          </w:p>
          <w:p w14:paraId="0C08F97D">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）每日把控安全态势，对重大风险亲自统筹处置；</w:t>
            </w:r>
          </w:p>
          <w:p w14:paraId="12806B4D">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）建立内外部协同机制，协调内部安全需求，对接监管、厂商等外部资源，</w:t>
            </w:r>
          </w:p>
          <w:p w14:paraId="3E096AA9">
            <w:pPr>
              <w:pStyle w:val="32"/>
              <w:rPr>
                <w:color w:val="auto"/>
                <w:highlight w:val="none"/>
              </w:rPr>
            </w:pPr>
            <w:r>
              <w:rPr>
                <w:rFonts w:hint="eastAsia"/>
                <w:color w:val="auto"/>
                <w:highlight w:val="none"/>
              </w:rPr>
              <w:t>（</w:t>
            </w:r>
            <w:r>
              <w:rPr>
                <w:color w:val="auto"/>
                <w:highlight w:val="none"/>
              </w:rPr>
              <w:t>4</w:t>
            </w:r>
            <w:r>
              <w:rPr>
                <w:rFonts w:hint="eastAsia"/>
                <w:color w:val="auto"/>
                <w:highlight w:val="none"/>
              </w:rPr>
              <w:t>）每月编月报、每季度提分析报告，重大事项</w:t>
            </w:r>
            <w:r>
              <w:rPr>
                <w:rFonts w:hint="eastAsia"/>
                <w:color w:val="auto"/>
                <w:highlight w:val="none"/>
                <w:lang w:val="en-US" w:eastAsia="zh-CN"/>
              </w:rPr>
              <w:t>及时</w:t>
            </w:r>
            <w:r>
              <w:rPr>
                <w:rFonts w:hint="eastAsia"/>
                <w:color w:val="auto"/>
                <w:highlight w:val="none"/>
              </w:rPr>
              <w:t>汇报，统筹汇报材料提供数据支撑；</w:t>
            </w:r>
          </w:p>
          <w:p w14:paraId="3DFB5AD6">
            <w:pPr>
              <w:pStyle w:val="32"/>
              <w:rPr>
                <w:color w:val="auto"/>
                <w:highlight w:val="none"/>
              </w:rPr>
            </w:pPr>
            <w:r>
              <w:rPr>
                <w:rFonts w:hint="eastAsia"/>
                <w:color w:val="auto"/>
                <w:highlight w:val="none"/>
              </w:rPr>
              <w:t>（</w:t>
            </w:r>
            <w:r>
              <w:rPr>
                <w:color w:val="auto"/>
                <w:highlight w:val="none"/>
              </w:rPr>
              <w:t>5</w:t>
            </w:r>
            <w:r>
              <w:rPr>
                <w:rFonts w:hint="eastAsia"/>
                <w:color w:val="auto"/>
                <w:highlight w:val="none"/>
              </w:rPr>
              <w:t>）建立运营知识库沉淀经验并推动标准化运营，全方位保障安全运营中心高效运转；</w:t>
            </w:r>
          </w:p>
          <w:p w14:paraId="775C4234">
            <w:pPr>
              <w:pStyle w:val="32"/>
              <w:rPr>
                <w:color w:val="auto"/>
                <w:highlight w:val="none"/>
              </w:rPr>
            </w:pPr>
            <w:r>
              <w:rPr>
                <w:rFonts w:hint="eastAsia"/>
                <w:color w:val="auto"/>
                <w:highlight w:val="none"/>
              </w:rPr>
              <w:t>（</w:t>
            </w:r>
            <w:r>
              <w:rPr>
                <w:color w:val="auto"/>
                <w:highlight w:val="none"/>
              </w:rPr>
              <w:t>6</w:t>
            </w:r>
            <w:r>
              <w:rPr>
                <w:rFonts w:hint="eastAsia"/>
                <w:color w:val="auto"/>
                <w:highlight w:val="none"/>
              </w:rPr>
              <w:t>）处理自治区信息中心交办的其他综合事务。</w:t>
            </w:r>
          </w:p>
          <w:p w14:paraId="1B2E8140">
            <w:pPr>
              <w:pStyle w:val="32"/>
              <w:rPr>
                <w:rFonts w:hint="eastAsia" w:eastAsia="宋体"/>
                <w:color w:val="auto"/>
                <w:highlight w:val="none"/>
                <w:lang w:eastAsia="zh-CN"/>
              </w:rPr>
            </w:pPr>
            <w:r>
              <w:rPr>
                <w:rFonts w:hint="eastAsia"/>
                <w:color w:val="auto"/>
                <w:highlight w:val="none"/>
              </w:rPr>
              <w:t>（7）统筹管理本次新建的信息系统，以及包括但不限于</w:t>
            </w:r>
            <w:r>
              <w:rPr>
                <w:rFonts w:hint="eastAsia" w:ascii="宋体" w:hAnsi="宋体" w:cs="宋体"/>
                <w:color w:val="auto"/>
                <w:kern w:val="0"/>
                <w:sz w:val="18"/>
                <w:szCs w:val="18"/>
                <w:highlight w:val="none"/>
              </w:rPr>
              <w:t>数字应用安全监测与防护平台</w:t>
            </w:r>
            <w:r>
              <w:rPr>
                <w:rFonts w:hint="eastAsia"/>
                <w:color w:val="auto"/>
                <w:highlight w:val="none"/>
              </w:rPr>
              <w:t>、数据防泄漏系统和采购人指定的需要运维的安全相关系统或平台</w:t>
            </w:r>
            <w:r>
              <w:rPr>
                <w:rFonts w:hint="eastAsia"/>
                <w:color w:val="auto"/>
                <w:highlight w:val="none"/>
                <w:lang w:eastAsia="zh-CN"/>
              </w:rPr>
              <w:t>。</w:t>
            </w:r>
          </w:p>
          <w:p w14:paraId="54342127">
            <w:pPr>
              <w:pStyle w:val="32"/>
              <w:rPr>
                <w:color w:val="auto"/>
                <w:highlight w:val="none"/>
              </w:rPr>
            </w:pPr>
            <w:r>
              <w:rPr>
                <w:color w:val="auto"/>
                <w:highlight w:val="none"/>
              </w:rPr>
              <w:t>2.</w:t>
            </w:r>
            <w:r>
              <w:rPr>
                <w:rFonts w:hint="eastAsia"/>
                <w:color w:val="auto"/>
                <w:highlight w:val="none"/>
              </w:rPr>
              <w:t>工作范围</w:t>
            </w:r>
          </w:p>
          <w:p w14:paraId="0BB378D7">
            <w:pPr>
              <w:pStyle w:val="32"/>
              <w:rPr>
                <w:color w:val="auto"/>
                <w:highlight w:val="none"/>
              </w:rPr>
            </w:pPr>
            <w:r>
              <w:rPr>
                <w:rFonts w:hint="eastAsia"/>
                <w:color w:val="auto"/>
                <w:highlight w:val="none"/>
              </w:rPr>
              <w:t>面向一体化安全运营中心提供运营管理服务。</w:t>
            </w:r>
          </w:p>
          <w:p w14:paraId="0F4E2CC6">
            <w:pPr>
              <w:pStyle w:val="32"/>
              <w:rPr>
                <w:color w:val="auto"/>
                <w:highlight w:val="none"/>
              </w:rPr>
            </w:pPr>
            <w:r>
              <w:rPr>
                <w:color w:val="auto"/>
                <w:highlight w:val="none"/>
              </w:rPr>
              <w:t>3.</w:t>
            </w:r>
            <w:r>
              <w:rPr>
                <w:rFonts w:hint="eastAsia"/>
                <w:color w:val="auto"/>
                <w:highlight w:val="none"/>
              </w:rPr>
              <w:t>工作频次</w:t>
            </w:r>
          </w:p>
          <w:p w14:paraId="61C9FDF4">
            <w:pPr>
              <w:pStyle w:val="32"/>
              <w:rPr>
                <w:color w:val="auto"/>
                <w:highlight w:val="none"/>
              </w:rPr>
            </w:pPr>
            <w:r>
              <w:rPr>
                <w:rFonts w:hint="eastAsia"/>
                <w:color w:val="auto"/>
                <w:highlight w:val="none"/>
              </w:rPr>
              <w:t>现场驻场</w:t>
            </w:r>
            <w:r>
              <w:rPr>
                <w:color w:val="auto"/>
                <w:highlight w:val="none"/>
              </w:rPr>
              <w:t>5</w:t>
            </w:r>
            <w:r>
              <w:rPr>
                <w:rFonts w:hint="eastAsia"/>
                <w:color w:val="auto"/>
                <w:highlight w:val="none"/>
              </w:rPr>
              <w:t>×</w:t>
            </w:r>
            <w:r>
              <w:rPr>
                <w:color w:val="auto"/>
                <w:highlight w:val="none"/>
              </w:rPr>
              <w:t>8</w:t>
            </w:r>
            <w:r>
              <w:rPr>
                <w:rFonts w:hint="eastAsia"/>
                <w:color w:val="auto"/>
                <w:highlight w:val="none"/>
              </w:rPr>
              <w:t>小时，提供常态化的综合运营管理工作支持。</w:t>
            </w:r>
            <w:r>
              <w:rPr>
                <w:color w:val="auto"/>
                <w:highlight w:val="none"/>
              </w:rPr>
              <w:t xml:space="preserve"> </w:t>
            </w:r>
          </w:p>
          <w:p w14:paraId="452541D4">
            <w:pPr>
              <w:pStyle w:val="32"/>
              <w:rPr>
                <w:color w:val="auto"/>
                <w:highlight w:val="none"/>
              </w:rPr>
            </w:pPr>
            <w:r>
              <w:rPr>
                <w:color w:val="auto"/>
                <w:highlight w:val="none"/>
              </w:rPr>
              <w:t>4.</w:t>
            </w:r>
            <w:r>
              <w:rPr>
                <w:rFonts w:hint="eastAsia"/>
                <w:color w:val="auto"/>
                <w:highlight w:val="none"/>
              </w:rPr>
              <w:t>工作交付物</w:t>
            </w:r>
          </w:p>
          <w:p w14:paraId="350C371C">
            <w:pPr>
              <w:pStyle w:val="32"/>
              <w:widowControl/>
              <w:rPr>
                <w:rFonts w:hint="eastAsia"/>
                <w:color w:val="auto"/>
                <w:highlight w:val="none"/>
              </w:rPr>
            </w:pPr>
            <w:r>
              <w:rPr>
                <w:rFonts w:hint="eastAsia"/>
                <w:color w:val="auto"/>
                <w:highlight w:val="none"/>
              </w:rPr>
              <w:t>《安全运营月度报告》、《安全运营季度报告》、《安全运营年度报告》以及其他综合运营管理所需工作报告、材料等。</w:t>
            </w:r>
          </w:p>
          <w:p w14:paraId="3D621466">
            <w:pPr>
              <w:pStyle w:val="32"/>
              <w:rPr>
                <w:rFonts w:hint="eastAsia"/>
                <w:color w:val="auto"/>
                <w:highlight w:val="none"/>
              </w:rPr>
            </w:pPr>
            <w:r>
              <w:rPr>
                <w:rFonts w:hint="eastAsia"/>
                <w:color w:val="auto"/>
                <w:highlight w:val="none"/>
                <w:lang w:val="en-US" w:eastAsia="zh-CN"/>
              </w:rPr>
              <w:t>5.</w:t>
            </w:r>
            <w:r>
              <w:rPr>
                <w:rFonts w:hint="eastAsia"/>
                <w:color w:val="auto"/>
                <w:highlight w:val="none"/>
              </w:rPr>
              <w:t>提供</w:t>
            </w:r>
            <w:r>
              <w:rPr>
                <w:rFonts w:hint="eastAsia" w:ascii="宋体" w:hAnsi="宋体" w:cs="宋体"/>
                <w:color w:val="auto"/>
                <w:kern w:val="0"/>
                <w:sz w:val="18"/>
                <w:szCs w:val="18"/>
                <w:highlight w:val="none"/>
              </w:rPr>
              <w:t>数字应用安全监测与防护平台</w:t>
            </w:r>
            <w:r>
              <w:rPr>
                <w:rFonts w:hint="eastAsia"/>
                <w:color w:val="auto"/>
                <w:highlight w:val="none"/>
              </w:rPr>
              <w:t>运维服务，运维服务内容包括但不限于：</w:t>
            </w:r>
          </w:p>
          <w:p w14:paraId="57C834F8">
            <w:pPr>
              <w:pStyle w:val="32"/>
              <w:rPr>
                <w:rFonts w:hint="eastAsia"/>
                <w:color w:val="auto"/>
                <w:highlight w:val="none"/>
              </w:rPr>
            </w:pPr>
            <w:r>
              <w:rPr>
                <w:rFonts w:hint="eastAsia"/>
                <w:color w:val="auto"/>
                <w:highlight w:val="none"/>
              </w:rPr>
              <w:t>（1）远程协助：提供远程桌面、日志分析、配置排查、环境诊断等技术支持。</w:t>
            </w:r>
          </w:p>
          <w:p w14:paraId="29D97FAC">
            <w:pPr>
              <w:pStyle w:val="32"/>
              <w:rPr>
                <w:rFonts w:hint="eastAsia"/>
                <w:color w:val="auto"/>
                <w:highlight w:val="none"/>
              </w:rPr>
            </w:pPr>
            <w:r>
              <w:rPr>
                <w:rFonts w:hint="eastAsia"/>
                <w:color w:val="auto"/>
                <w:highlight w:val="none"/>
              </w:rPr>
              <w:t>（2）软件维护：包括Bug修复（提供补丁/热补丁）、安全补丁（高危漏洞修复并定期推送）、版本升级（维保期内免费提供小版本及大版本升级）、规则库升级、检测算法升级。</w:t>
            </w:r>
          </w:p>
          <w:p w14:paraId="6A599D1C">
            <w:pPr>
              <w:pStyle w:val="32"/>
              <w:rPr>
                <w:rFonts w:hint="eastAsia"/>
                <w:color w:val="auto"/>
                <w:highlight w:val="none"/>
              </w:rPr>
            </w:pPr>
            <w:r>
              <w:rPr>
                <w:rFonts w:hint="eastAsia"/>
                <w:color w:val="auto"/>
                <w:highlight w:val="none"/>
              </w:rPr>
              <w:t>（3）授权与合规：提供许可续期服务维持软件授权合法有效，以及授权变更、扩容等方面的合规指导。</w:t>
            </w:r>
          </w:p>
          <w:p w14:paraId="7B33C03F">
            <w:pPr>
              <w:pStyle w:val="32"/>
              <w:rPr>
                <w:rFonts w:hint="eastAsia"/>
                <w:color w:val="auto"/>
                <w:highlight w:val="none"/>
              </w:rPr>
            </w:pPr>
            <w:r>
              <w:rPr>
                <w:rFonts w:hint="eastAsia"/>
                <w:color w:val="auto"/>
                <w:highlight w:val="none"/>
              </w:rPr>
              <w:t>（4）配置优化：根据系统运行情况进行配置调优。</w:t>
            </w:r>
          </w:p>
          <w:p w14:paraId="6C207258">
            <w:pPr>
              <w:pStyle w:val="32"/>
              <w:rPr>
                <w:rFonts w:hint="eastAsia"/>
                <w:color w:val="auto"/>
                <w:highlight w:val="none"/>
              </w:rPr>
            </w:pPr>
            <w:r>
              <w:rPr>
                <w:rFonts w:hint="eastAsia"/>
                <w:color w:val="auto"/>
                <w:highlight w:val="none"/>
              </w:rPr>
              <w:t>（5）风险预警：定期进行风险识别与预警。</w:t>
            </w:r>
          </w:p>
          <w:p w14:paraId="3A96C923">
            <w:pPr>
              <w:pStyle w:val="32"/>
              <w:rPr>
                <w:rFonts w:hint="default" w:eastAsia="宋体"/>
                <w:highlight w:val="none"/>
                <w:lang w:val="en-US" w:eastAsia="zh-CN"/>
              </w:rPr>
            </w:pPr>
            <w:r>
              <w:rPr>
                <w:rFonts w:hint="eastAsia"/>
                <w:color w:val="auto"/>
                <w:highlight w:val="none"/>
              </w:rPr>
              <w:t>（6）培训服务：提供管理员、运维人员、用户培训，以及新功能培训和认证服务。</w:t>
            </w:r>
          </w:p>
        </w:tc>
        <w:tc>
          <w:tcPr>
            <w:tcW w:w="145" w:type="pct"/>
            <w:tcBorders>
              <w:top w:val="nil"/>
              <w:left w:val="nil"/>
              <w:bottom w:val="single" w:color="auto" w:sz="4" w:space="0"/>
              <w:right w:val="single" w:color="auto" w:sz="4" w:space="0"/>
            </w:tcBorders>
            <w:noWrap/>
            <w:vAlign w:val="center"/>
          </w:tcPr>
          <w:p w14:paraId="197E2263">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697D48DB">
            <w:pPr>
              <w:widowControl/>
              <w:jc w:val="center"/>
              <w:rPr>
                <w:rFonts w:hint="eastAsia" w:ascii="宋体" w:hAnsi="宋体" w:cs="宋体"/>
                <w:color w:val="auto"/>
                <w:kern w:val="0"/>
                <w:sz w:val="18"/>
                <w:szCs w:val="18"/>
                <w:highlight w:val="none"/>
              </w:rPr>
            </w:pPr>
          </w:p>
        </w:tc>
      </w:tr>
      <w:tr w14:paraId="7BC4D624">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80CB37C">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w:t>
            </w:r>
          </w:p>
        </w:tc>
        <w:tc>
          <w:tcPr>
            <w:tcW w:w="428" w:type="pct"/>
            <w:tcBorders>
              <w:top w:val="nil"/>
              <w:left w:val="nil"/>
              <w:bottom w:val="single" w:color="auto" w:sz="4" w:space="0"/>
              <w:right w:val="single" w:color="auto" w:sz="4" w:space="0"/>
            </w:tcBorders>
            <w:noWrap/>
            <w:vAlign w:val="center"/>
          </w:tcPr>
          <w:p w14:paraId="56CB1216">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专项服务</w:t>
            </w:r>
          </w:p>
        </w:tc>
        <w:tc>
          <w:tcPr>
            <w:tcW w:w="3798" w:type="pct"/>
            <w:gridSpan w:val="2"/>
            <w:tcBorders>
              <w:top w:val="nil"/>
              <w:left w:val="nil"/>
              <w:bottom w:val="single" w:color="auto" w:sz="4" w:space="0"/>
              <w:right w:val="single" w:color="auto" w:sz="4" w:space="0"/>
            </w:tcBorders>
            <w:noWrap/>
            <w:vAlign w:val="center"/>
          </w:tcPr>
          <w:p w14:paraId="28DF8786">
            <w:pPr>
              <w:widowControl/>
              <w:ind w:firstLine="360" w:firstLineChars="200"/>
              <w:jc w:val="left"/>
              <w:rPr>
                <w:rFonts w:hint="eastAsia" w:ascii="宋体" w:hAnsi="宋体" w:cs="宋体"/>
                <w:color w:val="auto"/>
                <w:kern w:val="0"/>
                <w:sz w:val="18"/>
                <w:szCs w:val="18"/>
                <w:highlight w:val="none"/>
              </w:rPr>
            </w:pPr>
            <w:r>
              <w:rPr>
                <w:rFonts w:hint="eastAsia" w:ascii="Times New Roman" w:hAnsi="Times New Roman" w:cs="Times New Roman"/>
                <w:color w:val="auto"/>
                <w:kern w:val="0"/>
                <w:sz w:val="18"/>
                <w:szCs w:val="18"/>
                <w:highlight w:val="none"/>
              </w:rPr>
              <w:t>专项服务是指日常任务之外的安全服务，主要包含渗透测试、安全事件调查取证、A类时期重保服务、B类时期重保服务、数据安全现场检查、攻防演练、安全培训等。</w:t>
            </w:r>
          </w:p>
        </w:tc>
        <w:tc>
          <w:tcPr>
            <w:tcW w:w="145" w:type="pct"/>
            <w:tcBorders>
              <w:top w:val="nil"/>
              <w:left w:val="nil"/>
              <w:bottom w:val="single" w:color="auto" w:sz="4" w:space="0"/>
              <w:right w:val="single" w:color="auto" w:sz="4" w:space="0"/>
            </w:tcBorders>
            <w:noWrap/>
            <w:vAlign w:val="center"/>
          </w:tcPr>
          <w:p w14:paraId="11BC10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noWrap/>
            <w:vAlign w:val="center"/>
          </w:tcPr>
          <w:p w14:paraId="4D86FC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项</w:t>
            </w:r>
          </w:p>
        </w:tc>
      </w:tr>
      <w:tr w14:paraId="32BEC7F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AA2BEA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428" w:type="pct"/>
            <w:tcBorders>
              <w:top w:val="nil"/>
              <w:left w:val="nil"/>
              <w:bottom w:val="single" w:color="auto" w:sz="4" w:space="0"/>
              <w:right w:val="single" w:color="auto" w:sz="4" w:space="0"/>
            </w:tcBorders>
            <w:noWrap/>
            <w:vAlign w:val="center"/>
          </w:tcPr>
          <w:p w14:paraId="7F8937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渗透测试</w:t>
            </w:r>
          </w:p>
        </w:tc>
        <w:tc>
          <w:tcPr>
            <w:tcW w:w="3798" w:type="pct"/>
            <w:gridSpan w:val="2"/>
            <w:tcBorders>
              <w:top w:val="nil"/>
              <w:left w:val="nil"/>
              <w:bottom w:val="single" w:color="auto" w:sz="4" w:space="0"/>
              <w:right w:val="single" w:color="auto" w:sz="4" w:space="0"/>
            </w:tcBorders>
            <w:vAlign w:val="center"/>
          </w:tcPr>
          <w:p w14:paraId="42FF52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每年2次，每次对数据局和信息中心的不小于30套系统开展渗透测试。</w:t>
            </w:r>
          </w:p>
          <w:p w14:paraId="473AB2D2">
            <w:pPr>
              <w:pStyle w:val="32"/>
              <w:rPr>
                <w:color w:val="auto"/>
                <w:highlight w:val="none"/>
              </w:rPr>
            </w:pPr>
            <w:r>
              <w:rPr>
                <w:rFonts w:hint="eastAsia"/>
                <w:color w:val="auto"/>
                <w:highlight w:val="none"/>
              </w:rPr>
              <w:t>通过采用与潜在攻击者相似的思路和流程，对目标业务系统进行渗透测试评估，以识别其中可能存在的薄弱环节。渗透测试评估结果将用于帮助开发和运维团队了解风险点，并提供针对性的加固建议，从而提升系统整体安全性，降低被恶意利用的可能性。</w:t>
            </w:r>
          </w:p>
          <w:p w14:paraId="527133A9">
            <w:pPr>
              <w:pStyle w:val="32"/>
              <w:rPr>
                <w:color w:val="auto"/>
                <w:highlight w:val="none"/>
              </w:rPr>
            </w:pPr>
            <w:r>
              <w:rPr>
                <w:color w:val="auto"/>
                <w:highlight w:val="none"/>
              </w:rPr>
              <w:t>1.</w:t>
            </w:r>
            <w:r>
              <w:rPr>
                <w:rFonts w:hint="eastAsia"/>
                <w:color w:val="auto"/>
                <w:highlight w:val="none"/>
              </w:rPr>
              <w:t>服务内容</w:t>
            </w:r>
          </w:p>
          <w:p w14:paraId="4CCB0969">
            <w:pPr>
              <w:pStyle w:val="32"/>
              <w:rPr>
                <w:color w:val="auto"/>
                <w:highlight w:val="none"/>
              </w:rPr>
            </w:pPr>
            <w:r>
              <w:rPr>
                <w:rFonts w:hint="eastAsia"/>
                <w:color w:val="auto"/>
                <w:highlight w:val="none"/>
              </w:rPr>
              <w:t>以人工渗透结合工具攻击的方式开展，测试方法至少包括：信息收集、端口扫描、远程溢出、口令猜测、本地溢出、客户端攻击、中间人攻击、</w:t>
            </w:r>
            <w:r>
              <w:rPr>
                <w:color w:val="auto"/>
                <w:highlight w:val="none"/>
              </w:rPr>
              <w:t>web</w:t>
            </w:r>
            <w:r>
              <w:rPr>
                <w:rFonts w:hint="eastAsia"/>
                <w:color w:val="auto"/>
                <w:highlight w:val="none"/>
              </w:rPr>
              <w:t>脚本渗透、</w:t>
            </w:r>
            <w:r>
              <w:rPr>
                <w:color w:val="auto"/>
                <w:highlight w:val="none"/>
              </w:rPr>
              <w:t>B/S</w:t>
            </w:r>
            <w:r>
              <w:rPr>
                <w:rFonts w:hint="eastAsia"/>
                <w:color w:val="auto"/>
                <w:highlight w:val="none"/>
              </w:rPr>
              <w:t>应用程序测试等，渗透测试工作完成后输出相应的《渗透测试报告（初测）》，并指导、协助开发、运维人员修复漏洞，待漏洞修复完成后开展回归性复测，输出相应《系统渗透测试报告（复测）》。</w:t>
            </w:r>
          </w:p>
          <w:p w14:paraId="2C22240D">
            <w:pPr>
              <w:pStyle w:val="32"/>
              <w:rPr>
                <w:color w:val="auto"/>
                <w:highlight w:val="none"/>
              </w:rPr>
            </w:pPr>
            <w:r>
              <w:rPr>
                <w:rFonts w:hint="eastAsia"/>
                <w:color w:val="auto"/>
                <w:highlight w:val="none"/>
              </w:rPr>
              <w:t>为确保尽可能</w:t>
            </w:r>
            <w:r>
              <w:rPr>
                <w:rFonts w:hint="eastAsia"/>
                <w:color w:val="auto"/>
                <w:highlight w:val="none"/>
                <w:lang w:val="en-US" w:eastAsia="zh-CN"/>
              </w:rPr>
              <w:t>地</w:t>
            </w:r>
            <w:r>
              <w:rPr>
                <w:rFonts w:hint="eastAsia"/>
                <w:color w:val="auto"/>
                <w:highlight w:val="none"/>
              </w:rPr>
              <w:t>检测和发现潜在的技术漏洞风险，渗透测试至少覆盖如下测试点：</w:t>
            </w:r>
          </w:p>
          <w:p w14:paraId="2AB128E6">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）服务器安全：文件解析代码执行、域传送漏洞、</w:t>
            </w:r>
            <w:r>
              <w:rPr>
                <w:color w:val="auto"/>
                <w:highlight w:val="none"/>
              </w:rPr>
              <w:t>Redis</w:t>
            </w:r>
            <w:r>
              <w:rPr>
                <w:rFonts w:hint="eastAsia"/>
                <w:color w:val="auto"/>
                <w:highlight w:val="none"/>
              </w:rPr>
              <w:t>未授权访问、</w:t>
            </w:r>
            <w:r>
              <w:rPr>
                <w:color w:val="auto"/>
                <w:highlight w:val="none"/>
              </w:rPr>
              <w:t>MongoDB</w:t>
            </w:r>
            <w:r>
              <w:rPr>
                <w:rFonts w:hint="eastAsia"/>
                <w:color w:val="auto"/>
                <w:highlight w:val="none"/>
              </w:rPr>
              <w:t>未授权访问、操作系统弱口令、数据库弱口令、本地权限提升、已存在的脚本木马等测试项；</w:t>
            </w:r>
          </w:p>
          <w:p w14:paraId="3880CD4F">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）网络传输安全：加密方式不安全、使用不安全的</w:t>
            </w:r>
            <w:r>
              <w:rPr>
                <w:color w:val="auto"/>
                <w:highlight w:val="none"/>
              </w:rPr>
              <w:t>telnet</w:t>
            </w:r>
            <w:r>
              <w:rPr>
                <w:rFonts w:hint="eastAsia"/>
                <w:color w:val="auto"/>
                <w:highlight w:val="none"/>
              </w:rPr>
              <w:t>协议等；</w:t>
            </w:r>
          </w:p>
          <w:p w14:paraId="311D8D46">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）中间件安全：中间件配置缺陷、中间件弱口令、</w:t>
            </w:r>
            <w:r>
              <w:rPr>
                <w:color w:val="auto"/>
                <w:highlight w:val="none"/>
              </w:rPr>
              <w:t>Jboss</w:t>
            </w:r>
            <w:r>
              <w:rPr>
                <w:rFonts w:hint="eastAsia"/>
                <w:color w:val="auto"/>
                <w:highlight w:val="none"/>
              </w:rPr>
              <w:t>反序列化命令执行、</w:t>
            </w:r>
            <w:r>
              <w:rPr>
                <w:color w:val="auto"/>
                <w:highlight w:val="none"/>
              </w:rPr>
              <w:t>Websphere</w:t>
            </w:r>
            <w:r>
              <w:rPr>
                <w:rFonts w:hint="eastAsia"/>
                <w:color w:val="auto"/>
                <w:highlight w:val="none"/>
              </w:rPr>
              <w:t>反序列化命令执行、</w:t>
            </w:r>
            <w:r>
              <w:rPr>
                <w:color w:val="auto"/>
                <w:highlight w:val="none"/>
              </w:rPr>
              <w:t>Jenkins</w:t>
            </w:r>
            <w:r>
              <w:rPr>
                <w:rFonts w:hint="eastAsia"/>
                <w:color w:val="auto"/>
                <w:highlight w:val="none"/>
              </w:rPr>
              <w:t>反序列命令执行、</w:t>
            </w:r>
            <w:r>
              <w:rPr>
                <w:color w:val="auto"/>
                <w:highlight w:val="none"/>
              </w:rPr>
              <w:t>JBoss</w:t>
            </w:r>
            <w:r>
              <w:rPr>
                <w:rFonts w:hint="eastAsia"/>
                <w:color w:val="auto"/>
                <w:highlight w:val="none"/>
              </w:rPr>
              <w:t>远程代码执行、</w:t>
            </w:r>
            <w:r>
              <w:rPr>
                <w:color w:val="auto"/>
                <w:highlight w:val="none"/>
              </w:rPr>
              <w:t>Weblogic</w:t>
            </w:r>
            <w:r>
              <w:rPr>
                <w:rFonts w:hint="eastAsia"/>
                <w:color w:val="auto"/>
                <w:highlight w:val="none"/>
              </w:rPr>
              <w:t>反序列化命令执行等测试项；</w:t>
            </w:r>
          </w:p>
          <w:p w14:paraId="6DFF686C">
            <w:pPr>
              <w:pStyle w:val="32"/>
              <w:rPr>
                <w:color w:val="auto"/>
                <w:highlight w:val="none"/>
              </w:rPr>
            </w:pPr>
            <w:r>
              <w:rPr>
                <w:rFonts w:hint="eastAsia"/>
                <w:color w:val="auto"/>
                <w:highlight w:val="none"/>
              </w:rPr>
              <w:t>（</w:t>
            </w:r>
            <w:r>
              <w:rPr>
                <w:color w:val="auto"/>
                <w:highlight w:val="none"/>
              </w:rPr>
              <w:t>4</w:t>
            </w:r>
            <w:r>
              <w:rPr>
                <w:rFonts w:hint="eastAsia"/>
                <w:color w:val="auto"/>
                <w:highlight w:val="none"/>
              </w:rPr>
              <w:t>）</w:t>
            </w:r>
            <w:r>
              <w:rPr>
                <w:color w:val="auto"/>
                <w:highlight w:val="none"/>
              </w:rPr>
              <w:t>Web</w:t>
            </w:r>
            <w:r>
              <w:rPr>
                <w:rFonts w:hint="eastAsia"/>
                <w:color w:val="auto"/>
                <w:highlight w:val="none"/>
              </w:rPr>
              <w:t>安全：信息泄露、</w:t>
            </w:r>
            <w:r>
              <w:rPr>
                <w:color w:val="auto"/>
                <w:highlight w:val="none"/>
              </w:rPr>
              <w:t>SQL</w:t>
            </w:r>
            <w:r>
              <w:rPr>
                <w:rFonts w:hint="eastAsia"/>
                <w:color w:val="auto"/>
                <w:highlight w:val="none"/>
              </w:rPr>
              <w:t>注入、跨站脚本攻击（</w:t>
            </w:r>
            <w:r>
              <w:rPr>
                <w:color w:val="auto"/>
                <w:highlight w:val="none"/>
              </w:rPr>
              <w:t>XSS</w:t>
            </w:r>
            <w:r>
              <w:rPr>
                <w:rFonts w:hint="eastAsia"/>
                <w:color w:val="auto"/>
                <w:highlight w:val="none"/>
              </w:rPr>
              <w:t>）、</w:t>
            </w:r>
            <w:r>
              <w:rPr>
                <w:color w:val="auto"/>
                <w:highlight w:val="none"/>
              </w:rPr>
              <w:t xml:space="preserve">XML </w:t>
            </w:r>
            <w:r>
              <w:rPr>
                <w:rFonts w:hint="eastAsia"/>
                <w:color w:val="auto"/>
                <w:highlight w:val="none"/>
              </w:rPr>
              <w:t>外部实体（</w:t>
            </w:r>
            <w:r>
              <w:rPr>
                <w:color w:val="auto"/>
                <w:highlight w:val="none"/>
              </w:rPr>
              <w:t>XXE</w:t>
            </w:r>
            <w:r>
              <w:rPr>
                <w:rFonts w:hint="eastAsia"/>
                <w:color w:val="auto"/>
                <w:highlight w:val="none"/>
              </w:rPr>
              <w:t>）注入、跨站点伪造请求（</w:t>
            </w:r>
            <w:r>
              <w:rPr>
                <w:color w:val="auto"/>
                <w:highlight w:val="none"/>
              </w:rPr>
              <w:t>CSRF</w:t>
            </w:r>
            <w:r>
              <w:rPr>
                <w:rFonts w:hint="eastAsia"/>
                <w:color w:val="auto"/>
                <w:highlight w:val="none"/>
              </w:rPr>
              <w:t>）、服务器端请求伪造（</w:t>
            </w:r>
            <w:r>
              <w:rPr>
                <w:color w:val="auto"/>
                <w:highlight w:val="none"/>
              </w:rPr>
              <w:t>SSRF</w:t>
            </w:r>
            <w:r>
              <w:rPr>
                <w:rFonts w:hint="eastAsia"/>
                <w:color w:val="auto"/>
                <w:highlight w:val="none"/>
              </w:rPr>
              <w:t>）、任意文件上传、任意文件下载或读取、任意目录遍历、</w:t>
            </w:r>
            <w:r>
              <w:rPr>
                <w:color w:val="auto"/>
                <w:highlight w:val="none"/>
              </w:rPr>
              <w:t>svn/.git</w:t>
            </w:r>
            <w:r>
              <w:rPr>
                <w:rFonts w:hint="eastAsia"/>
                <w:color w:val="auto"/>
                <w:highlight w:val="none"/>
              </w:rPr>
              <w:t>源代码泄露、</w:t>
            </w:r>
            <w:r>
              <w:rPr>
                <w:color w:val="auto"/>
                <w:highlight w:val="none"/>
              </w:rPr>
              <w:t>CRLF</w:t>
            </w:r>
            <w:r>
              <w:rPr>
                <w:rFonts w:hint="eastAsia"/>
                <w:color w:val="auto"/>
                <w:highlight w:val="none"/>
              </w:rPr>
              <w:t>注入、命令执行注入、</w:t>
            </w:r>
            <w:r>
              <w:rPr>
                <w:color w:val="auto"/>
                <w:highlight w:val="none"/>
              </w:rPr>
              <w:t>URL</w:t>
            </w:r>
            <w:r>
              <w:rPr>
                <w:rFonts w:hint="eastAsia"/>
                <w:color w:val="auto"/>
                <w:highlight w:val="none"/>
              </w:rPr>
              <w:t>重定向、</w:t>
            </w:r>
            <w:r>
              <w:rPr>
                <w:color w:val="auto"/>
                <w:highlight w:val="none"/>
              </w:rPr>
              <w:t>Json</w:t>
            </w:r>
            <w:r>
              <w:rPr>
                <w:rFonts w:hint="eastAsia"/>
                <w:color w:val="auto"/>
                <w:highlight w:val="none"/>
              </w:rPr>
              <w:t>劫持、第三方组件安全、本地</w:t>
            </w:r>
            <w:r>
              <w:rPr>
                <w:color w:val="auto"/>
                <w:highlight w:val="none"/>
              </w:rPr>
              <w:t>/</w:t>
            </w:r>
            <w:r>
              <w:rPr>
                <w:rFonts w:hint="eastAsia"/>
                <w:color w:val="auto"/>
                <w:highlight w:val="none"/>
              </w:rPr>
              <w:t>远程文件包含、任意代码执行、</w:t>
            </w:r>
            <w:r>
              <w:rPr>
                <w:color w:val="auto"/>
                <w:highlight w:val="none"/>
              </w:rPr>
              <w:t>Struts2</w:t>
            </w:r>
            <w:r>
              <w:rPr>
                <w:rFonts w:hint="eastAsia"/>
                <w:color w:val="auto"/>
                <w:highlight w:val="none"/>
              </w:rPr>
              <w:t>远程命令执行、</w:t>
            </w:r>
            <w:r>
              <w:rPr>
                <w:color w:val="auto"/>
                <w:highlight w:val="none"/>
              </w:rPr>
              <w:t>Spring</w:t>
            </w:r>
            <w:r>
              <w:rPr>
                <w:rFonts w:hint="eastAsia"/>
                <w:color w:val="auto"/>
                <w:highlight w:val="none"/>
              </w:rPr>
              <w:t>远程命令执行、反序列化命令执行等测试项；</w:t>
            </w:r>
          </w:p>
          <w:p w14:paraId="56168F12">
            <w:pPr>
              <w:pStyle w:val="32"/>
              <w:rPr>
                <w:color w:val="auto"/>
                <w:highlight w:val="none"/>
              </w:rPr>
            </w:pPr>
            <w:r>
              <w:rPr>
                <w:rFonts w:hint="eastAsia"/>
                <w:color w:val="auto"/>
                <w:highlight w:val="none"/>
              </w:rPr>
              <w:t>（</w:t>
            </w:r>
            <w:r>
              <w:rPr>
                <w:color w:val="auto"/>
                <w:highlight w:val="none"/>
              </w:rPr>
              <w:t>5</w:t>
            </w:r>
            <w:r>
              <w:rPr>
                <w:rFonts w:hint="eastAsia"/>
                <w:color w:val="auto"/>
                <w:highlight w:val="none"/>
              </w:rPr>
              <w:t>）业务逻辑安全：用户名枚举、验证码缺陷、用户密码枚举、用户弱口令、会话标志固定攻击、输入合法性验证、平行越权访问、垂直越权访问、未授权访问、业务逻辑漏洞、业务数据篡改等测试项；</w:t>
            </w:r>
          </w:p>
          <w:p w14:paraId="486453DD">
            <w:pPr>
              <w:pStyle w:val="32"/>
              <w:rPr>
                <w:color w:val="auto"/>
                <w:highlight w:val="none"/>
              </w:rPr>
            </w:pPr>
            <w:r>
              <w:rPr>
                <w:rFonts w:hint="eastAsia"/>
                <w:color w:val="auto"/>
                <w:highlight w:val="none"/>
              </w:rPr>
              <w:t>（</w:t>
            </w:r>
            <w:r>
              <w:rPr>
                <w:color w:val="auto"/>
                <w:highlight w:val="none"/>
              </w:rPr>
              <w:t>6</w:t>
            </w:r>
            <w:r>
              <w:rPr>
                <w:rFonts w:hint="eastAsia"/>
                <w:color w:val="auto"/>
                <w:highlight w:val="none"/>
              </w:rPr>
              <w:t>）其他漏洞测试：热门高危漏洞、历史通报漏洞等。</w:t>
            </w:r>
          </w:p>
          <w:p w14:paraId="30EEF856">
            <w:pPr>
              <w:pStyle w:val="32"/>
              <w:rPr>
                <w:color w:val="auto"/>
                <w:highlight w:val="none"/>
              </w:rPr>
            </w:pPr>
            <w:r>
              <w:rPr>
                <w:color w:val="auto"/>
                <w:highlight w:val="none"/>
              </w:rPr>
              <w:t>2.</w:t>
            </w:r>
            <w:r>
              <w:rPr>
                <w:rFonts w:hint="eastAsia"/>
                <w:color w:val="auto"/>
                <w:highlight w:val="none"/>
              </w:rPr>
              <w:t>工作范围</w:t>
            </w:r>
          </w:p>
          <w:p w14:paraId="7ABF4592">
            <w:pPr>
              <w:pStyle w:val="32"/>
              <w:rPr>
                <w:color w:val="auto"/>
                <w:highlight w:val="none"/>
              </w:rPr>
            </w:pPr>
            <w:r>
              <w:rPr>
                <w:rFonts w:hint="eastAsia"/>
                <w:color w:val="auto"/>
                <w:highlight w:val="none"/>
              </w:rPr>
              <w:t>对自治区大数据发展局和自治区信息中心，不少于</w:t>
            </w:r>
            <w:r>
              <w:rPr>
                <w:color w:val="auto"/>
                <w:highlight w:val="none"/>
              </w:rPr>
              <w:t>30</w:t>
            </w:r>
            <w:r>
              <w:rPr>
                <w:rFonts w:hint="eastAsia"/>
                <w:color w:val="auto"/>
                <w:highlight w:val="none"/>
              </w:rPr>
              <w:t>套信息系统（不包括子系统）开展渗透测试。</w:t>
            </w:r>
          </w:p>
          <w:p w14:paraId="54DC3909">
            <w:pPr>
              <w:pStyle w:val="32"/>
              <w:rPr>
                <w:color w:val="auto"/>
                <w:highlight w:val="none"/>
              </w:rPr>
            </w:pPr>
            <w:r>
              <w:rPr>
                <w:color w:val="auto"/>
                <w:highlight w:val="none"/>
              </w:rPr>
              <w:t>3.</w:t>
            </w:r>
            <w:r>
              <w:rPr>
                <w:rFonts w:hint="eastAsia"/>
                <w:color w:val="auto"/>
                <w:highlight w:val="none"/>
              </w:rPr>
              <w:t>工作频次</w:t>
            </w:r>
          </w:p>
          <w:p w14:paraId="7AD16895">
            <w:pPr>
              <w:pStyle w:val="32"/>
              <w:rPr>
                <w:color w:val="auto"/>
                <w:highlight w:val="none"/>
              </w:rPr>
            </w:pPr>
            <w:r>
              <w:rPr>
                <w:rFonts w:hint="eastAsia"/>
                <w:color w:val="auto"/>
                <w:highlight w:val="none"/>
              </w:rPr>
              <w:t>每年</w:t>
            </w:r>
            <w:r>
              <w:rPr>
                <w:color w:val="auto"/>
                <w:highlight w:val="none"/>
              </w:rPr>
              <w:t>2</w:t>
            </w:r>
            <w:r>
              <w:rPr>
                <w:rFonts w:hint="eastAsia"/>
                <w:color w:val="auto"/>
                <w:highlight w:val="none"/>
              </w:rPr>
              <w:t>次，每次实施需要包含初测、复测。</w:t>
            </w:r>
          </w:p>
          <w:p w14:paraId="59ABB3CE">
            <w:pPr>
              <w:pStyle w:val="32"/>
              <w:rPr>
                <w:color w:val="auto"/>
                <w:highlight w:val="none"/>
              </w:rPr>
            </w:pPr>
            <w:r>
              <w:rPr>
                <w:color w:val="auto"/>
                <w:highlight w:val="none"/>
              </w:rPr>
              <w:t>4.</w:t>
            </w:r>
            <w:r>
              <w:rPr>
                <w:rFonts w:hint="eastAsia"/>
                <w:color w:val="auto"/>
                <w:highlight w:val="none"/>
              </w:rPr>
              <w:t>工作交付物</w:t>
            </w:r>
          </w:p>
          <w:p w14:paraId="0D51A3B0">
            <w:pPr>
              <w:pStyle w:val="32"/>
              <w:widowControl/>
              <w:rPr>
                <w:rFonts w:hint="eastAsia" w:ascii="宋体" w:hAnsi="宋体" w:cs="宋体"/>
                <w:color w:val="auto"/>
                <w:highlight w:val="none"/>
              </w:rPr>
            </w:pPr>
            <w:r>
              <w:rPr>
                <w:rFonts w:hint="eastAsia"/>
                <w:color w:val="auto"/>
                <w:highlight w:val="none"/>
              </w:rPr>
              <w:t>《系统渗透测试报告（初测）》、《系统渗透测试报告（复测）》。</w:t>
            </w:r>
          </w:p>
        </w:tc>
        <w:tc>
          <w:tcPr>
            <w:tcW w:w="145" w:type="pct"/>
            <w:tcBorders>
              <w:top w:val="nil"/>
              <w:left w:val="nil"/>
              <w:bottom w:val="single" w:color="auto" w:sz="4" w:space="0"/>
              <w:right w:val="single" w:color="auto" w:sz="4" w:space="0"/>
            </w:tcBorders>
            <w:noWrap/>
            <w:vAlign w:val="center"/>
          </w:tcPr>
          <w:p w14:paraId="1B93D221">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448DBC82">
            <w:pPr>
              <w:widowControl/>
              <w:jc w:val="center"/>
              <w:rPr>
                <w:rFonts w:hint="eastAsia" w:ascii="宋体" w:hAnsi="宋体" w:cs="宋体"/>
                <w:color w:val="auto"/>
                <w:kern w:val="0"/>
                <w:sz w:val="18"/>
                <w:szCs w:val="18"/>
                <w:highlight w:val="none"/>
              </w:rPr>
            </w:pPr>
          </w:p>
        </w:tc>
      </w:tr>
      <w:tr w14:paraId="2C3A5F4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8B3532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428" w:type="pct"/>
            <w:tcBorders>
              <w:top w:val="nil"/>
              <w:left w:val="nil"/>
              <w:bottom w:val="single" w:color="auto" w:sz="4" w:space="0"/>
              <w:right w:val="single" w:color="auto" w:sz="4" w:space="0"/>
            </w:tcBorders>
            <w:noWrap/>
            <w:vAlign w:val="center"/>
          </w:tcPr>
          <w:p w14:paraId="51EB9F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安全事件调查取证</w:t>
            </w:r>
          </w:p>
        </w:tc>
        <w:tc>
          <w:tcPr>
            <w:tcW w:w="3798" w:type="pct"/>
            <w:gridSpan w:val="2"/>
            <w:tcBorders>
              <w:top w:val="nil"/>
              <w:left w:val="nil"/>
              <w:bottom w:val="single" w:color="auto" w:sz="4" w:space="0"/>
              <w:right w:val="single" w:color="auto" w:sz="4" w:space="0"/>
            </w:tcBorders>
            <w:vAlign w:val="center"/>
          </w:tcPr>
          <w:p w14:paraId="1D68BA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每年5次，每次取证3天，每次事件需要2名数据分析师，含工具、差旅等支出。</w:t>
            </w:r>
          </w:p>
          <w:p w14:paraId="506B9360">
            <w:pPr>
              <w:pStyle w:val="32"/>
              <w:rPr>
                <w:color w:val="auto"/>
                <w:highlight w:val="none"/>
              </w:rPr>
            </w:pPr>
            <w:r>
              <w:rPr>
                <w:rFonts w:hint="eastAsia"/>
                <w:color w:val="auto"/>
                <w:highlight w:val="none"/>
              </w:rPr>
              <w:t>以经验丰富的应急响应专家为支撑，依托溯源分析平台、安全运营服务平台及各类安全监测系统及设备，形成了全面的调查取证技术支撑基础，在发生安全事件时，快速定位问题根源，以保障业务的安全运行和生产；同时协助保护现场环境，做好相关证据固定，为后续立案提供法律依据。</w:t>
            </w:r>
          </w:p>
          <w:p w14:paraId="23462511">
            <w:pPr>
              <w:pStyle w:val="32"/>
              <w:rPr>
                <w:color w:val="auto"/>
                <w:highlight w:val="none"/>
              </w:rPr>
            </w:pPr>
          </w:p>
          <w:p w14:paraId="5AF0CF69">
            <w:pPr>
              <w:pStyle w:val="32"/>
              <w:rPr>
                <w:color w:val="auto"/>
                <w:highlight w:val="none"/>
              </w:rPr>
            </w:pPr>
            <w:r>
              <w:rPr>
                <w:color w:val="auto"/>
                <w:highlight w:val="none"/>
              </w:rPr>
              <w:t>1.</w:t>
            </w:r>
            <w:r>
              <w:rPr>
                <w:rFonts w:hint="eastAsia"/>
                <w:color w:val="auto"/>
                <w:highlight w:val="none"/>
              </w:rPr>
              <w:t>工作内容</w:t>
            </w:r>
          </w:p>
          <w:p w14:paraId="463E0455">
            <w:pPr>
              <w:pStyle w:val="32"/>
              <w:rPr>
                <w:color w:val="auto"/>
                <w:highlight w:val="none"/>
              </w:rPr>
            </w:pPr>
            <w:r>
              <w:rPr>
                <w:rFonts w:hint="eastAsia"/>
                <w:color w:val="auto"/>
                <w:highlight w:val="none"/>
              </w:rPr>
              <w:t>对广西电子政务外网、政务云业务系统提供网络和数据安全事件调查取证服务，根据安全事件的类型和级别，由二线应急响应工程师</w:t>
            </w:r>
            <w:r>
              <w:rPr>
                <w:color w:val="auto"/>
                <w:highlight w:val="none"/>
              </w:rPr>
              <w:t>/</w:t>
            </w:r>
            <w:r>
              <w:rPr>
                <w:rFonts w:hint="eastAsia"/>
                <w:color w:val="auto"/>
                <w:highlight w:val="none"/>
              </w:rPr>
              <w:t>数据分析师提供专业的事件响应及调查取证服务，包括安全事件应急响应、溯源取证等。</w:t>
            </w:r>
          </w:p>
          <w:p w14:paraId="15D7D1D8">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）安全事件应急响应要求</w:t>
            </w:r>
          </w:p>
          <w:p w14:paraId="3AEC75A5">
            <w:pPr>
              <w:pStyle w:val="32"/>
              <w:rPr>
                <w:color w:val="auto"/>
                <w:highlight w:val="none"/>
              </w:rPr>
            </w:pPr>
            <w:r>
              <w:rPr>
                <w:rFonts w:hint="eastAsia"/>
                <w:color w:val="auto"/>
                <w:highlight w:val="none"/>
              </w:rPr>
              <w:t>在遇到突发安全事件后采取专业的安全措施和行动，并对已经发生的安全事件进行监控、分析、协调、处理、保护资产等安全工作，第一时间采取紧急措施，恢复目标系统业务正常运行，控制事态，消除隐患，同时组织研判，事件处置和恢复。</w:t>
            </w:r>
          </w:p>
          <w:p w14:paraId="3C8A82AE">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）溯源取证要求</w:t>
            </w:r>
          </w:p>
          <w:p w14:paraId="3D06F930">
            <w:pPr>
              <w:pStyle w:val="32"/>
              <w:rPr>
                <w:color w:val="auto"/>
                <w:highlight w:val="none"/>
              </w:rPr>
            </w:pPr>
            <w:r>
              <w:rPr>
                <w:rFonts w:hint="eastAsia"/>
                <w:color w:val="auto"/>
                <w:highlight w:val="none"/>
              </w:rPr>
              <w:t>在发生安全事件时，指派经验丰富的应急响应专家</w:t>
            </w:r>
            <w:r>
              <w:rPr>
                <w:color w:val="auto"/>
                <w:highlight w:val="none"/>
              </w:rPr>
              <w:t>/</w:t>
            </w:r>
            <w:r>
              <w:rPr>
                <w:rFonts w:hint="eastAsia"/>
                <w:color w:val="auto"/>
                <w:highlight w:val="none"/>
              </w:rPr>
              <w:t>数据分析师支撑，依托溯源分析平台、安全运营服务平台及各类安全监测系统及设备，快速定位问题根源，以保障业务的安全运行和生产；同时协助保护现场环境，做好相关证据固定，为后续立案提供法律依据。</w:t>
            </w:r>
          </w:p>
          <w:p w14:paraId="234EAFD4">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）溯源分析包含网络溯源、样本溯源等。</w:t>
            </w:r>
          </w:p>
          <w:p w14:paraId="73B1A44B">
            <w:pPr>
              <w:pStyle w:val="32"/>
              <w:rPr>
                <w:color w:val="auto"/>
                <w:highlight w:val="none"/>
              </w:rPr>
            </w:pPr>
            <w:r>
              <w:rPr>
                <w:color w:val="auto"/>
                <w:highlight w:val="none"/>
              </w:rPr>
              <w:t>a.</w:t>
            </w:r>
            <w:r>
              <w:rPr>
                <w:rFonts w:hint="eastAsia"/>
                <w:color w:val="auto"/>
                <w:highlight w:val="none"/>
              </w:rPr>
              <w:t>网络溯源</w:t>
            </w:r>
          </w:p>
          <w:p w14:paraId="3504976F">
            <w:pPr>
              <w:pStyle w:val="32"/>
              <w:rPr>
                <w:color w:val="auto"/>
                <w:highlight w:val="none"/>
              </w:rPr>
            </w:pPr>
            <w:r>
              <w:rPr>
                <w:rFonts w:hint="eastAsia"/>
                <w:color w:val="auto"/>
                <w:highlight w:val="none"/>
              </w:rPr>
              <w:t>针对网络攻击如：</w:t>
            </w:r>
            <w:r>
              <w:rPr>
                <w:color w:val="auto"/>
                <w:highlight w:val="none"/>
              </w:rPr>
              <w:t>web</w:t>
            </w:r>
            <w:r>
              <w:rPr>
                <w:rFonts w:hint="eastAsia"/>
                <w:color w:val="auto"/>
                <w:highlight w:val="none"/>
              </w:rPr>
              <w:t>攻击、</w:t>
            </w:r>
            <w:r>
              <w:rPr>
                <w:color w:val="auto"/>
                <w:highlight w:val="none"/>
              </w:rPr>
              <w:t>sql</w:t>
            </w:r>
            <w:r>
              <w:rPr>
                <w:rFonts w:hint="eastAsia"/>
                <w:color w:val="auto"/>
                <w:highlight w:val="none"/>
              </w:rPr>
              <w:t>注入、</w:t>
            </w:r>
            <w:r>
              <w:rPr>
                <w:color w:val="auto"/>
                <w:highlight w:val="none"/>
              </w:rPr>
              <w:t>xss</w:t>
            </w:r>
            <w:r>
              <w:rPr>
                <w:rFonts w:hint="eastAsia"/>
                <w:color w:val="auto"/>
                <w:highlight w:val="none"/>
              </w:rPr>
              <w:t>、命令执行、公开的框架漏洞攻击等攻击特征开展网络溯源，溯源攻击源</w:t>
            </w:r>
            <w:r>
              <w:rPr>
                <w:color w:val="auto"/>
                <w:highlight w:val="none"/>
              </w:rPr>
              <w:t>IP</w:t>
            </w:r>
            <w:r>
              <w:rPr>
                <w:rFonts w:hint="eastAsia"/>
                <w:color w:val="auto"/>
                <w:highlight w:val="none"/>
              </w:rPr>
              <w:t>、攻击路径、攻击者画像等。</w:t>
            </w:r>
          </w:p>
          <w:p w14:paraId="38167C5F">
            <w:pPr>
              <w:pStyle w:val="32"/>
              <w:rPr>
                <w:color w:val="auto"/>
                <w:highlight w:val="none"/>
              </w:rPr>
            </w:pPr>
            <w:r>
              <w:rPr>
                <w:color w:val="auto"/>
                <w:highlight w:val="none"/>
              </w:rPr>
              <w:t>b.</w:t>
            </w:r>
            <w:r>
              <w:rPr>
                <w:rFonts w:hint="eastAsia"/>
                <w:color w:val="auto"/>
                <w:highlight w:val="none"/>
              </w:rPr>
              <w:t>样本溯源</w:t>
            </w:r>
          </w:p>
          <w:p w14:paraId="4FD34869">
            <w:pPr>
              <w:pStyle w:val="32"/>
              <w:rPr>
                <w:color w:val="auto"/>
                <w:highlight w:val="none"/>
              </w:rPr>
            </w:pPr>
            <w:r>
              <w:rPr>
                <w:rFonts w:hint="eastAsia"/>
                <w:color w:val="auto"/>
                <w:highlight w:val="none"/>
              </w:rPr>
              <w:t>针对钓鱼邮件，病毒木马类攻击开展样本溯源分析服务，对恶意邮件附件中携带恶意文件（如可执行文件、恶意跳转链接）、潜伏在服务器中的木马病毒程序、网络攻击载荷中夹杂的第三方黑域名链接等恶意文件开展溯源分析，通过文件静态分析或者沙箱动态分析等方式，分析恶意样本中隐藏的真实攻击源、</w:t>
            </w:r>
            <w:r>
              <w:rPr>
                <w:color w:val="auto"/>
                <w:highlight w:val="none"/>
              </w:rPr>
              <w:t>C&amp;C</w:t>
            </w:r>
            <w:r>
              <w:rPr>
                <w:rFonts w:hint="eastAsia"/>
                <w:color w:val="auto"/>
                <w:highlight w:val="none"/>
              </w:rPr>
              <w:t>服务器地址等关键信息，再通过相关手段还原攻击链。</w:t>
            </w:r>
          </w:p>
          <w:p w14:paraId="023393FB">
            <w:pPr>
              <w:pStyle w:val="32"/>
              <w:rPr>
                <w:color w:val="auto"/>
                <w:highlight w:val="none"/>
              </w:rPr>
            </w:pPr>
            <w:r>
              <w:rPr>
                <w:color w:val="auto"/>
                <w:highlight w:val="none"/>
              </w:rPr>
              <w:t>2.</w:t>
            </w:r>
            <w:r>
              <w:rPr>
                <w:rFonts w:hint="eastAsia"/>
                <w:color w:val="auto"/>
                <w:highlight w:val="none"/>
              </w:rPr>
              <w:t>工作范围</w:t>
            </w:r>
          </w:p>
          <w:p w14:paraId="48AC031C">
            <w:pPr>
              <w:pStyle w:val="32"/>
              <w:rPr>
                <w:color w:val="auto"/>
                <w:highlight w:val="none"/>
              </w:rPr>
            </w:pPr>
            <w:r>
              <w:rPr>
                <w:rFonts w:hint="eastAsia"/>
                <w:color w:val="auto"/>
                <w:highlight w:val="none"/>
              </w:rPr>
              <w:t>广西电子政务外网、政务云业务系统发生的网络安全事件调查取证。</w:t>
            </w:r>
          </w:p>
          <w:p w14:paraId="579A53B3">
            <w:pPr>
              <w:pStyle w:val="32"/>
              <w:rPr>
                <w:color w:val="auto"/>
                <w:highlight w:val="none"/>
              </w:rPr>
            </w:pPr>
            <w:r>
              <w:rPr>
                <w:color w:val="auto"/>
                <w:highlight w:val="none"/>
              </w:rPr>
              <w:t>3.</w:t>
            </w:r>
            <w:r>
              <w:rPr>
                <w:rFonts w:hint="eastAsia"/>
                <w:color w:val="auto"/>
                <w:highlight w:val="none"/>
              </w:rPr>
              <w:t>工作频次</w:t>
            </w:r>
          </w:p>
          <w:p w14:paraId="1C41E98F">
            <w:pPr>
              <w:pStyle w:val="32"/>
              <w:rPr>
                <w:color w:val="auto"/>
                <w:highlight w:val="none"/>
              </w:rPr>
            </w:pPr>
            <w:r>
              <w:rPr>
                <w:rFonts w:hint="eastAsia"/>
                <w:color w:val="auto"/>
                <w:highlight w:val="none"/>
              </w:rPr>
              <w:t>每年提供不少于</w:t>
            </w:r>
            <w:r>
              <w:rPr>
                <w:color w:val="auto"/>
                <w:highlight w:val="none"/>
              </w:rPr>
              <w:t>5</w:t>
            </w:r>
            <w:r>
              <w:rPr>
                <w:rFonts w:hint="eastAsia"/>
                <w:color w:val="auto"/>
                <w:highlight w:val="none"/>
              </w:rPr>
              <w:t>次，每次取证投入不少于</w:t>
            </w:r>
            <w:r>
              <w:rPr>
                <w:color w:val="auto"/>
                <w:highlight w:val="none"/>
              </w:rPr>
              <w:t>3</w:t>
            </w:r>
            <w:r>
              <w:rPr>
                <w:rFonts w:hint="eastAsia"/>
                <w:color w:val="auto"/>
                <w:highlight w:val="none"/>
              </w:rPr>
              <w:t>天，每次事件需要</w:t>
            </w:r>
            <w:r>
              <w:rPr>
                <w:color w:val="auto"/>
                <w:highlight w:val="none"/>
              </w:rPr>
              <w:t>2</w:t>
            </w:r>
            <w:r>
              <w:rPr>
                <w:rFonts w:hint="eastAsia"/>
                <w:color w:val="auto"/>
                <w:highlight w:val="none"/>
              </w:rPr>
              <w:t>名数据分析师。</w:t>
            </w:r>
          </w:p>
          <w:p w14:paraId="6E06CED1">
            <w:pPr>
              <w:pStyle w:val="32"/>
              <w:rPr>
                <w:color w:val="auto"/>
                <w:highlight w:val="none"/>
              </w:rPr>
            </w:pPr>
            <w:r>
              <w:rPr>
                <w:color w:val="auto"/>
                <w:highlight w:val="none"/>
              </w:rPr>
              <w:t>4.</w:t>
            </w:r>
            <w:r>
              <w:rPr>
                <w:rFonts w:hint="eastAsia"/>
                <w:color w:val="auto"/>
                <w:highlight w:val="none"/>
              </w:rPr>
              <w:t>工作交付物</w:t>
            </w:r>
          </w:p>
          <w:p w14:paraId="7195CE48">
            <w:pPr>
              <w:pStyle w:val="32"/>
              <w:widowControl/>
              <w:rPr>
                <w:rFonts w:hint="eastAsia" w:ascii="宋体" w:hAnsi="宋体" w:cs="宋体"/>
                <w:color w:val="auto"/>
                <w:highlight w:val="none"/>
              </w:rPr>
            </w:pPr>
            <w:r>
              <w:rPr>
                <w:rFonts w:hint="eastAsia"/>
                <w:color w:val="auto"/>
                <w:highlight w:val="none"/>
              </w:rPr>
              <w:t>每次安全事件调查取证后需输出《安全事件调查取证报告》。</w:t>
            </w:r>
          </w:p>
        </w:tc>
        <w:tc>
          <w:tcPr>
            <w:tcW w:w="145" w:type="pct"/>
            <w:tcBorders>
              <w:top w:val="nil"/>
              <w:left w:val="nil"/>
              <w:bottom w:val="single" w:color="auto" w:sz="4" w:space="0"/>
              <w:right w:val="single" w:color="auto" w:sz="4" w:space="0"/>
            </w:tcBorders>
            <w:noWrap/>
            <w:vAlign w:val="center"/>
          </w:tcPr>
          <w:p w14:paraId="1C43FC74">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23B12666">
            <w:pPr>
              <w:widowControl/>
              <w:jc w:val="center"/>
              <w:rPr>
                <w:rFonts w:hint="eastAsia" w:ascii="宋体" w:hAnsi="宋体" w:cs="宋体"/>
                <w:color w:val="auto"/>
                <w:kern w:val="0"/>
                <w:sz w:val="18"/>
                <w:szCs w:val="18"/>
                <w:highlight w:val="none"/>
              </w:rPr>
            </w:pPr>
          </w:p>
        </w:tc>
      </w:tr>
      <w:tr w14:paraId="16F3F03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ADE00B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428" w:type="pct"/>
            <w:tcBorders>
              <w:top w:val="nil"/>
              <w:left w:val="nil"/>
              <w:bottom w:val="single" w:color="auto" w:sz="4" w:space="0"/>
              <w:right w:val="single" w:color="auto" w:sz="4" w:space="0"/>
            </w:tcBorders>
            <w:noWrap/>
            <w:vAlign w:val="center"/>
          </w:tcPr>
          <w:p w14:paraId="3C57F2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A类时期重保服务。</w:t>
            </w:r>
          </w:p>
        </w:tc>
        <w:tc>
          <w:tcPr>
            <w:tcW w:w="3798" w:type="pct"/>
            <w:gridSpan w:val="2"/>
            <w:tcBorders>
              <w:top w:val="nil"/>
              <w:left w:val="nil"/>
              <w:bottom w:val="single" w:color="auto" w:sz="4" w:space="0"/>
              <w:right w:val="single" w:color="auto" w:sz="4" w:space="0"/>
            </w:tcBorders>
            <w:vAlign w:val="center"/>
          </w:tcPr>
          <w:p w14:paraId="379FC0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至少</w:t>
            </w:r>
            <w:r>
              <w:rPr>
                <w:rFonts w:hint="eastAsia" w:ascii="宋体" w:hAnsi="宋体" w:cs="宋体"/>
                <w:color w:val="auto"/>
                <w:kern w:val="0"/>
                <w:sz w:val="18"/>
                <w:szCs w:val="18"/>
                <w:highlight w:val="none"/>
              </w:rPr>
              <w:t>提前3个月启动包括重保时期安全方案编制，以及针对重点防守目标系统的互联网资产发现、系统及资产梳理、漏洞扫描、基线检查、渗透测试、风险评估、安全加固、实战攻防预演等重保前安全检查，以及重保期间提供不少于10人（</w:t>
            </w:r>
            <w:r>
              <w:rPr>
                <w:rFonts w:hint="eastAsia" w:ascii="宋体" w:hAnsi="宋体" w:cs="宋体"/>
                <w:color w:val="auto"/>
                <w:kern w:val="0"/>
                <w:sz w:val="18"/>
                <w:szCs w:val="18"/>
                <w:highlight w:val="none"/>
                <w:lang w:val="en-US" w:eastAsia="zh-CN"/>
              </w:rPr>
              <w:t>除18位安全运营人员以外</w:t>
            </w:r>
            <w:r>
              <w:rPr>
                <w:rFonts w:hint="eastAsia" w:ascii="宋体" w:hAnsi="宋体" w:cs="宋体"/>
                <w:color w:val="auto"/>
                <w:kern w:val="0"/>
                <w:sz w:val="18"/>
                <w:szCs w:val="18"/>
                <w:highlight w:val="none"/>
              </w:rPr>
              <w:t>）的7*24小时现场重保值守。每年提供不少于2次，A 类重保启动场景包括但不限于：1.由我区承接的国际重要会议，对国家有重要的政治意义或经济意义，并有我国领导人参会；2.我国国内的政治性、有标志性意义重要会议，并有我国领导人领导参会；3、自治区信息中心参加国家级实战攻防演习。</w:t>
            </w:r>
          </w:p>
          <w:p w14:paraId="075E862B">
            <w:pPr>
              <w:pStyle w:val="32"/>
              <w:rPr>
                <w:color w:val="auto"/>
                <w:highlight w:val="none"/>
              </w:rPr>
            </w:pPr>
            <w:r>
              <w:rPr>
                <w:color w:val="auto"/>
                <w:highlight w:val="none"/>
              </w:rPr>
              <w:t>1.</w:t>
            </w:r>
            <w:r>
              <w:rPr>
                <w:rFonts w:hint="eastAsia"/>
                <w:color w:val="auto"/>
                <w:highlight w:val="none"/>
              </w:rPr>
              <w:t>工作内容</w:t>
            </w:r>
          </w:p>
          <w:p w14:paraId="04659D96">
            <w:pPr>
              <w:pStyle w:val="32"/>
              <w:rPr>
                <w:color w:val="auto"/>
                <w:highlight w:val="none"/>
              </w:rPr>
            </w:pPr>
            <w:r>
              <w:rPr>
                <w:rFonts w:hint="eastAsia"/>
                <w:color w:val="auto"/>
                <w:highlight w:val="none"/>
              </w:rPr>
              <w:t>需提前</w:t>
            </w:r>
            <w:r>
              <w:rPr>
                <w:color w:val="auto"/>
                <w:highlight w:val="none"/>
              </w:rPr>
              <w:t>3</w:t>
            </w:r>
            <w:r>
              <w:rPr>
                <w:rFonts w:hint="eastAsia"/>
                <w:color w:val="auto"/>
                <w:highlight w:val="none"/>
              </w:rPr>
              <w:t>个月启动包括重保时期安全方案编制，以及针对重点防守目标系统的互联网资产发现、系统及资产梳理、漏洞扫描、基线检查、渗透测试、风险评估、安全加固、实战攻防预演等重保前安全检查，以及重保期间提供不少于</w:t>
            </w:r>
            <w:r>
              <w:rPr>
                <w:color w:val="auto"/>
                <w:highlight w:val="none"/>
              </w:rPr>
              <w:t>10</w:t>
            </w:r>
            <w:r>
              <w:rPr>
                <w:rFonts w:hint="eastAsia"/>
                <w:color w:val="auto"/>
                <w:highlight w:val="none"/>
              </w:rPr>
              <w:t>人的</w:t>
            </w:r>
            <w:r>
              <w:rPr>
                <w:color w:val="auto"/>
                <w:highlight w:val="none"/>
              </w:rPr>
              <w:t xml:space="preserve">7*24 </w:t>
            </w:r>
            <w:r>
              <w:rPr>
                <w:rFonts w:hint="eastAsia"/>
                <w:color w:val="auto"/>
                <w:highlight w:val="none"/>
              </w:rPr>
              <w:t>小时现场重保值守。</w:t>
            </w:r>
          </w:p>
          <w:p w14:paraId="59BEA11A">
            <w:pPr>
              <w:pStyle w:val="32"/>
              <w:rPr>
                <w:color w:val="auto"/>
                <w:highlight w:val="none"/>
              </w:rPr>
            </w:pPr>
            <w:r>
              <w:rPr>
                <w:color w:val="auto"/>
                <w:highlight w:val="none"/>
              </w:rPr>
              <w:t>2.</w:t>
            </w:r>
            <w:r>
              <w:rPr>
                <w:rFonts w:hint="eastAsia"/>
                <w:color w:val="auto"/>
                <w:highlight w:val="none"/>
              </w:rPr>
              <w:t>工作范围</w:t>
            </w:r>
          </w:p>
          <w:p w14:paraId="3F1591E1">
            <w:pPr>
              <w:pStyle w:val="32"/>
              <w:rPr>
                <w:color w:val="auto"/>
                <w:highlight w:val="none"/>
              </w:rPr>
            </w:pPr>
            <w:r>
              <w:rPr>
                <w:color w:val="auto"/>
                <w:highlight w:val="none"/>
              </w:rPr>
              <w:t xml:space="preserve">A </w:t>
            </w:r>
            <w:r>
              <w:rPr>
                <w:rFonts w:hint="eastAsia"/>
                <w:color w:val="auto"/>
                <w:highlight w:val="none"/>
              </w:rPr>
              <w:t>类重保启动场景包括但不限于：</w:t>
            </w:r>
          </w:p>
          <w:p w14:paraId="1EF55E48">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）由我区承接的国际重要会议，对国家有重要的政治意义或经济意义，并有我国领导人参会；</w:t>
            </w:r>
          </w:p>
          <w:p w14:paraId="3AB4C762">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）我国国内的政治性、有标志性意义重要会议，并有我国领导人领导参会；</w:t>
            </w:r>
          </w:p>
          <w:p w14:paraId="12EDDB82">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）自治区信息中心参加国家级实战攻防演习。</w:t>
            </w:r>
          </w:p>
          <w:p w14:paraId="17620583">
            <w:pPr>
              <w:pStyle w:val="32"/>
              <w:rPr>
                <w:color w:val="auto"/>
                <w:highlight w:val="none"/>
              </w:rPr>
            </w:pPr>
            <w:r>
              <w:rPr>
                <w:color w:val="auto"/>
                <w:highlight w:val="none"/>
              </w:rPr>
              <w:t xml:space="preserve">A </w:t>
            </w:r>
            <w:r>
              <w:rPr>
                <w:rFonts w:hint="eastAsia"/>
                <w:color w:val="auto"/>
                <w:highlight w:val="none"/>
              </w:rPr>
              <w:t>类重保对象包括但不限于：</w:t>
            </w:r>
          </w:p>
          <w:p w14:paraId="22EE46CF">
            <w:pPr>
              <w:pStyle w:val="32"/>
              <w:rPr>
                <w:color w:val="auto"/>
                <w:highlight w:val="none"/>
              </w:rPr>
            </w:pPr>
            <w:r>
              <w:rPr>
                <w:rFonts w:hint="eastAsia"/>
                <w:color w:val="auto"/>
                <w:highlight w:val="none"/>
              </w:rPr>
              <w:t>自治区信息中心所负责的信息系统、云基础平台（浪潮云、专用业务云、信创云等）、自治区信息中心所负责的电子政务外网等。</w:t>
            </w:r>
          </w:p>
          <w:p w14:paraId="6BFEC7D8">
            <w:pPr>
              <w:pStyle w:val="32"/>
              <w:rPr>
                <w:color w:val="auto"/>
                <w:highlight w:val="none"/>
              </w:rPr>
            </w:pPr>
            <w:r>
              <w:rPr>
                <w:color w:val="auto"/>
                <w:highlight w:val="none"/>
              </w:rPr>
              <w:t>3.</w:t>
            </w:r>
            <w:r>
              <w:rPr>
                <w:rFonts w:hint="eastAsia"/>
                <w:color w:val="auto"/>
                <w:highlight w:val="none"/>
              </w:rPr>
              <w:t>工作频次</w:t>
            </w:r>
          </w:p>
          <w:p w14:paraId="2C2298AC">
            <w:pPr>
              <w:pStyle w:val="32"/>
              <w:rPr>
                <w:color w:val="auto"/>
                <w:highlight w:val="none"/>
              </w:rPr>
            </w:pPr>
            <w:r>
              <w:rPr>
                <w:color w:val="auto"/>
                <w:highlight w:val="none"/>
              </w:rPr>
              <w:t>3</w:t>
            </w:r>
            <w:r>
              <w:rPr>
                <w:rFonts w:hint="eastAsia"/>
                <w:color w:val="auto"/>
                <w:highlight w:val="none"/>
              </w:rPr>
              <w:t>年服务期内</w:t>
            </w:r>
            <w:r>
              <w:rPr>
                <w:rFonts w:hint="eastAsia"/>
                <w:color w:val="auto"/>
                <w:highlight w:val="none"/>
                <w:lang w:eastAsia="zh-CN"/>
              </w:rPr>
              <w:t>，</w:t>
            </w:r>
            <w:r>
              <w:rPr>
                <w:rFonts w:hint="eastAsia"/>
                <w:color w:val="auto"/>
                <w:highlight w:val="none"/>
                <w:lang w:val="en-US" w:eastAsia="zh-CN"/>
              </w:rPr>
              <w:t>每年</w:t>
            </w:r>
            <w:r>
              <w:rPr>
                <w:rFonts w:hint="eastAsia"/>
                <w:color w:val="auto"/>
                <w:highlight w:val="none"/>
              </w:rPr>
              <w:t>开展</w:t>
            </w:r>
            <w:r>
              <w:rPr>
                <w:rFonts w:hint="eastAsia"/>
                <w:color w:val="auto"/>
                <w:highlight w:val="none"/>
                <w:lang w:val="en-US" w:eastAsia="zh-CN"/>
              </w:rPr>
              <w:t>不少于</w:t>
            </w:r>
            <w:r>
              <w:rPr>
                <w:color w:val="auto"/>
                <w:highlight w:val="none"/>
              </w:rPr>
              <w:t>2</w:t>
            </w:r>
            <w:r>
              <w:rPr>
                <w:rFonts w:hint="eastAsia"/>
                <w:color w:val="auto"/>
                <w:highlight w:val="none"/>
              </w:rPr>
              <w:t>次</w:t>
            </w:r>
            <w:r>
              <w:rPr>
                <w:color w:val="auto"/>
                <w:highlight w:val="none"/>
              </w:rPr>
              <w:t>A</w:t>
            </w:r>
            <w:r>
              <w:rPr>
                <w:rFonts w:hint="eastAsia"/>
                <w:color w:val="auto"/>
                <w:highlight w:val="none"/>
              </w:rPr>
              <w:t>类重保工作。</w:t>
            </w:r>
          </w:p>
          <w:p w14:paraId="2AA54372">
            <w:pPr>
              <w:pStyle w:val="32"/>
              <w:rPr>
                <w:color w:val="auto"/>
                <w:highlight w:val="none"/>
              </w:rPr>
            </w:pPr>
            <w:r>
              <w:rPr>
                <w:color w:val="auto"/>
                <w:highlight w:val="none"/>
              </w:rPr>
              <w:t>4.</w:t>
            </w:r>
            <w:r>
              <w:rPr>
                <w:rFonts w:hint="eastAsia"/>
                <w:color w:val="auto"/>
                <w:highlight w:val="none"/>
              </w:rPr>
              <w:t>工作交付物</w:t>
            </w:r>
          </w:p>
          <w:p w14:paraId="3F754B84">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A</w:t>
            </w:r>
            <w:r>
              <w:rPr>
                <w:rFonts w:hint="eastAsia"/>
                <w:color w:val="auto"/>
                <w:highlight w:val="none"/>
              </w:rPr>
              <w:t>类时期重保服务方案》；</w:t>
            </w:r>
          </w:p>
          <w:p w14:paraId="1514B11A">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）针对重点防守目标系统的互联网资产发现报告、系统及资产梳理报告、漏洞扫描报告、基线检查报告、渗透测试报告、风险评估报告、安全加固报告、实战攻防预演报告等重保前安全检查报告；</w:t>
            </w:r>
          </w:p>
          <w:p w14:paraId="77E51EBC">
            <w:pPr>
              <w:pStyle w:val="32"/>
              <w:widowControl/>
              <w:rPr>
                <w:rFonts w:hint="eastAsia" w:ascii="宋体" w:hAnsi="宋体" w:cs="宋体"/>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A</w:t>
            </w:r>
            <w:r>
              <w:rPr>
                <w:rFonts w:hint="eastAsia"/>
                <w:color w:val="auto"/>
                <w:highlight w:val="none"/>
              </w:rPr>
              <w:t>类时期重保服务总结报告》。</w:t>
            </w:r>
          </w:p>
        </w:tc>
        <w:tc>
          <w:tcPr>
            <w:tcW w:w="145" w:type="pct"/>
            <w:tcBorders>
              <w:top w:val="nil"/>
              <w:left w:val="nil"/>
              <w:bottom w:val="single" w:color="auto" w:sz="4" w:space="0"/>
              <w:right w:val="single" w:color="auto" w:sz="4" w:space="0"/>
            </w:tcBorders>
            <w:noWrap/>
            <w:vAlign w:val="center"/>
          </w:tcPr>
          <w:p w14:paraId="113D3AE6">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71F9917D">
            <w:pPr>
              <w:widowControl/>
              <w:jc w:val="center"/>
              <w:rPr>
                <w:rFonts w:hint="eastAsia" w:ascii="宋体" w:hAnsi="宋体" w:cs="宋体"/>
                <w:color w:val="auto"/>
                <w:kern w:val="0"/>
                <w:sz w:val="18"/>
                <w:szCs w:val="18"/>
                <w:highlight w:val="none"/>
              </w:rPr>
            </w:pPr>
          </w:p>
        </w:tc>
      </w:tr>
      <w:tr w14:paraId="4AE20075">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0F97A1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428" w:type="pct"/>
            <w:tcBorders>
              <w:top w:val="nil"/>
              <w:left w:val="nil"/>
              <w:bottom w:val="single" w:color="auto" w:sz="4" w:space="0"/>
              <w:right w:val="single" w:color="auto" w:sz="4" w:space="0"/>
            </w:tcBorders>
            <w:noWrap/>
            <w:vAlign w:val="center"/>
          </w:tcPr>
          <w:p w14:paraId="7C533D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B类时期重保服务</w:t>
            </w:r>
          </w:p>
        </w:tc>
        <w:tc>
          <w:tcPr>
            <w:tcW w:w="3798" w:type="pct"/>
            <w:gridSpan w:val="2"/>
            <w:tcBorders>
              <w:top w:val="nil"/>
              <w:left w:val="nil"/>
              <w:bottom w:val="single" w:color="auto" w:sz="4" w:space="0"/>
              <w:right w:val="single" w:color="auto" w:sz="4" w:space="0"/>
            </w:tcBorders>
            <w:vAlign w:val="center"/>
          </w:tcPr>
          <w:p w14:paraId="38CE60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提前 1 个月启动包括重保安全方案编制，以及针对重点防守目标系统的互联网资产发现、系统及资产梳理、漏洞扫描、基线检提前1个月启动包括重保安全方案编制，以及针对重点防守目标系统的互联网资产发现、系统及资产梳理、漏洞扫描、基线检查、渗透测试、风险评估、安全加固等重保前安全检查，以及重保期间提供不少于4人的7*24小时远程+现场的重保值守。每年提供不少于2次B类重保启动场景包括但不限于：1.由我区承接的国家重要会议，并有我国省部级领导人参会；2.由我国承接的重要国际级体育赛事，或国内全国性体育赛事；3.自治区级政治性强的重保会议；</w:t>
            </w:r>
          </w:p>
          <w:p w14:paraId="21C62BF2">
            <w:pPr>
              <w:pStyle w:val="32"/>
              <w:rPr>
                <w:rFonts w:hint="eastAsia" w:ascii="宋体" w:hAnsi="宋体" w:cs="宋体"/>
                <w:color w:val="auto"/>
                <w:highlight w:val="none"/>
              </w:rPr>
            </w:pPr>
            <w:r>
              <w:rPr>
                <w:rFonts w:hint="eastAsia" w:ascii="宋体" w:hAnsi="宋体" w:cs="宋体"/>
                <w:color w:val="auto"/>
                <w:highlight w:val="none"/>
              </w:rPr>
              <w:t>1.工作内容</w:t>
            </w:r>
          </w:p>
          <w:p w14:paraId="58448A58">
            <w:pPr>
              <w:pStyle w:val="18"/>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提前1个月启动包括重保安全方案编制，以及针对重点防守目标系统的互联网资产发现、系统及资产梳理、漏洞扫描、基线检查、渗透测试、风险评估、安全加固等重保前安全检查，以及重保期间提供不少于4人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除18位安全运营人员以外</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的7*24小时远程+现场的重保值守。</w:t>
            </w:r>
          </w:p>
          <w:p w14:paraId="28073D41">
            <w:pPr>
              <w:pStyle w:val="32"/>
              <w:rPr>
                <w:rFonts w:hint="eastAsia" w:ascii="宋体" w:hAnsi="宋体" w:cs="宋体"/>
                <w:color w:val="auto"/>
                <w:highlight w:val="none"/>
              </w:rPr>
            </w:pPr>
            <w:r>
              <w:rPr>
                <w:rFonts w:hint="eastAsia" w:ascii="宋体" w:hAnsi="宋体" w:cs="宋体"/>
                <w:color w:val="auto"/>
                <w:highlight w:val="none"/>
              </w:rPr>
              <w:t>2.工作范围</w:t>
            </w:r>
          </w:p>
          <w:p w14:paraId="4F0BB7B8">
            <w:pPr>
              <w:pStyle w:val="32"/>
              <w:rPr>
                <w:rFonts w:hint="eastAsia" w:ascii="宋体" w:hAnsi="宋体" w:cs="宋体"/>
                <w:color w:val="auto"/>
                <w:highlight w:val="none"/>
              </w:rPr>
            </w:pPr>
            <w:r>
              <w:rPr>
                <w:rFonts w:hint="eastAsia" w:ascii="宋体" w:hAnsi="宋体" w:cs="宋体"/>
                <w:color w:val="auto"/>
                <w:highlight w:val="none"/>
              </w:rPr>
              <w:t>B 类重保启动场景包括但不限于：</w:t>
            </w:r>
          </w:p>
          <w:p w14:paraId="5AFE77CE">
            <w:pPr>
              <w:pStyle w:val="32"/>
              <w:rPr>
                <w:rFonts w:hint="eastAsia" w:ascii="宋体" w:hAnsi="宋体" w:cs="宋体"/>
                <w:color w:val="auto"/>
                <w:highlight w:val="none"/>
              </w:rPr>
            </w:pPr>
            <w:r>
              <w:rPr>
                <w:rFonts w:hint="eastAsia" w:ascii="宋体" w:hAnsi="宋体" w:cs="宋体"/>
                <w:color w:val="auto"/>
                <w:highlight w:val="none"/>
              </w:rPr>
              <w:t>（1）由我区承接的国家重要会议，并有我国省部级领导人参会；</w:t>
            </w:r>
          </w:p>
          <w:p w14:paraId="42753338">
            <w:pPr>
              <w:pStyle w:val="32"/>
              <w:rPr>
                <w:rFonts w:hint="eastAsia" w:ascii="宋体" w:hAnsi="宋体" w:cs="宋体"/>
                <w:color w:val="auto"/>
                <w:highlight w:val="none"/>
              </w:rPr>
            </w:pPr>
            <w:r>
              <w:rPr>
                <w:rFonts w:hint="eastAsia" w:ascii="宋体" w:hAnsi="宋体" w:cs="宋体"/>
                <w:color w:val="auto"/>
                <w:highlight w:val="none"/>
              </w:rPr>
              <w:t>（2）由我国承接的重要国际级体育赛事，或国内全国性体育赛事；</w:t>
            </w:r>
          </w:p>
          <w:p w14:paraId="44A62F53">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）自治区级政治性强的重保会议；</w:t>
            </w:r>
          </w:p>
          <w:p w14:paraId="7EA38D2E">
            <w:pPr>
              <w:pStyle w:val="32"/>
              <w:rPr>
                <w:color w:val="auto"/>
                <w:highlight w:val="none"/>
              </w:rPr>
            </w:pPr>
            <w:r>
              <w:rPr>
                <w:color w:val="auto"/>
                <w:highlight w:val="none"/>
              </w:rPr>
              <w:t>B</w:t>
            </w:r>
            <w:r>
              <w:rPr>
                <w:rFonts w:hint="eastAsia"/>
                <w:color w:val="auto"/>
                <w:highlight w:val="none"/>
              </w:rPr>
              <w:t>类重保对象包括但不限于：</w:t>
            </w:r>
          </w:p>
          <w:p w14:paraId="09842C67">
            <w:pPr>
              <w:pStyle w:val="32"/>
              <w:rPr>
                <w:color w:val="auto"/>
                <w:highlight w:val="none"/>
              </w:rPr>
            </w:pPr>
            <w:r>
              <w:rPr>
                <w:rFonts w:hint="eastAsia"/>
                <w:color w:val="auto"/>
                <w:highlight w:val="none"/>
              </w:rPr>
              <w:t>自治区信息中心所负责的信息系统、云基础平台（浪潮云、专用业务云、信创云等）、自治区信息中心所负责的电子政务外网等。</w:t>
            </w:r>
          </w:p>
          <w:p w14:paraId="306B11BC">
            <w:pPr>
              <w:pStyle w:val="32"/>
              <w:rPr>
                <w:color w:val="auto"/>
                <w:highlight w:val="none"/>
              </w:rPr>
            </w:pPr>
            <w:r>
              <w:rPr>
                <w:color w:val="auto"/>
                <w:highlight w:val="none"/>
              </w:rPr>
              <w:t>3.</w:t>
            </w:r>
            <w:r>
              <w:rPr>
                <w:rFonts w:hint="eastAsia"/>
                <w:color w:val="auto"/>
                <w:highlight w:val="none"/>
              </w:rPr>
              <w:t>工作频次</w:t>
            </w:r>
          </w:p>
          <w:p w14:paraId="2E03B2C0">
            <w:pPr>
              <w:pStyle w:val="32"/>
              <w:rPr>
                <w:color w:val="auto"/>
                <w:highlight w:val="none"/>
              </w:rPr>
            </w:pPr>
            <w:r>
              <w:rPr>
                <w:color w:val="auto"/>
                <w:highlight w:val="none"/>
              </w:rPr>
              <w:t>3</w:t>
            </w:r>
            <w:r>
              <w:rPr>
                <w:rFonts w:hint="eastAsia"/>
                <w:color w:val="auto"/>
                <w:highlight w:val="none"/>
              </w:rPr>
              <w:t>年服务期内</w:t>
            </w:r>
            <w:r>
              <w:rPr>
                <w:rFonts w:hint="eastAsia"/>
                <w:color w:val="auto"/>
                <w:highlight w:val="none"/>
                <w:lang w:eastAsia="zh-CN"/>
              </w:rPr>
              <w:t>，</w:t>
            </w:r>
            <w:r>
              <w:rPr>
                <w:rFonts w:hint="eastAsia"/>
                <w:color w:val="auto"/>
                <w:highlight w:val="none"/>
                <w:lang w:val="en-US" w:eastAsia="zh-CN"/>
              </w:rPr>
              <w:t>每年</w:t>
            </w:r>
            <w:r>
              <w:rPr>
                <w:rFonts w:hint="eastAsia"/>
                <w:color w:val="auto"/>
                <w:highlight w:val="none"/>
              </w:rPr>
              <w:t>开展</w:t>
            </w:r>
            <w:r>
              <w:rPr>
                <w:rFonts w:hint="eastAsia"/>
                <w:color w:val="auto"/>
                <w:highlight w:val="none"/>
                <w:lang w:val="en-US" w:eastAsia="zh-CN"/>
              </w:rPr>
              <w:t>不少于2</w:t>
            </w:r>
            <w:r>
              <w:rPr>
                <w:rFonts w:hint="eastAsia"/>
                <w:color w:val="auto"/>
                <w:highlight w:val="none"/>
              </w:rPr>
              <w:t>次</w:t>
            </w:r>
            <w:r>
              <w:rPr>
                <w:color w:val="auto"/>
                <w:highlight w:val="none"/>
              </w:rPr>
              <w:t>B</w:t>
            </w:r>
            <w:r>
              <w:rPr>
                <w:rFonts w:hint="eastAsia"/>
                <w:color w:val="auto"/>
                <w:highlight w:val="none"/>
              </w:rPr>
              <w:t>类重保工作。</w:t>
            </w:r>
          </w:p>
          <w:p w14:paraId="3D0987AE">
            <w:pPr>
              <w:pStyle w:val="32"/>
              <w:rPr>
                <w:color w:val="auto"/>
                <w:highlight w:val="none"/>
              </w:rPr>
            </w:pPr>
            <w:r>
              <w:rPr>
                <w:color w:val="auto"/>
                <w:highlight w:val="none"/>
              </w:rPr>
              <w:t>4.</w:t>
            </w:r>
            <w:r>
              <w:rPr>
                <w:rFonts w:hint="eastAsia"/>
                <w:color w:val="auto"/>
                <w:highlight w:val="none"/>
              </w:rPr>
              <w:t>工作交付物</w:t>
            </w:r>
          </w:p>
          <w:p w14:paraId="046DBB9E">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B</w:t>
            </w:r>
            <w:r>
              <w:rPr>
                <w:rFonts w:hint="eastAsia"/>
                <w:color w:val="auto"/>
                <w:highlight w:val="none"/>
              </w:rPr>
              <w:t>类时期重保服务方案》；</w:t>
            </w:r>
          </w:p>
          <w:p w14:paraId="56D41232">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）针对重点防守目标系统的互联网资产发现报告、系统及资产梳理报告、漏洞扫描报告、基线检查报告、渗透测试报告、风险评估报告、安全加固报告等重保前安全检查报告；</w:t>
            </w:r>
          </w:p>
          <w:p w14:paraId="76CCB48F">
            <w:pPr>
              <w:pStyle w:val="32"/>
              <w:widowControl/>
              <w:rPr>
                <w:rFonts w:hint="eastAsia" w:ascii="宋体" w:hAnsi="宋体" w:cs="宋体"/>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B</w:t>
            </w:r>
            <w:r>
              <w:rPr>
                <w:rFonts w:hint="eastAsia"/>
                <w:color w:val="auto"/>
                <w:highlight w:val="none"/>
              </w:rPr>
              <w:t>类时期重保服务总结报告》。</w:t>
            </w:r>
          </w:p>
        </w:tc>
        <w:tc>
          <w:tcPr>
            <w:tcW w:w="145" w:type="pct"/>
            <w:tcBorders>
              <w:top w:val="nil"/>
              <w:left w:val="nil"/>
              <w:bottom w:val="single" w:color="auto" w:sz="4" w:space="0"/>
              <w:right w:val="single" w:color="auto" w:sz="4" w:space="0"/>
            </w:tcBorders>
            <w:noWrap/>
            <w:vAlign w:val="center"/>
          </w:tcPr>
          <w:p w14:paraId="720A73D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0AE1F06C">
            <w:pPr>
              <w:widowControl/>
              <w:jc w:val="center"/>
              <w:rPr>
                <w:rFonts w:hint="eastAsia" w:ascii="宋体" w:hAnsi="宋体" w:cs="宋体"/>
                <w:color w:val="auto"/>
                <w:kern w:val="0"/>
                <w:sz w:val="18"/>
                <w:szCs w:val="18"/>
                <w:highlight w:val="none"/>
              </w:rPr>
            </w:pPr>
          </w:p>
        </w:tc>
      </w:tr>
      <w:tr w14:paraId="0524A27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97925E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428" w:type="pct"/>
            <w:tcBorders>
              <w:top w:val="nil"/>
              <w:left w:val="nil"/>
              <w:bottom w:val="single" w:color="auto" w:sz="4" w:space="0"/>
              <w:right w:val="single" w:color="auto" w:sz="4" w:space="0"/>
            </w:tcBorders>
            <w:noWrap/>
            <w:vAlign w:val="center"/>
          </w:tcPr>
          <w:p w14:paraId="103E65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数据安全现场检查</w:t>
            </w:r>
          </w:p>
        </w:tc>
        <w:tc>
          <w:tcPr>
            <w:tcW w:w="3798" w:type="pct"/>
            <w:gridSpan w:val="2"/>
            <w:tcBorders>
              <w:top w:val="nil"/>
              <w:left w:val="nil"/>
              <w:bottom w:val="single" w:color="auto" w:sz="4" w:space="0"/>
              <w:right w:val="single" w:color="auto" w:sz="4" w:space="0"/>
            </w:tcBorders>
            <w:vAlign w:val="center"/>
          </w:tcPr>
          <w:p w14:paraId="031CD4EA">
            <w:pPr>
              <w:widowControl/>
              <w:rPr>
                <w:color w:val="auto"/>
                <w:highlight w:val="none"/>
              </w:rPr>
            </w:pPr>
            <w:r>
              <w:rPr>
                <w:rFonts w:hint="eastAsia" w:ascii="宋体" w:hAnsi="宋体" w:cs="宋体"/>
                <w:color w:val="auto"/>
                <w:kern w:val="0"/>
                <w:sz w:val="18"/>
                <w:szCs w:val="18"/>
                <w:highlight w:val="none"/>
              </w:rPr>
              <w:t>开展广西数字政府一体数据安全技术检查工作。</w:t>
            </w:r>
            <w:r>
              <w:rPr>
                <w:rFonts w:hint="eastAsia" w:ascii="宋体" w:hAnsi="宋体" w:cs="宋体"/>
                <w:color w:val="auto"/>
                <w:kern w:val="0"/>
                <w:sz w:val="18"/>
                <w:szCs w:val="18"/>
                <w:highlight w:val="none"/>
              </w:rPr>
              <w:br w:type="textWrapping"/>
            </w:r>
            <w:r>
              <w:rPr>
                <w:color w:val="auto"/>
                <w:highlight w:val="none"/>
              </w:rPr>
              <w:t>1.</w:t>
            </w:r>
            <w:r>
              <w:rPr>
                <w:rFonts w:hint="eastAsia"/>
                <w:color w:val="auto"/>
                <w:highlight w:val="none"/>
              </w:rPr>
              <w:t>工作内容</w:t>
            </w:r>
          </w:p>
          <w:p w14:paraId="1714F863">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）数据安全责任制落实情况检查</w:t>
            </w:r>
          </w:p>
          <w:p w14:paraId="0EAEB66E">
            <w:pPr>
              <w:pStyle w:val="32"/>
              <w:rPr>
                <w:color w:val="auto"/>
                <w:highlight w:val="none"/>
              </w:rPr>
            </w:pPr>
            <w:r>
              <w:rPr>
                <w:rFonts w:hint="eastAsia"/>
                <w:color w:val="auto"/>
                <w:highlight w:val="none"/>
              </w:rPr>
              <w:t>需依据《数据安全法》和《个人信息保护法》，对被检查单位的数据安全管理体系及合规状况开展调研与评估。重点检查数据安全管理相关风险，包括组织架构、制度流程、个人信息处理、数据活动规范、风险评估与自查机制、应急处置能力以及教育培训成效等方面的有效性，从中识别潜在的数据安全风险。同时，结合专业安全知识，对评估发现的问题进行优先级排序，并提出可落地的整改与修复建议。</w:t>
            </w:r>
          </w:p>
          <w:p w14:paraId="64B6DC50">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）数据安全技术防护落实情况检查</w:t>
            </w:r>
          </w:p>
          <w:p w14:paraId="55187AC2">
            <w:pPr>
              <w:pStyle w:val="32"/>
              <w:rPr>
                <w:color w:val="auto"/>
                <w:highlight w:val="none"/>
              </w:rPr>
            </w:pPr>
            <w:r>
              <w:rPr>
                <w:rFonts w:hint="eastAsia"/>
                <w:color w:val="auto"/>
                <w:highlight w:val="none"/>
              </w:rPr>
              <w:t>对被检查单位的应用系统开展全面漏洞扫描，重点识别操作系统、数据库、中间件等关键组件中存在的注入、跨站脚本、非法跳转、信息泄露、异常处理不当等高风险漏洞。对扫描发现的问题进行人工复核，确保漏洞真实有效。最后，根据漏洞风险等级提供针对性的解决方案和专业修复建议，并提供技术咨询支持，协助单位完成整改。</w:t>
            </w:r>
          </w:p>
          <w:p w14:paraId="611E6F38">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）数据处理活动安全检查</w:t>
            </w:r>
          </w:p>
          <w:p w14:paraId="3802C49C">
            <w:pPr>
              <w:pStyle w:val="32"/>
              <w:rPr>
                <w:color w:val="auto"/>
                <w:highlight w:val="none"/>
              </w:rPr>
            </w:pPr>
            <w:r>
              <w:rPr>
                <w:rFonts w:hint="eastAsia"/>
                <w:color w:val="auto"/>
                <w:highlight w:val="none"/>
              </w:rPr>
              <w:t>抽查被检查单位</w:t>
            </w:r>
            <w:r>
              <w:rPr>
                <w:color w:val="auto"/>
                <w:highlight w:val="none"/>
              </w:rPr>
              <w:t>1-2</w:t>
            </w:r>
            <w:r>
              <w:rPr>
                <w:rFonts w:hint="eastAsia"/>
                <w:color w:val="auto"/>
                <w:highlight w:val="none"/>
              </w:rPr>
              <w:t>个重点业务系统，开展数据处理活动安全检查，从数据收集、数据存储、数据使用加工、数据传输、数据提供、数据公开、数据删除、数据销毁等全生命周期流程进行安全风险检测工作。</w:t>
            </w:r>
          </w:p>
          <w:p w14:paraId="037D9D13">
            <w:pPr>
              <w:pStyle w:val="32"/>
              <w:rPr>
                <w:color w:val="auto"/>
                <w:highlight w:val="none"/>
              </w:rPr>
            </w:pPr>
            <w:r>
              <w:rPr>
                <w:color w:val="auto"/>
                <w:highlight w:val="none"/>
              </w:rPr>
              <w:t>2.</w:t>
            </w:r>
            <w:r>
              <w:rPr>
                <w:rFonts w:hint="eastAsia"/>
                <w:color w:val="auto"/>
                <w:highlight w:val="none"/>
              </w:rPr>
              <w:t>工作范围</w:t>
            </w:r>
          </w:p>
          <w:p w14:paraId="63E54866">
            <w:pPr>
              <w:pStyle w:val="32"/>
              <w:rPr>
                <w:color w:val="auto"/>
                <w:highlight w:val="none"/>
              </w:rPr>
            </w:pPr>
            <w:r>
              <w:rPr>
                <w:rFonts w:hint="eastAsia"/>
                <w:color w:val="auto"/>
                <w:highlight w:val="none"/>
              </w:rPr>
              <w:t>自治区大数据发展局、</w:t>
            </w:r>
            <w:r>
              <w:rPr>
                <w:color w:val="auto"/>
                <w:highlight w:val="none"/>
              </w:rPr>
              <w:t>14</w:t>
            </w:r>
            <w:r>
              <w:rPr>
                <w:rFonts w:hint="eastAsia"/>
                <w:color w:val="auto"/>
                <w:highlight w:val="none"/>
              </w:rPr>
              <w:t>个地市数据局、自治区本级保留的数据中心（抽取</w:t>
            </w:r>
            <w:r>
              <w:rPr>
                <w:color w:val="auto"/>
                <w:highlight w:val="none"/>
              </w:rPr>
              <w:t>30%</w:t>
            </w:r>
            <w:r>
              <w:rPr>
                <w:rFonts w:hint="eastAsia"/>
                <w:color w:val="auto"/>
                <w:highlight w:val="none"/>
              </w:rPr>
              <w:t>比例）。</w:t>
            </w:r>
          </w:p>
          <w:p w14:paraId="50E534D7">
            <w:pPr>
              <w:pStyle w:val="32"/>
              <w:rPr>
                <w:color w:val="auto"/>
                <w:highlight w:val="none"/>
              </w:rPr>
            </w:pPr>
            <w:r>
              <w:rPr>
                <w:color w:val="auto"/>
                <w:highlight w:val="none"/>
              </w:rPr>
              <w:t>3</w:t>
            </w:r>
            <w:r>
              <w:rPr>
                <w:rFonts w:hint="eastAsia"/>
                <w:color w:val="auto"/>
                <w:highlight w:val="none"/>
              </w:rPr>
              <w:t>、工作频次</w:t>
            </w:r>
          </w:p>
          <w:p w14:paraId="445966AA">
            <w:pPr>
              <w:pStyle w:val="32"/>
              <w:rPr>
                <w:color w:val="auto"/>
                <w:highlight w:val="none"/>
              </w:rPr>
            </w:pPr>
            <w:r>
              <w:rPr>
                <w:rFonts w:hint="eastAsia"/>
                <w:color w:val="auto"/>
                <w:highlight w:val="none"/>
              </w:rPr>
              <w:t>每半年进行</w:t>
            </w:r>
            <w:r>
              <w:rPr>
                <w:color w:val="auto"/>
                <w:highlight w:val="none"/>
              </w:rPr>
              <w:t>1</w:t>
            </w:r>
            <w:r>
              <w:rPr>
                <w:rFonts w:hint="eastAsia"/>
                <w:color w:val="auto"/>
                <w:highlight w:val="none"/>
              </w:rPr>
              <w:t>次数据安全检查。</w:t>
            </w:r>
          </w:p>
          <w:p w14:paraId="44A6262F">
            <w:pPr>
              <w:pStyle w:val="32"/>
              <w:rPr>
                <w:color w:val="auto"/>
                <w:highlight w:val="none"/>
              </w:rPr>
            </w:pPr>
            <w:r>
              <w:rPr>
                <w:color w:val="auto"/>
                <w:highlight w:val="none"/>
              </w:rPr>
              <w:t>4.</w:t>
            </w:r>
            <w:r>
              <w:rPr>
                <w:rFonts w:hint="eastAsia"/>
                <w:color w:val="auto"/>
                <w:highlight w:val="none"/>
              </w:rPr>
              <w:t>工作交付物</w:t>
            </w:r>
          </w:p>
          <w:p w14:paraId="56F27D3C">
            <w:pPr>
              <w:pStyle w:val="32"/>
              <w:rPr>
                <w:color w:val="auto"/>
                <w:highlight w:val="none"/>
              </w:rPr>
            </w:pPr>
            <w:r>
              <w:rPr>
                <w:rFonts w:hint="eastAsia"/>
                <w:color w:val="auto"/>
                <w:highlight w:val="none"/>
              </w:rPr>
              <w:t>《广西数字政府一体数据安全检查方案》</w:t>
            </w:r>
          </w:p>
          <w:p w14:paraId="117D4C6F">
            <w:pPr>
              <w:pStyle w:val="32"/>
              <w:widowControl/>
              <w:rPr>
                <w:rFonts w:hint="eastAsia" w:ascii="宋体" w:hAnsi="宋体" w:cs="宋体"/>
                <w:color w:val="auto"/>
                <w:highlight w:val="none"/>
              </w:rPr>
            </w:pPr>
            <w:r>
              <w:rPr>
                <w:rFonts w:hint="eastAsia"/>
                <w:color w:val="auto"/>
                <w:highlight w:val="none"/>
              </w:rPr>
              <w:t>《广西数字政府一体数据安全检查总报告》及分报告</w:t>
            </w:r>
          </w:p>
          <w:p w14:paraId="75ACA334">
            <w:pPr>
              <w:pStyle w:val="32"/>
              <w:widowControl/>
              <w:rPr>
                <w:rFonts w:hint="eastAsia" w:ascii="宋体" w:hAnsi="宋体" w:cs="宋体"/>
                <w:color w:val="auto"/>
                <w:highlight w:val="none"/>
              </w:rPr>
            </w:pPr>
          </w:p>
        </w:tc>
        <w:tc>
          <w:tcPr>
            <w:tcW w:w="145" w:type="pct"/>
            <w:tcBorders>
              <w:top w:val="nil"/>
              <w:left w:val="nil"/>
              <w:bottom w:val="single" w:color="auto" w:sz="4" w:space="0"/>
              <w:right w:val="single" w:color="auto" w:sz="4" w:space="0"/>
            </w:tcBorders>
            <w:noWrap/>
            <w:vAlign w:val="center"/>
          </w:tcPr>
          <w:p w14:paraId="12F73852">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7301187F">
            <w:pPr>
              <w:widowControl/>
              <w:jc w:val="center"/>
              <w:rPr>
                <w:rFonts w:hint="eastAsia" w:ascii="宋体" w:hAnsi="宋体" w:cs="宋体"/>
                <w:color w:val="auto"/>
                <w:kern w:val="0"/>
                <w:sz w:val="18"/>
                <w:szCs w:val="18"/>
                <w:highlight w:val="none"/>
              </w:rPr>
            </w:pPr>
          </w:p>
        </w:tc>
      </w:tr>
      <w:tr w14:paraId="71CDFB7E">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E00D6A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428" w:type="pct"/>
            <w:tcBorders>
              <w:top w:val="nil"/>
              <w:left w:val="nil"/>
              <w:bottom w:val="single" w:color="auto" w:sz="4" w:space="0"/>
              <w:right w:val="single" w:color="auto" w:sz="4" w:space="0"/>
            </w:tcBorders>
            <w:noWrap/>
            <w:vAlign w:val="center"/>
          </w:tcPr>
          <w:p w14:paraId="59885D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组织攻防演练</w:t>
            </w:r>
          </w:p>
        </w:tc>
        <w:tc>
          <w:tcPr>
            <w:tcW w:w="3798" w:type="pct"/>
            <w:gridSpan w:val="2"/>
            <w:tcBorders>
              <w:top w:val="nil"/>
              <w:left w:val="nil"/>
              <w:bottom w:val="single" w:color="auto" w:sz="4" w:space="0"/>
              <w:right w:val="single" w:color="auto" w:sz="4" w:space="0"/>
            </w:tcBorders>
            <w:vAlign w:val="center"/>
          </w:tcPr>
          <w:p w14:paraId="2D7B7F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根据数字政府一体安全攻防演练的要求，组织开展攻防演练。攻防演练项目团队不少于45人，并确定各个子团队的责任分工，如专家裁判组、支撑组、应急组、攻击组等。</w:t>
            </w:r>
          </w:p>
          <w:p w14:paraId="070BBCA9">
            <w:pPr>
              <w:pStyle w:val="32"/>
              <w:rPr>
                <w:color w:val="auto"/>
                <w:highlight w:val="none"/>
              </w:rPr>
            </w:pPr>
            <w:r>
              <w:rPr>
                <w:color w:val="auto"/>
                <w:highlight w:val="none"/>
              </w:rPr>
              <w:t>1.</w:t>
            </w:r>
            <w:r>
              <w:rPr>
                <w:rFonts w:hint="eastAsia"/>
                <w:color w:val="auto"/>
                <w:highlight w:val="none"/>
              </w:rPr>
              <w:t>工作内容</w:t>
            </w:r>
          </w:p>
          <w:p w14:paraId="20E45CFE">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）攻防实战演练支撑。</w:t>
            </w:r>
            <w:r>
              <w:rPr>
                <w:color w:val="auto"/>
                <w:highlight w:val="none"/>
              </w:rPr>
              <w:t xml:space="preserve"> </w:t>
            </w:r>
          </w:p>
          <w:p w14:paraId="4E382C0F">
            <w:pPr>
              <w:pStyle w:val="32"/>
              <w:rPr>
                <w:color w:val="auto"/>
                <w:highlight w:val="none"/>
              </w:rPr>
            </w:pPr>
            <w:r>
              <w:rPr>
                <w:color w:val="auto"/>
                <w:highlight w:val="none"/>
              </w:rPr>
              <w:t>a.</w:t>
            </w:r>
            <w:r>
              <w:rPr>
                <w:rFonts w:hint="eastAsia"/>
                <w:color w:val="auto"/>
                <w:highlight w:val="none"/>
              </w:rPr>
              <w:t>实战演练平台：搭建网络安全攻防演练应急指挥平台，用于支撑演练。</w:t>
            </w:r>
          </w:p>
          <w:p w14:paraId="489D32E3">
            <w:pPr>
              <w:pStyle w:val="32"/>
              <w:rPr>
                <w:color w:val="auto"/>
                <w:highlight w:val="none"/>
              </w:rPr>
            </w:pPr>
            <w:r>
              <w:rPr>
                <w:color w:val="auto"/>
                <w:highlight w:val="none"/>
              </w:rPr>
              <w:t>b.</w:t>
            </w:r>
            <w:r>
              <w:rPr>
                <w:rFonts w:hint="eastAsia"/>
                <w:color w:val="auto"/>
                <w:highlight w:val="none"/>
              </w:rPr>
              <w:t>设备部署：现场演练平台的部署、配置、验证、数据导入等环节工作。</w:t>
            </w:r>
          </w:p>
          <w:p w14:paraId="1F7C30F2">
            <w:pPr>
              <w:pStyle w:val="32"/>
              <w:rPr>
                <w:color w:val="auto"/>
                <w:highlight w:val="none"/>
              </w:rPr>
            </w:pPr>
            <w:r>
              <w:rPr>
                <w:color w:val="auto"/>
                <w:highlight w:val="none"/>
              </w:rPr>
              <w:t>c.</w:t>
            </w:r>
            <w:r>
              <w:rPr>
                <w:rFonts w:hint="eastAsia"/>
                <w:color w:val="auto"/>
                <w:highlight w:val="none"/>
              </w:rPr>
              <w:t>网络环境搭建：现场演练相关的网络搭建与配置。</w:t>
            </w:r>
          </w:p>
          <w:p w14:paraId="20486C46">
            <w:pPr>
              <w:pStyle w:val="32"/>
              <w:rPr>
                <w:color w:val="auto"/>
                <w:highlight w:val="none"/>
              </w:rPr>
            </w:pPr>
            <w:r>
              <w:rPr>
                <w:color w:val="auto"/>
                <w:highlight w:val="none"/>
              </w:rPr>
              <w:t>d.</w:t>
            </w:r>
            <w:r>
              <w:rPr>
                <w:rFonts w:hint="eastAsia"/>
                <w:color w:val="auto"/>
                <w:highlight w:val="none"/>
              </w:rPr>
              <w:t>监控环境搭建：演练现场选手监控环境的搭建。</w:t>
            </w:r>
          </w:p>
          <w:p w14:paraId="24311885">
            <w:pPr>
              <w:pStyle w:val="32"/>
              <w:rPr>
                <w:color w:val="auto"/>
                <w:highlight w:val="none"/>
              </w:rPr>
            </w:pPr>
            <w:r>
              <w:rPr>
                <w:color w:val="auto"/>
                <w:highlight w:val="none"/>
              </w:rPr>
              <w:t>e.</w:t>
            </w:r>
            <w:r>
              <w:rPr>
                <w:rFonts w:hint="eastAsia"/>
                <w:color w:val="auto"/>
                <w:highlight w:val="none"/>
              </w:rPr>
              <w:t>专家裁判：专业裁判、演练结果评定专家、行政工作人员。</w:t>
            </w:r>
          </w:p>
          <w:p w14:paraId="64600F1D">
            <w:pPr>
              <w:pStyle w:val="32"/>
              <w:rPr>
                <w:color w:val="auto"/>
                <w:highlight w:val="none"/>
              </w:rPr>
            </w:pPr>
            <w:r>
              <w:rPr>
                <w:color w:val="auto"/>
                <w:highlight w:val="none"/>
              </w:rPr>
              <w:t>f.</w:t>
            </w:r>
            <w:r>
              <w:rPr>
                <w:rFonts w:hint="eastAsia"/>
                <w:color w:val="auto"/>
                <w:highlight w:val="none"/>
              </w:rPr>
              <w:t>演练保障：负责演练活动的全程保障，针对参演选手提出的问题进行答疑，对演练过程中出现的参演选手账户、平台、环境等相关问题进行及时处理，对演练结果进行有效的评判，保障演练有效进行。演练结束</w:t>
            </w:r>
            <w:r>
              <w:rPr>
                <w:rFonts w:hint="eastAsia"/>
                <w:color w:val="auto"/>
                <w:highlight w:val="none"/>
                <w:lang w:val="en-US" w:eastAsia="zh-CN"/>
              </w:rPr>
              <w:t>后</w:t>
            </w:r>
            <w:r>
              <w:rPr>
                <w:rFonts w:hint="eastAsia"/>
                <w:color w:val="auto"/>
                <w:highlight w:val="none"/>
              </w:rPr>
              <w:t>对演练数据进行统计汇总及输出总结报告。</w:t>
            </w:r>
          </w:p>
          <w:p w14:paraId="6657B827">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）组建专业的网络攻防演练团队。</w:t>
            </w:r>
          </w:p>
          <w:p w14:paraId="34145A3D">
            <w:pPr>
              <w:pStyle w:val="32"/>
              <w:rPr>
                <w:color w:val="auto"/>
                <w:highlight w:val="none"/>
              </w:rPr>
            </w:pPr>
            <w:r>
              <w:rPr>
                <w:rFonts w:hint="eastAsia"/>
                <w:color w:val="auto"/>
                <w:highlight w:val="none"/>
              </w:rPr>
              <w:t>建立攻防演练项目团队，并确定各个子团队的责任分工，如专家裁判组、支撑组、应急组、攻击组等。包括：</w:t>
            </w:r>
            <w:r>
              <w:rPr>
                <w:color w:val="auto"/>
                <w:highlight w:val="none"/>
              </w:rPr>
              <w:t>a.</w:t>
            </w:r>
            <w:r>
              <w:rPr>
                <w:rFonts w:hint="eastAsia"/>
                <w:color w:val="auto"/>
                <w:highlight w:val="none"/>
              </w:rPr>
              <w:t>不少于</w:t>
            </w:r>
            <w:r>
              <w:rPr>
                <w:color w:val="auto"/>
                <w:highlight w:val="none"/>
              </w:rPr>
              <w:t>7</w:t>
            </w:r>
            <w:r>
              <w:rPr>
                <w:rFonts w:hint="eastAsia"/>
                <w:color w:val="auto"/>
                <w:highlight w:val="none"/>
              </w:rPr>
              <w:t>名裁判专家，现场负责为参加演练的攻防双方打分；</w:t>
            </w:r>
          </w:p>
          <w:p w14:paraId="55A9FBD2">
            <w:pPr>
              <w:pStyle w:val="32"/>
              <w:rPr>
                <w:color w:val="auto"/>
                <w:highlight w:val="none"/>
              </w:rPr>
            </w:pPr>
            <w:r>
              <w:rPr>
                <w:color w:val="auto"/>
                <w:highlight w:val="none"/>
              </w:rPr>
              <w:t>b.5</w:t>
            </w:r>
            <w:r>
              <w:rPr>
                <w:rFonts w:hint="eastAsia"/>
                <w:color w:val="auto"/>
                <w:highlight w:val="none"/>
              </w:rPr>
              <w:t>名技术支持工程师，现场负责赛事运维保障工作；</w:t>
            </w:r>
            <w:r>
              <w:rPr>
                <w:color w:val="auto"/>
                <w:highlight w:val="none"/>
              </w:rPr>
              <w:t>c.</w:t>
            </w:r>
            <w:r>
              <w:rPr>
                <w:rFonts w:hint="eastAsia"/>
                <w:color w:val="auto"/>
                <w:highlight w:val="none"/>
              </w:rPr>
              <w:t>协助采购人邀请</w:t>
            </w:r>
            <w:r>
              <w:rPr>
                <w:color w:val="auto"/>
                <w:highlight w:val="none"/>
              </w:rPr>
              <w:t>10</w:t>
            </w:r>
            <w:r>
              <w:rPr>
                <w:rFonts w:hint="eastAsia"/>
                <w:color w:val="auto"/>
                <w:highlight w:val="none"/>
              </w:rPr>
              <w:t>支</w:t>
            </w:r>
            <w:r>
              <w:rPr>
                <w:rFonts w:hint="eastAsia"/>
                <w:color w:val="auto"/>
                <w:highlight w:val="none"/>
                <w:lang w:val="en-US" w:eastAsia="zh-CN"/>
              </w:rPr>
              <w:t>及</w:t>
            </w:r>
            <w:r>
              <w:rPr>
                <w:rFonts w:hint="eastAsia"/>
                <w:color w:val="auto"/>
                <w:highlight w:val="none"/>
              </w:rPr>
              <w:t>以上攻击方小组，每组</w:t>
            </w:r>
            <w:r>
              <w:rPr>
                <w:color w:val="auto"/>
                <w:highlight w:val="none"/>
              </w:rPr>
              <w:t>3</w:t>
            </w:r>
            <w:r>
              <w:rPr>
                <w:rFonts w:hint="eastAsia"/>
                <w:color w:val="auto"/>
                <w:highlight w:val="none"/>
              </w:rPr>
              <w:t>人，现场负责对防守方进行共计测试；</w:t>
            </w:r>
          </w:p>
          <w:p w14:paraId="4FD8BFE3">
            <w:pPr>
              <w:pStyle w:val="32"/>
              <w:rPr>
                <w:color w:val="auto"/>
                <w:highlight w:val="none"/>
              </w:rPr>
            </w:pPr>
            <w:r>
              <w:rPr>
                <w:color w:val="auto"/>
                <w:highlight w:val="none"/>
              </w:rPr>
              <w:t>d.</w:t>
            </w:r>
            <w:r>
              <w:rPr>
                <w:rFonts w:hint="eastAsia"/>
                <w:color w:val="auto"/>
                <w:highlight w:val="none"/>
              </w:rPr>
              <w:t>不少于</w:t>
            </w:r>
            <w:r>
              <w:rPr>
                <w:color w:val="auto"/>
                <w:highlight w:val="none"/>
              </w:rPr>
              <w:t>4</w:t>
            </w:r>
            <w:r>
              <w:rPr>
                <w:rFonts w:hint="eastAsia"/>
                <w:color w:val="auto"/>
                <w:highlight w:val="none"/>
              </w:rPr>
              <w:t>名技术人员，组成应急组；</w:t>
            </w:r>
          </w:p>
          <w:p w14:paraId="12B58488">
            <w:pPr>
              <w:pStyle w:val="32"/>
              <w:rPr>
                <w:color w:val="auto"/>
                <w:highlight w:val="none"/>
              </w:rPr>
            </w:pPr>
            <w:r>
              <w:rPr>
                <w:color w:val="auto"/>
                <w:highlight w:val="none"/>
              </w:rPr>
              <w:t>e.</w:t>
            </w:r>
            <w:r>
              <w:rPr>
                <w:rFonts w:hint="eastAsia"/>
                <w:color w:val="auto"/>
                <w:highlight w:val="none"/>
              </w:rPr>
              <w:t>配合收集被攻击系统清单，配合组织防守方参加演练。</w:t>
            </w:r>
          </w:p>
          <w:p w14:paraId="7D7A6530">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）攻防演练方案及器材支撑。</w:t>
            </w:r>
          </w:p>
          <w:p w14:paraId="5D384C2E">
            <w:pPr>
              <w:pStyle w:val="32"/>
              <w:rPr>
                <w:color w:val="auto"/>
                <w:highlight w:val="none"/>
              </w:rPr>
            </w:pPr>
            <w:r>
              <w:rPr>
                <w:rFonts w:hint="eastAsia"/>
                <w:color w:val="auto"/>
                <w:highlight w:val="none"/>
              </w:rPr>
              <w:t>开展攻防演练前的环境调研工作，确定靶标系统和演练环境选择，开展攻防演练前期准备调研工作，结合调研情况和实际需求，编制《广西数字政府一体安全攻防演练方案》。</w:t>
            </w:r>
          </w:p>
          <w:p w14:paraId="78A568AB">
            <w:pPr>
              <w:pStyle w:val="32"/>
              <w:rPr>
                <w:color w:val="auto"/>
                <w:highlight w:val="none"/>
              </w:rPr>
            </w:pPr>
            <w:r>
              <w:rPr>
                <w:rFonts w:hint="eastAsia"/>
                <w:color w:val="auto"/>
                <w:highlight w:val="none"/>
              </w:rPr>
              <w:t>（</w:t>
            </w:r>
            <w:r>
              <w:rPr>
                <w:color w:val="auto"/>
                <w:highlight w:val="none"/>
              </w:rPr>
              <w:t>4</w:t>
            </w:r>
            <w:r>
              <w:rPr>
                <w:rFonts w:hint="eastAsia"/>
                <w:color w:val="auto"/>
                <w:highlight w:val="none"/>
              </w:rPr>
              <w:t>）编制攻防演练评估报告。</w:t>
            </w:r>
          </w:p>
          <w:p w14:paraId="563671CA">
            <w:pPr>
              <w:pStyle w:val="32"/>
              <w:rPr>
                <w:color w:val="auto"/>
                <w:highlight w:val="none"/>
              </w:rPr>
            </w:pPr>
            <w:r>
              <w:rPr>
                <w:rFonts w:hint="eastAsia"/>
                <w:color w:val="auto"/>
                <w:highlight w:val="none"/>
              </w:rPr>
              <w:t>根据数字政府一体安全攻防演练情况，编制相关报告。总结攻击方攻击手段和成果，防守方监测和防护成果，结合实际防护情况提出优化建议，固化攻防演练成果，提出整改建议，形成最终的总结报告。对攻防演练期间发现的系统漏洞、安全策略、应急机制和管理制度等问题整改提供安全咨询服务。</w:t>
            </w:r>
          </w:p>
          <w:p w14:paraId="6C106C3F">
            <w:pPr>
              <w:pStyle w:val="32"/>
              <w:rPr>
                <w:color w:val="auto"/>
                <w:highlight w:val="none"/>
              </w:rPr>
            </w:pPr>
            <w:r>
              <w:rPr>
                <w:color w:val="auto"/>
                <w:highlight w:val="none"/>
              </w:rPr>
              <w:t>2.</w:t>
            </w:r>
            <w:r>
              <w:rPr>
                <w:rFonts w:hint="eastAsia"/>
                <w:color w:val="auto"/>
                <w:highlight w:val="none"/>
              </w:rPr>
              <w:t>工作范围</w:t>
            </w:r>
          </w:p>
          <w:p w14:paraId="653470BF">
            <w:pPr>
              <w:pStyle w:val="32"/>
              <w:rPr>
                <w:color w:val="auto"/>
                <w:highlight w:val="none"/>
              </w:rPr>
            </w:pPr>
            <w:r>
              <w:rPr>
                <w:rFonts w:hint="eastAsia"/>
                <w:color w:val="auto"/>
                <w:highlight w:val="none"/>
              </w:rPr>
              <w:t>演练对象和环境覆盖政务关键基础设施（电子政务外网和壮美广西·政务云体系）、公共基础支撑平台（包含广西数字政务一体化平台、自治区数据共享交换平台、自治区公共数据开放平台）、政府网站集约化网站以及非涉密信息系统中受到攻击威胁较大、安全风险较高的非涉密系统和平台展开攻防演练，从攻击路径上检查所有可能存在的安全隐患，通过安全攻防演练项目检验各部门遭遇网络攻击时发现和协同处置安全风险的能力。</w:t>
            </w:r>
          </w:p>
          <w:p w14:paraId="40414DB7">
            <w:pPr>
              <w:pStyle w:val="32"/>
              <w:rPr>
                <w:color w:val="auto"/>
                <w:highlight w:val="none"/>
              </w:rPr>
            </w:pPr>
            <w:r>
              <w:rPr>
                <w:color w:val="auto"/>
                <w:highlight w:val="none"/>
              </w:rPr>
              <w:t>3.</w:t>
            </w:r>
            <w:r>
              <w:rPr>
                <w:rFonts w:hint="eastAsia"/>
                <w:color w:val="auto"/>
                <w:highlight w:val="none"/>
              </w:rPr>
              <w:t>工作频次</w:t>
            </w:r>
          </w:p>
          <w:p w14:paraId="0C73C191">
            <w:pPr>
              <w:pStyle w:val="32"/>
              <w:rPr>
                <w:color w:val="auto"/>
                <w:highlight w:val="none"/>
              </w:rPr>
            </w:pPr>
            <w:r>
              <w:rPr>
                <w:rFonts w:hint="eastAsia"/>
                <w:color w:val="auto"/>
                <w:highlight w:val="none"/>
              </w:rPr>
              <w:t>每年</w:t>
            </w:r>
            <w:r>
              <w:rPr>
                <w:rFonts w:hint="eastAsia"/>
                <w:color w:val="auto"/>
                <w:highlight w:val="none"/>
                <w:lang w:val="en-US" w:eastAsia="zh-CN"/>
              </w:rPr>
              <w:t>至少</w:t>
            </w:r>
            <w:r>
              <w:rPr>
                <w:rFonts w:hint="eastAsia"/>
                <w:color w:val="auto"/>
                <w:highlight w:val="none"/>
              </w:rPr>
              <w:t>开展</w:t>
            </w:r>
            <w:r>
              <w:rPr>
                <w:color w:val="auto"/>
                <w:highlight w:val="none"/>
              </w:rPr>
              <w:t>1</w:t>
            </w:r>
            <w:r>
              <w:rPr>
                <w:rFonts w:hint="eastAsia"/>
                <w:color w:val="auto"/>
                <w:highlight w:val="none"/>
              </w:rPr>
              <w:t>次，</w:t>
            </w:r>
            <w:r>
              <w:rPr>
                <w:color w:val="auto"/>
                <w:highlight w:val="none"/>
              </w:rPr>
              <w:t>3</w:t>
            </w:r>
            <w:r>
              <w:rPr>
                <w:rFonts w:hint="eastAsia"/>
                <w:color w:val="auto"/>
                <w:highlight w:val="none"/>
              </w:rPr>
              <w:t>年共计</w:t>
            </w:r>
            <w:r>
              <w:rPr>
                <w:rFonts w:hint="eastAsia"/>
                <w:color w:val="auto"/>
                <w:highlight w:val="none"/>
                <w:lang w:val="en-US" w:eastAsia="zh-CN"/>
              </w:rPr>
              <w:t>至少</w:t>
            </w:r>
            <w:r>
              <w:rPr>
                <w:color w:val="auto"/>
                <w:highlight w:val="none"/>
              </w:rPr>
              <w:t>3</w:t>
            </w:r>
            <w:r>
              <w:rPr>
                <w:rFonts w:hint="eastAsia"/>
                <w:color w:val="auto"/>
                <w:highlight w:val="none"/>
              </w:rPr>
              <w:t>次。</w:t>
            </w:r>
          </w:p>
          <w:p w14:paraId="56155D15">
            <w:pPr>
              <w:pStyle w:val="32"/>
              <w:rPr>
                <w:color w:val="auto"/>
                <w:highlight w:val="none"/>
              </w:rPr>
            </w:pPr>
            <w:r>
              <w:rPr>
                <w:color w:val="auto"/>
                <w:highlight w:val="none"/>
              </w:rPr>
              <w:t>4.</w:t>
            </w:r>
            <w:r>
              <w:rPr>
                <w:rFonts w:hint="eastAsia"/>
                <w:color w:val="auto"/>
                <w:highlight w:val="none"/>
              </w:rPr>
              <w:t>工作交付物</w:t>
            </w:r>
          </w:p>
          <w:p w14:paraId="4F1B5CBD">
            <w:pPr>
              <w:pStyle w:val="32"/>
              <w:rPr>
                <w:rFonts w:hint="eastAsia" w:eastAsia="宋体"/>
                <w:color w:val="auto"/>
                <w:highlight w:val="none"/>
                <w:lang w:eastAsia="zh-CN"/>
              </w:rPr>
            </w:pPr>
            <w:r>
              <w:rPr>
                <w:rFonts w:hint="eastAsia"/>
                <w:color w:val="auto"/>
                <w:highlight w:val="none"/>
              </w:rPr>
              <w:t>《广西数字政府一体安全攻防演练方案》</w:t>
            </w:r>
            <w:r>
              <w:rPr>
                <w:rFonts w:hint="eastAsia"/>
                <w:color w:val="auto"/>
                <w:highlight w:val="none"/>
                <w:lang w:eastAsia="zh-CN"/>
              </w:rPr>
              <w:t>。</w:t>
            </w:r>
          </w:p>
          <w:p w14:paraId="2564ABD2">
            <w:pPr>
              <w:pStyle w:val="32"/>
              <w:widowControl/>
              <w:rPr>
                <w:rFonts w:hint="eastAsia" w:ascii="宋体" w:hAnsi="宋体" w:eastAsia="宋体" w:cs="宋体"/>
                <w:color w:val="auto"/>
                <w:highlight w:val="none"/>
                <w:lang w:eastAsia="zh-CN"/>
              </w:rPr>
            </w:pPr>
            <w:r>
              <w:rPr>
                <w:rFonts w:hint="eastAsia"/>
                <w:color w:val="auto"/>
                <w:highlight w:val="none"/>
              </w:rPr>
              <w:t>《广西数字政府一体安全攻防演练总结报告》及其分报告</w:t>
            </w:r>
            <w:r>
              <w:rPr>
                <w:rFonts w:hint="eastAsia"/>
                <w:color w:val="auto"/>
                <w:highlight w:val="none"/>
                <w:lang w:eastAsia="zh-CN"/>
              </w:rPr>
              <w:t>。</w:t>
            </w:r>
          </w:p>
        </w:tc>
        <w:tc>
          <w:tcPr>
            <w:tcW w:w="145" w:type="pct"/>
            <w:tcBorders>
              <w:top w:val="nil"/>
              <w:left w:val="nil"/>
              <w:bottom w:val="single" w:color="auto" w:sz="4" w:space="0"/>
              <w:right w:val="single" w:color="auto" w:sz="4" w:space="0"/>
            </w:tcBorders>
            <w:noWrap/>
            <w:vAlign w:val="center"/>
          </w:tcPr>
          <w:p w14:paraId="01B6AC89">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3F52C2EA">
            <w:pPr>
              <w:widowControl/>
              <w:jc w:val="center"/>
              <w:rPr>
                <w:rFonts w:hint="eastAsia" w:ascii="宋体" w:hAnsi="宋体" w:cs="宋体"/>
                <w:color w:val="auto"/>
                <w:kern w:val="0"/>
                <w:sz w:val="18"/>
                <w:szCs w:val="18"/>
                <w:highlight w:val="none"/>
              </w:rPr>
            </w:pPr>
          </w:p>
        </w:tc>
      </w:tr>
      <w:tr w14:paraId="551EF94F">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0773CA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428" w:type="pct"/>
            <w:tcBorders>
              <w:top w:val="nil"/>
              <w:left w:val="nil"/>
              <w:bottom w:val="single" w:color="auto" w:sz="4" w:space="0"/>
              <w:right w:val="single" w:color="auto" w:sz="4" w:space="0"/>
            </w:tcBorders>
            <w:noWrap/>
            <w:vAlign w:val="center"/>
          </w:tcPr>
          <w:p w14:paraId="55E9CB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安全培训</w:t>
            </w:r>
          </w:p>
        </w:tc>
        <w:tc>
          <w:tcPr>
            <w:tcW w:w="3798" w:type="pct"/>
            <w:gridSpan w:val="2"/>
            <w:tcBorders>
              <w:top w:val="nil"/>
              <w:left w:val="nil"/>
              <w:bottom w:val="single" w:color="auto" w:sz="4" w:space="0"/>
              <w:right w:val="single" w:color="auto" w:sz="4" w:space="0"/>
            </w:tcBorders>
            <w:vAlign w:val="center"/>
          </w:tcPr>
          <w:p w14:paraId="38B024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每年开展网络和数据安全培训，每次培训至少需要2名培训师/内容开发者。 </w:t>
            </w:r>
          </w:p>
          <w:p w14:paraId="00A133ED">
            <w:pPr>
              <w:widowControl/>
              <w:jc w:val="left"/>
              <w:rPr>
                <w:rFonts w:hint="eastAsia"/>
                <w:color w:val="auto"/>
                <w:kern w:val="0"/>
                <w:sz w:val="18"/>
                <w:szCs w:val="18"/>
                <w:highlight w:val="none"/>
              </w:rPr>
            </w:pPr>
            <w:r>
              <w:rPr>
                <w:rFonts w:hint="eastAsia"/>
                <w:color w:val="auto"/>
                <w:kern w:val="0"/>
                <w:sz w:val="18"/>
                <w:szCs w:val="18"/>
                <w:highlight w:val="none"/>
              </w:rPr>
              <w:t>1.工作内容</w:t>
            </w:r>
          </w:p>
          <w:p w14:paraId="3D095A82">
            <w:pPr>
              <w:pStyle w:val="32"/>
              <w:rPr>
                <w:color w:val="auto"/>
                <w:highlight w:val="none"/>
              </w:rPr>
            </w:pPr>
            <w:r>
              <w:rPr>
                <w:rFonts w:hint="eastAsia"/>
                <w:color w:val="auto"/>
                <w:highlight w:val="none"/>
              </w:rPr>
              <w:t>提供安全意识、安全技术基础知识、网络及安全设备安全运维、网络攻防技能、应用系统安全开发与运维、数据安全等方面培训，具体培训内容、培训时间由双方协商。</w:t>
            </w:r>
          </w:p>
          <w:p w14:paraId="62DD98E4">
            <w:pPr>
              <w:pStyle w:val="32"/>
              <w:rPr>
                <w:color w:val="auto"/>
                <w:highlight w:val="none"/>
              </w:rPr>
            </w:pPr>
            <w:r>
              <w:rPr>
                <w:color w:val="auto"/>
                <w:highlight w:val="none"/>
              </w:rPr>
              <w:t>2.</w:t>
            </w:r>
            <w:r>
              <w:rPr>
                <w:rFonts w:hint="eastAsia"/>
                <w:color w:val="auto"/>
                <w:highlight w:val="none"/>
              </w:rPr>
              <w:t>工作范围</w:t>
            </w:r>
          </w:p>
          <w:p w14:paraId="337FBF9C">
            <w:pPr>
              <w:pStyle w:val="32"/>
              <w:rPr>
                <w:color w:val="auto"/>
                <w:highlight w:val="none"/>
              </w:rPr>
            </w:pPr>
            <w:r>
              <w:rPr>
                <w:rFonts w:hint="eastAsia"/>
                <w:color w:val="auto"/>
                <w:highlight w:val="none"/>
              </w:rPr>
              <w:t>（</w:t>
            </w:r>
            <w:r>
              <w:rPr>
                <w:color w:val="auto"/>
                <w:highlight w:val="none"/>
              </w:rPr>
              <w:t>1</w:t>
            </w:r>
            <w:r>
              <w:rPr>
                <w:rFonts w:hint="eastAsia"/>
                <w:color w:val="auto"/>
                <w:highlight w:val="none"/>
              </w:rPr>
              <w:t>）协助自治区信息中心组织开展各委办厅级单位网络和数据安全培训；</w:t>
            </w:r>
          </w:p>
          <w:p w14:paraId="784B610E">
            <w:pPr>
              <w:pStyle w:val="32"/>
              <w:rPr>
                <w:color w:val="auto"/>
                <w:highlight w:val="none"/>
              </w:rPr>
            </w:pPr>
            <w:r>
              <w:rPr>
                <w:rFonts w:hint="eastAsia"/>
                <w:color w:val="auto"/>
                <w:highlight w:val="none"/>
              </w:rPr>
              <w:t>（</w:t>
            </w:r>
            <w:r>
              <w:rPr>
                <w:color w:val="auto"/>
                <w:highlight w:val="none"/>
              </w:rPr>
              <w:t>2</w:t>
            </w:r>
            <w:r>
              <w:rPr>
                <w:rFonts w:hint="eastAsia"/>
                <w:color w:val="auto"/>
                <w:highlight w:val="none"/>
              </w:rPr>
              <w:t>）协助自治区信息中心针对运营服务团队内部的培训，包括培训运营管理流程要求、安全运营所涉及技能，如监测、分析、研判、渗透、应急处置等培训；</w:t>
            </w:r>
          </w:p>
          <w:p w14:paraId="1D0B53F3">
            <w:pPr>
              <w:pStyle w:val="32"/>
              <w:rPr>
                <w:color w:val="auto"/>
                <w:highlight w:val="none"/>
              </w:rPr>
            </w:pPr>
            <w:r>
              <w:rPr>
                <w:rFonts w:hint="eastAsia"/>
                <w:color w:val="auto"/>
                <w:highlight w:val="none"/>
              </w:rPr>
              <w:t>（</w:t>
            </w:r>
            <w:r>
              <w:rPr>
                <w:color w:val="auto"/>
                <w:highlight w:val="none"/>
              </w:rPr>
              <w:t>3</w:t>
            </w:r>
            <w:r>
              <w:rPr>
                <w:rFonts w:hint="eastAsia"/>
                <w:color w:val="auto"/>
                <w:highlight w:val="none"/>
              </w:rPr>
              <w:t>）协助自治区信息中心针对云网运维团队，开展安全运维培训。</w:t>
            </w:r>
          </w:p>
          <w:p w14:paraId="407653F0">
            <w:pPr>
              <w:pStyle w:val="32"/>
              <w:rPr>
                <w:color w:val="auto"/>
                <w:highlight w:val="none"/>
              </w:rPr>
            </w:pPr>
            <w:r>
              <w:rPr>
                <w:color w:val="auto"/>
                <w:highlight w:val="none"/>
              </w:rPr>
              <w:t>3.</w:t>
            </w:r>
            <w:r>
              <w:rPr>
                <w:rFonts w:hint="eastAsia"/>
                <w:color w:val="auto"/>
                <w:highlight w:val="none"/>
              </w:rPr>
              <w:t>工作频次</w:t>
            </w:r>
          </w:p>
          <w:p w14:paraId="569F1B55">
            <w:pPr>
              <w:pStyle w:val="32"/>
              <w:rPr>
                <w:color w:val="auto"/>
                <w:highlight w:val="none"/>
              </w:rPr>
            </w:pPr>
            <w:r>
              <w:rPr>
                <w:rFonts w:hint="eastAsia"/>
                <w:color w:val="auto"/>
                <w:highlight w:val="none"/>
                <w:lang w:val="en-US" w:eastAsia="zh-CN"/>
              </w:rPr>
              <w:t>每年至少</w:t>
            </w:r>
            <w:r>
              <w:rPr>
                <w:color w:val="auto"/>
                <w:highlight w:val="none"/>
              </w:rPr>
              <w:t>1</w:t>
            </w:r>
            <w:r>
              <w:rPr>
                <w:rFonts w:hint="eastAsia"/>
                <w:color w:val="auto"/>
                <w:highlight w:val="none"/>
              </w:rPr>
              <w:t>次，每次</w:t>
            </w:r>
            <w:r>
              <w:rPr>
                <w:rFonts w:hint="eastAsia"/>
                <w:color w:val="auto"/>
                <w:highlight w:val="none"/>
                <w:lang w:val="en-US" w:eastAsia="zh-CN"/>
              </w:rPr>
              <w:t>至少</w:t>
            </w:r>
            <w:r>
              <w:rPr>
                <w:color w:val="auto"/>
                <w:highlight w:val="none"/>
              </w:rPr>
              <w:t>2.5</w:t>
            </w:r>
            <w:r>
              <w:rPr>
                <w:rFonts w:hint="eastAsia"/>
                <w:color w:val="auto"/>
                <w:highlight w:val="none"/>
              </w:rPr>
              <w:t>天</w:t>
            </w:r>
          </w:p>
          <w:p w14:paraId="720428ED">
            <w:pPr>
              <w:pStyle w:val="32"/>
              <w:rPr>
                <w:color w:val="auto"/>
                <w:highlight w:val="none"/>
              </w:rPr>
            </w:pPr>
            <w:r>
              <w:rPr>
                <w:color w:val="auto"/>
                <w:highlight w:val="none"/>
              </w:rPr>
              <w:t>4.</w:t>
            </w:r>
            <w:r>
              <w:rPr>
                <w:rFonts w:hint="eastAsia"/>
                <w:color w:val="auto"/>
                <w:highlight w:val="none"/>
              </w:rPr>
              <w:t>工作交付物</w:t>
            </w:r>
          </w:p>
          <w:p w14:paraId="5C2329C2">
            <w:pPr>
              <w:pStyle w:val="32"/>
              <w:rPr>
                <w:color w:val="auto"/>
                <w:highlight w:val="none"/>
              </w:rPr>
            </w:pPr>
            <w:r>
              <w:rPr>
                <w:rFonts w:hint="eastAsia"/>
                <w:color w:val="auto"/>
                <w:highlight w:val="none"/>
              </w:rPr>
              <w:t>《网络和数据安全培训方案》；</w:t>
            </w:r>
          </w:p>
          <w:p w14:paraId="52B8319F">
            <w:pPr>
              <w:pStyle w:val="32"/>
              <w:rPr>
                <w:color w:val="auto"/>
                <w:highlight w:val="none"/>
              </w:rPr>
            </w:pPr>
            <w:r>
              <w:rPr>
                <w:rFonts w:hint="eastAsia"/>
                <w:color w:val="auto"/>
                <w:highlight w:val="none"/>
              </w:rPr>
              <w:t>《网络和数据安全培训课件》；</w:t>
            </w:r>
          </w:p>
          <w:p w14:paraId="044F167C">
            <w:pPr>
              <w:pStyle w:val="32"/>
              <w:widowControl/>
              <w:rPr>
                <w:rFonts w:hint="eastAsia" w:ascii="宋体" w:hAnsi="宋体" w:cs="宋体"/>
                <w:color w:val="auto"/>
                <w:highlight w:val="none"/>
              </w:rPr>
            </w:pPr>
            <w:r>
              <w:rPr>
                <w:rFonts w:hint="eastAsia"/>
                <w:color w:val="auto"/>
                <w:highlight w:val="none"/>
              </w:rPr>
              <w:t>《网络和数据安全培训签到表》等。</w:t>
            </w:r>
          </w:p>
        </w:tc>
        <w:tc>
          <w:tcPr>
            <w:tcW w:w="145" w:type="pct"/>
            <w:tcBorders>
              <w:top w:val="nil"/>
              <w:left w:val="nil"/>
              <w:bottom w:val="single" w:color="auto" w:sz="4" w:space="0"/>
              <w:right w:val="single" w:color="auto" w:sz="4" w:space="0"/>
            </w:tcBorders>
            <w:noWrap/>
            <w:vAlign w:val="center"/>
          </w:tcPr>
          <w:p w14:paraId="462882A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6D0DC538">
            <w:pPr>
              <w:widowControl/>
              <w:jc w:val="center"/>
              <w:rPr>
                <w:rFonts w:hint="eastAsia" w:ascii="宋体" w:hAnsi="宋体" w:cs="宋体"/>
                <w:color w:val="auto"/>
                <w:kern w:val="0"/>
                <w:sz w:val="18"/>
                <w:szCs w:val="18"/>
                <w:highlight w:val="none"/>
              </w:rPr>
            </w:pPr>
          </w:p>
        </w:tc>
      </w:tr>
      <w:tr w14:paraId="1F0E9E42">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5D38976">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w:t>
            </w:r>
          </w:p>
        </w:tc>
        <w:tc>
          <w:tcPr>
            <w:tcW w:w="428" w:type="pct"/>
            <w:tcBorders>
              <w:top w:val="nil"/>
              <w:left w:val="nil"/>
              <w:bottom w:val="single" w:color="auto" w:sz="4" w:space="0"/>
              <w:right w:val="single" w:color="auto" w:sz="4" w:space="0"/>
            </w:tcBorders>
            <w:noWrap/>
            <w:vAlign w:val="center"/>
          </w:tcPr>
          <w:p w14:paraId="5D9C2C2F">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安全运营中心团队</w:t>
            </w:r>
          </w:p>
        </w:tc>
        <w:tc>
          <w:tcPr>
            <w:tcW w:w="3798" w:type="pct"/>
            <w:gridSpan w:val="2"/>
            <w:tcBorders>
              <w:top w:val="nil"/>
              <w:left w:val="nil"/>
              <w:bottom w:val="single" w:color="auto" w:sz="4" w:space="0"/>
              <w:right w:val="single" w:color="auto" w:sz="4" w:space="0"/>
            </w:tcBorders>
            <w:noWrap/>
            <w:vAlign w:val="center"/>
          </w:tcPr>
          <w:p w14:paraId="319C36CF">
            <w:pPr>
              <w:widowControl/>
              <w:jc w:val="left"/>
              <w:rPr>
                <w:rFonts w:hint="eastAsia" w:ascii="宋体" w:hAnsi="宋体" w:cs="宋体"/>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color w:val="auto"/>
                <w:kern w:val="0"/>
                <w:sz w:val="18"/>
                <w:szCs w:val="18"/>
                <w:highlight w:val="none"/>
              </w:rPr>
              <w:t>要求提供不少于18人的运营团队，提供7*24小时驻场运营服务，提供不少于3年的驻场运营服务，按采购人需求配合运营服务系统的开发优化工作。要求驻场团队</w:t>
            </w:r>
            <w:r>
              <w:rPr>
                <w:rFonts w:hint="eastAsia" w:ascii="宋体" w:hAnsi="宋体" w:cs="宋体"/>
                <w:color w:val="auto"/>
                <w:kern w:val="0"/>
                <w:sz w:val="18"/>
                <w:szCs w:val="18"/>
                <w:highlight w:val="none"/>
                <w:lang w:val="en-US" w:eastAsia="zh-CN"/>
              </w:rPr>
              <w:t>人员</w:t>
            </w:r>
            <w:r>
              <w:rPr>
                <w:rFonts w:hint="eastAsia" w:ascii="宋体" w:hAnsi="宋体" w:cs="宋体"/>
                <w:color w:val="auto"/>
                <w:kern w:val="0"/>
                <w:sz w:val="18"/>
                <w:szCs w:val="18"/>
                <w:highlight w:val="none"/>
              </w:rPr>
              <w:t>具备计算机或与本项目相关专业的本科及以上学历（具备项目所需专业技术资格证书或能力突出的可以适当放宽学历要求）。岗位及职责说明如下：</w:t>
            </w:r>
          </w:p>
        </w:tc>
        <w:tc>
          <w:tcPr>
            <w:tcW w:w="145" w:type="pct"/>
            <w:tcBorders>
              <w:top w:val="nil"/>
              <w:left w:val="nil"/>
              <w:bottom w:val="single" w:color="auto" w:sz="4" w:space="0"/>
              <w:right w:val="single" w:color="auto" w:sz="4" w:space="0"/>
            </w:tcBorders>
            <w:noWrap/>
            <w:vAlign w:val="center"/>
          </w:tcPr>
          <w:p w14:paraId="73E316BD">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noWrap/>
            <w:vAlign w:val="center"/>
          </w:tcPr>
          <w:p w14:paraId="62E5EF3D">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项</w:t>
            </w:r>
          </w:p>
        </w:tc>
      </w:tr>
      <w:tr w14:paraId="269A07AE">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5084A08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428" w:type="pct"/>
            <w:tcBorders>
              <w:top w:val="nil"/>
              <w:left w:val="nil"/>
              <w:bottom w:val="single" w:color="auto" w:sz="4" w:space="0"/>
              <w:right w:val="single" w:color="auto" w:sz="4" w:space="0"/>
            </w:tcBorders>
            <w:noWrap/>
            <w:vAlign w:val="center"/>
          </w:tcPr>
          <w:p w14:paraId="598AB4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资产管理岗</w:t>
            </w:r>
          </w:p>
        </w:tc>
        <w:tc>
          <w:tcPr>
            <w:tcW w:w="3798" w:type="pct"/>
            <w:gridSpan w:val="2"/>
            <w:tcBorders>
              <w:top w:val="nil"/>
              <w:left w:val="nil"/>
              <w:bottom w:val="single" w:color="auto" w:sz="4" w:space="0"/>
              <w:right w:val="single" w:color="auto" w:sz="4" w:space="0"/>
            </w:tcBorders>
            <w:noWrap/>
            <w:vAlign w:val="center"/>
          </w:tcPr>
          <w:p w14:paraId="0C6750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岗位职责：包括但不限于负责全网资产梳理、分类与台账维护，动态更新资产属性、关联关系及安全状态，支撑漏洞扫描、风险评估等安全工作，为精准防护提供资产数据支撑。</w:t>
            </w:r>
          </w:p>
        </w:tc>
        <w:tc>
          <w:tcPr>
            <w:tcW w:w="145" w:type="pct"/>
            <w:tcBorders>
              <w:top w:val="nil"/>
              <w:left w:val="nil"/>
              <w:bottom w:val="single" w:color="auto" w:sz="4" w:space="0"/>
              <w:right w:val="single" w:color="auto" w:sz="4" w:space="0"/>
            </w:tcBorders>
            <w:noWrap/>
            <w:vAlign w:val="center"/>
          </w:tcPr>
          <w:p w14:paraId="7DCFA9A9">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3F611EC">
            <w:pPr>
              <w:widowControl/>
              <w:jc w:val="left"/>
              <w:rPr>
                <w:rFonts w:hint="eastAsia" w:ascii="宋体" w:hAnsi="宋体" w:cs="宋体"/>
                <w:color w:val="auto"/>
                <w:kern w:val="0"/>
                <w:sz w:val="18"/>
                <w:szCs w:val="18"/>
                <w:highlight w:val="none"/>
              </w:rPr>
            </w:pPr>
          </w:p>
        </w:tc>
      </w:tr>
      <w:tr w14:paraId="216A51B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C7528D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428" w:type="pct"/>
            <w:tcBorders>
              <w:top w:val="nil"/>
              <w:left w:val="nil"/>
              <w:bottom w:val="single" w:color="auto" w:sz="4" w:space="0"/>
              <w:right w:val="single" w:color="auto" w:sz="4" w:space="0"/>
            </w:tcBorders>
            <w:noWrap/>
            <w:vAlign w:val="center"/>
          </w:tcPr>
          <w:p w14:paraId="79B111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漏洞安全运营岗</w:t>
            </w:r>
          </w:p>
        </w:tc>
        <w:tc>
          <w:tcPr>
            <w:tcW w:w="3798" w:type="pct"/>
            <w:gridSpan w:val="2"/>
            <w:tcBorders>
              <w:top w:val="nil"/>
              <w:left w:val="nil"/>
              <w:bottom w:val="single" w:color="auto" w:sz="4" w:space="0"/>
              <w:right w:val="single" w:color="auto" w:sz="4" w:space="0"/>
            </w:tcBorders>
            <w:noWrap/>
            <w:vAlign w:val="center"/>
          </w:tcPr>
          <w:p w14:paraId="4DD44C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岗位职责：包括但不限于开展定期漏洞扫描与专项检测，对漏洞分级分类，推送修复建议，跟踪修复进度，建立漏洞处置台账，实现漏洞发现、评估、修复、复核的全闭环管理。提供：安全漏洞管理服务、基线核查服务、web漏洞扫描服务、漏洞评估服务及闭环处置服务。</w:t>
            </w:r>
          </w:p>
        </w:tc>
        <w:tc>
          <w:tcPr>
            <w:tcW w:w="145" w:type="pct"/>
            <w:tcBorders>
              <w:top w:val="nil"/>
              <w:left w:val="nil"/>
              <w:bottom w:val="single" w:color="auto" w:sz="4" w:space="0"/>
              <w:right w:val="single" w:color="auto" w:sz="4" w:space="0"/>
            </w:tcBorders>
            <w:noWrap/>
            <w:vAlign w:val="center"/>
          </w:tcPr>
          <w:p w14:paraId="7BB2E4F1">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1F13F0C">
            <w:pPr>
              <w:widowControl/>
              <w:jc w:val="left"/>
              <w:rPr>
                <w:rFonts w:hint="eastAsia" w:ascii="宋体" w:hAnsi="宋体" w:cs="宋体"/>
                <w:color w:val="auto"/>
                <w:kern w:val="0"/>
                <w:sz w:val="18"/>
                <w:szCs w:val="18"/>
                <w:highlight w:val="none"/>
              </w:rPr>
            </w:pPr>
          </w:p>
        </w:tc>
      </w:tr>
      <w:tr w14:paraId="382D2FDD">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AFEEF0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428" w:type="pct"/>
            <w:tcBorders>
              <w:top w:val="nil"/>
              <w:left w:val="nil"/>
              <w:bottom w:val="single" w:color="auto" w:sz="4" w:space="0"/>
              <w:right w:val="single" w:color="auto" w:sz="4" w:space="0"/>
            </w:tcBorders>
            <w:noWrap/>
            <w:vAlign w:val="center"/>
          </w:tcPr>
          <w:p w14:paraId="3CCCD7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安全监测岗</w:t>
            </w:r>
          </w:p>
        </w:tc>
        <w:tc>
          <w:tcPr>
            <w:tcW w:w="3798" w:type="pct"/>
            <w:gridSpan w:val="2"/>
            <w:tcBorders>
              <w:top w:val="nil"/>
              <w:left w:val="nil"/>
              <w:bottom w:val="single" w:color="auto" w:sz="4" w:space="0"/>
              <w:right w:val="single" w:color="auto" w:sz="4" w:space="0"/>
            </w:tcBorders>
            <w:noWrap/>
            <w:vAlign w:val="center"/>
          </w:tcPr>
          <w:p w14:paraId="3F9E88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岗位职责：包括但不限于负责7×24 小时监控网络流量、日志及安全设备告警，核实告警真实性，初步定位事件类型与影响范围，及时上报异常情况，配合开展应急处置，汇总其他网络与数据安全通报信息。提供流量安全检测服务、安全监测分析服务。</w:t>
            </w:r>
          </w:p>
        </w:tc>
        <w:tc>
          <w:tcPr>
            <w:tcW w:w="145" w:type="pct"/>
            <w:tcBorders>
              <w:top w:val="nil"/>
              <w:left w:val="nil"/>
              <w:bottom w:val="single" w:color="auto" w:sz="4" w:space="0"/>
              <w:right w:val="single" w:color="auto" w:sz="4" w:space="0"/>
            </w:tcBorders>
            <w:noWrap/>
            <w:vAlign w:val="center"/>
          </w:tcPr>
          <w:p w14:paraId="366940FE">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2B279D66">
            <w:pPr>
              <w:widowControl/>
              <w:jc w:val="left"/>
              <w:rPr>
                <w:rFonts w:hint="eastAsia" w:ascii="宋体" w:hAnsi="宋体" w:cs="宋体"/>
                <w:color w:val="auto"/>
                <w:kern w:val="0"/>
                <w:sz w:val="18"/>
                <w:szCs w:val="18"/>
                <w:highlight w:val="none"/>
              </w:rPr>
            </w:pPr>
          </w:p>
        </w:tc>
      </w:tr>
      <w:tr w14:paraId="5DE2A273">
        <w:tblPrEx>
          <w:tblCellMar>
            <w:top w:w="0" w:type="dxa"/>
            <w:left w:w="108" w:type="dxa"/>
            <w:bottom w:w="0" w:type="dxa"/>
            <w:right w:w="108" w:type="dxa"/>
          </w:tblCellMar>
        </w:tblPrEx>
        <w:trPr>
          <w:trHeight w:val="90" w:hRule="atLeast"/>
        </w:trPr>
        <w:tc>
          <w:tcPr>
            <w:tcW w:w="418" w:type="pct"/>
            <w:tcBorders>
              <w:top w:val="nil"/>
              <w:left w:val="single" w:color="auto" w:sz="4" w:space="0"/>
              <w:bottom w:val="single" w:color="auto" w:sz="4" w:space="0"/>
              <w:right w:val="single" w:color="auto" w:sz="4" w:space="0"/>
            </w:tcBorders>
            <w:noWrap/>
            <w:vAlign w:val="center"/>
          </w:tcPr>
          <w:p w14:paraId="7137BBA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428" w:type="pct"/>
            <w:tcBorders>
              <w:top w:val="nil"/>
              <w:left w:val="nil"/>
              <w:bottom w:val="single" w:color="auto" w:sz="4" w:space="0"/>
              <w:right w:val="single" w:color="auto" w:sz="4" w:space="0"/>
            </w:tcBorders>
            <w:noWrap/>
            <w:vAlign w:val="center"/>
          </w:tcPr>
          <w:p w14:paraId="7561F1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分析研判岗</w:t>
            </w:r>
          </w:p>
        </w:tc>
        <w:tc>
          <w:tcPr>
            <w:tcW w:w="3798" w:type="pct"/>
            <w:gridSpan w:val="2"/>
            <w:tcBorders>
              <w:top w:val="nil"/>
              <w:left w:val="nil"/>
              <w:bottom w:val="single" w:color="auto" w:sz="4" w:space="0"/>
              <w:right w:val="single" w:color="auto" w:sz="4" w:space="0"/>
            </w:tcBorders>
            <w:noWrap/>
            <w:vAlign w:val="center"/>
          </w:tcPr>
          <w:p w14:paraId="49B1AB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岗位职责：包括但不限于深度分析安全事件数据，还原攻击路径与手法，开展威胁溯源与风险评估，识别潜在安全隐患，输出研判报告并提供针对性防御建议。1、同时承担疑难告警研判。2、同时承担事件溯源分析。3、同时承担APT威胁分析。</w:t>
            </w:r>
          </w:p>
        </w:tc>
        <w:tc>
          <w:tcPr>
            <w:tcW w:w="145" w:type="pct"/>
            <w:tcBorders>
              <w:top w:val="nil"/>
              <w:left w:val="nil"/>
              <w:bottom w:val="single" w:color="auto" w:sz="4" w:space="0"/>
              <w:right w:val="single" w:color="auto" w:sz="4" w:space="0"/>
            </w:tcBorders>
            <w:noWrap/>
            <w:vAlign w:val="center"/>
          </w:tcPr>
          <w:p w14:paraId="549267A2">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21FA48D4">
            <w:pPr>
              <w:widowControl/>
              <w:jc w:val="left"/>
              <w:rPr>
                <w:rFonts w:hint="eastAsia" w:ascii="宋体" w:hAnsi="宋体" w:cs="宋体"/>
                <w:color w:val="auto"/>
                <w:kern w:val="0"/>
                <w:sz w:val="18"/>
                <w:szCs w:val="18"/>
                <w:highlight w:val="none"/>
              </w:rPr>
            </w:pPr>
          </w:p>
        </w:tc>
      </w:tr>
      <w:tr w14:paraId="1B1BFB3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1F34700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428" w:type="pct"/>
            <w:tcBorders>
              <w:top w:val="nil"/>
              <w:left w:val="nil"/>
              <w:bottom w:val="single" w:color="auto" w:sz="4" w:space="0"/>
              <w:right w:val="single" w:color="auto" w:sz="4" w:space="0"/>
            </w:tcBorders>
            <w:noWrap/>
            <w:vAlign w:val="center"/>
          </w:tcPr>
          <w:p w14:paraId="1635E9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对外联络通报岗</w:t>
            </w:r>
          </w:p>
        </w:tc>
        <w:tc>
          <w:tcPr>
            <w:tcW w:w="3798" w:type="pct"/>
            <w:gridSpan w:val="2"/>
            <w:tcBorders>
              <w:top w:val="nil"/>
              <w:left w:val="nil"/>
              <w:bottom w:val="single" w:color="auto" w:sz="4" w:space="0"/>
              <w:right w:val="single" w:color="auto" w:sz="4" w:space="0"/>
            </w:tcBorders>
            <w:noWrap/>
            <w:vAlign w:val="center"/>
          </w:tcPr>
          <w:p w14:paraId="5665F0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岗位职责：包括但不限于对接监管部门、合作伙伴及客户，及时通报安全事件、风险预警等信息，接收外部安全通告并同步内部，协同开展跨单位应急处置与合规报备。提供：安全情报采集服务、突发热点事件响应、网络和数据安全通报服务。</w:t>
            </w:r>
          </w:p>
        </w:tc>
        <w:tc>
          <w:tcPr>
            <w:tcW w:w="145" w:type="pct"/>
            <w:tcBorders>
              <w:top w:val="nil"/>
              <w:left w:val="nil"/>
              <w:bottom w:val="single" w:color="auto" w:sz="4" w:space="0"/>
              <w:right w:val="single" w:color="auto" w:sz="4" w:space="0"/>
            </w:tcBorders>
            <w:noWrap/>
            <w:vAlign w:val="center"/>
          </w:tcPr>
          <w:p w14:paraId="35A09607">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342CF615">
            <w:pPr>
              <w:widowControl/>
              <w:jc w:val="left"/>
              <w:rPr>
                <w:rFonts w:hint="eastAsia" w:ascii="宋体" w:hAnsi="宋体" w:cs="宋体"/>
                <w:color w:val="auto"/>
                <w:kern w:val="0"/>
                <w:sz w:val="18"/>
                <w:szCs w:val="18"/>
                <w:highlight w:val="none"/>
              </w:rPr>
            </w:pPr>
          </w:p>
        </w:tc>
      </w:tr>
      <w:tr w14:paraId="72B4BFF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9EB312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428" w:type="pct"/>
            <w:tcBorders>
              <w:top w:val="nil"/>
              <w:left w:val="nil"/>
              <w:bottom w:val="single" w:color="auto" w:sz="4" w:space="0"/>
              <w:right w:val="single" w:color="auto" w:sz="4" w:space="0"/>
            </w:tcBorders>
            <w:noWrap/>
            <w:vAlign w:val="center"/>
          </w:tcPr>
          <w:p w14:paraId="7FAC74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密码运营岗</w:t>
            </w:r>
          </w:p>
        </w:tc>
        <w:tc>
          <w:tcPr>
            <w:tcW w:w="3798" w:type="pct"/>
            <w:gridSpan w:val="2"/>
            <w:tcBorders>
              <w:top w:val="nil"/>
              <w:left w:val="nil"/>
              <w:bottom w:val="single" w:color="auto" w:sz="4" w:space="0"/>
              <w:right w:val="single" w:color="auto" w:sz="4" w:space="0"/>
            </w:tcBorders>
            <w:noWrap/>
            <w:vAlign w:val="center"/>
          </w:tcPr>
          <w:p w14:paraId="12D999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岗位职责：包括但不限于负责密码设备运维、密钥全生命周期管理，落实密码安全合规要求，开展密码应用检测与风险排查，保障网络与数据的密码安全防护有效落地。提供密码运营服务。</w:t>
            </w:r>
          </w:p>
        </w:tc>
        <w:tc>
          <w:tcPr>
            <w:tcW w:w="145" w:type="pct"/>
            <w:tcBorders>
              <w:top w:val="nil"/>
              <w:left w:val="nil"/>
              <w:bottom w:val="single" w:color="auto" w:sz="4" w:space="0"/>
              <w:right w:val="single" w:color="auto" w:sz="4" w:space="0"/>
            </w:tcBorders>
            <w:noWrap/>
            <w:vAlign w:val="center"/>
          </w:tcPr>
          <w:p w14:paraId="41B83434">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0BB643E5">
            <w:pPr>
              <w:widowControl/>
              <w:jc w:val="left"/>
              <w:rPr>
                <w:rFonts w:hint="eastAsia" w:ascii="宋体" w:hAnsi="宋体" w:cs="宋体"/>
                <w:color w:val="auto"/>
                <w:kern w:val="0"/>
                <w:sz w:val="18"/>
                <w:szCs w:val="18"/>
                <w:highlight w:val="none"/>
              </w:rPr>
            </w:pPr>
          </w:p>
        </w:tc>
      </w:tr>
      <w:tr w14:paraId="1A9050AB">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AD687A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428" w:type="pct"/>
            <w:tcBorders>
              <w:top w:val="nil"/>
              <w:left w:val="nil"/>
              <w:bottom w:val="single" w:color="auto" w:sz="4" w:space="0"/>
              <w:right w:val="single" w:color="auto" w:sz="4" w:space="0"/>
            </w:tcBorders>
            <w:noWrap/>
            <w:vAlign w:val="center"/>
          </w:tcPr>
          <w:p w14:paraId="2B793B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人工智能安全运营岗</w:t>
            </w:r>
          </w:p>
        </w:tc>
        <w:tc>
          <w:tcPr>
            <w:tcW w:w="3798" w:type="pct"/>
            <w:gridSpan w:val="2"/>
            <w:tcBorders>
              <w:top w:val="nil"/>
              <w:left w:val="nil"/>
              <w:bottom w:val="single" w:color="auto" w:sz="4" w:space="0"/>
              <w:right w:val="single" w:color="auto" w:sz="4" w:space="0"/>
            </w:tcBorders>
            <w:noWrap/>
            <w:vAlign w:val="center"/>
          </w:tcPr>
          <w:p w14:paraId="16821C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岗位职责：包括但不限于运维 AI 安全监测、自动化处置工具，监测大模型及 AI 应用安全风险，优化 AI 驱动的防护策略，提升安全运营的智能化、自动化水平。提供AI安全运营服务</w:t>
            </w:r>
          </w:p>
        </w:tc>
        <w:tc>
          <w:tcPr>
            <w:tcW w:w="145" w:type="pct"/>
            <w:tcBorders>
              <w:top w:val="nil"/>
              <w:left w:val="nil"/>
              <w:bottom w:val="single" w:color="auto" w:sz="4" w:space="0"/>
              <w:right w:val="single" w:color="auto" w:sz="4" w:space="0"/>
            </w:tcBorders>
            <w:noWrap/>
            <w:vAlign w:val="center"/>
          </w:tcPr>
          <w:p w14:paraId="2E76DC79">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6D18DE22">
            <w:pPr>
              <w:widowControl/>
              <w:jc w:val="left"/>
              <w:rPr>
                <w:rFonts w:hint="eastAsia" w:ascii="宋体" w:hAnsi="宋体" w:cs="宋体"/>
                <w:color w:val="auto"/>
                <w:kern w:val="0"/>
                <w:sz w:val="18"/>
                <w:szCs w:val="18"/>
                <w:highlight w:val="none"/>
              </w:rPr>
            </w:pPr>
          </w:p>
        </w:tc>
      </w:tr>
      <w:tr w14:paraId="37AF852B">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557093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428" w:type="pct"/>
            <w:tcBorders>
              <w:top w:val="nil"/>
              <w:left w:val="nil"/>
              <w:bottom w:val="single" w:color="auto" w:sz="4" w:space="0"/>
              <w:right w:val="single" w:color="auto" w:sz="4" w:space="0"/>
            </w:tcBorders>
            <w:noWrap/>
            <w:vAlign w:val="center"/>
          </w:tcPr>
          <w:p w14:paraId="088528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综合运营管理岗</w:t>
            </w:r>
          </w:p>
        </w:tc>
        <w:tc>
          <w:tcPr>
            <w:tcW w:w="3798" w:type="pct"/>
            <w:gridSpan w:val="2"/>
            <w:tcBorders>
              <w:top w:val="nil"/>
              <w:left w:val="nil"/>
              <w:bottom w:val="single" w:color="auto" w:sz="4" w:space="0"/>
              <w:right w:val="single" w:color="auto" w:sz="4" w:space="0"/>
            </w:tcBorders>
            <w:noWrap/>
            <w:vAlign w:val="center"/>
          </w:tcPr>
          <w:p w14:paraId="07448A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提供5*8小时驻场运营服务。岗位职责：包括但不限于统筹安全运营团队日常管理与工作规划，协调跨岗位协同，制定运营流程与考核标准，监督安全事件处置闭环，对接内外部需求，保障网络安全运营体系高效、合规运行。与安全监测组组长负责人互为备份。</w:t>
            </w:r>
          </w:p>
        </w:tc>
        <w:tc>
          <w:tcPr>
            <w:tcW w:w="145" w:type="pct"/>
            <w:tcBorders>
              <w:top w:val="nil"/>
              <w:left w:val="nil"/>
              <w:bottom w:val="single" w:color="auto" w:sz="4" w:space="0"/>
              <w:right w:val="single" w:color="auto" w:sz="4" w:space="0"/>
            </w:tcBorders>
            <w:noWrap/>
            <w:vAlign w:val="center"/>
          </w:tcPr>
          <w:p w14:paraId="3454D3CA">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79EFBB34">
            <w:pPr>
              <w:widowControl/>
              <w:jc w:val="left"/>
              <w:rPr>
                <w:rFonts w:hint="eastAsia" w:ascii="宋体" w:hAnsi="宋体" w:cs="宋体"/>
                <w:color w:val="auto"/>
                <w:kern w:val="0"/>
                <w:sz w:val="18"/>
                <w:szCs w:val="18"/>
                <w:highlight w:val="none"/>
              </w:rPr>
            </w:pPr>
          </w:p>
        </w:tc>
      </w:tr>
      <w:tr w14:paraId="1F2B118C">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67DBB0B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428" w:type="pct"/>
            <w:tcBorders>
              <w:top w:val="nil"/>
              <w:left w:val="nil"/>
              <w:bottom w:val="single" w:color="auto" w:sz="4" w:space="0"/>
              <w:right w:val="single" w:color="auto" w:sz="4" w:space="0"/>
            </w:tcBorders>
            <w:noWrap/>
            <w:vAlign w:val="center"/>
          </w:tcPr>
          <w:p w14:paraId="12B6AF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安全监测管理岗</w:t>
            </w:r>
          </w:p>
        </w:tc>
        <w:tc>
          <w:tcPr>
            <w:tcW w:w="3798" w:type="pct"/>
            <w:gridSpan w:val="2"/>
            <w:tcBorders>
              <w:top w:val="nil"/>
              <w:left w:val="nil"/>
              <w:bottom w:val="single" w:color="auto" w:sz="4" w:space="0"/>
              <w:right w:val="single" w:color="auto" w:sz="4" w:space="0"/>
            </w:tcBorders>
            <w:noWrap/>
            <w:vAlign w:val="center"/>
          </w:tcPr>
          <w:p w14:paraId="169294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提供5*8小时驻场运营服务。岗位职责：包括但不限于带领监测团队开展 7×24 小时全网安全监测，优化告警规则，快速响应高风险告警，统筹事件初步研判与分流，推动监测流程迭代，提升团队应急处置效率。与综合运营组长互为备份；</w:t>
            </w:r>
          </w:p>
        </w:tc>
        <w:tc>
          <w:tcPr>
            <w:tcW w:w="145" w:type="pct"/>
            <w:tcBorders>
              <w:top w:val="nil"/>
              <w:left w:val="nil"/>
              <w:bottom w:val="single" w:color="auto" w:sz="4" w:space="0"/>
              <w:right w:val="single" w:color="auto" w:sz="4" w:space="0"/>
            </w:tcBorders>
            <w:noWrap/>
            <w:vAlign w:val="center"/>
          </w:tcPr>
          <w:p w14:paraId="3C726C70">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11F19963">
            <w:pPr>
              <w:widowControl/>
              <w:jc w:val="left"/>
              <w:rPr>
                <w:rFonts w:hint="eastAsia" w:ascii="宋体" w:hAnsi="宋体" w:cs="宋体"/>
                <w:color w:val="auto"/>
                <w:kern w:val="0"/>
                <w:sz w:val="18"/>
                <w:szCs w:val="18"/>
                <w:highlight w:val="none"/>
              </w:rPr>
            </w:pPr>
          </w:p>
        </w:tc>
      </w:tr>
      <w:tr w14:paraId="1A38FAA5">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EDB7E5A">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（四）</w:t>
            </w:r>
          </w:p>
        </w:tc>
        <w:tc>
          <w:tcPr>
            <w:tcW w:w="428" w:type="pct"/>
            <w:tcBorders>
              <w:top w:val="nil"/>
              <w:left w:val="nil"/>
              <w:bottom w:val="single" w:color="auto" w:sz="4" w:space="0"/>
              <w:right w:val="single" w:color="auto" w:sz="4" w:space="0"/>
            </w:tcBorders>
            <w:noWrap/>
            <w:vAlign w:val="center"/>
          </w:tcPr>
          <w:p w14:paraId="53F85F15">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软硬件维保服务</w:t>
            </w:r>
          </w:p>
        </w:tc>
        <w:tc>
          <w:tcPr>
            <w:tcW w:w="3798" w:type="pct"/>
            <w:gridSpan w:val="2"/>
            <w:tcBorders>
              <w:top w:val="nil"/>
              <w:left w:val="nil"/>
              <w:bottom w:val="single" w:color="auto" w:sz="4" w:space="0"/>
              <w:right w:val="single" w:color="auto" w:sz="4" w:space="0"/>
            </w:tcBorders>
            <w:noWrap/>
            <w:vAlign w:val="center"/>
          </w:tcPr>
          <w:p w14:paraId="7CF8D7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5" w:type="pct"/>
            <w:tcBorders>
              <w:top w:val="nil"/>
              <w:left w:val="nil"/>
              <w:bottom w:val="single" w:color="auto" w:sz="4" w:space="0"/>
              <w:right w:val="single" w:color="auto" w:sz="4" w:space="0"/>
            </w:tcBorders>
            <w:noWrap/>
            <w:vAlign w:val="center"/>
          </w:tcPr>
          <w:p w14:paraId="608FD0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p>
        </w:tc>
        <w:tc>
          <w:tcPr>
            <w:tcW w:w="208" w:type="pct"/>
            <w:tcBorders>
              <w:top w:val="nil"/>
              <w:left w:val="nil"/>
              <w:bottom w:val="single" w:color="auto" w:sz="4" w:space="0"/>
              <w:right w:val="single" w:color="auto" w:sz="4" w:space="0"/>
            </w:tcBorders>
            <w:noWrap/>
            <w:vAlign w:val="center"/>
          </w:tcPr>
          <w:p w14:paraId="2D36DA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项</w:t>
            </w:r>
          </w:p>
        </w:tc>
      </w:tr>
      <w:tr w14:paraId="5584110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F7635D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428" w:type="pct"/>
            <w:tcBorders>
              <w:top w:val="nil"/>
              <w:left w:val="nil"/>
              <w:bottom w:val="single" w:color="auto" w:sz="4" w:space="0"/>
              <w:right w:val="single" w:color="auto" w:sz="4" w:space="0"/>
            </w:tcBorders>
            <w:noWrap/>
            <w:vAlign w:val="center"/>
          </w:tcPr>
          <w:p w14:paraId="2A81B6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政务外网安全设备维保</w:t>
            </w:r>
          </w:p>
        </w:tc>
        <w:tc>
          <w:tcPr>
            <w:tcW w:w="3798" w:type="pct"/>
            <w:gridSpan w:val="2"/>
            <w:tcBorders>
              <w:top w:val="nil"/>
              <w:left w:val="nil"/>
              <w:bottom w:val="single" w:color="auto" w:sz="4" w:space="0"/>
              <w:right w:val="single" w:color="auto" w:sz="4" w:space="0"/>
            </w:tcBorders>
            <w:vAlign w:val="center"/>
          </w:tcPr>
          <w:p w14:paraId="607032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一、</w:t>
            </w:r>
            <w:r>
              <w:rPr>
                <w:rFonts w:hint="eastAsia" w:ascii="宋体" w:hAnsi="宋体" w:cs="宋体"/>
                <w:color w:val="auto"/>
                <w:kern w:val="0"/>
                <w:sz w:val="18"/>
                <w:szCs w:val="18"/>
                <w:highlight w:val="none"/>
              </w:rPr>
              <w:t>对19台安全设备进行硬件设备维保、特征库和版本升级、漏洞补丁修复、技术支持等服务，提供许可续期服务</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确保</w:t>
            </w:r>
            <w:r>
              <w:rPr>
                <w:rFonts w:hint="eastAsia" w:ascii="宋体" w:hAnsi="宋体" w:cs="宋体"/>
                <w:color w:val="auto"/>
                <w:kern w:val="0"/>
                <w:sz w:val="18"/>
                <w:szCs w:val="18"/>
                <w:highlight w:val="none"/>
              </w:rPr>
              <w:t>软件授权合法有效</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维保服务期</w:t>
            </w:r>
            <w:r>
              <w:rPr>
                <w:rFonts w:hint="eastAsia" w:ascii="宋体" w:hAnsi="宋体" w:cs="宋体"/>
                <w:color w:val="auto"/>
                <w:kern w:val="0"/>
                <w:sz w:val="18"/>
                <w:szCs w:val="18"/>
                <w:highlight w:val="none"/>
                <w:lang w:val="en-US" w:eastAsia="zh-CN"/>
              </w:rPr>
              <w:t>至少</w:t>
            </w:r>
            <w:r>
              <w:rPr>
                <w:rFonts w:hint="eastAsia" w:ascii="宋体" w:hAnsi="宋体" w:cs="宋体"/>
                <w:color w:val="auto"/>
                <w:kern w:val="0"/>
                <w:sz w:val="18"/>
                <w:szCs w:val="18"/>
                <w:highlight w:val="none"/>
              </w:rPr>
              <w:t>3年。</w:t>
            </w:r>
          </w:p>
          <w:p w14:paraId="5F0DCD2C">
            <w:pPr>
              <w:pStyle w:val="32"/>
              <w:rPr>
                <w:color w:val="auto"/>
                <w:highlight w:val="none"/>
              </w:rPr>
            </w:pPr>
            <w:r>
              <w:rPr>
                <w:rFonts w:hint="eastAsia"/>
                <w:color w:val="auto"/>
                <w:highlight w:val="none"/>
              </w:rPr>
              <w:t>运维服务内容包括但不限于：</w:t>
            </w:r>
          </w:p>
          <w:p w14:paraId="0047C7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1、日常巡检：检查设备运行状态、CPU/内存/磁盘使用率、端口状态、风扇电源指示灯。</w:t>
            </w:r>
          </w:p>
          <w:p w14:paraId="6E7FB4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2、性能监控：监控设备吞吐量、连接数、延时、丢包率等关键指标，设置性能阈值告警。</w:t>
            </w:r>
          </w:p>
          <w:p w14:paraId="23EEFB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3、日志审计：收集并分析系统日志、操作日志、安全日志，定期归档以满足合规留存要求。</w:t>
            </w:r>
          </w:p>
          <w:p w14:paraId="41D14A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4、告警处理：实时接收并分析设备告警信息，按严重等级分级响应，记录处理过程及结果。</w:t>
            </w:r>
          </w:p>
          <w:p w14:paraId="7B9371E6">
            <w:pPr>
              <w:widowControl/>
              <w:jc w:val="left"/>
              <w:rPr>
                <w:rFonts w:hint="eastAsia" w:ascii="Times New Roman" w:hAnsi="Times New Roman" w:cs="Times New Roman"/>
                <w:color w:val="auto"/>
                <w:kern w:val="2"/>
                <w:sz w:val="21"/>
                <w:szCs w:val="24"/>
                <w:highlight w:val="none"/>
              </w:rPr>
            </w:pPr>
            <w:r>
              <w:rPr>
                <w:rFonts w:hint="eastAsia" w:ascii="宋体" w:hAnsi="宋体" w:cs="宋体"/>
                <w:color w:val="auto"/>
                <w:kern w:val="0"/>
                <w:sz w:val="18"/>
                <w:szCs w:val="18"/>
                <w:highlight w:val="none"/>
              </w:rPr>
              <w:t>5、故障排查：定位并诊断设备宕机、性能劣化、配置错误、链路中断等问题，恢复业务并输出故障报告。</w:t>
            </w:r>
          </w:p>
          <w:p w14:paraId="69C66E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二、</w:t>
            </w:r>
            <w:r>
              <w:rPr>
                <w:rFonts w:hint="eastAsia" w:ascii="宋体" w:hAnsi="宋体" w:cs="宋体"/>
                <w:color w:val="auto"/>
                <w:kern w:val="0"/>
                <w:sz w:val="18"/>
                <w:szCs w:val="18"/>
                <w:highlight w:val="none"/>
              </w:rPr>
              <w:t>巡检服务:根据采购人的要求，在维保期内，每年安排设备厂商开展不低于1次的设备安全巡检并输出原厂商巡检报告。</w:t>
            </w:r>
          </w:p>
          <w:p w14:paraId="5948CB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设备清单如下：</w:t>
            </w:r>
          </w:p>
          <w:tbl>
            <w:tblPr>
              <w:tblStyle w:val="50"/>
              <w:tblW w:w="4996" w:type="pct"/>
              <w:tblInd w:w="0" w:type="dxa"/>
              <w:tblLayout w:type="fixed"/>
              <w:tblCellMar>
                <w:top w:w="0" w:type="dxa"/>
                <w:left w:w="108" w:type="dxa"/>
                <w:bottom w:w="0" w:type="dxa"/>
                <w:right w:w="108" w:type="dxa"/>
              </w:tblCellMar>
            </w:tblPr>
            <w:tblGrid>
              <w:gridCol w:w="862"/>
              <w:gridCol w:w="2000"/>
              <w:gridCol w:w="2973"/>
              <w:gridCol w:w="1456"/>
            </w:tblGrid>
            <w:tr w14:paraId="62F011AB">
              <w:tblPrEx>
                <w:tblCellMar>
                  <w:top w:w="0" w:type="dxa"/>
                  <w:left w:w="108" w:type="dxa"/>
                  <w:bottom w:w="0" w:type="dxa"/>
                  <w:right w:w="108" w:type="dxa"/>
                </w:tblCellMar>
              </w:tblPrEx>
              <w:trPr>
                <w:trHeight w:val="600" w:hRule="atLeast"/>
                <w:tblHeader/>
              </w:trPr>
              <w:tc>
                <w:tcPr>
                  <w:tcW w:w="1611" w:type="dxa"/>
                  <w:tcBorders>
                    <w:top w:val="single" w:color="000000" w:sz="4" w:space="0"/>
                    <w:left w:val="single" w:color="000000" w:sz="4" w:space="0"/>
                    <w:bottom w:val="single" w:color="000000" w:sz="4" w:space="0"/>
                    <w:right w:val="single" w:color="000000" w:sz="4" w:space="0"/>
                  </w:tcBorders>
                  <w:vAlign w:val="center"/>
                </w:tcPr>
                <w:p w14:paraId="21D5D3FF">
                  <w:pPr>
                    <w:widowControl/>
                    <w:jc w:val="center"/>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序号</w:t>
                  </w:r>
                </w:p>
              </w:tc>
              <w:tc>
                <w:tcPr>
                  <w:tcW w:w="4109" w:type="dxa"/>
                  <w:tcBorders>
                    <w:top w:val="single" w:color="000000" w:sz="4" w:space="0"/>
                    <w:left w:val="single" w:color="000000" w:sz="4" w:space="0"/>
                    <w:bottom w:val="single" w:color="000000" w:sz="4" w:space="0"/>
                    <w:right w:val="single" w:color="000000" w:sz="4" w:space="0"/>
                  </w:tcBorders>
                  <w:vAlign w:val="center"/>
                </w:tcPr>
                <w:p w14:paraId="6831FB7E">
                  <w:pPr>
                    <w:widowControl/>
                    <w:jc w:val="center"/>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设备分类</w:t>
                  </w:r>
                </w:p>
              </w:tc>
              <w:tc>
                <w:tcPr>
                  <w:tcW w:w="6247" w:type="dxa"/>
                  <w:tcBorders>
                    <w:top w:val="single" w:color="000000" w:sz="4" w:space="0"/>
                    <w:left w:val="single" w:color="000000" w:sz="4" w:space="0"/>
                    <w:bottom w:val="single" w:color="000000" w:sz="4" w:space="0"/>
                    <w:right w:val="single" w:color="000000" w:sz="4" w:space="0"/>
                  </w:tcBorders>
                  <w:vAlign w:val="center"/>
                </w:tcPr>
                <w:p w14:paraId="4ADED01D">
                  <w:pPr>
                    <w:widowControl/>
                    <w:jc w:val="center"/>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品牌</w:t>
                  </w:r>
                </w:p>
              </w:tc>
              <w:tc>
                <w:tcPr>
                  <w:tcW w:w="2915" w:type="dxa"/>
                  <w:tcBorders>
                    <w:top w:val="single" w:color="000000" w:sz="4" w:space="0"/>
                    <w:left w:val="single" w:color="000000" w:sz="4" w:space="0"/>
                    <w:bottom w:val="single" w:color="000000" w:sz="4" w:space="0"/>
                    <w:right w:val="single" w:color="000000" w:sz="4" w:space="0"/>
                  </w:tcBorders>
                  <w:vAlign w:val="center"/>
                </w:tcPr>
                <w:p w14:paraId="3CEEAE1B">
                  <w:pPr>
                    <w:widowControl/>
                    <w:jc w:val="center"/>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产品型号</w:t>
                  </w:r>
                </w:p>
              </w:tc>
            </w:tr>
            <w:tr w14:paraId="757E31F1">
              <w:tblPrEx>
                <w:tblCellMar>
                  <w:top w:w="0" w:type="dxa"/>
                  <w:left w:w="108" w:type="dxa"/>
                  <w:bottom w:w="0" w:type="dxa"/>
                  <w:right w:w="108" w:type="dxa"/>
                </w:tblCellMar>
              </w:tblPrEx>
              <w:trPr>
                <w:trHeight w:val="60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7931EE93">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w:t>
                  </w:r>
                </w:p>
              </w:tc>
              <w:tc>
                <w:tcPr>
                  <w:tcW w:w="4109" w:type="dxa"/>
                  <w:tcBorders>
                    <w:top w:val="single" w:color="000000" w:sz="4" w:space="0"/>
                    <w:left w:val="single" w:color="000000" w:sz="4" w:space="0"/>
                    <w:bottom w:val="single" w:color="000000" w:sz="4" w:space="0"/>
                    <w:right w:val="single" w:color="000000" w:sz="4" w:space="0"/>
                  </w:tcBorders>
                  <w:vAlign w:val="center"/>
                </w:tcPr>
                <w:p w14:paraId="1900AEF6">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Web</w:t>
                  </w:r>
                  <w:r>
                    <w:rPr>
                      <w:rFonts w:hint="eastAsia" w:ascii="宋体" w:hAnsi="宋体" w:cs="宋体"/>
                      <w:color w:val="auto"/>
                      <w:kern w:val="0"/>
                      <w:sz w:val="18"/>
                      <w:szCs w:val="18"/>
                      <w:highlight w:val="none"/>
                      <w:lang w:bidi="ar"/>
                    </w:rPr>
                    <w:t>应用防火墙</w:t>
                  </w:r>
                </w:p>
              </w:tc>
              <w:tc>
                <w:tcPr>
                  <w:tcW w:w="6247" w:type="dxa"/>
                  <w:tcBorders>
                    <w:top w:val="single" w:color="000000" w:sz="4" w:space="0"/>
                    <w:left w:val="single" w:color="000000" w:sz="4" w:space="0"/>
                    <w:bottom w:val="single" w:color="000000" w:sz="4" w:space="0"/>
                    <w:right w:val="single" w:color="000000" w:sz="4" w:space="0"/>
                  </w:tcBorders>
                  <w:vAlign w:val="center"/>
                </w:tcPr>
                <w:p w14:paraId="553A43B3">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绿盟</w:t>
                  </w:r>
                </w:p>
              </w:tc>
              <w:tc>
                <w:tcPr>
                  <w:tcW w:w="2915" w:type="dxa"/>
                  <w:tcBorders>
                    <w:top w:val="single" w:color="000000" w:sz="4" w:space="0"/>
                    <w:left w:val="single" w:color="000000" w:sz="4" w:space="0"/>
                    <w:bottom w:val="single" w:color="000000" w:sz="4" w:space="0"/>
                    <w:right w:val="single" w:color="000000" w:sz="4" w:space="0"/>
                  </w:tcBorders>
                  <w:vAlign w:val="center"/>
                </w:tcPr>
                <w:p w14:paraId="3AAF3B3D">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NX5-P3020A-C</w:t>
                  </w:r>
                </w:p>
              </w:tc>
            </w:tr>
            <w:tr w14:paraId="2AB243DE">
              <w:tblPrEx>
                <w:tblCellMar>
                  <w:top w:w="0" w:type="dxa"/>
                  <w:left w:w="108" w:type="dxa"/>
                  <w:bottom w:w="0" w:type="dxa"/>
                  <w:right w:w="108" w:type="dxa"/>
                </w:tblCellMar>
              </w:tblPrEx>
              <w:trPr>
                <w:trHeight w:val="60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500D152F">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2</w:t>
                  </w:r>
                </w:p>
              </w:tc>
              <w:tc>
                <w:tcPr>
                  <w:tcW w:w="4109" w:type="dxa"/>
                  <w:tcBorders>
                    <w:top w:val="single" w:color="000000" w:sz="4" w:space="0"/>
                    <w:left w:val="single" w:color="000000" w:sz="4" w:space="0"/>
                    <w:bottom w:val="single" w:color="000000" w:sz="4" w:space="0"/>
                    <w:right w:val="single" w:color="000000" w:sz="4" w:space="0"/>
                  </w:tcBorders>
                  <w:vAlign w:val="center"/>
                </w:tcPr>
                <w:p w14:paraId="67D73398">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Web</w:t>
                  </w:r>
                  <w:r>
                    <w:rPr>
                      <w:rFonts w:hint="eastAsia" w:ascii="宋体" w:hAnsi="宋体" w:cs="宋体"/>
                      <w:color w:val="auto"/>
                      <w:kern w:val="0"/>
                      <w:sz w:val="18"/>
                      <w:szCs w:val="18"/>
                      <w:highlight w:val="none"/>
                      <w:lang w:bidi="ar"/>
                    </w:rPr>
                    <w:t>应用防火墙</w:t>
                  </w:r>
                </w:p>
              </w:tc>
              <w:tc>
                <w:tcPr>
                  <w:tcW w:w="6247" w:type="dxa"/>
                  <w:tcBorders>
                    <w:top w:val="single" w:color="000000" w:sz="4" w:space="0"/>
                    <w:left w:val="single" w:color="000000" w:sz="4" w:space="0"/>
                    <w:bottom w:val="single" w:color="000000" w:sz="4" w:space="0"/>
                    <w:right w:val="single" w:color="000000" w:sz="4" w:space="0"/>
                  </w:tcBorders>
                  <w:vAlign w:val="center"/>
                </w:tcPr>
                <w:p w14:paraId="7930DDA4">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绿盟</w:t>
                  </w:r>
                </w:p>
              </w:tc>
              <w:tc>
                <w:tcPr>
                  <w:tcW w:w="2915" w:type="dxa"/>
                  <w:tcBorders>
                    <w:top w:val="single" w:color="000000" w:sz="4" w:space="0"/>
                    <w:left w:val="single" w:color="000000" w:sz="4" w:space="0"/>
                    <w:bottom w:val="single" w:color="000000" w:sz="4" w:space="0"/>
                    <w:right w:val="single" w:color="000000" w:sz="4" w:space="0"/>
                  </w:tcBorders>
                  <w:vAlign w:val="center"/>
                </w:tcPr>
                <w:p w14:paraId="3EFFFE1B">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NX5-P3020A-C</w:t>
                  </w:r>
                </w:p>
              </w:tc>
            </w:tr>
            <w:tr w14:paraId="1A14145F">
              <w:tblPrEx>
                <w:tblCellMar>
                  <w:top w:w="0" w:type="dxa"/>
                  <w:left w:w="108" w:type="dxa"/>
                  <w:bottom w:w="0" w:type="dxa"/>
                  <w:right w:w="108" w:type="dxa"/>
                </w:tblCellMar>
              </w:tblPrEx>
              <w:trPr>
                <w:trHeight w:val="60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20B74EFA">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3</w:t>
                  </w:r>
                </w:p>
              </w:tc>
              <w:tc>
                <w:tcPr>
                  <w:tcW w:w="4109" w:type="dxa"/>
                  <w:tcBorders>
                    <w:top w:val="single" w:color="000000" w:sz="4" w:space="0"/>
                    <w:left w:val="single" w:color="000000" w:sz="4" w:space="0"/>
                    <w:bottom w:val="single" w:color="000000" w:sz="4" w:space="0"/>
                    <w:right w:val="single" w:color="000000" w:sz="4" w:space="0"/>
                  </w:tcBorders>
                  <w:vAlign w:val="center"/>
                </w:tcPr>
                <w:p w14:paraId="2FD71B71">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vpn</w:t>
                  </w:r>
                </w:p>
              </w:tc>
              <w:tc>
                <w:tcPr>
                  <w:tcW w:w="6247" w:type="dxa"/>
                  <w:vMerge w:val="restart"/>
                  <w:tcBorders>
                    <w:top w:val="single" w:color="000000" w:sz="4" w:space="0"/>
                    <w:left w:val="single" w:color="000000" w:sz="4" w:space="0"/>
                    <w:bottom w:val="single" w:color="000000" w:sz="4" w:space="0"/>
                    <w:right w:val="single" w:color="000000" w:sz="4" w:space="0"/>
                  </w:tcBorders>
                  <w:vAlign w:val="center"/>
                </w:tcPr>
                <w:p w14:paraId="52FBFD7F">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深信服</w:t>
                  </w:r>
                </w:p>
              </w:tc>
              <w:tc>
                <w:tcPr>
                  <w:tcW w:w="2915" w:type="dxa"/>
                  <w:tcBorders>
                    <w:top w:val="single" w:color="000000" w:sz="4" w:space="0"/>
                    <w:left w:val="single" w:color="000000" w:sz="4" w:space="0"/>
                    <w:bottom w:val="single" w:color="000000" w:sz="4" w:space="0"/>
                    <w:right w:val="single" w:color="000000" w:sz="4" w:space="0"/>
                  </w:tcBorders>
                  <w:vAlign w:val="center"/>
                </w:tcPr>
                <w:p w14:paraId="341B8A2D">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SJJ1517-A60</w:t>
                  </w:r>
                </w:p>
              </w:tc>
            </w:tr>
            <w:tr w14:paraId="67F54F6F">
              <w:tblPrEx>
                <w:tblCellMar>
                  <w:top w:w="0" w:type="dxa"/>
                  <w:left w:w="108" w:type="dxa"/>
                  <w:bottom w:w="0" w:type="dxa"/>
                  <w:right w:w="108" w:type="dxa"/>
                </w:tblCellMar>
              </w:tblPrEx>
              <w:trPr>
                <w:trHeight w:val="60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226B7D13">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4</w:t>
                  </w:r>
                </w:p>
              </w:tc>
              <w:tc>
                <w:tcPr>
                  <w:tcW w:w="4109" w:type="dxa"/>
                  <w:tcBorders>
                    <w:top w:val="single" w:color="000000" w:sz="4" w:space="0"/>
                    <w:left w:val="single" w:color="000000" w:sz="4" w:space="0"/>
                    <w:bottom w:val="single" w:color="000000" w:sz="4" w:space="0"/>
                    <w:right w:val="single" w:color="000000" w:sz="4" w:space="0"/>
                  </w:tcBorders>
                  <w:vAlign w:val="center"/>
                </w:tcPr>
                <w:p w14:paraId="15FF2FF7">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vpn</w:t>
                  </w:r>
                </w:p>
              </w:tc>
              <w:tc>
                <w:tcPr>
                  <w:tcW w:w="6247" w:type="dxa"/>
                  <w:vMerge w:val="continue"/>
                  <w:tcBorders>
                    <w:top w:val="single" w:color="000000" w:sz="4" w:space="0"/>
                    <w:left w:val="single" w:color="000000" w:sz="4" w:space="0"/>
                    <w:bottom w:val="single" w:color="000000" w:sz="4" w:space="0"/>
                    <w:right w:val="single" w:color="000000" w:sz="4" w:space="0"/>
                  </w:tcBorders>
                  <w:vAlign w:val="center"/>
                </w:tcPr>
                <w:p w14:paraId="55F12CF3">
                  <w:pPr>
                    <w:rPr>
                      <w:color w:val="auto"/>
                      <w:sz w:val="18"/>
                      <w:szCs w:val="18"/>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6A00F082">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SJJ1517-A60</w:t>
                  </w:r>
                </w:p>
              </w:tc>
            </w:tr>
            <w:tr w14:paraId="363379F4">
              <w:tblPrEx>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5B5372D5">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5</w:t>
                  </w:r>
                </w:p>
              </w:tc>
              <w:tc>
                <w:tcPr>
                  <w:tcW w:w="4109" w:type="dxa"/>
                  <w:tcBorders>
                    <w:top w:val="single" w:color="000000" w:sz="4" w:space="0"/>
                    <w:left w:val="single" w:color="000000" w:sz="4" w:space="0"/>
                    <w:bottom w:val="single" w:color="000000" w:sz="4" w:space="0"/>
                    <w:right w:val="single" w:color="000000" w:sz="4" w:space="0"/>
                  </w:tcBorders>
                  <w:vAlign w:val="center"/>
                </w:tcPr>
                <w:p w14:paraId="3EE3C25D">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堡垒机</w:t>
                  </w:r>
                </w:p>
              </w:tc>
              <w:tc>
                <w:tcPr>
                  <w:tcW w:w="6247" w:type="dxa"/>
                  <w:vMerge w:val="restart"/>
                  <w:tcBorders>
                    <w:top w:val="single" w:color="000000" w:sz="4" w:space="0"/>
                    <w:left w:val="single" w:color="000000" w:sz="4" w:space="0"/>
                    <w:bottom w:val="single" w:color="000000" w:sz="4" w:space="0"/>
                    <w:right w:val="single" w:color="000000" w:sz="4" w:space="0"/>
                  </w:tcBorders>
                  <w:vAlign w:val="center"/>
                </w:tcPr>
                <w:p w14:paraId="2AA2F125">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齐治</w:t>
                  </w:r>
                </w:p>
              </w:tc>
              <w:tc>
                <w:tcPr>
                  <w:tcW w:w="2915" w:type="dxa"/>
                  <w:tcBorders>
                    <w:top w:val="single" w:color="000000" w:sz="4" w:space="0"/>
                    <w:left w:val="single" w:color="000000" w:sz="4" w:space="0"/>
                    <w:bottom w:val="single" w:color="000000" w:sz="4" w:space="0"/>
                    <w:right w:val="single" w:color="000000" w:sz="4" w:space="0"/>
                  </w:tcBorders>
                  <w:vAlign w:val="center"/>
                </w:tcPr>
                <w:p w14:paraId="4D6D50FD">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OPC-M3</w:t>
                  </w:r>
                </w:p>
              </w:tc>
            </w:tr>
            <w:tr w14:paraId="05FD44AF">
              <w:tblPrEx>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55D66722">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6</w:t>
                  </w:r>
                </w:p>
              </w:tc>
              <w:tc>
                <w:tcPr>
                  <w:tcW w:w="4109" w:type="dxa"/>
                  <w:tcBorders>
                    <w:top w:val="single" w:color="000000" w:sz="4" w:space="0"/>
                    <w:left w:val="single" w:color="000000" w:sz="4" w:space="0"/>
                    <w:bottom w:val="single" w:color="000000" w:sz="4" w:space="0"/>
                    <w:right w:val="single" w:color="000000" w:sz="4" w:space="0"/>
                  </w:tcBorders>
                  <w:vAlign w:val="center"/>
                </w:tcPr>
                <w:p w14:paraId="221841DF">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堡垒机</w:t>
                  </w:r>
                </w:p>
              </w:tc>
              <w:tc>
                <w:tcPr>
                  <w:tcW w:w="6247" w:type="dxa"/>
                  <w:vMerge w:val="continue"/>
                  <w:tcBorders>
                    <w:top w:val="single" w:color="000000" w:sz="4" w:space="0"/>
                    <w:left w:val="single" w:color="000000" w:sz="4" w:space="0"/>
                    <w:bottom w:val="single" w:color="000000" w:sz="4" w:space="0"/>
                    <w:right w:val="single" w:color="000000" w:sz="4" w:space="0"/>
                  </w:tcBorders>
                  <w:vAlign w:val="center"/>
                </w:tcPr>
                <w:p w14:paraId="36B0E1F3">
                  <w:pPr>
                    <w:rPr>
                      <w:color w:val="auto"/>
                      <w:sz w:val="18"/>
                      <w:szCs w:val="18"/>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7630CD7D">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OPC-M3</w:t>
                  </w:r>
                </w:p>
              </w:tc>
            </w:tr>
            <w:tr w14:paraId="2E6AA0BB">
              <w:tblPrEx>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6BA0416D">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7</w:t>
                  </w:r>
                </w:p>
              </w:tc>
              <w:tc>
                <w:tcPr>
                  <w:tcW w:w="4109" w:type="dxa"/>
                  <w:tcBorders>
                    <w:top w:val="single" w:color="000000" w:sz="4" w:space="0"/>
                    <w:left w:val="single" w:color="000000" w:sz="4" w:space="0"/>
                    <w:bottom w:val="single" w:color="000000" w:sz="4" w:space="0"/>
                    <w:right w:val="single" w:color="000000" w:sz="4" w:space="0"/>
                  </w:tcBorders>
                  <w:vAlign w:val="center"/>
                </w:tcPr>
                <w:p w14:paraId="4C6C8CDE">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堡垒机</w:t>
                  </w:r>
                </w:p>
              </w:tc>
              <w:tc>
                <w:tcPr>
                  <w:tcW w:w="6247" w:type="dxa"/>
                  <w:vMerge w:val="continue"/>
                  <w:tcBorders>
                    <w:top w:val="single" w:color="000000" w:sz="4" w:space="0"/>
                    <w:left w:val="single" w:color="000000" w:sz="4" w:space="0"/>
                    <w:bottom w:val="single" w:color="000000" w:sz="4" w:space="0"/>
                    <w:right w:val="single" w:color="000000" w:sz="4" w:space="0"/>
                  </w:tcBorders>
                  <w:vAlign w:val="center"/>
                </w:tcPr>
                <w:p w14:paraId="32190BFD">
                  <w:pPr>
                    <w:rPr>
                      <w:color w:val="auto"/>
                      <w:sz w:val="18"/>
                      <w:szCs w:val="18"/>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6A8449A1">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OPC-M3</w:t>
                  </w:r>
                </w:p>
              </w:tc>
            </w:tr>
            <w:tr w14:paraId="67BA5211">
              <w:tblPrEx>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424593B8">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8</w:t>
                  </w:r>
                </w:p>
              </w:tc>
              <w:tc>
                <w:tcPr>
                  <w:tcW w:w="4109" w:type="dxa"/>
                  <w:tcBorders>
                    <w:top w:val="single" w:color="000000" w:sz="4" w:space="0"/>
                    <w:left w:val="single" w:color="000000" w:sz="4" w:space="0"/>
                    <w:bottom w:val="single" w:color="000000" w:sz="4" w:space="0"/>
                    <w:right w:val="single" w:color="000000" w:sz="4" w:space="0"/>
                  </w:tcBorders>
                  <w:vAlign w:val="center"/>
                </w:tcPr>
                <w:p w14:paraId="1C7F481E">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网络分流器</w:t>
                  </w:r>
                </w:p>
              </w:tc>
              <w:tc>
                <w:tcPr>
                  <w:tcW w:w="6247" w:type="dxa"/>
                  <w:vMerge w:val="restart"/>
                  <w:tcBorders>
                    <w:top w:val="single" w:color="000000" w:sz="4" w:space="0"/>
                    <w:left w:val="single" w:color="000000" w:sz="4" w:space="0"/>
                    <w:bottom w:val="single" w:color="000000" w:sz="4" w:space="0"/>
                    <w:right w:val="single" w:color="000000" w:sz="4" w:space="0"/>
                  </w:tcBorders>
                  <w:vAlign w:val="center"/>
                </w:tcPr>
                <w:p w14:paraId="16C48248">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迈普</w:t>
                  </w:r>
                </w:p>
              </w:tc>
              <w:tc>
                <w:tcPr>
                  <w:tcW w:w="2915" w:type="dxa"/>
                  <w:tcBorders>
                    <w:top w:val="single" w:color="000000" w:sz="4" w:space="0"/>
                    <w:left w:val="single" w:color="000000" w:sz="4" w:space="0"/>
                    <w:bottom w:val="single" w:color="000000" w:sz="4" w:space="0"/>
                    <w:right w:val="single" w:color="000000" w:sz="4" w:space="0"/>
                  </w:tcBorders>
                  <w:vAlign w:val="center"/>
                </w:tcPr>
                <w:p w14:paraId="787928D0">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T5820-54XF</w:t>
                  </w:r>
                </w:p>
              </w:tc>
            </w:tr>
            <w:tr w14:paraId="3CE86CE1">
              <w:tblPrEx>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60875760">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9</w:t>
                  </w:r>
                </w:p>
              </w:tc>
              <w:tc>
                <w:tcPr>
                  <w:tcW w:w="4109" w:type="dxa"/>
                  <w:tcBorders>
                    <w:top w:val="single" w:color="000000" w:sz="4" w:space="0"/>
                    <w:left w:val="single" w:color="000000" w:sz="4" w:space="0"/>
                    <w:bottom w:val="single" w:color="000000" w:sz="4" w:space="0"/>
                    <w:right w:val="single" w:color="000000" w:sz="4" w:space="0"/>
                  </w:tcBorders>
                  <w:vAlign w:val="center"/>
                </w:tcPr>
                <w:p w14:paraId="0B9B78BF">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网络分流器</w:t>
                  </w:r>
                </w:p>
              </w:tc>
              <w:tc>
                <w:tcPr>
                  <w:tcW w:w="6247" w:type="dxa"/>
                  <w:vMerge w:val="continue"/>
                  <w:tcBorders>
                    <w:top w:val="single" w:color="000000" w:sz="4" w:space="0"/>
                    <w:left w:val="single" w:color="000000" w:sz="4" w:space="0"/>
                    <w:bottom w:val="single" w:color="000000" w:sz="4" w:space="0"/>
                    <w:right w:val="single" w:color="000000" w:sz="4" w:space="0"/>
                  </w:tcBorders>
                  <w:vAlign w:val="center"/>
                </w:tcPr>
                <w:p w14:paraId="4C57CA0F">
                  <w:pPr>
                    <w:rPr>
                      <w:color w:val="auto"/>
                      <w:sz w:val="18"/>
                      <w:szCs w:val="18"/>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77A70BCF">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T5820-54XF</w:t>
                  </w:r>
                </w:p>
              </w:tc>
            </w:tr>
            <w:tr w14:paraId="6576F63F">
              <w:tblPrEx>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28C2EBBA">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10</w:t>
                  </w:r>
                </w:p>
              </w:tc>
              <w:tc>
                <w:tcPr>
                  <w:tcW w:w="4109" w:type="dxa"/>
                  <w:tcBorders>
                    <w:top w:val="single" w:color="000000" w:sz="4" w:space="0"/>
                    <w:left w:val="single" w:color="000000" w:sz="4" w:space="0"/>
                    <w:bottom w:val="single" w:color="000000" w:sz="4" w:space="0"/>
                    <w:right w:val="single" w:color="000000" w:sz="4" w:space="0"/>
                  </w:tcBorders>
                  <w:vAlign w:val="center"/>
                </w:tcPr>
                <w:p w14:paraId="5ACCABAE">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网络分流器</w:t>
                  </w:r>
                </w:p>
              </w:tc>
              <w:tc>
                <w:tcPr>
                  <w:tcW w:w="6247" w:type="dxa"/>
                  <w:vMerge w:val="continue"/>
                  <w:tcBorders>
                    <w:top w:val="single" w:color="000000" w:sz="4" w:space="0"/>
                    <w:left w:val="single" w:color="000000" w:sz="4" w:space="0"/>
                    <w:bottom w:val="single" w:color="000000" w:sz="4" w:space="0"/>
                    <w:right w:val="single" w:color="000000" w:sz="4" w:space="0"/>
                  </w:tcBorders>
                  <w:vAlign w:val="center"/>
                </w:tcPr>
                <w:p w14:paraId="24A179E3">
                  <w:pPr>
                    <w:rPr>
                      <w:color w:val="auto"/>
                      <w:sz w:val="18"/>
                      <w:szCs w:val="18"/>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0EBD8FFF">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T5820-54XF</w:t>
                  </w:r>
                </w:p>
              </w:tc>
            </w:tr>
            <w:tr w14:paraId="4F141AD5">
              <w:tblPrEx>
                <w:tblCellMar>
                  <w:top w:w="0" w:type="dxa"/>
                  <w:left w:w="108" w:type="dxa"/>
                  <w:bottom w:w="0" w:type="dxa"/>
                  <w:right w:w="108" w:type="dxa"/>
                </w:tblCellMar>
              </w:tblPrEx>
              <w:trPr>
                <w:trHeight w:val="27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487D0414">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11</w:t>
                  </w:r>
                </w:p>
              </w:tc>
              <w:tc>
                <w:tcPr>
                  <w:tcW w:w="4109" w:type="dxa"/>
                  <w:tcBorders>
                    <w:top w:val="single" w:color="000000" w:sz="4" w:space="0"/>
                    <w:left w:val="single" w:color="000000" w:sz="4" w:space="0"/>
                    <w:bottom w:val="single" w:color="000000" w:sz="4" w:space="0"/>
                    <w:right w:val="single" w:color="000000" w:sz="4" w:space="0"/>
                  </w:tcBorders>
                  <w:vAlign w:val="center"/>
                </w:tcPr>
                <w:p w14:paraId="554124FC">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网络分流器</w:t>
                  </w:r>
                </w:p>
              </w:tc>
              <w:tc>
                <w:tcPr>
                  <w:tcW w:w="6247" w:type="dxa"/>
                  <w:vMerge w:val="continue"/>
                  <w:tcBorders>
                    <w:top w:val="single" w:color="000000" w:sz="4" w:space="0"/>
                    <w:left w:val="single" w:color="000000" w:sz="4" w:space="0"/>
                    <w:bottom w:val="single" w:color="000000" w:sz="4" w:space="0"/>
                    <w:right w:val="single" w:color="000000" w:sz="4" w:space="0"/>
                  </w:tcBorders>
                  <w:vAlign w:val="center"/>
                </w:tcPr>
                <w:p w14:paraId="557B25DC">
                  <w:pPr>
                    <w:rPr>
                      <w:color w:val="auto"/>
                      <w:sz w:val="18"/>
                      <w:szCs w:val="18"/>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35B18F7B">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T5820-54XF</w:t>
                  </w:r>
                </w:p>
              </w:tc>
            </w:tr>
            <w:tr w14:paraId="58C941A9">
              <w:tblPrEx>
                <w:tblCellMar>
                  <w:top w:w="0" w:type="dxa"/>
                  <w:left w:w="108" w:type="dxa"/>
                  <w:bottom w:w="0" w:type="dxa"/>
                  <w:right w:w="108" w:type="dxa"/>
                </w:tblCellMar>
              </w:tblPrEx>
              <w:trPr>
                <w:trHeight w:val="495"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23E9790E">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12</w:t>
                  </w:r>
                </w:p>
              </w:tc>
              <w:tc>
                <w:tcPr>
                  <w:tcW w:w="4109" w:type="dxa"/>
                  <w:tcBorders>
                    <w:top w:val="single" w:color="000000" w:sz="4" w:space="0"/>
                    <w:left w:val="single" w:color="000000" w:sz="4" w:space="0"/>
                    <w:bottom w:val="single" w:color="000000" w:sz="4" w:space="0"/>
                    <w:right w:val="single" w:color="000000" w:sz="4" w:space="0"/>
                  </w:tcBorders>
                  <w:vAlign w:val="center"/>
                </w:tcPr>
                <w:p w14:paraId="5E214A2D">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密码资源池</w:t>
                  </w:r>
                </w:p>
              </w:tc>
              <w:tc>
                <w:tcPr>
                  <w:tcW w:w="6247" w:type="dxa"/>
                  <w:tcBorders>
                    <w:top w:val="single" w:color="000000" w:sz="4" w:space="0"/>
                    <w:left w:val="single" w:color="000000" w:sz="4" w:space="0"/>
                    <w:bottom w:val="single" w:color="000000" w:sz="4" w:space="0"/>
                    <w:right w:val="single" w:color="000000" w:sz="4" w:space="0"/>
                  </w:tcBorders>
                  <w:vAlign w:val="center"/>
                </w:tcPr>
                <w:p w14:paraId="77B792DB">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卫士通</w:t>
                  </w:r>
                </w:p>
              </w:tc>
              <w:tc>
                <w:tcPr>
                  <w:tcW w:w="2915" w:type="dxa"/>
                  <w:tcBorders>
                    <w:top w:val="single" w:color="000000" w:sz="4" w:space="0"/>
                    <w:left w:val="single" w:color="000000" w:sz="4" w:space="0"/>
                    <w:bottom w:val="single" w:color="000000" w:sz="4" w:space="0"/>
                    <w:right w:val="single" w:color="000000" w:sz="4" w:space="0"/>
                  </w:tcBorders>
                  <w:vAlign w:val="center"/>
                </w:tcPr>
                <w:p w14:paraId="73BD4040">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云密码机</w:t>
                  </w:r>
                  <w:r>
                    <w:rPr>
                      <w:color w:val="auto"/>
                      <w:kern w:val="0"/>
                      <w:sz w:val="18"/>
                      <w:szCs w:val="18"/>
                      <w:highlight w:val="none"/>
                      <w:lang w:bidi="ar"/>
                    </w:rPr>
                    <w:t>SJJ1744</w:t>
                  </w:r>
                </w:p>
              </w:tc>
            </w:tr>
            <w:tr w14:paraId="5D679287">
              <w:tblPrEx>
                <w:tblCellMar>
                  <w:top w:w="0" w:type="dxa"/>
                  <w:left w:w="108" w:type="dxa"/>
                  <w:bottom w:w="0" w:type="dxa"/>
                  <w:right w:w="108" w:type="dxa"/>
                </w:tblCellMar>
              </w:tblPrEx>
              <w:trPr>
                <w:trHeight w:val="495"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12ACE94E">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13</w:t>
                  </w:r>
                </w:p>
              </w:tc>
              <w:tc>
                <w:tcPr>
                  <w:tcW w:w="4109" w:type="dxa"/>
                  <w:tcBorders>
                    <w:top w:val="single" w:color="000000" w:sz="4" w:space="0"/>
                    <w:left w:val="single" w:color="000000" w:sz="4" w:space="0"/>
                    <w:bottom w:val="single" w:color="000000" w:sz="4" w:space="0"/>
                    <w:right w:val="single" w:color="000000" w:sz="4" w:space="0"/>
                  </w:tcBorders>
                  <w:vAlign w:val="center"/>
                </w:tcPr>
                <w:p w14:paraId="73B20F82">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密码资源池</w:t>
                  </w:r>
                </w:p>
              </w:tc>
              <w:tc>
                <w:tcPr>
                  <w:tcW w:w="6247" w:type="dxa"/>
                  <w:tcBorders>
                    <w:top w:val="single" w:color="000000" w:sz="4" w:space="0"/>
                    <w:left w:val="single" w:color="000000" w:sz="4" w:space="0"/>
                    <w:bottom w:val="single" w:color="000000" w:sz="4" w:space="0"/>
                    <w:right w:val="single" w:color="000000" w:sz="4" w:space="0"/>
                  </w:tcBorders>
                  <w:vAlign w:val="center"/>
                </w:tcPr>
                <w:p w14:paraId="040E94C7">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卫士通</w:t>
                  </w:r>
                </w:p>
              </w:tc>
              <w:tc>
                <w:tcPr>
                  <w:tcW w:w="2915" w:type="dxa"/>
                  <w:tcBorders>
                    <w:top w:val="single" w:color="000000" w:sz="4" w:space="0"/>
                    <w:left w:val="single" w:color="000000" w:sz="4" w:space="0"/>
                    <w:bottom w:val="single" w:color="000000" w:sz="4" w:space="0"/>
                    <w:right w:val="single" w:color="000000" w:sz="4" w:space="0"/>
                  </w:tcBorders>
                  <w:vAlign w:val="center"/>
                </w:tcPr>
                <w:p w14:paraId="471BFCEB">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云密码机</w:t>
                  </w:r>
                  <w:r>
                    <w:rPr>
                      <w:color w:val="auto"/>
                      <w:kern w:val="0"/>
                      <w:sz w:val="18"/>
                      <w:szCs w:val="18"/>
                      <w:highlight w:val="none"/>
                      <w:lang w:bidi="ar"/>
                    </w:rPr>
                    <w:t>SJJ1744</w:t>
                  </w:r>
                </w:p>
              </w:tc>
            </w:tr>
            <w:tr w14:paraId="132424CF">
              <w:tblPrEx>
                <w:tblCellMar>
                  <w:top w:w="0" w:type="dxa"/>
                  <w:left w:w="108" w:type="dxa"/>
                  <w:bottom w:w="0" w:type="dxa"/>
                  <w:right w:w="108" w:type="dxa"/>
                </w:tblCellMar>
              </w:tblPrEx>
              <w:trPr>
                <w:trHeight w:val="48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134D17A4">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14</w:t>
                  </w:r>
                </w:p>
              </w:tc>
              <w:tc>
                <w:tcPr>
                  <w:tcW w:w="4109" w:type="dxa"/>
                  <w:tcBorders>
                    <w:top w:val="single" w:color="000000" w:sz="4" w:space="0"/>
                    <w:left w:val="single" w:color="000000" w:sz="4" w:space="0"/>
                    <w:bottom w:val="single" w:color="000000" w:sz="4" w:space="0"/>
                    <w:right w:val="single" w:color="000000" w:sz="4" w:space="0"/>
                  </w:tcBorders>
                  <w:vAlign w:val="center"/>
                </w:tcPr>
                <w:p w14:paraId="1A17A04C">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密码资源池</w:t>
                  </w:r>
                </w:p>
              </w:tc>
              <w:tc>
                <w:tcPr>
                  <w:tcW w:w="6247" w:type="dxa"/>
                  <w:tcBorders>
                    <w:top w:val="single" w:color="000000" w:sz="4" w:space="0"/>
                    <w:left w:val="single" w:color="000000" w:sz="4" w:space="0"/>
                    <w:bottom w:val="single" w:color="000000" w:sz="4" w:space="0"/>
                    <w:right w:val="single" w:color="000000" w:sz="4" w:space="0"/>
                  </w:tcBorders>
                  <w:vAlign w:val="center"/>
                </w:tcPr>
                <w:p w14:paraId="48EE0E4D">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卫士通</w:t>
                  </w:r>
                </w:p>
              </w:tc>
              <w:tc>
                <w:tcPr>
                  <w:tcW w:w="2915" w:type="dxa"/>
                  <w:tcBorders>
                    <w:top w:val="single" w:color="000000" w:sz="4" w:space="0"/>
                    <w:left w:val="single" w:color="000000" w:sz="4" w:space="0"/>
                    <w:bottom w:val="single" w:color="000000" w:sz="4" w:space="0"/>
                    <w:right w:val="single" w:color="000000" w:sz="4" w:space="0"/>
                  </w:tcBorders>
                  <w:vAlign w:val="center"/>
                </w:tcPr>
                <w:p w14:paraId="3A23D399">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密码管理平台</w:t>
                  </w:r>
                </w:p>
              </w:tc>
            </w:tr>
            <w:tr w14:paraId="14FB3A3C">
              <w:tblPrEx>
                <w:tblCellMar>
                  <w:top w:w="0" w:type="dxa"/>
                  <w:left w:w="108" w:type="dxa"/>
                  <w:bottom w:w="0" w:type="dxa"/>
                  <w:right w:w="108" w:type="dxa"/>
                </w:tblCellMar>
              </w:tblPrEx>
              <w:trPr>
                <w:trHeight w:val="48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66902857">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15</w:t>
                  </w:r>
                </w:p>
              </w:tc>
              <w:tc>
                <w:tcPr>
                  <w:tcW w:w="4109" w:type="dxa"/>
                  <w:tcBorders>
                    <w:top w:val="single" w:color="000000" w:sz="4" w:space="0"/>
                    <w:left w:val="single" w:color="000000" w:sz="4" w:space="0"/>
                    <w:bottom w:val="single" w:color="000000" w:sz="4" w:space="0"/>
                    <w:right w:val="single" w:color="000000" w:sz="4" w:space="0"/>
                  </w:tcBorders>
                  <w:vAlign w:val="center"/>
                </w:tcPr>
                <w:p w14:paraId="79632B5E">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密码资源池</w:t>
                  </w:r>
                </w:p>
              </w:tc>
              <w:tc>
                <w:tcPr>
                  <w:tcW w:w="6247" w:type="dxa"/>
                  <w:tcBorders>
                    <w:top w:val="single" w:color="000000" w:sz="4" w:space="0"/>
                    <w:left w:val="single" w:color="000000" w:sz="4" w:space="0"/>
                    <w:bottom w:val="single" w:color="000000" w:sz="4" w:space="0"/>
                    <w:right w:val="single" w:color="000000" w:sz="4" w:space="0"/>
                  </w:tcBorders>
                  <w:vAlign w:val="center"/>
                </w:tcPr>
                <w:p w14:paraId="64D324DD">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卫士通</w:t>
                  </w:r>
                </w:p>
              </w:tc>
              <w:tc>
                <w:tcPr>
                  <w:tcW w:w="2915" w:type="dxa"/>
                  <w:tcBorders>
                    <w:top w:val="single" w:color="000000" w:sz="4" w:space="0"/>
                    <w:left w:val="single" w:color="000000" w:sz="4" w:space="0"/>
                    <w:bottom w:val="single" w:color="000000" w:sz="4" w:space="0"/>
                    <w:right w:val="single" w:color="000000" w:sz="4" w:space="0"/>
                  </w:tcBorders>
                  <w:vAlign w:val="center"/>
                </w:tcPr>
                <w:p w14:paraId="6FEFE2D0">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密码管理平台</w:t>
                  </w:r>
                </w:p>
              </w:tc>
            </w:tr>
            <w:tr w14:paraId="188BB82B">
              <w:tblPrEx>
                <w:tblCellMar>
                  <w:top w:w="0" w:type="dxa"/>
                  <w:left w:w="108" w:type="dxa"/>
                  <w:bottom w:w="0" w:type="dxa"/>
                  <w:right w:w="108" w:type="dxa"/>
                </w:tblCellMar>
              </w:tblPrEx>
              <w:trPr>
                <w:trHeight w:val="51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20E70EB7">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16</w:t>
                  </w:r>
                </w:p>
              </w:tc>
              <w:tc>
                <w:tcPr>
                  <w:tcW w:w="4109" w:type="dxa"/>
                  <w:tcBorders>
                    <w:top w:val="single" w:color="000000" w:sz="4" w:space="0"/>
                    <w:left w:val="single" w:color="000000" w:sz="4" w:space="0"/>
                    <w:bottom w:val="single" w:color="000000" w:sz="4" w:space="0"/>
                    <w:right w:val="single" w:color="000000" w:sz="4" w:space="0"/>
                  </w:tcBorders>
                  <w:vAlign w:val="center"/>
                </w:tcPr>
                <w:p w14:paraId="4A6C4ED7">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上网行为管理</w:t>
                  </w:r>
                </w:p>
              </w:tc>
              <w:tc>
                <w:tcPr>
                  <w:tcW w:w="6247" w:type="dxa"/>
                  <w:tcBorders>
                    <w:top w:val="single" w:color="000000" w:sz="4" w:space="0"/>
                    <w:left w:val="single" w:color="000000" w:sz="4" w:space="0"/>
                    <w:bottom w:val="single" w:color="000000" w:sz="4" w:space="0"/>
                    <w:right w:val="single" w:color="000000" w:sz="4" w:space="0"/>
                  </w:tcBorders>
                  <w:vAlign w:val="center"/>
                </w:tcPr>
                <w:p w14:paraId="5BDA04FC">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深信服</w:t>
                  </w:r>
                </w:p>
              </w:tc>
              <w:tc>
                <w:tcPr>
                  <w:tcW w:w="2915" w:type="dxa"/>
                  <w:tcBorders>
                    <w:top w:val="single" w:color="000000" w:sz="4" w:space="0"/>
                    <w:left w:val="single" w:color="000000" w:sz="4" w:space="0"/>
                    <w:bottom w:val="single" w:color="000000" w:sz="4" w:space="0"/>
                    <w:right w:val="single" w:color="000000" w:sz="4" w:space="0"/>
                  </w:tcBorders>
                  <w:vAlign w:val="center"/>
                </w:tcPr>
                <w:p w14:paraId="5B756736">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AC-1000-B3150</w:t>
                  </w:r>
                </w:p>
              </w:tc>
            </w:tr>
            <w:tr w14:paraId="2D76AF9E">
              <w:tblPrEx>
                <w:tblCellMar>
                  <w:top w:w="0" w:type="dxa"/>
                  <w:left w:w="108" w:type="dxa"/>
                  <w:bottom w:w="0" w:type="dxa"/>
                  <w:right w:w="108" w:type="dxa"/>
                </w:tblCellMar>
              </w:tblPrEx>
              <w:trPr>
                <w:trHeight w:val="51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24361623">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17</w:t>
                  </w:r>
                </w:p>
              </w:tc>
              <w:tc>
                <w:tcPr>
                  <w:tcW w:w="4109" w:type="dxa"/>
                  <w:tcBorders>
                    <w:top w:val="single" w:color="000000" w:sz="4" w:space="0"/>
                    <w:left w:val="single" w:color="000000" w:sz="4" w:space="0"/>
                    <w:bottom w:val="single" w:color="000000" w:sz="4" w:space="0"/>
                    <w:right w:val="single" w:color="000000" w:sz="4" w:space="0"/>
                  </w:tcBorders>
                  <w:vAlign w:val="center"/>
                </w:tcPr>
                <w:p w14:paraId="0079BE5C">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上网行为管理</w:t>
                  </w:r>
                </w:p>
              </w:tc>
              <w:tc>
                <w:tcPr>
                  <w:tcW w:w="6247" w:type="dxa"/>
                  <w:tcBorders>
                    <w:top w:val="single" w:color="000000" w:sz="4" w:space="0"/>
                    <w:left w:val="single" w:color="000000" w:sz="4" w:space="0"/>
                    <w:bottom w:val="single" w:color="000000" w:sz="4" w:space="0"/>
                    <w:right w:val="single" w:color="000000" w:sz="4" w:space="0"/>
                  </w:tcBorders>
                  <w:vAlign w:val="center"/>
                </w:tcPr>
                <w:p w14:paraId="4F9A02B1">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深信服</w:t>
                  </w:r>
                </w:p>
              </w:tc>
              <w:tc>
                <w:tcPr>
                  <w:tcW w:w="2915" w:type="dxa"/>
                  <w:tcBorders>
                    <w:top w:val="single" w:color="000000" w:sz="4" w:space="0"/>
                    <w:left w:val="single" w:color="000000" w:sz="4" w:space="0"/>
                    <w:bottom w:val="single" w:color="000000" w:sz="4" w:space="0"/>
                    <w:right w:val="single" w:color="000000" w:sz="4" w:space="0"/>
                  </w:tcBorders>
                  <w:vAlign w:val="center"/>
                </w:tcPr>
                <w:p w14:paraId="3E6D3A07">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AC-1000-B3150</w:t>
                  </w:r>
                </w:p>
              </w:tc>
            </w:tr>
            <w:tr w14:paraId="553E3B53">
              <w:tblPrEx>
                <w:tblCellMar>
                  <w:top w:w="0" w:type="dxa"/>
                  <w:left w:w="108" w:type="dxa"/>
                  <w:bottom w:w="0" w:type="dxa"/>
                  <w:right w:w="108" w:type="dxa"/>
                </w:tblCellMar>
              </w:tblPrEx>
              <w:trPr>
                <w:trHeight w:val="51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38CDED2D">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18</w:t>
                  </w:r>
                </w:p>
              </w:tc>
              <w:tc>
                <w:tcPr>
                  <w:tcW w:w="4109" w:type="dxa"/>
                  <w:tcBorders>
                    <w:top w:val="single" w:color="000000" w:sz="4" w:space="0"/>
                    <w:left w:val="single" w:color="000000" w:sz="4" w:space="0"/>
                    <w:bottom w:val="single" w:color="000000" w:sz="4" w:space="0"/>
                    <w:right w:val="single" w:color="000000" w:sz="4" w:space="0"/>
                  </w:tcBorders>
                  <w:vAlign w:val="center"/>
                </w:tcPr>
                <w:p w14:paraId="26BCA628">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上网行为管理</w:t>
                  </w:r>
                </w:p>
              </w:tc>
              <w:tc>
                <w:tcPr>
                  <w:tcW w:w="6247" w:type="dxa"/>
                  <w:tcBorders>
                    <w:top w:val="single" w:color="000000" w:sz="4" w:space="0"/>
                    <w:left w:val="single" w:color="000000" w:sz="4" w:space="0"/>
                    <w:bottom w:val="single" w:color="000000" w:sz="4" w:space="0"/>
                    <w:right w:val="single" w:color="000000" w:sz="4" w:space="0"/>
                  </w:tcBorders>
                  <w:vAlign w:val="center"/>
                </w:tcPr>
                <w:p w14:paraId="3BF01339">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深信服</w:t>
                  </w:r>
                </w:p>
              </w:tc>
              <w:tc>
                <w:tcPr>
                  <w:tcW w:w="2915" w:type="dxa"/>
                  <w:tcBorders>
                    <w:top w:val="single" w:color="000000" w:sz="4" w:space="0"/>
                    <w:left w:val="single" w:color="000000" w:sz="4" w:space="0"/>
                    <w:bottom w:val="single" w:color="000000" w:sz="4" w:space="0"/>
                    <w:right w:val="single" w:color="000000" w:sz="4" w:space="0"/>
                  </w:tcBorders>
                  <w:vAlign w:val="center"/>
                </w:tcPr>
                <w:p w14:paraId="30680D08">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AC-1000-B2500</w:t>
                  </w:r>
                </w:p>
              </w:tc>
            </w:tr>
            <w:tr w14:paraId="233C86CE">
              <w:tblPrEx>
                <w:tblCellMar>
                  <w:top w:w="0" w:type="dxa"/>
                  <w:left w:w="108" w:type="dxa"/>
                  <w:bottom w:w="0" w:type="dxa"/>
                  <w:right w:w="108" w:type="dxa"/>
                </w:tblCellMar>
              </w:tblPrEx>
              <w:trPr>
                <w:trHeight w:val="510" w:hRule="atLeast"/>
              </w:trPr>
              <w:tc>
                <w:tcPr>
                  <w:tcW w:w="1611" w:type="dxa"/>
                  <w:tcBorders>
                    <w:top w:val="single" w:color="000000" w:sz="4" w:space="0"/>
                    <w:left w:val="single" w:color="000000" w:sz="4" w:space="0"/>
                    <w:bottom w:val="single" w:color="000000" w:sz="4" w:space="0"/>
                    <w:right w:val="single" w:color="000000" w:sz="4" w:space="0"/>
                  </w:tcBorders>
                  <w:vAlign w:val="center"/>
                </w:tcPr>
                <w:p w14:paraId="03790473">
                  <w:pPr>
                    <w:widowControl/>
                    <w:jc w:val="center"/>
                    <w:textAlignment w:val="center"/>
                    <w:rPr>
                      <w:rFonts w:eastAsia="等线"/>
                      <w:color w:val="auto"/>
                      <w:sz w:val="18"/>
                      <w:szCs w:val="18"/>
                      <w:highlight w:val="none"/>
                    </w:rPr>
                  </w:pPr>
                  <w:r>
                    <w:rPr>
                      <w:rFonts w:eastAsia="等线"/>
                      <w:color w:val="auto"/>
                      <w:kern w:val="0"/>
                      <w:sz w:val="18"/>
                      <w:szCs w:val="18"/>
                      <w:highlight w:val="none"/>
                      <w:lang w:bidi="ar"/>
                    </w:rPr>
                    <w:t>19</w:t>
                  </w:r>
                </w:p>
              </w:tc>
              <w:tc>
                <w:tcPr>
                  <w:tcW w:w="4109" w:type="dxa"/>
                  <w:tcBorders>
                    <w:top w:val="single" w:color="000000" w:sz="4" w:space="0"/>
                    <w:left w:val="single" w:color="000000" w:sz="4" w:space="0"/>
                    <w:bottom w:val="single" w:color="000000" w:sz="4" w:space="0"/>
                    <w:right w:val="single" w:color="000000" w:sz="4" w:space="0"/>
                  </w:tcBorders>
                  <w:vAlign w:val="center"/>
                </w:tcPr>
                <w:p w14:paraId="5DF141BE">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超融合一体机</w:t>
                  </w:r>
                </w:p>
              </w:tc>
              <w:tc>
                <w:tcPr>
                  <w:tcW w:w="6247" w:type="dxa"/>
                  <w:tcBorders>
                    <w:top w:val="single" w:color="000000" w:sz="4" w:space="0"/>
                    <w:left w:val="single" w:color="000000" w:sz="4" w:space="0"/>
                    <w:bottom w:val="single" w:color="000000" w:sz="4" w:space="0"/>
                    <w:right w:val="single" w:color="000000" w:sz="4" w:space="0"/>
                  </w:tcBorders>
                  <w:vAlign w:val="center"/>
                </w:tcPr>
                <w:p w14:paraId="624AD133">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深信服</w:t>
                  </w:r>
                </w:p>
              </w:tc>
              <w:tc>
                <w:tcPr>
                  <w:tcW w:w="2915" w:type="dxa"/>
                  <w:tcBorders>
                    <w:top w:val="single" w:color="000000" w:sz="4" w:space="0"/>
                    <w:left w:val="single" w:color="000000" w:sz="4" w:space="0"/>
                    <w:bottom w:val="single" w:color="000000" w:sz="4" w:space="0"/>
                    <w:right w:val="single" w:color="000000" w:sz="4" w:space="0"/>
                  </w:tcBorders>
                  <w:vAlign w:val="center"/>
                </w:tcPr>
                <w:p w14:paraId="44CB95B5">
                  <w:pPr>
                    <w:widowControl/>
                    <w:jc w:val="left"/>
                    <w:textAlignment w:val="center"/>
                    <w:rPr>
                      <w:rFonts w:eastAsia="等线"/>
                      <w:color w:val="auto"/>
                      <w:sz w:val="18"/>
                      <w:szCs w:val="18"/>
                      <w:highlight w:val="none"/>
                    </w:rPr>
                  </w:pPr>
                  <w:r>
                    <w:rPr>
                      <w:rFonts w:eastAsia="等线"/>
                      <w:color w:val="auto"/>
                      <w:kern w:val="0"/>
                      <w:sz w:val="18"/>
                      <w:szCs w:val="18"/>
                      <w:highlight w:val="none"/>
                      <w:lang w:bidi="ar"/>
                    </w:rPr>
                    <w:t>aServer-R-2100</w:t>
                  </w:r>
                </w:p>
              </w:tc>
            </w:tr>
          </w:tbl>
          <w:p w14:paraId="40F3F049">
            <w:pPr>
              <w:pStyle w:val="32"/>
              <w:widowControl/>
              <w:rPr>
                <w:rFonts w:hint="eastAsia" w:ascii="宋体" w:hAnsi="宋体" w:cs="宋体"/>
                <w:color w:val="auto"/>
                <w:highlight w:val="none"/>
              </w:rPr>
            </w:pPr>
          </w:p>
        </w:tc>
        <w:tc>
          <w:tcPr>
            <w:tcW w:w="145" w:type="pct"/>
            <w:tcBorders>
              <w:top w:val="nil"/>
              <w:left w:val="nil"/>
              <w:bottom w:val="single" w:color="auto" w:sz="4" w:space="0"/>
              <w:right w:val="single" w:color="auto" w:sz="4" w:space="0"/>
            </w:tcBorders>
            <w:noWrap/>
            <w:vAlign w:val="center"/>
          </w:tcPr>
          <w:p w14:paraId="721CEC3D">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442851A6">
            <w:pPr>
              <w:widowControl/>
              <w:jc w:val="center"/>
              <w:rPr>
                <w:rFonts w:hint="eastAsia" w:ascii="宋体" w:hAnsi="宋体" w:cs="宋体"/>
                <w:color w:val="auto"/>
                <w:kern w:val="0"/>
                <w:sz w:val="18"/>
                <w:szCs w:val="18"/>
                <w:highlight w:val="none"/>
              </w:rPr>
            </w:pPr>
          </w:p>
        </w:tc>
      </w:tr>
      <w:tr w14:paraId="1215C182">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615CCC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428" w:type="pct"/>
            <w:tcBorders>
              <w:top w:val="nil"/>
              <w:left w:val="nil"/>
              <w:bottom w:val="single" w:color="auto" w:sz="4" w:space="0"/>
              <w:right w:val="single" w:color="auto" w:sz="4" w:space="0"/>
            </w:tcBorders>
            <w:noWrap/>
            <w:vAlign w:val="center"/>
          </w:tcPr>
          <w:p w14:paraId="036184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数字应用安全监测与防护平台</w:t>
            </w:r>
          </w:p>
        </w:tc>
        <w:tc>
          <w:tcPr>
            <w:tcW w:w="3798" w:type="pct"/>
            <w:gridSpan w:val="2"/>
            <w:tcBorders>
              <w:top w:val="nil"/>
              <w:left w:val="nil"/>
              <w:bottom w:val="single" w:color="auto" w:sz="4" w:space="0"/>
              <w:right w:val="single" w:color="auto" w:sz="4" w:space="0"/>
            </w:tcBorders>
            <w:vAlign w:val="center"/>
          </w:tcPr>
          <w:p w14:paraId="18454FB5">
            <w:pPr>
              <w:widowControl/>
              <w:ind w:firstLine="360" w:firstLineChars="200"/>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数字应用安全监测与防护平台</w:t>
            </w:r>
            <w:r>
              <w:rPr>
                <w:rFonts w:hint="eastAsia" w:ascii="宋体" w:hAnsi="宋体" w:cs="宋体"/>
                <w:color w:val="auto"/>
                <w:kern w:val="0"/>
                <w:sz w:val="18"/>
                <w:szCs w:val="18"/>
                <w:highlight w:val="none"/>
                <w:lang w:val="en-US" w:eastAsia="zh-CN"/>
              </w:rPr>
              <w:t>主要功能如下：</w:t>
            </w:r>
          </w:p>
          <w:p w14:paraId="24EE68CA">
            <w:pPr>
              <w:widowControl/>
              <w:ind w:firstLine="360" w:firstLineChars="2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数字应用安全平台支持</w:t>
            </w:r>
            <w:r>
              <w:rPr>
                <w:rFonts w:hint="eastAsia" w:ascii="宋体" w:hAnsi="宋体" w:cs="宋体"/>
                <w:color w:val="auto"/>
                <w:kern w:val="0"/>
                <w:sz w:val="18"/>
                <w:szCs w:val="18"/>
                <w:highlight w:val="none"/>
                <w:lang w:val="en-US" w:eastAsia="zh-CN"/>
              </w:rPr>
              <w:t>在</w:t>
            </w:r>
            <w:r>
              <w:rPr>
                <w:rFonts w:hint="eastAsia" w:ascii="宋体" w:hAnsi="宋体" w:cs="宋体"/>
                <w:color w:val="auto"/>
                <w:kern w:val="0"/>
                <w:sz w:val="18"/>
                <w:szCs w:val="18"/>
                <w:highlight w:val="none"/>
              </w:rPr>
              <w:t>信创环境</w:t>
            </w:r>
            <w:r>
              <w:rPr>
                <w:rFonts w:hint="eastAsia" w:ascii="宋体" w:hAnsi="宋体" w:cs="宋体"/>
                <w:color w:val="auto"/>
                <w:kern w:val="0"/>
                <w:sz w:val="18"/>
                <w:szCs w:val="18"/>
                <w:highlight w:val="none"/>
                <w:lang w:val="en-US" w:eastAsia="zh-CN"/>
              </w:rPr>
              <w:t>以软件形式</w:t>
            </w:r>
            <w:r>
              <w:rPr>
                <w:rFonts w:hint="eastAsia" w:ascii="宋体" w:hAnsi="宋体" w:cs="宋体"/>
                <w:color w:val="auto"/>
                <w:kern w:val="0"/>
                <w:sz w:val="18"/>
                <w:szCs w:val="18"/>
                <w:highlight w:val="none"/>
              </w:rPr>
              <w:t>部署，平台支持统信UOS操作系统、华为鲲鹏处理器、东方通TongWeb中间件、人大金仓数据库的环境部署</w:t>
            </w:r>
            <w:r>
              <w:rPr>
                <w:rFonts w:hint="eastAsia" w:ascii="宋体" w:hAnsi="宋体" w:cs="宋体"/>
                <w:color w:val="auto"/>
                <w:kern w:val="0"/>
                <w:sz w:val="18"/>
                <w:szCs w:val="18"/>
                <w:highlight w:val="none"/>
                <w:lang w:eastAsia="zh-CN"/>
              </w:rPr>
              <w:t>。</w:t>
            </w:r>
          </w:p>
          <w:p w14:paraId="2C7FD045">
            <w:pPr>
              <w:widowControl/>
              <w:ind w:firstLine="360" w:firstLineChars="2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交互式应用安全测试系统模块:利用动态智能污点分析检测技术，通过对应用软件功能的操作即可精确输出安全测试的结果，在检测过程</w:t>
            </w:r>
            <w:r>
              <w:rPr>
                <w:rFonts w:hint="eastAsia" w:ascii="宋体" w:hAnsi="宋体" w:cs="宋体"/>
                <w:color w:val="auto"/>
                <w:kern w:val="0"/>
                <w:sz w:val="18"/>
                <w:szCs w:val="18"/>
                <w:highlight w:val="none"/>
                <w:lang w:val="en-US" w:eastAsia="zh-CN"/>
              </w:rPr>
              <w:t>中</w:t>
            </w:r>
            <w:r>
              <w:rPr>
                <w:rFonts w:hint="eastAsia" w:ascii="宋体" w:hAnsi="宋体" w:cs="宋体"/>
                <w:color w:val="auto"/>
                <w:kern w:val="0"/>
                <w:sz w:val="18"/>
                <w:szCs w:val="18"/>
                <w:highlight w:val="none"/>
              </w:rPr>
              <w:t>不重放数据报文，不产生脏数据和无效流量。无须对被检测应用进行改造</w:t>
            </w:r>
            <w:r>
              <w:rPr>
                <w:rFonts w:hint="eastAsia" w:ascii="宋体" w:hAnsi="宋体" w:cs="宋体"/>
                <w:color w:val="auto"/>
                <w:kern w:val="0"/>
                <w:sz w:val="18"/>
                <w:szCs w:val="18"/>
                <w:highlight w:val="none"/>
                <w:lang w:val="en-US" w:eastAsia="zh-CN"/>
              </w:rPr>
              <w:t>前提</w:t>
            </w:r>
            <w:r>
              <w:rPr>
                <w:rFonts w:hint="eastAsia" w:ascii="宋体" w:hAnsi="宋体" w:cs="宋体"/>
                <w:color w:val="auto"/>
                <w:kern w:val="0"/>
                <w:sz w:val="18"/>
                <w:szCs w:val="18"/>
                <w:highlight w:val="none"/>
              </w:rPr>
              <w:t>下支持应用具备数据传输加密、签名验签、一次性访问资源等场景的实时漏洞检测；包括支持OS命令注入、HQL注入、SQL注入、SMTP注入、XPATH注入、JAVA反射注入、日志注入、XML 外部实体注入、反序列化漏洞、目录遍历、CSRF跨站请求伪造、SSRF 服务器端请求伪造、URL跳转、XSS 跨站脚本攻击、数据库连接弱口令、检测弱加密算法、硬编码漏洞、正则表达式拒绝服务攻击、使用弱随机数等安全漏洞</w:t>
            </w:r>
            <w:r>
              <w:rPr>
                <w:rFonts w:hint="eastAsia" w:ascii="宋体" w:hAnsi="宋体" w:cs="宋体"/>
                <w:color w:val="auto"/>
                <w:kern w:val="0"/>
                <w:sz w:val="18"/>
                <w:szCs w:val="18"/>
                <w:highlight w:val="none"/>
                <w:lang w:eastAsia="zh-CN"/>
              </w:rPr>
              <w:t>。</w:t>
            </w:r>
          </w:p>
          <w:p w14:paraId="778B26EE">
            <w:pPr>
              <w:widowControl/>
              <w:ind w:firstLine="360" w:firstLineChars="2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3</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开源组件分析模块：开源组件的安全性和许可合规性。通过对被引用组件的漏洞检测、跟踪和提供修复建议，能够规避已知漏洞，降低软件安全风险</w:t>
            </w:r>
            <w:r>
              <w:rPr>
                <w:rFonts w:hint="eastAsia" w:ascii="宋体" w:hAnsi="宋体" w:cs="宋体"/>
                <w:color w:val="auto"/>
                <w:kern w:val="0"/>
                <w:sz w:val="18"/>
                <w:szCs w:val="18"/>
                <w:highlight w:val="none"/>
                <w:lang w:eastAsia="zh-CN"/>
              </w:rPr>
              <w:t>。</w:t>
            </w:r>
          </w:p>
          <w:p w14:paraId="31894508">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应用自适应防护系统模块：基于应用深度探测与分析的技术，能够根据用户行为和程序上下文的分析实现实时、精确地探测和拦截Web安全攻击，包括XSS、XXE、SQL注入、SSRF、JAVA反序列化、OGNL等漏洞。支持分析应用在指定时段内遭受攻击的来源，简单明了</w:t>
            </w:r>
            <w:r>
              <w:rPr>
                <w:rFonts w:hint="eastAsia" w:ascii="宋体" w:hAnsi="宋体" w:cs="宋体"/>
                <w:color w:val="auto"/>
                <w:kern w:val="0"/>
                <w:sz w:val="18"/>
                <w:szCs w:val="18"/>
                <w:highlight w:val="none"/>
                <w:lang w:val="en-US" w:eastAsia="zh-CN"/>
              </w:rPr>
              <w:t>地</w:t>
            </w:r>
            <w:r>
              <w:rPr>
                <w:rFonts w:hint="eastAsia" w:ascii="宋体" w:hAnsi="宋体" w:cs="宋体"/>
                <w:color w:val="auto"/>
                <w:kern w:val="0"/>
                <w:sz w:val="18"/>
                <w:szCs w:val="18"/>
                <w:highlight w:val="none"/>
              </w:rPr>
              <w:t>呈现攻击IP、攻击来源等来源信息。</w:t>
            </w:r>
          </w:p>
          <w:p w14:paraId="09AFC038">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漏洞自动验证系统模块：弥补部分场景下污点跟踪技术无法识别污染数据的逻辑过滤的缺陷，通过自动漏洞验证技术进一步降低漏洞误报率。产品可针对已检测出的漏洞进行自动化无人为干预的主动验证，主动验证支持展示漏洞验证的过程信息、验证方法与判断依据等内容。</w:t>
            </w:r>
          </w:p>
          <w:p w14:paraId="01790012">
            <w:pPr>
              <w:widowControl/>
              <w:ind w:firstLine="360" w:firstLineChars="2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漏洞运营管理系统模块：缺陷检测的最终目标是尽可能消灭高风险缺陷，应用不带病上线。漏洞运营管理针对检测的漏洞可以完成发现、跟进、处理、验证、修复整个生命周期的闭环。并且可以对漏洞进行状态变更、变更记录、指派责任人、添加备注等一系列漏洞运营功能。还可以与第三方问题管理平台进行集成，实现问题的跨平台同步与跟踪，目前内置支持Jira、禅道平台的集成，同时也开放了API接口，可以定制化集成至其他平台中。</w:t>
            </w:r>
          </w:p>
          <w:p w14:paraId="61DE17D0">
            <w:pPr>
              <w:widowControl/>
              <w:ind w:firstLine="360" w:firstLineChars="2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7</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漏洞管理，状态管理：支持漏洞状态管理，系统内置已发现、再次发现、已确认、没问题、可疑、修复待确认、已修复等，针对没问题又可以分为多种子状态，包括仅受信任的用户访问、误报、内部安全控制、外部安全控制等，并可根据实际使用场景自定义漏洞状态和新增子状态</w:t>
            </w:r>
            <w:r>
              <w:rPr>
                <w:rFonts w:hint="eastAsia" w:ascii="宋体" w:hAnsi="宋体" w:cs="宋体"/>
                <w:color w:val="auto"/>
                <w:kern w:val="0"/>
                <w:sz w:val="18"/>
                <w:szCs w:val="18"/>
                <w:highlight w:val="none"/>
                <w:lang w:eastAsia="zh-CN"/>
              </w:rPr>
              <w:t>。</w:t>
            </w:r>
          </w:p>
          <w:p w14:paraId="472CCADC">
            <w:pPr>
              <w:widowControl/>
              <w:ind w:firstLine="360" w:firstLineChars="2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8</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漏洞展示，请求与响应：支持展示HTTP/HTTPS报文的原始信息，并可以根据需要进行重放HTTP/HTTPS报文；支持展示HTTP/HTTPS报文的响应信息；漏洞详情：包括暴露天数、漏洞类型、漏洞等级、漏洞地址、请求方法、漏洞参数、漏洞发现时间、漏洞验证信息、漏洞代码详情、污点数据流、漏洞合规信息、漏洞风险、漏洞修复建议、不安全的漏洞代码示例和安全代码示例</w:t>
            </w:r>
            <w:r>
              <w:rPr>
                <w:rFonts w:hint="eastAsia" w:ascii="宋体" w:hAnsi="宋体" w:cs="宋体"/>
                <w:color w:val="auto"/>
                <w:kern w:val="0"/>
                <w:sz w:val="18"/>
                <w:szCs w:val="18"/>
                <w:highlight w:val="none"/>
                <w:lang w:eastAsia="zh-CN"/>
              </w:rPr>
              <w:t>。</w:t>
            </w:r>
          </w:p>
          <w:p w14:paraId="2B31025D">
            <w:pPr>
              <w:ind w:firstLine="360" w:firstLineChars="2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9.包含200个授权的特征库、病毒库更新，以及运维保障服务，同时新增35个授权。以上整体授权服务期3年。</w:t>
            </w:r>
          </w:p>
        </w:tc>
        <w:tc>
          <w:tcPr>
            <w:tcW w:w="145" w:type="pct"/>
            <w:tcBorders>
              <w:top w:val="nil"/>
              <w:left w:val="nil"/>
              <w:bottom w:val="single" w:color="auto" w:sz="4" w:space="0"/>
              <w:right w:val="single" w:color="auto" w:sz="4" w:space="0"/>
            </w:tcBorders>
            <w:noWrap/>
            <w:vAlign w:val="center"/>
          </w:tcPr>
          <w:p w14:paraId="662F91C8">
            <w:pPr>
              <w:widowControl/>
              <w:jc w:val="center"/>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4C135A0F">
            <w:pPr>
              <w:widowControl/>
              <w:jc w:val="center"/>
              <w:rPr>
                <w:rFonts w:hint="eastAsia" w:ascii="宋体" w:hAnsi="宋体" w:cs="宋体"/>
                <w:color w:val="auto"/>
                <w:kern w:val="0"/>
                <w:sz w:val="18"/>
                <w:szCs w:val="18"/>
                <w:highlight w:val="none"/>
              </w:rPr>
            </w:pPr>
          </w:p>
        </w:tc>
      </w:tr>
      <w:tr w14:paraId="6C494D0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ED6887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九</w:t>
            </w:r>
            <w:r>
              <w:rPr>
                <w:rFonts w:hint="eastAsia" w:ascii="宋体" w:hAnsi="宋体" w:cs="宋体"/>
                <w:b/>
                <w:bCs/>
                <w:color w:val="auto"/>
                <w:kern w:val="0"/>
                <w:sz w:val="18"/>
                <w:szCs w:val="18"/>
                <w:highlight w:val="none"/>
              </w:rPr>
              <w:t>、</w:t>
            </w:r>
          </w:p>
        </w:tc>
        <w:tc>
          <w:tcPr>
            <w:tcW w:w="428" w:type="pct"/>
            <w:tcBorders>
              <w:top w:val="nil"/>
              <w:left w:val="nil"/>
              <w:bottom w:val="single" w:color="auto" w:sz="4" w:space="0"/>
              <w:right w:val="single" w:color="auto" w:sz="4" w:space="0"/>
            </w:tcBorders>
            <w:noWrap/>
            <w:vAlign w:val="center"/>
          </w:tcPr>
          <w:p w14:paraId="1D567E41">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平台基础设施</w:t>
            </w:r>
          </w:p>
        </w:tc>
        <w:tc>
          <w:tcPr>
            <w:tcW w:w="3798" w:type="pct"/>
            <w:gridSpan w:val="2"/>
            <w:tcBorders>
              <w:top w:val="nil"/>
              <w:left w:val="nil"/>
              <w:bottom w:val="single" w:color="auto" w:sz="4" w:space="0"/>
              <w:right w:val="single" w:color="auto" w:sz="4" w:space="0"/>
            </w:tcBorders>
            <w:noWrap/>
            <w:vAlign w:val="center"/>
          </w:tcPr>
          <w:p w14:paraId="197A77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支撑本期项目系统运行所需的计算、存储等基础设施。</w:t>
            </w:r>
          </w:p>
        </w:tc>
        <w:tc>
          <w:tcPr>
            <w:tcW w:w="145" w:type="pct"/>
            <w:tcBorders>
              <w:top w:val="nil"/>
              <w:left w:val="nil"/>
              <w:bottom w:val="single" w:color="auto" w:sz="4" w:space="0"/>
              <w:right w:val="single" w:color="auto" w:sz="4" w:space="0"/>
            </w:tcBorders>
            <w:noWrap/>
            <w:vAlign w:val="center"/>
          </w:tcPr>
          <w:p w14:paraId="37709021">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24FEBF6D">
            <w:pPr>
              <w:widowControl/>
              <w:jc w:val="left"/>
              <w:rPr>
                <w:rFonts w:hint="eastAsia" w:ascii="宋体" w:hAnsi="宋体" w:cs="宋体"/>
                <w:color w:val="auto"/>
                <w:kern w:val="0"/>
                <w:sz w:val="18"/>
                <w:szCs w:val="18"/>
                <w:highlight w:val="none"/>
              </w:rPr>
            </w:pPr>
          </w:p>
        </w:tc>
      </w:tr>
      <w:tr w14:paraId="50FC981D">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7437028">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一）</w:t>
            </w:r>
          </w:p>
        </w:tc>
        <w:tc>
          <w:tcPr>
            <w:tcW w:w="428" w:type="pct"/>
            <w:tcBorders>
              <w:top w:val="nil"/>
              <w:left w:val="nil"/>
              <w:bottom w:val="single" w:color="auto" w:sz="4" w:space="0"/>
              <w:right w:val="single" w:color="auto" w:sz="4" w:space="0"/>
            </w:tcBorders>
            <w:noWrap/>
            <w:vAlign w:val="center"/>
          </w:tcPr>
          <w:p w14:paraId="02EE690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安全统一存储（分布式）</w:t>
            </w:r>
          </w:p>
        </w:tc>
        <w:tc>
          <w:tcPr>
            <w:tcW w:w="3798" w:type="pct"/>
            <w:gridSpan w:val="2"/>
            <w:tcBorders>
              <w:top w:val="nil"/>
              <w:left w:val="nil"/>
              <w:bottom w:val="single" w:color="auto" w:sz="4" w:space="0"/>
              <w:right w:val="single" w:color="auto" w:sz="4" w:space="0"/>
            </w:tcBorders>
            <w:vAlign w:val="center"/>
          </w:tcPr>
          <w:p w14:paraId="3643C613">
            <w:pPr>
              <w:widowControl/>
              <w:rPr>
                <w:color w:val="auto"/>
                <w:highlight w:val="none"/>
              </w:rPr>
            </w:pPr>
            <w:r>
              <w:rPr>
                <w:rFonts w:hint="eastAsia" w:ascii="宋体"/>
                <w:color w:val="auto"/>
                <w:highlight w:val="none"/>
              </w:rPr>
              <w:t>★</w:t>
            </w:r>
            <w:r>
              <w:rPr>
                <w:rFonts w:hint="eastAsia" w:ascii="宋体" w:hAnsi="宋体" w:cs="宋体"/>
                <w:color w:val="auto"/>
                <w:kern w:val="0"/>
                <w:sz w:val="18"/>
                <w:szCs w:val="18"/>
                <w:highlight w:val="none"/>
                <w:lang w:val="en-US" w:eastAsia="zh-CN"/>
              </w:rPr>
              <w:t>每台性能如下：</w:t>
            </w:r>
            <w:r>
              <w:rPr>
                <w:rFonts w:hint="eastAsia" w:ascii="宋体" w:hAnsi="宋体" w:cs="宋体"/>
                <w:color w:val="auto"/>
                <w:kern w:val="0"/>
                <w:sz w:val="18"/>
                <w:szCs w:val="18"/>
                <w:highlight w:val="none"/>
              </w:rPr>
              <w:t>高性能64位处理器(</w:t>
            </w:r>
            <w:r>
              <w:rPr>
                <w:rFonts w:hint="eastAsia" w:ascii="宋体" w:hAnsi="宋体" w:cs="宋体"/>
                <w:color w:val="auto"/>
                <w:kern w:val="0"/>
                <w:sz w:val="18"/>
                <w:szCs w:val="18"/>
                <w:highlight w:val="none"/>
                <w:lang w:val="en-US" w:eastAsia="zh-CN"/>
              </w:rPr>
              <w:t>2颗</w:t>
            </w:r>
            <w:r>
              <w:rPr>
                <w:rFonts w:hint="eastAsia" w:ascii="宋体" w:hAnsi="宋体" w:cs="宋体"/>
                <w:color w:val="auto"/>
                <w:kern w:val="0"/>
                <w:sz w:val="18"/>
                <w:szCs w:val="18"/>
                <w:highlight w:val="none"/>
              </w:rPr>
              <w:t>自主架构CPU 48核</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频率≥2.6GHz)，内存≥384GB，内部网络：双口10Gb网卡</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val="en-US" w:eastAsia="zh-CN"/>
              </w:rPr>
              <w:t>个</w:t>
            </w:r>
            <w:r>
              <w:rPr>
                <w:rFonts w:hint="eastAsia" w:ascii="宋体" w:hAnsi="宋体" w:cs="宋体"/>
                <w:color w:val="auto"/>
                <w:kern w:val="0"/>
                <w:sz w:val="18"/>
                <w:szCs w:val="18"/>
                <w:highlight w:val="none"/>
              </w:rPr>
              <w:t>，外部网络：双口10Gb网卡</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val="en-US" w:eastAsia="zh-CN"/>
              </w:rPr>
              <w:t>个</w:t>
            </w:r>
            <w:r>
              <w:rPr>
                <w:rFonts w:hint="eastAsia" w:ascii="宋体" w:hAnsi="宋体" w:cs="宋体"/>
                <w:color w:val="auto"/>
                <w:kern w:val="0"/>
                <w:sz w:val="18"/>
                <w:szCs w:val="18"/>
                <w:highlight w:val="none"/>
              </w:rPr>
              <w:t>，数据存储容量：</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16TB SATA HDD×34，高速元数据/共享空间：≥3.2TB NVME SSD×2，系统盘</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480G SATA SSD ×2，1+1冗余电源。内嵌高性能数据存取引擎，文件协议，用于并行处理所有客户端的数据访问请求，内嵌高性能数据恢复引擎，支持节点间replication（多副本）/N+M（纠删码）数据冗余方式。3年原厂</w:t>
            </w:r>
            <w:r>
              <w:rPr>
                <w:rFonts w:hint="eastAsia" w:ascii="宋体" w:hAnsi="宋体" w:cs="宋体"/>
                <w:color w:val="auto"/>
                <w:kern w:val="0"/>
                <w:sz w:val="18"/>
                <w:szCs w:val="18"/>
                <w:highlight w:val="none"/>
                <w:lang w:val="en-US" w:eastAsia="zh-CN"/>
              </w:rPr>
              <w:t>维保</w:t>
            </w:r>
            <w:r>
              <w:rPr>
                <w:rFonts w:hint="eastAsia" w:ascii="宋体" w:hAnsi="宋体" w:cs="宋体"/>
                <w:color w:val="auto"/>
                <w:kern w:val="0"/>
                <w:sz w:val="18"/>
                <w:szCs w:val="18"/>
                <w:highlight w:val="none"/>
              </w:rPr>
              <w:t xml:space="preserve">。     </w:t>
            </w:r>
          </w:p>
        </w:tc>
        <w:tc>
          <w:tcPr>
            <w:tcW w:w="145" w:type="pct"/>
            <w:tcBorders>
              <w:top w:val="nil"/>
              <w:left w:val="nil"/>
              <w:bottom w:val="single" w:color="auto" w:sz="4" w:space="0"/>
              <w:right w:val="single" w:color="auto" w:sz="4" w:space="0"/>
            </w:tcBorders>
            <w:noWrap/>
            <w:vAlign w:val="center"/>
          </w:tcPr>
          <w:p w14:paraId="47A0DCF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21</w:t>
            </w:r>
          </w:p>
        </w:tc>
        <w:tc>
          <w:tcPr>
            <w:tcW w:w="208" w:type="pct"/>
            <w:tcBorders>
              <w:top w:val="nil"/>
              <w:left w:val="nil"/>
              <w:bottom w:val="single" w:color="auto" w:sz="4" w:space="0"/>
              <w:right w:val="single" w:color="auto" w:sz="4" w:space="0"/>
            </w:tcBorders>
            <w:noWrap/>
            <w:vAlign w:val="center"/>
          </w:tcPr>
          <w:p w14:paraId="71B9F55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台</w:t>
            </w:r>
          </w:p>
        </w:tc>
      </w:tr>
      <w:tr w14:paraId="00801258">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E876BC8">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二）</w:t>
            </w:r>
          </w:p>
        </w:tc>
        <w:tc>
          <w:tcPr>
            <w:tcW w:w="428" w:type="pct"/>
            <w:tcBorders>
              <w:top w:val="nil"/>
              <w:left w:val="nil"/>
              <w:bottom w:val="single" w:color="auto" w:sz="4" w:space="0"/>
              <w:right w:val="single" w:color="auto" w:sz="4" w:space="0"/>
            </w:tcBorders>
            <w:noWrap/>
            <w:vAlign w:val="center"/>
          </w:tcPr>
          <w:p w14:paraId="7CD234E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分布式块存储软件</w:t>
            </w:r>
          </w:p>
        </w:tc>
        <w:tc>
          <w:tcPr>
            <w:tcW w:w="3798" w:type="pct"/>
            <w:gridSpan w:val="2"/>
            <w:tcBorders>
              <w:top w:val="nil"/>
              <w:left w:val="nil"/>
              <w:bottom w:val="single" w:color="auto" w:sz="4" w:space="0"/>
              <w:right w:val="single" w:color="auto" w:sz="4" w:space="0"/>
            </w:tcBorders>
            <w:vAlign w:val="center"/>
          </w:tcPr>
          <w:p w14:paraId="588B5E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配置分布式块存储软件，并提供不少于7880TB可用容量授权：</w:t>
            </w:r>
          </w:p>
          <w:p w14:paraId="1ACD2E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1.基于全对称分布式存储架构，通过软件层面的全对称分布式架构和数据冗余技术，来达到高可伸缩性和高可用性。</w:t>
            </w:r>
          </w:p>
          <w:p w14:paraId="4D9F72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2.提供块存储读写服务，支持块服务开启数据加密功能。</w:t>
            </w:r>
          </w:p>
          <w:p w14:paraId="30E6A3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3.支持NVMe SSD缓存，SATA HDD主存混合存储硬件。</w:t>
            </w:r>
          </w:p>
          <w:p w14:paraId="03F73A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4.提供各节点高可用功能，支持纠删码特性，支持N+M纠删码保护。</w:t>
            </w:r>
          </w:p>
          <w:p w14:paraId="611817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5.提供快照功能，支持卷的快照和回滚。</w:t>
            </w:r>
          </w:p>
          <w:p w14:paraId="7FA335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6.支持网络健康管理功能：针对存储节点的网络出现丢包、错包、网络时延现象可提供故障告警并隔离。</w:t>
            </w:r>
          </w:p>
          <w:p w14:paraId="530267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7.按照可用容量提供授权。</w:t>
            </w:r>
          </w:p>
          <w:p w14:paraId="23D7C6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8.兼容性：能够和云平台软件兼容，实现云平台统一存储服务编排。</w:t>
            </w:r>
          </w:p>
        </w:tc>
        <w:tc>
          <w:tcPr>
            <w:tcW w:w="145" w:type="pct"/>
            <w:tcBorders>
              <w:top w:val="nil"/>
              <w:left w:val="nil"/>
              <w:bottom w:val="single" w:color="auto" w:sz="4" w:space="0"/>
              <w:right w:val="single" w:color="auto" w:sz="4" w:space="0"/>
            </w:tcBorders>
            <w:noWrap/>
            <w:vAlign w:val="center"/>
          </w:tcPr>
          <w:p w14:paraId="4A9F1F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208" w:type="pct"/>
            <w:tcBorders>
              <w:top w:val="nil"/>
              <w:left w:val="nil"/>
              <w:bottom w:val="single" w:color="auto" w:sz="4" w:space="0"/>
              <w:right w:val="single" w:color="auto" w:sz="4" w:space="0"/>
            </w:tcBorders>
            <w:noWrap/>
            <w:vAlign w:val="center"/>
          </w:tcPr>
          <w:p w14:paraId="297BBB3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r>
      <w:tr w14:paraId="2BA7464A">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DB87C01">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三）</w:t>
            </w:r>
          </w:p>
        </w:tc>
        <w:tc>
          <w:tcPr>
            <w:tcW w:w="428" w:type="pct"/>
            <w:tcBorders>
              <w:top w:val="nil"/>
              <w:left w:val="nil"/>
              <w:bottom w:val="single" w:color="auto" w:sz="4" w:space="0"/>
              <w:right w:val="single" w:color="auto" w:sz="4" w:space="0"/>
            </w:tcBorders>
            <w:noWrap/>
            <w:vAlign w:val="center"/>
          </w:tcPr>
          <w:p w14:paraId="1C14A9E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接入交换机</w:t>
            </w:r>
          </w:p>
        </w:tc>
        <w:tc>
          <w:tcPr>
            <w:tcW w:w="3798" w:type="pct"/>
            <w:gridSpan w:val="2"/>
            <w:tcBorders>
              <w:top w:val="nil"/>
              <w:left w:val="nil"/>
              <w:bottom w:val="single" w:color="auto" w:sz="4" w:space="0"/>
              <w:right w:val="single" w:color="auto" w:sz="4" w:space="0"/>
            </w:tcBorders>
            <w:vAlign w:val="center"/>
          </w:tcPr>
          <w:p w14:paraId="15F0F7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1、设备性能：交换容量≥4.8Tbps, 转发性能≥2000Mpps；</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2、设备配置：提供10GE光接口≥48个，100GE光接口≥2个，提供万兆多模光模块≥48个，40G多模光模块≥6个，提供可插拔直流电源≥2个，提供模块化可插拔风扇≥4个，设备提供三年维保；</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3、虚拟化：支持M-LAG或vPC等类似技术；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4、IP路由：支持RIP、OSPF、ISIS、BGP等IPv4动态路由协议，支持RIPng、OSPFv3、ISISv6、BGP4+等IPv6动态路由协议；</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5、MPLS：支持MPLS；</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6、可靠性：支持VRRP、VRRP负载分担、BFD for VRRP，支持集群或堆叠多虚一技术，实现单一界面管理多台设备。</w:t>
            </w:r>
          </w:p>
        </w:tc>
        <w:tc>
          <w:tcPr>
            <w:tcW w:w="145" w:type="pct"/>
            <w:tcBorders>
              <w:top w:val="nil"/>
              <w:left w:val="nil"/>
              <w:bottom w:val="single" w:color="auto" w:sz="4" w:space="0"/>
              <w:right w:val="single" w:color="auto" w:sz="4" w:space="0"/>
            </w:tcBorders>
            <w:noWrap/>
            <w:vAlign w:val="center"/>
          </w:tcPr>
          <w:p w14:paraId="154C3C0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208" w:type="pct"/>
            <w:tcBorders>
              <w:top w:val="nil"/>
              <w:left w:val="nil"/>
              <w:bottom w:val="single" w:color="auto" w:sz="4" w:space="0"/>
              <w:right w:val="single" w:color="auto" w:sz="4" w:space="0"/>
            </w:tcBorders>
            <w:noWrap/>
            <w:vAlign w:val="center"/>
          </w:tcPr>
          <w:p w14:paraId="15E687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r>
      <w:tr w14:paraId="0DE308B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D040760">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四）</w:t>
            </w:r>
          </w:p>
        </w:tc>
        <w:tc>
          <w:tcPr>
            <w:tcW w:w="428" w:type="pct"/>
            <w:tcBorders>
              <w:top w:val="nil"/>
              <w:left w:val="nil"/>
              <w:bottom w:val="single" w:color="auto" w:sz="4" w:space="0"/>
              <w:right w:val="single" w:color="auto" w:sz="4" w:space="0"/>
            </w:tcBorders>
            <w:noWrap/>
            <w:vAlign w:val="center"/>
          </w:tcPr>
          <w:p w14:paraId="76E34AF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云计算平台授权</w:t>
            </w:r>
          </w:p>
        </w:tc>
        <w:tc>
          <w:tcPr>
            <w:tcW w:w="3798" w:type="pct"/>
            <w:gridSpan w:val="2"/>
            <w:tcBorders>
              <w:top w:val="nil"/>
              <w:left w:val="nil"/>
              <w:bottom w:val="single" w:color="auto" w:sz="4" w:space="0"/>
              <w:right w:val="single" w:color="auto" w:sz="4" w:space="0"/>
            </w:tcBorders>
            <w:vAlign w:val="center"/>
          </w:tcPr>
          <w:p w14:paraId="4E0552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纳管运维管理区计算存储设备，提供计算存储、安全、数据库、操作系统等授权。</w:t>
            </w:r>
          </w:p>
          <w:p w14:paraId="3C3D02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1、满足不少于60颗物理CPU</w:t>
            </w:r>
            <w:r>
              <w:rPr>
                <w:rFonts w:hint="eastAsia" w:ascii="宋体" w:hAnsi="宋体" w:cs="宋体"/>
                <w:color w:val="auto"/>
                <w:kern w:val="0"/>
                <w:sz w:val="18"/>
                <w:szCs w:val="18"/>
                <w:highlight w:val="none"/>
                <w:lang w:val="en-US" w:eastAsia="zh-CN"/>
              </w:rPr>
              <w:t>的</w:t>
            </w:r>
            <w:r>
              <w:rPr>
                <w:rFonts w:hint="eastAsia" w:ascii="宋体" w:hAnsi="宋体" w:cs="宋体"/>
                <w:color w:val="auto"/>
                <w:kern w:val="0"/>
                <w:sz w:val="18"/>
                <w:szCs w:val="18"/>
                <w:highlight w:val="none"/>
              </w:rPr>
              <w:t>授权。</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2、为了满足业务系统对不同架构的需求，云平台需支持一云多芯，云平台通过对ARM\X86\国产C86架构不同架构处理器的异构资源池统一纳管，实现多种架构算力基础设施资源的统一管理、调度与使用；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3、平台的核心服务均采用高可用方式部署，当某一个管理节点故障时，云平台仍可以继续使用。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4、支持可视化部署，通过图形化Web界面部署工具，一键式快速自动安装所有服务器的操作系统和虚拟化环境。同时能够支持使用工具进行扩容操作；</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5、云平台需支持全部模块在线升级，可跨大版本升级，升级过程不影响业务；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6、云平台需支持FC-SAN/IP-SAN/ISCSI/XBD/Nvme-of等存储协议，支持本地存储、分布式存储、文件存储等不同类型的存储池；</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7、需支持云硬盘的创建、删除、安全删除、克隆功能，并且支持挂载至云主机，满足云主机的扩容需求；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8、支持云硬盘共享功能，将云硬盘挂载至多个云主机使用；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9、云硬盘需支持QoS功能，可按需配置磁盘读写带宽和IOPS上限；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10、支持云硬盘回收站功能，可以将误删除的云硬盘恢复；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11、支持可启动云硬盘和数据云硬盘加密功能，加密密钥需支持国密算法。数据在存入共享存储前进行加密处理，防止在数据传输过程中被篡改；</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12、需提供对象存储桶的功能，需满足桶的生命周期管理，包括：创建、删除、桶配额管理、修改桶存储类别；能够支持对象的上传、下载、分享；能够对桶进行监控，指标包括：桶容量、桶上传对象流量统计、put请求次数 、put请求成功次数、post请求次数、post请求成功次数、get请求次数 、get请求成功次数、delete请求次数、delete请求成功次数、桶对象、桶下载对象流量统计、返回码总数（2xx，3xx，4xx，5xx）；支持对象的回源迁移；</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13、为保证操作便捷和管理效率，云平台需提供资源全文搜索服务，通过对平台资源整合，实现资源统一展示，快速定位资源信息；针对已建模的云平台资源进行数据监控，每个用户对资源的增删改操作都将实时反映到图谱之上，各个资源间的关联关系也将实时建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14、为提高监控效率，通过个性化配置，用户可以更专注于关注的重点，避免被不必要的监控数据干扰。云平台需支持个性化监控概览，可对监控总览页面自定义设置展示图表，包括但不限于总物理机 CPU 使用率、总物理机内存使用率、总物理机网络吞吐量、总物理机磁盘读写速率、云服务器数量和状态统计、总 CPU 使用率、总内存使用率、存储池容量、物理节点CPU 使用率、物理节点内存使用率、物理节点数量和状态统计、计算服务实例状态统计、存储服务实例状态统计、网络服务实例状态统计、云数据库实例状态统计、容器服务实例状态统计、中间件服务实例状态统计、大数据服务实例状态统计、安全服务实例状态统计、平台告警统计和云服务告警统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15、为了更高效、准确地管理资源，云平台需提供监控大盘功能，通过创建自定义监控项并采集监控数据上报到监控服务，云监控服务会对自定义监控项提供监控图表展示和告警功能，从而满足不同的业务场景对监控数据的展示需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16、支持多种平台资源类型的事件告警策略，包括但不限于：备份节点IP不通，备份任务失败，平台管理服务组件状态异常，用户锁定，物理机长时间未上报监控数据，物理机硬件故障，物理机IPMI不可达，物理机防火墙异常，物理机NTP时钟同步异常，物理机网络IP不通，平台网络异常；</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17、为了方便用户快速对系统进行升级，云平台需支持页面升级功能，支持在线自动升级以及离线升级包升级，当可以连接互联网时，可通过升级服务器，远程在线升级；内网环境下，可通过上传离线升级包的方式进行快速升级，用户可以直接操作，无需运维人员进行升级操作，提高升级效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18、为保障资源合理分配投入，避免资源浪费，云平台需支持统一配额管理，管理员可查看和调整租户使用的资源配额，可按列表和拓扑图两种方式查看全局配额分配和使用情况；</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 xml:space="preserve">同时配额管理需支持的服务类型需包含：云服务器和安全云服务器CPU、内存、系统盘、GPU使用量，裸金属实例数量，云硬盘容量和云硬盘快照使用量，弹性公网IP数量，企业路由器数量，虚拟专用网络VPN数量以及占用的CPU、内存数量，云防火墙CPU、内存数量，云专线数量，NAT网关使用量，实例备份使用量。以及云安全、数据库、中间件、容器、大数据计算组件配额管理； </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19、支持 5 级组织（VDC）管理，提供组织、角色、用户、管理员、项目、策略的多租户管理能力；</w:t>
            </w:r>
          </w:p>
        </w:tc>
        <w:tc>
          <w:tcPr>
            <w:tcW w:w="145" w:type="pct"/>
            <w:tcBorders>
              <w:top w:val="nil"/>
              <w:left w:val="nil"/>
              <w:bottom w:val="single" w:color="auto" w:sz="4" w:space="0"/>
              <w:right w:val="single" w:color="auto" w:sz="4" w:space="0"/>
            </w:tcBorders>
            <w:noWrap/>
            <w:vAlign w:val="center"/>
          </w:tcPr>
          <w:p w14:paraId="44D793E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208" w:type="pct"/>
            <w:tcBorders>
              <w:top w:val="nil"/>
              <w:left w:val="nil"/>
              <w:bottom w:val="single" w:color="auto" w:sz="4" w:space="0"/>
              <w:right w:val="single" w:color="auto" w:sz="4" w:space="0"/>
            </w:tcBorders>
            <w:noWrap/>
            <w:vAlign w:val="center"/>
          </w:tcPr>
          <w:p w14:paraId="60348B4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r>
      <w:tr w14:paraId="12E4C88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76CD081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十、</w:t>
            </w:r>
          </w:p>
        </w:tc>
        <w:tc>
          <w:tcPr>
            <w:tcW w:w="428" w:type="pct"/>
            <w:tcBorders>
              <w:top w:val="nil"/>
              <w:left w:val="nil"/>
              <w:bottom w:val="single" w:color="auto" w:sz="4" w:space="0"/>
              <w:right w:val="single" w:color="auto" w:sz="4" w:space="0"/>
            </w:tcBorders>
            <w:noWrap/>
            <w:vAlign w:val="center"/>
          </w:tcPr>
          <w:p w14:paraId="1368AB95">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系统集成</w:t>
            </w:r>
          </w:p>
        </w:tc>
        <w:tc>
          <w:tcPr>
            <w:tcW w:w="3798" w:type="pct"/>
            <w:gridSpan w:val="2"/>
            <w:tcBorders>
              <w:top w:val="nil"/>
              <w:left w:val="nil"/>
              <w:bottom w:val="single" w:color="auto" w:sz="4" w:space="0"/>
              <w:right w:val="single" w:color="auto" w:sz="4" w:space="0"/>
            </w:tcBorders>
            <w:noWrap/>
            <w:vAlign w:val="center"/>
          </w:tcPr>
          <w:p w14:paraId="62AC4BE3">
            <w:pPr>
              <w:widowControl/>
              <w:jc w:val="left"/>
              <w:rPr>
                <w:rFonts w:hint="eastAsia" w:ascii="宋体" w:hAnsi="宋体" w:cs="宋体"/>
                <w:color w:val="auto"/>
                <w:kern w:val="0"/>
                <w:sz w:val="18"/>
                <w:szCs w:val="18"/>
                <w:highlight w:val="none"/>
              </w:rPr>
            </w:pPr>
          </w:p>
        </w:tc>
        <w:tc>
          <w:tcPr>
            <w:tcW w:w="145" w:type="pct"/>
            <w:tcBorders>
              <w:top w:val="nil"/>
              <w:left w:val="nil"/>
              <w:bottom w:val="single" w:color="auto" w:sz="4" w:space="0"/>
              <w:right w:val="single" w:color="auto" w:sz="4" w:space="0"/>
            </w:tcBorders>
            <w:noWrap/>
            <w:vAlign w:val="center"/>
          </w:tcPr>
          <w:p w14:paraId="2256354F">
            <w:pPr>
              <w:widowControl/>
              <w:jc w:val="left"/>
              <w:rPr>
                <w:rFonts w:hint="eastAsia" w:ascii="宋体" w:hAnsi="宋体" w:cs="宋体"/>
                <w:color w:val="auto"/>
                <w:kern w:val="0"/>
                <w:sz w:val="18"/>
                <w:szCs w:val="18"/>
                <w:highlight w:val="none"/>
              </w:rPr>
            </w:pPr>
          </w:p>
        </w:tc>
        <w:tc>
          <w:tcPr>
            <w:tcW w:w="208" w:type="pct"/>
            <w:tcBorders>
              <w:top w:val="nil"/>
              <w:left w:val="nil"/>
              <w:bottom w:val="single" w:color="auto" w:sz="4" w:space="0"/>
              <w:right w:val="single" w:color="auto" w:sz="4" w:space="0"/>
            </w:tcBorders>
            <w:noWrap/>
            <w:vAlign w:val="center"/>
          </w:tcPr>
          <w:p w14:paraId="58FC4854">
            <w:pPr>
              <w:widowControl/>
              <w:jc w:val="left"/>
              <w:rPr>
                <w:rFonts w:hint="eastAsia" w:ascii="宋体" w:hAnsi="宋体" w:cs="宋体"/>
                <w:color w:val="auto"/>
                <w:kern w:val="0"/>
                <w:sz w:val="18"/>
                <w:szCs w:val="18"/>
                <w:highlight w:val="none"/>
              </w:rPr>
            </w:pPr>
          </w:p>
        </w:tc>
      </w:tr>
      <w:tr w14:paraId="1B55CE4D">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FCA60E5">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eastAsia="zh-CN"/>
              </w:rPr>
              <w:t>（</w:t>
            </w:r>
            <w:r>
              <w:rPr>
                <w:rFonts w:hint="eastAsia" w:ascii="宋体" w:hAnsi="宋体" w:cs="宋体"/>
                <w:b/>
                <w:bCs/>
                <w:color w:val="auto"/>
                <w:kern w:val="0"/>
                <w:sz w:val="18"/>
                <w:szCs w:val="18"/>
                <w:highlight w:val="none"/>
                <w:lang w:val="en-US" w:eastAsia="zh-CN"/>
              </w:rPr>
              <w:t>一）</w:t>
            </w:r>
          </w:p>
        </w:tc>
        <w:tc>
          <w:tcPr>
            <w:tcW w:w="428" w:type="pct"/>
            <w:tcBorders>
              <w:top w:val="nil"/>
              <w:left w:val="nil"/>
              <w:bottom w:val="single" w:color="auto" w:sz="4" w:space="0"/>
              <w:right w:val="single" w:color="auto" w:sz="4" w:space="0"/>
            </w:tcBorders>
            <w:noWrap/>
            <w:vAlign w:val="center"/>
          </w:tcPr>
          <w:p w14:paraId="51152BE2">
            <w:pPr>
              <w:widowControl/>
              <w:jc w:val="left"/>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系统集成服务</w:t>
            </w:r>
          </w:p>
        </w:tc>
        <w:tc>
          <w:tcPr>
            <w:tcW w:w="3798" w:type="pct"/>
            <w:gridSpan w:val="2"/>
            <w:tcBorders>
              <w:top w:val="nil"/>
              <w:left w:val="nil"/>
              <w:bottom w:val="single" w:color="auto" w:sz="4" w:space="0"/>
              <w:right w:val="single" w:color="auto" w:sz="4" w:space="0"/>
            </w:tcBorders>
            <w:noWrap/>
            <w:vAlign w:val="center"/>
          </w:tcPr>
          <w:p w14:paraId="1A554859">
            <w:pPr>
              <w:widowControl/>
              <w:jc w:val="left"/>
              <w:rPr>
                <w:rFonts w:hint="eastAsia" w:ascii="宋体" w:hAnsi="宋体" w:cs="宋体"/>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color w:val="auto"/>
                <w:kern w:val="0"/>
                <w:sz w:val="18"/>
                <w:szCs w:val="18"/>
                <w:highlight w:val="none"/>
              </w:rPr>
              <w:t>本项目系统集成服务包含硬件利旧、系统部署、联调等综合事务，包括但不限于线缆敷设与连接、设备上架安装、设备搬运及就位等保测评配合等相关工作。投标人提供项目实施配套线缆、线材、</w:t>
            </w:r>
            <w:r>
              <w:rPr>
                <w:rFonts w:hint="eastAsia" w:ascii="宋体" w:hAnsi="宋体" w:cs="宋体"/>
                <w:color w:val="auto"/>
                <w:kern w:val="0"/>
                <w:sz w:val="18"/>
                <w:szCs w:val="18"/>
                <w:highlight w:val="none"/>
                <w:lang w:val="en-US" w:eastAsia="zh-CN"/>
              </w:rPr>
              <w:t>配套对应云管理授权的相关服务器</w:t>
            </w:r>
            <w:r>
              <w:rPr>
                <w:rFonts w:hint="eastAsia" w:ascii="宋体" w:hAnsi="宋体" w:cs="宋体"/>
                <w:color w:val="auto"/>
                <w:kern w:val="0"/>
                <w:sz w:val="18"/>
                <w:szCs w:val="18"/>
                <w:highlight w:val="none"/>
              </w:rPr>
              <w:t>网卡、光模块</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以及运营工作所必需的投屏设备（2台，≥100英寸）及其辅材、满足不少于30人的工位</w:t>
            </w:r>
            <w:r>
              <w:rPr>
                <w:rFonts w:hint="eastAsia" w:ascii="宋体" w:hAnsi="宋体" w:cs="宋体"/>
                <w:color w:val="auto"/>
                <w:kern w:val="0"/>
                <w:sz w:val="18"/>
                <w:szCs w:val="18"/>
                <w:highlight w:val="none"/>
              </w:rPr>
              <w:t>等所需的各类辅材，应确保各类硬件设备（含利旧设备）在集成过程中功能完好、兼容稳定，完成系统整体联调并投入使用，配合完成网络安全等级保护测评所需的部署与文档支持工作。</w:t>
            </w:r>
          </w:p>
        </w:tc>
        <w:tc>
          <w:tcPr>
            <w:tcW w:w="145" w:type="pct"/>
            <w:tcBorders>
              <w:top w:val="nil"/>
              <w:left w:val="nil"/>
              <w:bottom w:val="single" w:color="auto" w:sz="4" w:space="0"/>
              <w:right w:val="single" w:color="auto" w:sz="4" w:space="0"/>
            </w:tcBorders>
            <w:noWrap/>
            <w:vAlign w:val="center"/>
          </w:tcPr>
          <w:p w14:paraId="40939E2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208" w:type="pct"/>
            <w:tcBorders>
              <w:top w:val="nil"/>
              <w:left w:val="nil"/>
              <w:bottom w:val="single" w:color="auto" w:sz="4" w:space="0"/>
              <w:right w:val="single" w:color="auto" w:sz="4" w:space="0"/>
            </w:tcBorders>
            <w:noWrap/>
            <w:vAlign w:val="center"/>
          </w:tcPr>
          <w:p w14:paraId="0DC7925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w:t>
            </w:r>
          </w:p>
        </w:tc>
      </w:tr>
      <w:tr w14:paraId="4DD3A7E2">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0FF3D2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商务要求表</w:t>
            </w:r>
          </w:p>
        </w:tc>
      </w:tr>
      <w:tr w14:paraId="52865A37">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1F8704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规范标准</w:t>
            </w:r>
          </w:p>
        </w:tc>
        <w:tc>
          <w:tcPr>
            <w:tcW w:w="4581" w:type="pct"/>
            <w:gridSpan w:val="5"/>
            <w:tcBorders>
              <w:top w:val="single" w:color="auto" w:sz="4" w:space="0"/>
              <w:left w:val="nil"/>
              <w:bottom w:val="single" w:color="auto" w:sz="4" w:space="0"/>
              <w:right w:val="single" w:color="auto" w:sz="4" w:space="0"/>
            </w:tcBorders>
            <w:vAlign w:val="center"/>
          </w:tcPr>
          <w:p w14:paraId="1B6198A5">
            <w:pPr>
              <w:widowControl/>
              <w:jc w:val="center"/>
              <w:rPr>
                <w:rFonts w:hint="eastAsia" w:ascii="宋体" w:hAnsi="宋体" w:cs="宋体"/>
                <w:color w:val="auto"/>
                <w:kern w:val="0"/>
                <w:sz w:val="18"/>
                <w:szCs w:val="18"/>
                <w:highlight w:val="none"/>
              </w:rPr>
            </w:pPr>
            <w:r>
              <w:rPr>
                <w:rFonts w:hint="eastAsia" w:ascii="宋体" w:hAnsi="宋体" w:cs="Arial"/>
                <w:color w:val="auto"/>
                <w:sz w:val="18"/>
                <w:szCs w:val="18"/>
                <w:highlight w:val="none"/>
              </w:rPr>
              <w:t>采购标的需执行的国家标准、行业标准、地方标准或者其他标准、规范。</w:t>
            </w:r>
          </w:p>
        </w:tc>
      </w:tr>
      <w:tr w14:paraId="754C2EC0">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66CE62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b/>
                <w:bCs/>
                <w:color w:val="auto"/>
                <w:kern w:val="0"/>
                <w:sz w:val="18"/>
                <w:szCs w:val="18"/>
                <w:highlight w:val="none"/>
                <w:lang w:val="en-US" w:eastAsia="zh-CN"/>
              </w:rPr>
              <w:t>建设期、运营服务期时间及地点</w:t>
            </w:r>
          </w:p>
        </w:tc>
        <w:tc>
          <w:tcPr>
            <w:tcW w:w="4581" w:type="pct"/>
            <w:gridSpan w:val="5"/>
            <w:tcBorders>
              <w:top w:val="single" w:color="auto" w:sz="4" w:space="0"/>
              <w:left w:val="nil"/>
              <w:bottom w:val="single" w:color="auto" w:sz="4" w:space="0"/>
              <w:right w:val="single" w:color="auto" w:sz="4" w:space="0"/>
            </w:tcBorders>
            <w:vAlign w:val="center"/>
          </w:tcPr>
          <w:p w14:paraId="401A727A">
            <w:pPr>
              <w:tabs>
                <w:tab w:val="left" w:pos="180"/>
                <w:tab w:val="left" w:pos="1620"/>
              </w:tabs>
              <w:spacing w:line="240" w:lineRule="auto"/>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1.建设期</w:t>
            </w:r>
          </w:p>
          <w:p w14:paraId="169C4BF5">
            <w:pPr>
              <w:pStyle w:val="2"/>
              <w:spacing w:before="0" w:after="0"/>
              <w:ind w:firstLine="0" w:firstLineChars="0"/>
              <w:rPr>
                <w:rFonts w:hint="default" w:eastAsia="宋体"/>
                <w:highlight w:val="none"/>
                <w:lang w:val="en-US" w:eastAsia="zh-CN"/>
              </w:rPr>
            </w:pPr>
            <w:r>
              <w:rPr>
                <w:rFonts w:hint="eastAsia" w:ascii="宋体" w:hAnsi="宋体"/>
                <w:color w:val="auto"/>
                <w:sz w:val="18"/>
                <w:szCs w:val="18"/>
                <w:highlight w:val="none"/>
                <w:lang w:val="en-US" w:eastAsia="zh-CN"/>
              </w:rPr>
              <w:t>交付时间：中标人应在采购合同签订后16个月内交付全部货物（软硬件平台）并完成安装调试，并确保项目整体完工，并通过竣工验收。地点：</w:t>
            </w:r>
            <w:r>
              <w:rPr>
                <w:rFonts w:hint="eastAsia" w:ascii="宋体" w:hAnsi="宋体" w:cs="宋体"/>
                <w:color w:val="auto"/>
                <w:kern w:val="0"/>
                <w:sz w:val="18"/>
                <w:szCs w:val="18"/>
                <w:highlight w:val="none"/>
              </w:rPr>
              <w:t>广西南宁市（采购人指定地点）</w:t>
            </w:r>
            <w:r>
              <w:rPr>
                <w:rFonts w:hint="eastAsia" w:ascii="宋体" w:hAnsi="宋体"/>
                <w:color w:val="auto"/>
                <w:sz w:val="18"/>
                <w:szCs w:val="18"/>
                <w:highlight w:val="none"/>
                <w:lang w:val="en-US" w:eastAsia="zh-CN"/>
              </w:rPr>
              <w:t>。</w:t>
            </w:r>
          </w:p>
          <w:p w14:paraId="553EF23B">
            <w:pPr>
              <w:tabs>
                <w:tab w:val="left" w:pos="180"/>
                <w:tab w:val="left" w:pos="1620"/>
              </w:tabs>
              <w:spacing w:line="240" w:lineRule="auto"/>
              <w:jc w:val="left"/>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2.运营服务期</w:t>
            </w:r>
          </w:p>
          <w:p w14:paraId="59E80805">
            <w:pPr>
              <w:tabs>
                <w:tab w:val="left" w:pos="180"/>
                <w:tab w:val="left" w:pos="1620"/>
              </w:tabs>
              <w:spacing w:line="240" w:lineRule="auto"/>
              <w:jc w:val="left"/>
              <w:rPr>
                <w:rFonts w:hint="eastAsia" w:ascii="宋体" w:hAnsi="宋体" w:cs="宋体"/>
                <w:color w:val="auto"/>
                <w:kern w:val="0"/>
                <w:sz w:val="18"/>
                <w:szCs w:val="18"/>
                <w:highlight w:val="none"/>
              </w:rPr>
            </w:pPr>
            <w:r>
              <w:rPr>
                <w:rFonts w:hint="eastAsia" w:ascii="宋体" w:hAnsi="宋体"/>
                <w:color w:val="auto"/>
                <w:sz w:val="18"/>
                <w:szCs w:val="18"/>
                <w:highlight w:val="none"/>
              </w:rPr>
              <w:t>交付时间：项目整体完工且通过竣工验收之日起进入运营期，为期3年。交付地点：</w:t>
            </w:r>
            <w:r>
              <w:rPr>
                <w:rFonts w:hint="eastAsia" w:ascii="宋体" w:hAnsi="宋体" w:cs="宋体"/>
                <w:color w:val="auto"/>
                <w:kern w:val="0"/>
                <w:sz w:val="18"/>
                <w:szCs w:val="18"/>
                <w:highlight w:val="none"/>
              </w:rPr>
              <w:t>广西南宁市（采购人指定地点）</w:t>
            </w:r>
            <w:r>
              <w:rPr>
                <w:rFonts w:hint="eastAsia" w:ascii="宋体" w:hAnsi="宋体"/>
                <w:color w:val="auto"/>
                <w:sz w:val="18"/>
                <w:szCs w:val="18"/>
                <w:highlight w:val="none"/>
              </w:rPr>
              <w:t>。</w:t>
            </w:r>
          </w:p>
        </w:tc>
      </w:tr>
      <w:tr w14:paraId="7099AC5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F58F9A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color w:val="auto"/>
                <w:kern w:val="0"/>
                <w:sz w:val="18"/>
                <w:szCs w:val="18"/>
                <w:highlight w:val="none"/>
              </w:rPr>
              <w:t>质保期</w:t>
            </w:r>
          </w:p>
        </w:tc>
        <w:tc>
          <w:tcPr>
            <w:tcW w:w="4581" w:type="pct"/>
            <w:gridSpan w:val="5"/>
            <w:tcBorders>
              <w:top w:val="single" w:color="auto" w:sz="4" w:space="0"/>
              <w:left w:val="nil"/>
              <w:bottom w:val="single" w:color="auto" w:sz="4" w:space="0"/>
              <w:right w:val="single" w:color="auto" w:sz="4" w:space="0"/>
            </w:tcBorders>
            <w:noWrap/>
            <w:vAlign w:val="center"/>
          </w:tcPr>
          <w:p w14:paraId="44BFF29E">
            <w:pPr>
              <w:tabs>
                <w:tab w:val="left" w:pos="180"/>
                <w:tab w:val="left" w:pos="1620"/>
              </w:tabs>
              <w:spacing w:line="240" w:lineRule="auto"/>
              <w:jc w:val="left"/>
              <w:rPr>
                <w:rFonts w:hint="eastAsia" w:ascii="宋体" w:hAnsi="宋体" w:cs="宋体"/>
                <w:color w:val="auto"/>
                <w:kern w:val="0"/>
                <w:sz w:val="18"/>
                <w:szCs w:val="18"/>
                <w:highlight w:val="none"/>
              </w:rPr>
            </w:pPr>
            <w:r>
              <w:rPr>
                <w:rFonts w:hint="eastAsia" w:ascii="宋体" w:hAnsi="宋体" w:cs="宋体"/>
                <w:color w:val="auto"/>
                <w:sz w:val="18"/>
                <w:szCs w:val="18"/>
                <w:highlight w:val="none"/>
              </w:rPr>
              <w:t>软硬件免费质保期不少于3年，包含软件升级、病毒特征库/规则库更新（自</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交付全部货物、完成全部服务内容且完成安装调试并通过最终验收之日起计算，“技术参数要求”中有特殊要求的，按特殊要求执行）。</w:t>
            </w:r>
          </w:p>
        </w:tc>
      </w:tr>
      <w:tr w14:paraId="2074B22C">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A204AD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color w:val="auto"/>
                <w:kern w:val="0"/>
                <w:sz w:val="18"/>
                <w:szCs w:val="18"/>
                <w:highlight w:val="none"/>
              </w:rPr>
              <w:t>质量保证</w:t>
            </w:r>
          </w:p>
        </w:tc>
        <w:tc>
          <w:tcPr>
            <w:tcW w:w="4581" w:type="pct"/>
            <w:gridSpan w:val="5"/>
            <w:tcBorders>
              <w:top w:val="single" w:color="auto" w:sz="4" w:space="0"/>
              <w:left w:val="nil"/>
              <w:bottom w:val="single" w:color="auto" w:sz="4" w:space="0"/>
              <w:right w:val="single" w:color="auto" w:sz="4" w:space="0"/>
            </w:tcBorders>
            <w:vAlign w:val="center"/>
          </w:tcPr>
          <w:p w14:paraId="27B6367E">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1.中标人提供的产品必须是具备厂家合法渠道的全新正品，属于国家规定“三包”范围的，其质量保证期不得低于“三包”规定。中标人承诺质量保证期优于国家“三包”规定的，或优于招标文件规定的，按中标人实际承诺执行。</w:t>
            </w:r>
          </w:p>
          <w:p w14:paraId="2CA5E935">
            <w:pPr>
              <w:widowControl/>
              <w:textAlignment w:val="center"/>
              <w:rPr>
                <w:rFonts w:hint="eastAsia" w:ascii="宋体" w:hAnsi="宋体" w:cs="宋体"/>
                <w:color w:val="auto"/>
                <w:kern w:val="0"/>
                <w:sz w:val="18"/>
                <w:szCs w:val="18"/>
                <w:highlight w:val="none"/>
              </w:rPr>
            </w:pPr>
            <w:r>
              <w:rPr>
                <w:rFonts w:hint="eastAsia" w:ascii="宋体" w:hAnsi="宋体" w:cs="宋体"/>
                <w:color w:val="auto"/>
                <w:sz w:val="18"/>
                <w:szCs w:val="18"/>
                <w:highlight w:val="none"/>
              </w:rPr>
              <w:t>2.保修期内出现故障，需</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售后服务要求”规定时间内</w:t>
            </w:r>
            <w:r>
              <w:rPr>
                <w:rFonts w:hint="eastAsia" w:ascii="宋体" w:hAnsi="宋体" w:cs="宋体"/>
                <w:color w:val="auto"/>
                <w:sz w:val="18"/>
                <w:szCs w:val="18"/>
                <w:highlight w:val="none"/>
              </w:rPr>
              <w:t>派出技术工程师到达现场处理故障的，中标人承担</w:t>
            </w:r>
            <w:r>
              <w:rPr>
                <w:rFonts w:hint="eastAsia" w:ascii="宋体" w:hAnsi="宋体" w:cs="宋体"/>
                <w:color w:val="auto"/>
                <w:sz w:val="18"/>
                <w:szCs w:val="18"/>
                <w:highlight w:val="none"/>
                <w:lang w:val="en-US" w:eastAsia="zh-CN"/>
              </w:rPr>
              <w:t>由此产生的</w:t>
            </w:r>
            <w:r>
              <w:rPr>
                <w:rFonts w:hint="eastAsia" w:ascii="宋体" w:hAnsi="宋体" w:cs="宋体"/>
                <w:color w:val="auto"/>
                <w:sz w:val="18"/>
                <w:szCs w:val="18"/>
                <w:highlight w:val="none"/>
              </w:rPr>
              <w:t>一切费用（请于投标文件中提供技术援助电话和售后服务电话）。</w:t>
            </w:r>
          </w:p>
        </w:tc>
      </w:tr>
      <w:tr w14:paraId="0555B6F6">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4FF21F8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color w:val="auto"/>
                <w:kern w:val="0"/>
                <w:sz w:val="18"/>
                <w:szCs w:val="18"/>
                <w:highlight w:val="none"/>
              </w:rPr>
              <w:t>售后服务要求</w:t>
            </w:r>
          </w:p>
        </w:tc>
        <w:tc>
          <w:tcPr>
            <w:tcW w:w="4581" w:type="pct"/>
            <w:gridSpan w:val="5"/>
            <w:tcBorders>
              <w:top w:val="single" w:color="auto" w:sz="4" w:space="0"/>
              <w:left w:val="nil"/>
              <w:bottom w:val="single" w:color="auto" w:sz="4" w:space="0"/>
              <w:right w:val="single" w:color="auto" w:sz="4" w:space="0"/>
            </w:tcBorders>
            <w:vAlign w:val="center"/>
          </w:tcPr>
          <w:p w14:paraId="14F69531">
            <w:pPr>
              <w:tabs>
                <w:tab w:val="left" w:pos="180"/>
                <w:tab w:val="left" w:pos="1620"/>
              </w:tabs>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1.</w:t>
            </w:r>
            <w:r>
              <w:rPr>
                <w:rFonts w:hint="eastAsia" w:ascii="宋体" w:hAnsi="宋体"/>
                <w:color w:val="auto"/>
                <w:sz w:val="18"/>
                <w:szCs w:val="18"/>
                <w:highlight w:val="none"/>
                <w:lang w:val="en-US" w:eastAsia="zh-CN"/>
              </w:rPr>
              <w:t>中</w:t>
            </w:r>
            <w:r>
              <w:rPr>
                <w:rFonts w:hint="eastAsia" w:ascii="宋体" w:hAnsi="宋体"/>
                <w:color w:val="auto"/>
                <w:sz w:val="18"/>
                <w:szCs w:val="18"/>
                <w:highlight w:val="none"/>
              </w:rPr>
              <w:t>标人须承诺从系统上线开始，一直到</w:t>
            </w:r>
            <w:r>
              <w:rPr>
                <w:rFonts w:hint="eastAsia" w:ascii="宋体" w:hAnsi="宋体"/>
                <w:color w:val="auto"/>
                <w:sz w:val="18"/>
                <w:szCs w:val="18"/>
                <w:highlight w:val="none"/>
                <w:lang w:val="en-US" w:eastAsia="zh-CN"/>
              </w:rPr>
              <w:t>运营服务期结束</w:t>
            </w:r>
            <w:r>
              <w:rPr>
                <w:rFonts w:hint="eastAsia" w:ascii="宋体" w:hAnsi="宋体"/>
                <w:color w:val="auto"/>
                <w:sz w:val="18"/>
                <w:szCs w:val="18"/>
                <w:highlight w:val="none"/>
              </w:rPr>
              <w:t>，对系统软件的安全、可靠、高效运行维护，须配置</w:t>
            </w:r>
            <w:r>
              <w:rPr>
                <w:rFonts w:hint="eastAsia" w:ascii="宋体" w:hAnsi="宋体"/>
                <w:color w:val="auto"/>
                <w:sz w:val="18"/>
                <w:szCs w:val="18"/>
                <w:highlight w:val="none"/>
                <w:u w:val="single"/>
              </w:rPr>
              <w:t>18</w:t>
            </w:r>
            <w:r>
              <w:rPr>
                <w:rFonts w:hint="eastAsia" w:ascii="宋体" w:hAnsi="宋体"/>
                <w:color w:val="auto"/>
                <w:sz w:val="18"/>
                <w:szCs w:val="18"/>
                <w:highlight w:val="none"/>
              </w:rPr>
              <w:t>名以上驻点参与本项目开发的人员，并成立专门工作小组为采购人提供长期良好的本地售后服务，解决遇到的问题；</w:t>
            </w:r>
          </w:p>
          <w:p w14:paraId="7EC6B177">
            <w:pPr>
              <w:tabs>
                <w:tab w:val="left" w:pos="180"/>
                <w:tab w:val="left" w:pos="1620"/>
              </w:tabs>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color w:val="auto"/>
                <w:sz w:val="18"/>
                <w:szCs w:val="18"/>
                <w:highlight w:val="none"/>
                <w:lang w:val="en-US" w:eastAsia="zh-CN"/>
              </w:rPr>
              <w:t>中</w:t>
            </w:r>
            <w:r>
              <w:rPr>
                <w:rFonts w:hint="eastAsia" w:ascii="宋体" w:hAnsi="宋体"/>
                <w:color w:val="auto"/>
                <w:sz w:val="18"/>
                <w:szCs w:val="18"/>
                <w:highlight w:val="none"/>
              </w:rPr>
              <w:t>标人须每年对运营人员开展背景审查、提供不少于两次专业培训及一次安全保密教育，并实施年度综合考核，考核结果作为人员管理依据。</w:t>
            </w:r>
          </w:p>
          <w:p w14:paraId="05FDE712">
            <w:pPr>
              <w:tabs>
                <w:tab w:val="left" w:pos="180"/>
                <w:tab w:val="left" w:pos="1620"/>
              </w:tabs>
              <w:spacing w:line="240" w:lineRule="auto"/>
              <w:jc w:val="left"/>
              <w:rPr>
                <w:rFonts w:hint="eastAsia" w:ascii="宋体" w:hAnsi="宋体" w:cs="宋体"/>
                <w:color w:val="auto"/>
                <w:sz w:val="18"/>
                <w:szCs w:val="18"/>
                <w:highlight w:val="none"/>
              </w:rPr>
            </w:pPr>
            <w:r>
              <w:rPr>
                <w:rFonts w:hint="eastAsia" w:ascii="宋体" w:hAnsi="宋体"/>
                <w:color w:val="auto"/>
                <w:sz w:val="18"/>
                <w:szCs w:val="18"/>
                <w:highlight w:val="none"/>
              </w:rPr>
              <w:t>3.</w:t>
            </w:r>
            <w:r>
              <w:rPr>
                <w:rFonts w:hint="eastAsia" w:ascii="宋体" w:hAnsi="宋体" w:cs="宋体"/>
                <w:color w:val="auto"/>
                <w:sz w:val="18"/>
                <w:szCs w:val="18"/>
                <w:highlight w:val="none"/>
              </w:rPr>
              <w:t>所有保修服务方式均为中标人或设备生产厂家上门保修，即由中标人或中标设备生产厂家派员到采购人使用现场维护。由此产生的一切费用均由中标人承担。</w:t>
            </w:r>
          </w:p>
          <w:p w14:paraId="7167AFB2">
            <w:pPr>
              <w:tabs>
                <w:tab w:val="left" w:pos="180"/>
                <w:tab w:val="left" w:pos="1620"/>
              </w:tabs>
              <w:spacing w:line="24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4.中标人除承担运输、安装、调试、验收与培训等义务外，还将为采购</w:t>
            </w:r>
            <w:r>
              <w:rPr>
                <w:rFonts w:hint="eastAsia" w:ascii="宋体" w:hAnsi="宋体" w:cs="宋体"/>
                <w:color w:val="auto"/>
                <w:sz w:val="18"/>
                <w:szCs w:val="18"/>
                <w:highlight w:val="none"/>
                <w:lang w:val="en-US" w:eastAsia="zh-CN"/>
              </w:rPr>
              <w:t>人</w:t>
            </w:r>
            <w:r>
              <w:rPr>
                <w:rFonts w:hint="eastAsia" w:ascii="宋体" w:hAnsi="宋体" w:cs="宋体"/>
                <w:color w:val="auto"/>
                <w:sz w:val="18"/>
                <w:szCs w:val="18"/>
                <w:highlight w:val="none"/>
              </w:rPr>
              <w:t>提供技术支持，包括保修期外的修理及技术指导、配件供应等。</w:t>
            </w:r>
          </w:p>
          <w:p w14:paraId="26D193A4">
            <w:pPr>
              <w:tabs>
                <w:tab w:val="left" w:pos="180"/>
                <w:tab w:val="left" w:pos="1620"/>
              </w:tabs>
              <w:spacing w:line="24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5.在</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要求的时间内，免费送货上门，免费安装调试合格，派出有相应资格的专职工程师到达现场负责设备安装调试及对设备进行系统集成。</w:t>
            </w:r>
          </w:p>
          <w:p w14:paraId="397A7B80">
            <w:pPr>
              <w:tabs>
                <w:tab w:val="left" w:pos="180"/>
                <w:tab w:val="left" w:pos="1620"/>
              </w:tabs>
              <w:spacing w:line="24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6.质保期内设备因特殊情况无法修复的，</w:t>
            </w:r>
            <w:r>
              <w:rPr>
                <w:rFonts w:hint="eastAsia" w:ascii="宋体" w:hAnsi="宋体"/>
                <w:color w:val="auto"/>
                <w:sz w:val="18"/>
                <w:szCs w:val="18"/>
                <w:highlight w:val="none"/>
                <w:lang w:val="en-US" w:eastAsia="zh-CN"/>
              </w:rPr>
              <w:t>中</w:t>
            </w:r>
            <w:r>
              <w:rPr>
                <w:rFonts w:hint="eastAsia" w:ascii="宋体" w:hAnsi="宋体" w:cs="宋体"/>
                <w:color w:val="auto"/>
                <w:sz w:val="18"/>
                <w:szCs w:val="18"/>
                <w:highlight w:val="none"/>
              </w:rPr>
              <w:t>标人在接到故障报修电话通知2个日历日内无条件更换新设备或提供代用设备，或采取使设备可正常运转的措施。</w:t>
            </w:r>
          </w:p>
          <w:p w14:paraId="6422AB22">
            <w:pPr>
              <w:tabs>
                <w:tab w:val="left" w:pos="180"/>
                <w:tab w:val="left" w:pos="1620"/>
              </w:tabs>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7.</w:t>
            </w:r>
            <w:r>
              <w:rPr>
                <w:rFonts w:hint="eastAsia" w:ascii="宋体" w:hAnsi="宋体"/>
                <w:color w:val="auto"/>
                <w:sz w:val="18"/>
                <w:szCs w:val="18"/>
                <w:highlight w:val="none"/>
                <w:lang w:val="en-US" w:eastAsia="zh-CN"/>
              </w:rPr>
              <w:t>中</w:t>
            </w:r>
            <w:r>
              <w:rPr>
                <w:rFonts w:hint="eastAsia" w:ascii="宋体" w:hAnsi="宋体"/>
                <w:color w:val="auto"/>
                <w:sz w:val="18"/>
                <w:szCs w:val="18"/>
                <w:highlight w:val="none"/>
              </w:rPr>
              <w:t>标人必须明确承诺达到如下服务响应要求:7*24小时电话或电子邮件服务，1小时内做出明确响应和安排，2小时内做出故障诊断报告。如需现场服务的，具有解决故障能力的工程师应在2小时内到达现场，</w:t>
            </w:r>
            <w:r>
              <w:rPr>
                <w:rFonts w:hint="eastAsia" w:ascii="宋体" w:hAnsi="宋体" w:cs="宋体"/>
                <w:color w:val="auto"/>
                <w:sz w:val="18"/>
                <w:szCs w:val="18"/>
                <w:highlight w:val="none"/>
              </w:rPr>
              <w:t>8小时内恢复正常使用，若不能修复则应在24小时内提出合理应对方案</w:t>
            </w:r>
            <w:r>
              <w:rPr>
                <w:rFonts w:hint="eastAsia" w:ascii="宋体" w:hAnsi="宋体"/>
                <w:color w:val="auto"/>
                <w:sz w:val="18"/>
                <w:szCs w:val="18"/>
                <w:highlight w:val="none"/>
              </w:rPr>
              <w:t>。</w:t>
            </w:r>
          </w:p>
          <w:p w14:paraId="68C3085B">
            <w:pPr>
              <w:tabs>
                <w:tab w:val="left" w:pos="180"/>
                <w:tab w:val="left" w:pos="1620"/>
              </w:tabs>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8.免费维护期满后，若采购人要求，中标</w:t>
            </w:r>
            <w:r>
              <w:rPr>
                <w:rFonts w:hint="eastAsia" w:ascii="宋体" w:hAnsi="宋体"/>
                <w:color w:val="auto"/>
                <w:sz w:val="18"/>
                <w:szCs w:val="18"/>
                <w:highlight w:val="none"/>
                <w:lang w:val="en-US" w:eastAsia="zh-CN"/>
              </w:rPr>
              <w:t>人</w:t>
            </w:r>
            <w:r>
              <w:rPr>
                <w:rFonts w:hint="eastAsia" w:ascii="宋体" w:hAnsi="宋体"/>
                <w:color w:val="auto"/>
                <w:sz w:val="18"/>
                <w:szCs w:val="18"/>
                <w:highlight w:val="none"/>
              </w:rPr>
              <w:t>应当继续负责系统的维护服务工作。维护服务的费用参照国家有关标准，由双方协商确定。</w:t>
            </w:r>
          </w:p>
          <w:p w14:paraId="6B08D299">
            <w:pPr>
              <w:tabs>
                <w:tab w:val="left" w:pos="180"/>
                <w:tab w:val="left" w:pos="1620"/>
              </w:tabs>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9.知识产权：采购人在中华人民共和国境内使用中标</w:t>
            </w:r>
            <w:r>
              <w:rPr>
                <w:rFonts w:hint="eastAsia" w:ascii="宋体" w:hAnsi="宋体"/>
                <w:color w:val="auto"/>
                <w:sz w:val="18"/>
                <w:szCs w:val="18"/>
                <w:highlight w:val="none"/>
                <w:lang w:val="en-US" w:eastAsia="zh-CN"/>
              </w:rPr>
              <w:t>人</w:t>
            </w:r>
            <w:r>
              <w:rPr>
                <w:rFonts w:hint="eastAsia" w:ascii="宋体" w:hAnsi="宋体"/>
                <w:color w:val="auto"/>
                <w:sz w:val="18"/>
                <w:szCs w:val="18"/>
                <w:highlight w:val="none"/>
              </w:rPr>
              <w:t>提供的产品及服务时免受第三方提出的侵犯其专利权或其</w:t>
            </w:r>
            <w:r>
              <w:rPr>
                <w:rFonts w:hint="eastAsia" w:ascii="宋体" w:hAnsi="宋体"/>
                <w:color w:val="auto"/>
                <w:sz w:val="18"/>
                <w:szCs w:val="18"/>
                <w:highlight w:val="none"/>
                <w:lang w:val="en-US" w:eastAsia="zh-CN"/>
              </w:rPr>
              <w:t>他</w:t>
            </w:r>
            <w:r>
              <w:rPr>
                <w:rFonts w:hint="eastAsia" w:ascii="宋体" w:hAnsi="宋体"/>
                <w:color w:val="auto"/>
                <w:sz w:val="18"/>
                <w:szCs w:val="18"/>
                <w:highlight w:val="none"/>
              </w:rPr>
              <w:t>知识产权的起诉。如果第三方提出侵权指控，中标</w:t>
            </w:r>
            <w:r>
              <w:rPr>
                <w:rFonts w:hint="eastAsia" w:ascii="宋体" w:hAnsi="宋体"/>
                <w:color w:val="auto"/>
                <w:sz w:val="18"/>
                <w:szCs w:val="18"/>
                <w:highlight w:val="none"/>
                <w:lang w:val="en-US" w:eastAsia="zh-CN"/>
              </w:rPr>
              <w:t>人</w:t>
            </w:r>
            <w:r>
              <w:rPr>
                <w:rFonts w:hint="eastAsia" w:ascii="宋体" w:hAnsi="宋体"/>
                <w:color w:val="auto"/>
                <w:sz w:val="18"/>
                <w:szCs w:val="18"/>
                <w:highlight w:val="none"/>
              </w:rPr>
              <w:t>应承担由此而引起的一切法律责任和费用。</w:t>
            </w:r>
          </w:p>
          <w:p w14:paraId="73E677CF">
            <w:pPr>
              <w:widowControl/>
              <w:textAlignment w:val="center"/>
              <w:rPr>
                <w:rFonts w:hint="eastAsia" w:ascii="宋体" w:hAnsi="宋体" w:cs="宋体"/>
                <w:color w:val="auto"/>
                <w:sz w:val="18"/>
                <w:szCs w:val="18"/>
                <w:highlight w:val="none"/>
              </w:rPr>
            </w:pPr>
            <w:r>
              <w:rPr>
                <w:rFonts w:hint="eastAsia" w:ascii="宋体" w:hAnsi="宋体"/>
                <w:color w:val="auto"/>
                <w:sz w:val="18"/>
                <w:szCs w:val="18"/>
                <w:highlight w:val="none"/>
              </w:rPr>
              <w:t>10.</w:t>
            </w:r>
            <w:r>
              <w:rPr>
                <w:rFonts w:hint="eastAsia" w:ascii="宋体" w:hAnsi="宋体" w:cs="宋体"/>
                <w:color w:val="auto"/>
                <w:sz w:val="18"/>
                <w:szCs w:val="18"/>
                <w:highlight w:val="none"/>
              </w:rPr>
              <w:t>中标人必须提供相应的应用软件技术、系统操作、设备操作等方面的培训。中标人必须为所有被培训人员提供文字资料和讲义等培训教材，培训教材必须以印刷品形式提供，费用由中标人支付。所有的资料必须是中文书写。如采购人对培训课程不满意时，采购人可要求中标人重新安排培训，并承担全部费用，所有服务要求包含在总价中。</w:t>
            </w:r>
          </w:p>
          <w:p w14:paraId="70590A12">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11.</w:t>
            </w:r>
            <w:r>
              <w:rPr>
                <w:rFonts w:hint="eastAsia" w:ascii="宋体" w:hAnsi="宋体" w:cs="宋体"/>
                <w:color w:val="auto"/>
                <w:sz w:val="18"/>
                <w:szCs w:val="18"/>
                <w:highlight w:val="none"/>
                <w:lang w:val="en-US" w:eastAsia="zh-CN"/>
              </w:rPr>
              <w:t>中</w:t>
            </w:r>
            <w:r>
              <w:rPr>
                <w:rFonts w:hint="eastAsia" w:ascii="宋体" w:hAnsi="宋体" w:cs="宋体"/>
                <w:color w:val="auto"/>
                <w:sz w:val="18"/>
                <w:szCs w:val="18"/>
                <w:highlight w:val="none"/>
              </w:rPr>
              <w:t>标人负责处理解决货物</w:t>
            </w:r>
            <w:r>
              <w:rPr>
                <w:rFonts w:hint="eastAsia" w:ascii="宋体" w:hAnsi="宋体" w:cs="宋体"/>
                <w:color w:val="auto"/>
                <w:sz w:val="18"/>
                <w:szCs w:val="18"/>
                <w:highlight w:val="none"/>
                <w:lang w:val="en-US" w:eastAsia="zh-CN"/>
              </w:rPr>
              <w:t>或服务</w:t>
            </w:r>
            <w:r>
              <w:rPr>
                <w:rFonts w:hint="eastAsia" w:ascii="宋体" w:hAnsi="宋体" w:cs="宋体"/>
                <w:color w:val="auto"/>
                <w:sz w:val="18"/>
                <w:szCs w:val="18"/>
                <w:highlight w:val="none"/>
              </w:rPr>
              <w:t>出现的质量及安全问题并承担一切费用，所有非故意性损坏以及正常使用范围内造成的损坏均要免费维修，因人为因素出现的故障不在免费保修范围内，但</w:t>
            </w:r>
            <w:r>
              <w:rPr>
                <w:rFonts w:hint="eastAsia" w:ascii="宋体" w:hAnsi="宋体" w:cs="宋体"/>
                <w:color w:val="auto"/>
                <w:sz w:val="18"/>
                <w:szCs w:val="18"/>
                <w:highlight w:val="none"/>
                <w:lang w:val="en-US" w:eastAsia="zh-CN"/>
              </w:rPr>
              <w:t>中</w:t>
            </w:r>
            <w:r>
              <w:rPr>
                <w:rFonts w:hint="eastAsia" w:ascii="宋体" w:hAnsi="宋体" w:cs="宋体"/>
                <w:color w:val="auto"/>
                <w:sz w:val="18"/>
                <w:szCs w:val="18"/>
                <w:highlight w:val="none"/>
              </w:rPr>
              <w:t>标人也要积极帮助采购人修理，并提供优惠价格的配件和服务。</w:t>
            </w:r>
          </w:p>
          <w:p w14:paraId="1AEC69A4">
            <w:pPr>
              <w:widowControl/>
              <w:textAlignment w:val="center"/>
              <w:rPr>
                <w:rFonts w:hint="eastAsia" w:ascii="宋体" w:hAnsi="宋体" w:cs="宋体"/>
                <w:color w:val="auto"/>
                <w:kern w:val="0"/>
                <w:sz w:val="18"/>
                <w:szCs w:val="18"/>
                <w:highlight w:val="none"/>
              </w:rPr>
            </w:pPr>
            <w:r>
              <w:rPr>
                <w:rFonts w:hint="eastAsia" w:ascii="宋体" w:hAnsi="宋体" w:cs="宋体"/>
                <w:color w:val="auto"/>
                <w:sz w:val="18"/>
                <w:szCs w:val="18"/>
                <w:highlight w:val="none"/>
              </w:rPr>
              <w:t>12.针对系统运行过程中出现的网络堵塞、不明原因网络故障等复杂问题，</w:t>
            </w:r>
            <w:r>
              <w:rPr>
                <w:rFonts w:hint="eastAsia" w:ascii="宋体" w:hAnsi="宋体" w:cs="宋体"/>
                <w:color w:val="auto"/>
                <w:sz w:val="18"/>
                <w:szCs w:val="18"/>
                <w:highlight w:val="none"/>
                <w:lang w:val="en-US" w:eastAsia="zh-CN"/>
              </w:rPr>
              <w:t>中</w:t>
            </w:r>
            <w:r>
              <w:rPr>
                <w:rFonts w:hint="eastAsia" w:ascii="宋体" w:hAnsi="宋体" w:cs="宋体"/>
                <w:color w:val="auto"/>
                <w:sz w:val="18"/>
                <w:szCs w:val="18"/>
                <w:highlight w:val="none"/>
              </w:rPr>
              <w:t>标人须应采购方要求，派遣原厂工程师到现场协助采购方进行深度排查与诊断，处理问题。</w:t>
            </w:r>
          </w:p>
        </w:tc>
      </w:tr>
      <w:tr w14:paraId="44049FE3">
        <w:tblPrEx>
          <w:tblCellMar>
            <w:top w:w="0" w:type="dxa"/>
            <w:left w:w="108" w:type="dxa"/>
            <w:bottom w:w="0" w:type="dxa"/>
            <w:right w:w="108" w:type="dxa"/>
          </w:tblCellMar>
        </w:tblPrEx>
        <w:trPr>
          <w:trHeight w:val="68" w:hRule="atLeast"/>
        </w:trPr>
        <w:tc>
          <w:tcPr>
            <w:tcW w:w="418" w:type="pct"/>
            <w:vMerge w:val="restart"/>
            <w:tcBorders>
              <w:top w:val="nil"/>
              <w:left w:val="single" w:color="auto" w:sz="4" w:space="0"/>
              <w:right w:val="single" w:color="auto" w:sz="4" w:space="0"/>
            </w:tcBorders>
            <w:noWrap/>
            <w:vAlign w:val="center"/>
          </w:tcPr>
          <w:p w14:paraId="07AD406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b w:val="0"/>
                <w:bCs w:val="0"/>
                <w:color w:val="auto"/>
                <w:kern w:val="0"/>
                <w:sz w:val="18"/>
                <w:szCs w:val="18"/>
                <w:highlight w:val="none"/>
              </w:rPr>
              <w:t>服务考核</w:t>
            </w:r>
          </w:p>
        </w:tc>
        <w:tc>
          <w:tcPr>
            <w:tcW w:w="4581" w:type="pct"/>
            <w:gridSpan w:val="5"/>
            <w:tcBorders>
              <w:top w:val="single" w:color="auto" w:sz="4" w:space="0"/>
              <w:left w:val="nil"/>
              <w:bottom w:val="single" w:color="auto" w:sz="4" w:space="0"/>
              <w:right w:val="single" w:color="auto" w:sz="4" w:space="0"/>
            </w:tcBorders>
            <w:vAlign w:val="center"/>
          </w:tcPr>
          <w:p w14:paraId="64C09A93">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1.本项目</w:t>
            </w:r>
            <w:r>
              <w:rPr>
                <w:rFonts w:hint="eastAsia" w:ascii="宋体" w:hAnsi="宋体" w:cs="宋体"/>
                <w:color w:val="auto"/>
                <w:sz w:val="18"/>
                <w:szCs w:val="18"/>
                <w:highlight w:val="none"/>
                <w:lang w:val="en-US" w:eastAsia="zh-CN"/>
              </w:rPr>
              <w:t>通过</w:t>
            </w:r>
            <w:r>
              <w:rPr>
                <w:rFonts w:hint="eastAsia" w:ascii="宋体" w:hAnsi="宋体" w:cs="宋体"/>
                <w:color w:val="auto"/>
                <w:sz w:val="18"/>
                <w:szCs w:val="18"/>
                <w:highlight w:val="none"/>
              </w:rPr>
              <w:t>竣工验收</w:t>
            </w:r>
            <w:r>
              <w:rPr>
                <w:rFonts w:hint="eastAsia" w:ascii="宋体" w:hAnsi="宋体" w:cs="宋体"/>
                <w:color w:val="auto"/>
                <w:sz w:val="18"/>
                <w:szCs w:val="18"/>
                <w:highlight w:val="none"/>
                <w:lang w:val="en-US" w:eastAsia="zh-CN"/>
              </w:rPr>
              <w:t>之日起</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向</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提供本项目3年安全运营及运维服务，服务期间</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需接受</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对服务质量进行考核评估。</w:t>
            </w:r>
          </w:p>
          <w:p w14:paraId="5A91F6EE">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2.安全运营服务考核指标总分100分。</w:t>
            </w:r>
          </w:p>
          <w:p w14:paraId="10DF35EB">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3.</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对照考核指标定期开展自评工作，按</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要求提交考核指标自评情况和自评总结报告，并提供相关佐证材料。</w:t>
            </w:r>
          </w:p>
          <w:p w14:paraId="3BE80620">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4.</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根据服务考核内容，采用年度考核的方式逐项检查</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考核指标完成情况，</w:t>
            </w:r>
            <w:r>
              <w:rPr>
                <w:rFonts w:hint="eastAsia" w:ascii="宋体" w:hAnsi="宋体" w:cs="宋体"/>
                <w:color w:val="auto"/>
                <w:sz w:val="18"/>
                <w:szCs w:val="18"/>
                <w:highlight w:val="none"/>
                <w:lang w:val="en-US" w:eastAsia="zh-CN"/>
              </w:rPr>
              <w:t>参考第三方评价，</w:t>
            </w:r>
            <w:r>
              <w:rPr>
                <w:rFonts w:hint="eastAsia" w:ascii="宋体" w:hAnsi="宋体" w:cs="宋体"/>
                <w:color w:val="auto"/>
                <w:sz w:val="18"/>
                <w:szCs w:val="18"/>
                <w:highlight w:val="none"/>
              </w:rPr>
              <w:t>并进行评定，确定最终考核结果。</w:t>
            </w:r>
          </w:p>
          <w:p w14:paraId="64517AB6">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5.年度最终考核结果通过A、B、C三个等次定级，详见下表:</w:t>
            </w:r>
          </w:p>
        </w:tc>
      </w:tr>
      <w:tr w14:paraId="353046E0">
        <w:tblPrEx>
          <w:tblCellMar>
            <w:top w:w="0" w:type="dxa"/>
            <w:left w:w="108" w:type="dxa"/>
            <w:bottom w:w="0" w:type="dxa"/>
            <w:right w:w="108" w:type="dxa"/>
          </w:tblCellMar>
        </w:tblPrEx>
        <w:trPr>
          <w:trHeight w:val="68" w:hRule="atLeast"/>
        </w:trPr>
        <w:tc>
          <w:tcPr>
            <w:tcW w:w="418" w:type="pct"/>
            <w:vMerge w:val="continue"/>
            <w:tcBorders>
              <w:left w:val="single" w:color="auto" w:sz="4" w:space="0"/>
              <w:right w:val="single" w:color="auto" w:sz="4" w:space="0"/>
            </w:tcBorders>
            <w:noWrap/>
            <w:vAlign w:val="center"/>
          </w:tcPr>
          <w:p w14:paraId="02CE06F5">
            <w:pPr>
              <w:widowControl/>
              <w:textAlignment w:val="center"/>
              <w:rPr>
                <w:color w:val="auto"/>
                <w:highlight w:val="none"/>
              </w:rPr>
            </w:pPr>
          </w:p>
        </w:tc>
        <w:tc>
          <w:tcPr>
            <w:tcW w:w="2442" w:type="pct"/>
            <w:gridSpan w:val="2"/>
            <w:tcBorders>
              <w:top w:val="single" w:color="auto" w:sz="4" w:space="0"/>
              <w:left w:val="nil"/>
              <w:bottom w:val="single" w:color="auto" w:sz="4" w:space="0"/>
              <w:right w:val="single" w:color="auto" w:sz="4" w:space="0"/>
            </w:tcBorders>
          </w:tcPr>
          <w:p w14:paraId="039D1B2E">
            <w:pPr>
              <w:widowControl/>
              <w:jc w:val="left"/>
              <w:rPr>
                <w:color w:val="auto"/>
                <w:sz w:val="18"/>
                <w:szCs w:val="18"/>
                <w:highlight w:val="none"/>
              </w:rPr>
            </w:pPr>
            <w:r>
              <w:rPr>
                <w:rFonts w:hint="eastAsia" w:ascii="宋体" w:hAnsi="宋体"/>
                <w:b/>
                <w:color w:val="auto"/>
                <w:sz w:val="18"/>
                <w:szCs w:val="18"/>
                <w:highlight w:val="none"/>
              </w:rPr>
              <w:t>级别</w:t>
            </w:r>
          </w:p>
        </w:tc>
        <w:tc>
          <w:tcPr>
            <w:tcW w:w="2138" w:type="pct"/>
            <w:gridSpan w:val="3"/>
            <w:tcBorders>
              <w:top w:val="single" w:color="auto" w:sz="4" w:space="0"/>
              <w:left w:val="nil"/>
              <w:bottom w:val="single" w:color="auto" w:sz="4" w:space="0"/>
              <w:right w:val="single" w:color="auto" w:sz="4" w:space="0"/>
            </w:tcBorders>
          </w:tcPr>
          <w:p w14:paraId="4E6DB29A">
            <w:pPr>
              <w:widowControl/>
              <w:jc w:val="left"/>
              <w:rPr>
                <w:rFonts w:hint="eastAsia" w:ascii="宋体" w:hAnsi="宋体" w:cs="宋体"/>
                <w:color w:val="auto"/>
                <w:sz w:val="18"/>
                <w:szCs w:val="18"/>
                <w:highlight w:val="none"/>
              </w:rPr>
            </w:pPr>
            <w:r>
              <w:rPr>
                <w:rFonts w:hint="eastAsia" w:ascii="宋体" w:hAnsi="宋体"/>
                <w:b/>
                <w:color w:val="auto"/>
                <w:sz w:val="18"/>
                <w:szCs w:val="18"/>
                <w:highlight w:val="none"/>
              </w:rPr>
              <w:t>对应实际评估值区间</w:t>
            </w:r>
          </w:p>
        </w:tc>
      </w:tr>
      <w:tr w14:paraId="35FBA4C4">
        <w:tblPrEx>
          <w:tblCellMar>
            <w:top w:w="0" w:type="dxa"/>
            <w:left w:w="108" w:type="dxa"/>
            <w:bottom w:w="0" w:type="dxa"/>
            <w:right w:w="108" w:type="dxa"/>
          </w:tblCellMar>
        </w:tblPrEx>
        <w:trPr>
          <w:trHeight w:val="68" w:hRule="atLeast"/>
        </w:trPr>
        <w:tc>
          <w:tcPr>
            <w:tcW w:w="418" w:type="pct"/>
            <w:vMerge w:val="continue"/>
            <w:tcBorders>
              <w:left w:val="single" w:color="auto" w:sz="4" w:space="0"/>
              <w:right w:val="single" w:color="auto" w:sz="4" w:space="0"/>
            </w:tcBorders>
            <w:noWrap/>
            <w:vAlign w:val="center"/>
          </w:tcPr>
          <w:p w14:paraId="184B96F1">
            <w:pPr>
              <w:widowControl/>
              <w:textAlignment w:val="center"/>
              <w:rPr>
                <w:rFonts w:hint="eastAsia" w:ascii="宋体" w:hAnsi="宋体" w:cs="宋体"/>
                <w:color w:val="auto"/>
                <w:sz w:val="18"/>
                <w:szCs w:val="18"/>
                <w:highlight w:val="none"/>
              </w:rPr>
            </w:pPr>
          </w:p>
        </w:tc>
        <w:tc>
          <w:tcPr>
            <w:tcW w:w="2442" w:type="pct"/>
            <w:gridSpan w:val="2"/>
            <w:tcBorders>
              <w:top w:val="single" w:color="auto" w:sz="4" w:space="0"/>
              <w:left w:val="nil"/>
              <w:bottom w:val="single" w:color="auto" w:sz="4" w:space="0"/>
              <w:right w:val="single" w:color="auto" w:sz="4" w:space="0"/>
            </w:tcBorders>
          </w:tcPr>
          <w:p w14:paraId="304C5DB4">
            <w:pPr>
              <w:widowControl/>
              <w:jc w:val="left"/>
              <w:rPr>
                <w:rFonts w:hint="eastAsia" w:ascii="宋体" w:hAnsi="宋体" w:cs="宋体"/>
                <w:color w:val="auto"/>
                <w:sz w:val="18"/>
                <w:szCs w:val="18"/>
                <w:highlight w:val="none"/>
              </w:rPr>
            </w:pPr>
            <w:r>
              <w:rPr>
                <w:rFonts w:hint="eastAsia" w:ascii="宋体" w:hAnsi="宋体"/>
                <w:color w:val="auto"/>
                <w:sz w:val="18"/>
                <w:szCs w:val="18"/>
                <w:highlight w:val="none"/>
              </w:rPr>
              <w:t>A级</w:t>
            </w:r>
          </w:p>
        </w:tc>
        <w:tc>
          <w:tcPr>
            <w:tcW w:w="2138" w:type="pct"/>
            <w:gridSpan w:val="3"/>
            <w:tcBorders>
              <w:top w:val="single" w:color="auto" w:sz="4" w:space="0"/>
              <w:left w:val="nil"/>
              <w:bottom w:val="single" w:color="auto" w:sz="4" w:space="0"/>
              <w:right w:val="single" w:color="auto" w:sz="4" w:space="0"/>
            </w:tcBorders>
          </w:tcPr>
          <w:p w14:paraId="0399491E">
            <w:pPr>
              <w:widowControl/>
              <w:jc w:val="left"/>
              <w:rPr>
                <w:rFonts w:hint="eastAsia" w:ascii="宋体" w:hAnsi="宋体" w:cs="宋体"/>
                <w:color w:val="auto"/>
                <w:sz w:val="18"/>
                <w:szCs w:val="18"/>
                <w:highlight w:val="none"/>
              </w:rPr>
            </w:pPr>
            <w:r>
              <w:rPr>
                <w:rFonts w:hint="eastAsia" w:ascii="宋体" w:hAnsi="宋体"/>
                <w:color w:val="auto"/>
                <w:sz w:val="18"/>
                <w:szCs w:val="18"/>
                <w:highlight w:val="none"/>
              </w:rPr>
              <w:t>X≥90</w:t>
            </w:r>
          </w:p>
        </w:tc>
      </w:tr>
      <w:tr w14:paraId="1CF95CF2">
        <w:tblPrEx>
          <w:tblCellMar>
            <w:top w:w="0" w:type="dxa"/>
            <w:left w:w="108" w:type="dxa"/>
            <w:bottom w:w="0" w:type="dxa"/>
            <w:right w:w="108" w:type="dxa"/>
          </w:tblCellMar>
        </w:tblPrEx>
        <w:trPr>
          <w:trHeight w:val="68" w:hRule="atLeast"/>
        </w:trPr>
        <w:tc>
          <w:tcPr>
            <w:tcW w:w="418" w:type="pct"/>
            <w:vMerge w:val="continue"/>
            <w:tcBorders>
              <w:left w:val="single" w:color="auto" w:sz="4" w:space="0"/>
              <w:right w:val="single" w:color="auto" w:sz="4" w:space="0"/>
            </w:tcBorders>
            <w:noWrap/>
            <w:vAlign w:val="center"/>
          </w:tcPr>
          <w:p w14:paraId="4B1EF8F9">
            <w:pPr>
              <w:widowControl/>
              <w:textAlignment w:val="center"/>
              <w:rPr>
                <w:rFonts w:hint="eastAsia" w:ascii="宋体" w:hAnsi="宋体" w:cs="宋体"/>
                <w:color w:val="auto"/>
                <w:sz w:val="18"/>
                <w:szCs w:val="18"/>
                <w:highlight w:val="none"/>
              </w:rPr>
            </w:pPr>
          </w:p>
        </w:tc>
        <w:tc>
          <w:tcPr>
            <w:tcW w:w="2442" w:type="pct"/>
            <w:gridSpan w:val="2"/>
            <w:tcBorders>
              <w:top w:val="single" w:color="auto" w:sz="4" w:space="0"/>
              <w:left w:val="nil"/>
              <w:bottom w:val="single" w:color="auto" w:sz="4" w:space="0"/>
              <w:right w:val="single" w:color="auto" w:sz="4" w:space="0"/>
            </w:tcBorders>
          </w:tcPr>
          <w:p w14:paraId="31B99792">
            <w:pPr>
              <w:widowControl/>
              <w:jc w:val="left"/>
              <w:rPr>
                <w:rFonts w:hint="eastAsia" w:ascii="宋体" w:hAnsi="宋体" w:cs="宋体"/>
                <w:color w:val="auto"/>
                <w:sz w:val="18"/>
                <w:szCs w:val="18"/>
                <w:highlight w:val="none"/>
              </w:rPr>
            </w:pPr>
            <w:r>
              <w:rPr>
                <w:rFonts w:hint="eastAsia" w:ascii="宋体" w:hAnsi="宋体"/>
                <w:color w:val="auto"/>
                <w:sz w:val="18"/>
                <w:szCs w:val="18"/>
                <w:highlight w:val="none"/>
              </w:rPr>
              <w:t>B级</w:t>
            </w:r>
          </w:p>
        </w:tc>
        <w:tc>
          <w:tcPr>
            <w:tcW w:w="2138" w:type="pct"/>
            <w:gridSpan w:val="3"/>
            <w:tcBorders>
              <w:top w:val="single" w:color="auto" w:sz="4" w:space="0"/>
              <w:left w:val="nil"/>
              <w:bottom w:val="single" w:color="auto" w:sz="4" w:space="0"/>
              <w:right w:val="single" w:color="auto" w:sz="4" w:space="0"/>
            </w:tcBorders>
          </w:tcPr>
          <w:p w14:paraId="0FDB0DC6">
            <w:pPr>
              <w:widowControl/>
              <w:jc w:val="left"/>
              <w:rPr>
                <w:rFonts w:hint="eastAsia" w:ascii="宋体" w:hAnsi="宋体" w:cs="宋体"/>
                <w:color w:val="auto"/>
                <w:sz w:val="18"/>
                <w:szCs w:val="18"/>
                <w:highlight w:val="none"/>
              </w:rPr>
            </w:pPr>
            <w:r>
              <w:rPr>
                <w:rFonts w:hint="eastAsia" w:ascii="宋体" w:hAnsi="宋体"/>
                <w:color w:val="auto"/>
                <w:sz w:val="18"/>
                <w:szCs w:val="18"/>
                <w:highlight w:val="none"/>
              </w:rPr>
              <w:t>80≤X&lt;90</w:t>
            </w:r>
          </w:p>
        </w:tc>
      </w:tr>
      <w:tr w14:paraId="30080567">
        <w:tblPrEx>
          <w:tblCellMar>
            <w:top w:w="0" w:type="dxa"/>
            <w:left w:w="108" w:type="dxa"/>
            <w:bottom w:w="0" w:type="dxa"/>
            <w:right w:w="108" w:type="dxa"/>
          </w:tblCellMar>
        </w:tblPrEx>
        <w:trPr>
          <w:trHeight w:val="68" w:hRule="atLeast"/>
        </w:trPr>
        <w:tc>
          <w:tcPr>
            <w:tcW w:w="418" w:type="pct"/>
            <w:vMerge w:val="continue"/>
            <w:tcBorders>
              <w:left w:val="single" w:color="auto" w:sz="4" w:space="0"/>
              <w:right w:val="single" w:color="auto" w:sz="4" w:space="0"/>
            </w:tcBorders>
            <w:noWrap/>
            <w:vAlign w:val="center"/>
          </w:tcPr>
          <w:p w14:paraId="206236EA">
            <w:pPr>
              <w:widowControl/>
              <w:textAlignment w:val="center"/>
              <w:rPr>
                <w:rFonts w:hint="eastAsia" w:ascii="宋体" w:hAnsi="宋体" w:cs="宋体"/>
                <w:color w:val="auto"/>
                <w:sz w:val="18"/>
                <w:szCs w:val="18"/>
                <w:highlight w:val="none"/>
              </w:rPr>
            </w:pPr>
          </w:p>
        </w:tc>
        <w:tc>
          <w:tcPr>
            <w:tcW w:w="2442" w:type="pct"/>
            <w:gridSpan w:val="2"/>
            <w:tcBorders>
              <w:top w:val="single" w:color="auto" w:sz="4" w:space="0"/>
              <w:left w:val="nil"/>
              <w:bottom w:val="single" w:color="auto" w:sz="4" w:space="0"/>
              <w:right w:val="single" w:color="auto" w:sz="4" w:space="0"/>
            </w:tcBorders>
          </w:tcPr>
          <w:p w14:paraId="11748057">
            <w:pPr>
              <w:widowControl/>
              <w:jc w:val="left"/>
              <w:rPr>
                <w:rFonts w:hint="eastAsia" w:ascii="宋体" w:hAnsi="宋体" w:cs="宋体"/>
                <w:color w:val="auto"/>
                <w:sz w:val="18"/>
                <w:szCs w:val="18"/>
                <w:highlight w:val="none"/>
              </w:rPr>
            </w:pPr>
            <w:r>
              <w:rPr>
                <w:rFonts w:hint="eastAsia" w:ascii="宋体" w:hAnsi="宋体"/>
                <w:color w:val="auto"/>
                <w:sz w:val="18"/>
                <w:szCs w:val="18"/>
                <w:highlight w:val="none"/>
              </w:rPr>
              <w:t>C级</w:t>
            </w:r>
          </w:p>
        </w:tc>
        <w:tc>
          <w:tcPr>
            <w:tcW w:w="2138" w:type="pct"/>
            <w:gridSpan w:val="3"/>
            <w:tcBorders>
              <w:top w:val="single" w:color="auto" w:sz="4" w:space="0"/>
              <w:left w:val="nil"/>
              <w:bottom w:val="single" w:color="auto" w:sz="4" w:space="0"/>
              <w:right w:val="single" w:color="auto" w:sz="4" w:space="0"/>
            </w:tcBorders>
          </w:tcPr>
          <w:p w14:paraId="5B150A2F">
            <w:pPr>
              <w:widowControl/>
              <w:jc w:val="left"/>
              <w:rPr>
                <w:rFonts w:hint="eastAsia" w:ascii="宋体" w:hAnsi="宋体" w:cs="宋体"/>
                <w:color w:val="auto"/>
                <w:sz w:val="18"/>
                <w:szCs w:val="18"/>
                <w:highlight w:val="none"/>
              </w:rPr>
            </w:pPr>
            <w:r>
              <w:rPr>
                <w:rFonts w:hint="eastAsia" w:ascii="宋体" w:hAnsi="宋体"/>
                <w:color w:val="auto"/>
                <w:sz w:val="18"/>
                <w:szCs w:val="18"/>
                <w:highlight w:val="none"/>
              </w:rPr>
              <w:t>X&lt;80</w:t>
            </w:r>
          </w:p>
        </w:tc>
      </w:tr>
      <w:tr w14:paraId="319B67FF">
        <w:tblPrEx>
          <w:tblCellMar>
            <w:top w:w="0" w:type="dxa"/>
            <w:left w:w="108" w:type="dxa"/>
            <w:bottom w:w="0" w:type="dxa"/>
            <w:right w:w="108" w:type="dxa"/>
          </w:tblCellMar>
        </w:tblPrEx>
        <w:trPr>
          <w:trHeight w:val="68" w:hRule="atLeast"/>
        </w:trPr>
        <w:tc>
          <w:tcPr>
            <w:tcW w:w="418" w:type="pct"/>
            <w:vMerge w:val="continue"/>
            <w:tcBorders>
              <w:left w:val="single" w:color="auto" w:sz="4" w:space="0"/>
              <w:right w:val="single" w:color="auto" w:sz="4" w:space="0"/>
            </w:tcBorders>
            <w:noWrap/>
            <w:vAlign w:val="center"/>
          </w:tcPr>
          <w:p w14:paraId="759110E1">
            <w:pPr>
              <w:widowControl/>
              <w:textAlignment w:val="center"/>
              <w:rPr>
                <w:rFonts w:hint="eastAsia" w:ascii="宋体" w:hAnsi="宋体" w:cs="宋体"/>
                <w:color w:val="auto"/>
                <w:sz w:val="18"/>
                <w:szCs w:val="18"/>
                <w:highlight w:val="none"/>
              </w:rPr>
            </w:pPr>
          </w:p>
        </w:tc>
        <w:tc>
          <w:tcPr>
            <w:tcW w:w="4581" w:type="pct"/>
            <w:gridSpan w:val="5"/>
            <w:tcBorders>
              <w:top w:val="single" w:color="auto" w:sz="4" w:space="0"/>
              <w:left w:val="nil"/>
              <w:bottom w:val="single" w:color="auto" w:sz="4" w:space="0"/>
              <w:right w:val="single" w:color="auto" w:sz="4" w:space="0"/>
            </w:tcBorders>
          </w:tcPr>
          <w:p w14:paraId="4369B6F0">
            <w:pPr>
              <w:widowControl/>
              <w:jc w:val="left"/>
              <w:rPr>
                <w:color w:val="auto"/>
                <w:sz w:val="18"/>
                <w:szCs w:val="18"/>
                <w:highlight w:val="none"/>
              </w:rPr>
            </w:pPr>
            <w:r>
              <w:rPr>
                <w:rFonts w:hint="eastAsia" w:ascii="宋体" w:hAnsi="宋体"/>
                <w:color w:val="auto"/>
                <w:sz w:val="18"/>
                <w:szCs w:val="18"/>
                <w:highlight w:val="none"/>
              </w:rPr>
              <w:t>注:X为年度考核最终结果。</w:t>
            </w:r>
          </w:p>
        </w:tc>
      </w:tr>
      <w:tr w14:paraId="181D9FA3">
        <w:tblPrEx>
          <w:tblCellMar>
            <w:top w:w="0" w:type="dxa"/>
            <w:left w:w="108" w:type="dxa"/>
            <w:bottom w:w="0" w:type="dxa"/>
            <w:right w:w="108" w:type="dxa"/>
          </w:tblCellMar>
        </w:tblPrEx>
        <w:trPr>
          <w:trHeight w:val="68" w:hRule="atLeast"/>
        </w:trPr>
        <w:tc>
          <w:tcPr>
            <w:tcW w:w="418" w:type="pct"/>
            <w:vMerge w:val="continue"/>
            <w:tcBorders>
              <w:left w:val="single" w:color="auto" w:sz="4" w:space="0"/>
              <w:bottom w:val="single" w:color="auto" w:sz="4" w:space="0"/>
              <w:right w:val="single" w:color="auto" w:sz="4" w:space="0"/>
            </w:tcBorders>
            <w:noWrap/>
            <w:vAlign w:val="center"/>
          </w:tcPr>
          <w:p w14:paraId="7953B006">
            <w:pPr>
              <w:widowControl/>
              <w:textAlignment w:val="center"/>
              <w:rPr>
                <w:rFonts w:hint="eastAsia" w:ascii="宋体" w:hAnsi="宋体" w:cs="宋体"/>
                <w:color w:val="auto"/>
                <w:sz w:val="18"/>
                <w:szCs w:val="18"/>
                <w:highlight w:val="none"/>
              </w:rPr>
            </w:pPr>
          </w:p>
        </w:tc>
        <w:tc>
          <w:tcPr>
            <w:tcW w:w="4581" w:type="pct"/>
            <w:gridSpan w:val="5"/>
            <w:tcBorders>
              <w:top w:val="single" w:color="auto" w:sz="4" w:space="0"/>
              <w:left w:val="nil"/>
              <w:bottom w:val="single" w:color="auto" w:sz="4" w:space="0"/>
              <w:right w:val="single" w:color="auto" w:sz="4" w:space="0"/>
            </w:tcBorders>
            <w:vAlign w:val="center"/>
          </w:tcPr>
          <w:p w14:paraId="615A9020">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6.每年付款金额与年度最终考核结果挂钩:年度最终考核结果为A级，按付款条件支付合同总金额的5%</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年度最终考核结果为B级，按付款条件支付合同总金额的4%</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年度最终考核结果为C级，则按实际年度最终考核结果分值作为该年度</w:t>
            </w:r>
            <w:r>
              <w:rPr>
                <w:rFonts w:hint="eastAsia" w:ascii="宋体" w:hAnsi="宋体" w:cs="宋体"/>
                <w:color w:val="auto"/>
                <w:sz w:val="18"/>
                <w:szCs w:val="18"/>
                <w:highlight w:val="none"/>
                <w:lang w:val="en-US" w:eastAsia="zh-CN"/>
              </w:rPr>
              <w:t>运营服务期</w:t>
            </w:r>
            <w:r>
              <w:rPr>
                <w:rFonts w:hint="eastAsia" w:ascii="宋体" w:hAnsi="宋体" w:cs="宋体"/>
                <w:color w:val="auto"/>
                <w:sz w:val="18"/>
                <w:szCs w:val="18"/>
                <w:highlight w:val="none"/>
              </w:rPr>
              <w:t>合同款支付比例进行支付，即支付合同款比例=（年度最终考核结果分/100）×</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采购人就该年度运营服务期应付款总额=支付合同款比例</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合同总金额</w:t>
            </w:r>
            <w:r>
              <w:rPr>
                <w:rFonts w:hint="eastAsia" w:ascii="宋体" w:hAnsi="宋体" w:cs="宋体"/>
                <w:color w:val="auto"/>
                <w:sz w:val="18"/>
                <w:szCs w:val="18"/>
                <w:highlight w:val="none"/>
              </w:rPr>
              <w:t>。服务考核结果由双方盖章确认。</w:t>
            </w:r>
          </w:p>
        </w:tc>
      </w:tr>
      <w:tr w14:paraId="5AEF3973">
        <w:tblPrEx>
          <w:tblCellMar>
            <w:top w:w="0" w:type="dxa"/>
            <w:left w:w="108" w:type="dxa"/>
            <w:bottom w:w="0" w:type="dxa"/>
            <w:right w:w="108" w:type="dxa"/>
          </w:tblCellMar>
        </w:tblPrEx>
        <w:trPr>
          <w:trHeight w:val="90" w:hRule="atLeast"/>
        </w:trPr>
        <w:tc>
          <w:tcPr>
            <w:tcW w:w="418" w:type="pct"/>
            <w:tcBorders>
              <w:top w:val="nil"/>
              <w:left w:val="single" w:color="auto" w:sz="4" w:space="0"/>
              <w:bottom w:val="single" w:color="auto" w:sz="4" w:space="0"/>
              <w:right w:val="single" w:color="auto" w:sz="4" w:space="0"/>
            </w:tcBorders>
            <w:noWrap/>
            <w:vAlign w:val="center"/>
          </w:tcPr>
          <w:p w14:paraId="1FCA02C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付款条件</w:t>
            </w:r>
          </w:p>
        </w:tc>
        <w:tc>
          <w:tcPr>
            <w:tcW w:w="4581" w:type="pct"/>
            <w:gridSpan w:val="5"/>
            <w:tcBorders>
              <w:top w:val="single" w:color="auto" w:sz="4" w:space="0"/>
              <w:left w:val="nil"/>
              <w:bottom w:val="single" w:color="auto" w:sz="4" w:space="0"/>
              <w:right w:val="single" w:color="auto" w:sz="4" w:space="0"/>
            </w:tcBorders>
            <w:vAlign w:val="center"/>
          </w:tcPr>
          <w:p w14:paraId="629E7DD4">
            <w:pPr>
              <w:pStyle w:val="32"/>
              <w:rPr>
                <w:color w:val="auto"/>
                <w:highlight w:val="none"/>
              </w:rPr>
            </w:pPr>
            <w:r>
              <w:rPr>
                <w:rFonts w:hint="eastAsia"/>
                <w:color w:val="auto"/>
                <w:highlight w:val="none"/>
              </w:rPr>
              <w:t>1、付款方式</w:t>
            </w:r>
          </w:p>
          <w:p w14:paraId="5EDBAADF">
            <w:pPr>
              <w:pStyle w:val="32"/>
              <w:rPr>
                <w:rFonts w:hint="eastAsia" w:ascii="宋体" w:hAnsi="宋体" w:cs="宋体"/>
                <w:color w:val="auto"/>
                <w:kern w:val="2"/>
                <w:highlight w:val="none"/>
              </w:rPr>
            </w:pPr>
            <w:r>
              <w:rPr>
                <w:rFonts w:hint="eastAsia"/>
                <w:color w:val="auto"/>
                <w:highlight w:val="none"/>
              </w:rPr>
              <w:t>（1</w:t>
            </w:r>
            <w:r>
              <w:rPr>
                <w:rFonts w:hint="eastAsia" w:ascii="宋体" w:hAnsi="宋体" w:cs="宋体"/>
                <w:color w:val="auto"/>
                <w:kern w:val="2"/>
                <w:highlight w:val="none"/>
              </w:rPr>
              <w:t>）第一笔合同款：合同签订且</w:t>
            </w:r>
            <w:r>
              <w:rPr>
                <w:rFonts w:hint="eastAsia" w:ascii="宋体" w:hAnsi="宋体" w:cs="宋体"/>
                <w:color w:val="auto"/>
                <w:kern w:val="2"/>
                <w:highlight w:val="none"/>
                <w:lang w:val="en-US" w:eastAsia="zh-CN"/>
              </w:rPr>
              <w:t>采购人</w:t>
            </w:r>
            <w:r>
              <w:rPr>
                <w:rFonts w:hint="eastAsia" w:ascii="宋体" w:hAnsi="宋体" w:cs="宋体"/>
                <w:color w:val="auto"/>
                <w:kern w:val="2"/>
                <w:highlight w:val="none"/>
              </w:rPr>
              <w:t>收到</w:t>
            </w:r>
            <w:r>
              <w:rPr>
                <w:rFonts w:hint="eastAsia" w:ascii="宋体" w:hAnsi="宋体" w:cs="宋体"/>
                <w:color w:val="auto"/>
                <w:kern w:val="2"/>
                <w:highlight w:val="none"/>
                <w:lang w:val="en-US" w:eastAsia="zh-CN"/>
              </w:rPr>
              <w:t>中标人</w:t>
            </w:r>
            <w:r>
              <w:rPr>
                <w:rFonts w:hint="eastAsia" w:ascii="宋体" w:hAnsi="宋体" w:cs="宋体"/>
                <w:color w:val="auto"/>
                <w:kern w:val="2"/>
                <w:highlight w:val="none"/>
              </w:rPr>
              <w:t>提供的等额合法有效发票之日起15个工作日内，采购人向中标</w:t>
            </w:r>
            <w:r>
              <w:rPr>
                <w:rFonts w:hint="eastAsia" w:ascii="宋体" w:hAnsi="宋体" w:cs="宋体"/>
                <w:color w:val="auto"/>
                <w:kern w:val="2"/>
                <w:highlight w:val="none"/>
                <w:lang w:val="en-US" w:eastAsia="zh-CN"/>
              </w:rPr>
              <w:t>人</w:t>
            </w:r>
            <w:r>
              <w:rPr>
                <w:rFonts w:hint="eastAsia" w:ascii="宋体" w:hAnsi="宋体" w:cs="宋体"/>
                <w:color w:val="auto"/>
                <w:kern w:val="2"/>
                <w:highlight w:val="none"/>
              </w:rPr>
              <w:t>支付合同总金额的50%。</w:t>
            </w:r>
          </w:p>
          <w:p w14:paraId="463D3627">
            <w:pPr>
              <w:pStyle w:val="32"/>
              <w:rPr>
                <w:rFonts w:hint="eastAsia" w:ascii="宋体" w:hAnsi="宋体" w:cs="宋体"/>
                <w:color w:val="auto"/>
                <w:kern w:val="2"/>
                <w:highlight w:val="none"/>
              </w:rPr>
            </w:pPr>
            <w:r>
              <w:rPr>
                <w:rFonts w:hint="eastAsia" w:ascii="宋体" w:hAnsi="宋体" w:cs="宋体"/>
                <w:color w:val="auto"/>
                <w:kern w:val="2"/>
                <w:highlight w:val="none"/>
              </w:rPr>
              <w:t>（2）第二笔合同款：中标</w:t>
            </w:r>
            <w:r>
              <w:rPr>
                <w:rFonts w:hint="eastAsia" w:ascii="宋体" w:hAnsi="宋体" w:cs="宋体"/>
                <w:color w:val="auto"/>
                <w:kern w:val="2"/>
                <w:highlight w:val="none"/>
                <w:lang w:val="en-US" w:eastAsia="zh-CN"/>
              </w:rPr>
              <w:t>人</w:t>
            </w:r>
            <w:r>
              <w:rPr>
                <w:rFonts w:hint="eastAsia" w:ascii="宋体" w:hAnsi="宋体" w:cs="宋体"/>
                <w:color w:val="auto"/>
                <w:kern w:val="2"/>
                <w:highlight w:val="none"/>
              </w:rPr>
              <w:t>完成项目深化设计方案</w:t>
            </w:r>
            <w:r>
              <w:rPr>
                <w:rFonts w:hint="eastAsia" w:ascii="宋体" w:hAnsi="宋体" w:cs="宋体"/>
                <w:color w:val="auto"/>
                <w:kern w:val="2"/>
                <w:highlight w:val="none"/>
                <w:lang w:val="en-US" w:eastAsia="zh-CN"/>
              </w:rPr>
              <w:t>和</w:t>
            </w:r>
            <w:r>
              <w:rPr>
                <w:rFonts w:hint="eastAsia" w:ascii="宋体" w:hAnsi="宋体" w:cs="宋体"/>
                <w:color w:val="auto"/>
                <w:kern w:val="2"/>
                <w:highlight w:val="none"/>
              </w:rPr>
              <w:t>组建完成实施团队经采购人审核通过且</w:t>
            </w:r>
            <w:r>
              <w:rPr>
                <w:rFonts w:hint="eastAsia" w:ascii="宋体" w:hAnsi="宋体" w:cs="宋体"/>
                <w:color w:val="auto"/>
                <w:kern w:val="2"/>
                <w:highlight w:val="none"/>
                <w:lang w:val="en-US" w:eastAsia="zh-CN"/>
              </w:rPr>
              <w:t>采购人</w:t>
            </w:r>
            <w:r>
              <w:rPr>
                <w:rFonts w:hint="eastAsia" w:ascii="宋体" w:hAnsi="宋体" w:cs="宋体"/>
                <w:color w:val="auto"/>
                <w:kern w:val="2"/>
                <w:highlight w:val="none"/>
              </w:rPr>
              <w:t>收到</w:t>
            </w:r>
            <w:r>
              <w:rPr>
                <w:rFonts w:hint="eastAsia" w:ascii="宋体" w:hAnsi="宋体" w:cs="宋体"/>
                <w:color w:val="auto"/>
                <w:kern w:val="2"/>
                <w:highlight w:val="none"/>
                <w:lang w:val="en-US" w:eastAsia="zh-CN"/>
              </w:rPr>
              <w:t>中标人</w:t>
            </w:r>
            <w:r>
              <w:rPr>
                <w:rFonts w:hint="eastAsia" w:ascii="宋体" w:hAnsi="宋体" w:cs="宋体"/>
                <w:color w:val="auto"/>
                <w:kern w:val="2"/>
                <w:highlight w:val="none"/>
              </w:rPr>
              <w:t>提供的等额合法有效发票后15个工作日内，采购人</w:t>
            </w:r>
            <w:r>
              <w:rPr>
                <w:rFonts w:hint="eastAsia" w:ascii="宋体" w:hAnsi="宋体" w:cs="宋体"/>
                <w:color w:val="auto"/>
                <w:kern w:val="2"/>
                <w:highlight w:val="none"/>
                <w:lang w:val="en-US" w:eastAsia="zh-CN"/>
              </w:rPr>
              <w:t>向中标人</w:t>
            </w:r>
            <w:r>
              <w:rPr>
                <w:rFonts w:hint="eastAsia" w:ascii="宋体" w:hAnsi="宋体" w:cs="宋体"/>
                <w:color w:val="auto"/>
                <w:kern w:val="2"/>
                <w:highlight w:val="none"/>
              </w:rPr>
              <w:t>支付合同总金额的20%。</w:t>
            </w:r>
          </w:p>
          <w:p w14:paraId="1D7C1D0B">
            <w:pPr>
              <w:rPr>
                <w:rFonts w:hint="eastAsia" w:ascii="宋体" w:hAnsi="宋体" w:cs="宋体"/>
                <w:color w:val="auto"/>
                <w:kern w:val="2"/>
                <w:sz w:val="18"/>
                <w:szCs w:val="18"/>
                <w:highlight w:val="none"/>
              </w:rPr>
            </w:pPr>
            <w:r>
              <w:rPr>
                <w:rFonts w:hint="eastAsia" w:ascii="宋体" w:hAnsi="宋体" w:cs="宋体"/>
                <w:color w:val="auto"/>
                <w:sz w:val="18"/>
                <w:szCs w:val="18"/>
                <w:highlight w:val="none"/>
              </w:rPr>
              <w:t>（3）第三、四、五笔合同款：在项目整体完工并</w:t>
            </w:r>
            <w:r>
              <w:rPr>
                <w:rFonts w:hint="eastAsia" w:ascii="宋体" w:hAnsi="宋体" w:cs="宋体"/>
                <w:color w:val="auto"/>
                <w:sz w:val="18"/>
                <w:szCs w:val="18"/>
                <w:highlight w:val="none"/>
                <w:lang w:val="en-US" w:eastAsia="zh-CN"/>
              </w:rPr>
              <w:t>通过</w:t>
            </w:r>
            <w:r>
              <w:rPr>
                <w:rFonts w:hint="eastAsia" w:ascii="宋体" w:hAnsi="宋体" w:cs="宋体"/>
                <w:color w:val="auto"/>
                <w:sz w:val="18"/>
                <w:szCs w:val="18"/>
                <w:highlight w:val="none"/>
              </w:rPr>
              <w:t>竣工验收合格</w:t>
            </w:r>
            <w:r>
              <w:rPr>
                <w:rFonts w:hint="eastAsia" w:ascii="宋体" w:hAnsi="宋体" w:cs="宋体"/>
                <w:color w:val="auto"/>
                <w:sz w:val="18"/>
                <w:szCs w:val="18"/>
                <w:highlight w:val="none"/>
                <w:lang w:val="en-US" w:eastAsia="zh-CN"/>
              </w:rPr>
              <w:t>之日起</w:t>
            </w:r>
            <w:r>
              <w:rPr>
                <w:rFonts w:hint="eastAsia" w:ascii="宋体" w:hAnsi="宋体" w:cs="宋体"/>
                <w:color w:val="auto"/>
                <w:sz w:val="18"/>
                <w:szCs w:val="18"/>
                <w:highlight w:val="none"/>
              </w:rPr>
              <w:t>进入3年运营服务期</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每年运营服务期</w:t>
            </w:r>
            <w:r>
              <w:rPr>
                <w:rFonts w:hint="eastAsia" w:ascii="宋体" w:hAnsi="宋体" w:cs="宋体"/>
                <w:color w:val="auto"/>
                <w:sz w:val="18"/>
                <w:szCs w:val="18"/>
                <w:highlight w:val="none"/>
                <w:lang w:val="en-US" w:eastAsia="zh-CN"/>
              </w:rPr>
              <w:t>开始时</w:t>
            </w:r>
            <w:r>
              <w:rPr>
                <w:rFonts w:hint="eastAsia" w:ascii="宋体" w:hAnsi="宋体" w:cs="宋体"/>
                <w:color w:val="auto"/>
                <w:sz w:val="18"/>
                <w:szCs w:val="18"/>
                <w:highlight w:val="none"/>
              </w:rPr>
              <w:t>且</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收到</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提供的等额合法有效发票后15个工作日内</w:t>
            </w:r>
            <w:r>
              <w:rPr>
                <w:rFonts w:hint="eastAsia" w:ascii="宋体" w:hAnsi="宋体" w:cs="宋体"/>
                <w:color w:val="auto"/>
                <w:kern w:val="2"/>
                <w:sz w:val="18"/>
                <w:szCs w:val="18"/>
                <w:highlight w:val="none"/>
                <w:lang w:eastAsia="zh-CN"/>
              </w:rPr>
              <w:t>，</w:t>
            </w:r>
            <w:r>
              <w:rPr>
                <w:rFonts w:hint="eastAsia" w:ascii="宋体" w:hAnsi="宋体" w:cs="宋体"/>
                <w:color w:val="auto"/>
                <w:kern w:val="2"/>
                <w:sz w:val="18"/>
                <w:szCs w:val="18"/>
                <w:highlight w:val="none"/>
                <w:lang w:val="en-US" w:eastAsia="zh-CN"/>
              </w:rPr>
              <w:t>采购人</w:t>
            </w:r>
            <w:r>
              <w:rPr>
                <w:rFonts w:hint="eastAsia" w:ascii="宋体" w:hAnsi="宋体" w:cs="宋体"/>
                <w:color w:val="auto"/>
                <w:kern w:val="2"/>
                <w:sz w:val="18"/>
                <w:szCs w:val="18"/>
                <w:highlight w:val="none"/>
              </w:rPr>
              <w:t>向中标</w:t>
            </w:r>
            <w:r>
              <w:rPr>
                <w:rFonts w:hint="eastAsia" w:ascii="宋体" w:hAnsi="宋体" w:cs="宋体"/>
                <w:color w:val="auto"/>
                <w:kern w:val="2"/>
                <w:sz w:val="18"/>
                <w:szCs w:val="18"/>
                <w:highlight w:val="none"/>
                <w:lang w:val="en-US" w:eastAsia="zh-CN"/>
              </w:rPr>
              <w:t>人</w:t>
            </w:r>
            <w:r>
              <w:rPr>
                <w:rFonts w:hint="eastAsia" w:ascii="宋体" w:hAnsi="宋体" w:cs="宋体"/>
                <w:color w:val="auto"/>
                <w:kern w:val="2"/>
                <w:sz w:val="18"/>
                <w:szCs w:val="18"/>
                <w:highlight w:val="none"/>
              </w:rPr>
              <w:t>支付合同总金额的5%</w:t>
            </w:r>
            <w:r>
              <w:rPr>
                <w:rFonts w:hint="eastAsia" w:ascii="宋体" w:hAnsi="宋体" w:cs="宋体"/>
                <w:color w:val="auto"/>
                <w:kern w:val="2"/>
                <w:sz w:val="18"/>
                <w:szCs w:val="18"/>
                <w:highlight w:val="none"/>
                <w:lang w:eastAsia="zh-CN"/>
              </w:rPr>
              <w:t>；</w:t>
            </w:r>
            <w:r>
              <w:rPr>
                <w:rFonts w:hint="eastAsia" w:ascii="宋体" w:hAnsi="宋体" w:cs="宋体"/>
                <w:color w:val="auto"/>
                <w:kern w:val="2"/>
                <w:sz w:val="18"/>
                <w:szCs w:val="18"/>
                <w:highlight w:val="none"/>
              </w:rPr>
              <w:t>每年运营服务期结束后，采购人依据服务考核指标要求对中标</w:t>
            </w:r>
            <w:r>
              <w:rPr>
                <w:rFonts w:hint="eastAsia" w:ascii="宋体" w:hAnsi="宋体" w:cs="宋体"/>
                <w:color w:val="auto"/>
                <w:kern w:val="2"/>
                <w:sz w:val="18"/>
                <w:szCs w:val="18"/>
                <w:highlight w:val="none"/>
                <w:lang w:val="en-US" w:eastAsia="zh-CN"/>
              </w:rPr>
              <w:t>人</w:t>
            </w:r>
            <w:r>
              <w:rPr>
                <w:rFonts w:hint="eastAsia" w:ascii="宋体" w:hAnsi="宋体" w:cs="宋体"/>
                <w:color w:val="auto"/>
                <w:kern w:val="2"/>
                <w:sz w:val="18"/>
                <w:szCs w:val="18"/>
                <w:highlight w:val="none"/>
              </w:rPr>
              <w:t>进行</w:t>
            </w:r>
            <w:r>
              <w:rPr>
                <w:rFonts w:hint="eastAsia" w:ascii="宋体" w:hAnsi="宋体" w:cs="宋体"/>
                <w:color w:val="auto"/>
                <w:kern w:val="2"/>
                <w:sz w:val="18"/>
                <w:szCs w:val="18"/>
                <w:highlight w:val="none"/>
                <w:lang w:val="en-US" w:eastAsia="zh-CN"/>
              </w:rPr>
              <w:t>年度最终</w:t>
            </w:r>
            <w:r>
              <w:rPr>
                <w:rFonts w:hint="eastAsia" w:ascii="宋体" w:hAnsi="宋体" w:cs="宋体"/>
                <w:color w:val="auto"/>
                <w:kern w:val="2"/>
                <w:sz w:val="18"/>
                <w:szCs w:val="18"/>
                <w:highlight w:val="none"/>
              </w:rPr>
              <w:t>考核，根据</w:t>
            </w:r>
            <w:r>
              <w:rPr>
                <w:rFonts w:hint="eastAsia" w:ascii="宋体" w:hAnsi="宋体" w:cs="宋体"/>
                <w:color w:val="auto"/>
                <w:kern w:val="2"/>
                <w:sz w:val="18"/>
                <w:szCs w:val="18"/>
                <w:highlight w:val="none"/>
                <w:lang w:val="en-US" w:eastAsia="zh-CN"/>
              </w:rPr>
              <w:t>年度最终</w:t>
            </w:r>
            <w:r>
              <w:rPr>
                <w:rFonts w:hint="eastAsia" w:ascii="宋体" w:hAnsi="宋体" w:cs="宋体"/>
                <w:color w:val="auto"/>
                <w:kern w:val="2"/>
                <w:sz w:val="18"/>
                <w:szCs w:val="18"/>
                <w:highlight w:val="none"/>
              </w:rPr>
              <w:t>考核结果等级</w:t>
            </w:r>
            <w:r>
              <w:rPr>
                <w:rFonts w:hint="eastAsia" w:ascii="宋体" w:hAnsi="宋体" w:cs="宋体"/>
                <w:color w:val="auto"/>
                <w:sz w:val="18"/>
                <w:szCs w:val="18"/>
                <w:highlight w:val="none"/>
              </w:rPr>
              <w:t>且</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收到</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提供的等额合法有效发票后15个工作日内</w:t>
            </w:r>
            <w:r>
              <w:rPr>
                <w:rFonts w:hint="eastAsia" w:ascii="宋体" w:hAnsi="宋体" w:cs="宋体"/>
                <w:color w:val="auto"/>
                <w:kern w:val="2"/>
                <w:sz w:val="18"/>
                <w:szCs w:val="18"/>
                <w:highlight w:val="none"/>
                <w:lang w:eastAsia="zh-CN"/>
              </w:rPr>
              <w:t>，</w:t>
            </w:r>
            <w:r>
              <w:rPr>
                <w:rFonts w:hint="eastAsia" w:ascii="宋体" w:hAnsi="宋体" w:cs="宋体"/>
                <w:color w:val="auto"/>
                <w:kern w:val="2"/>
                <w:sz w:val="18"/>
                <w:szCs w:val="18"/>
                <w:highlight w:val="none"/>
                <w:lang w:val="en-US" w:eastAsia="zh-CN"/>
              </w:rPr>
              <w:t>采购人</w:t>
            </w:r>
            <w:r>
              <w:rPr>
                <w:rFonts w:hint="eastAsia" w:ascii="宋体" w:hAnsi="宋体" w:cs="宋体"/>
                <w:color w:val="auto"/>
                <w:kern w:val="2"/>
                <w:sz w:val="18"/>
                <w:szCs w:val="18"/>
                <w:highlight w:val="none"/>
              </w:rPr>
              <w:t>向中标</w:t>
            </w:r>
            <w:r>
              <w:rPr>
                <w:rFonts w:hint="eastAsia" w:ascii="宋体" w:hAnsi="宋体" w:cs="宋体"/>
                <w:color w:val="auto"/>
                <w:kern w:val="2"/>
                <w:sz w:val="18"/>
                <w:szCs w:val="18"/>
                <w:highlight w:val="none"/>
                <w:lang w:val="en-US" w:eastAsia="zh-CN"/>
              </w:rPr>
              <w:t>人</w:t>
            </w:r>
            <w:r>
              <w:rPr>
                <w:rFonts w:hint="eastAsia" w:ascii="宋体" w:hAnsi="宋体" w:cs="宋体"/>
                <w:color w:val="auto"/>
                <w:kern w:val="2"/>
                <w:sz w:val="18"/>
                <w:szCs w:val="18"/>
                <w:highlight w:val="none"/>
              </w:rPr>
              <w:t>支付</w:t>
            </w:r>
            <w:r>
              <w:rPr>
                <w:rFonts w:hint="eastAsia" w:ascii="宋体" w:hAnsi="宋体" w:cs="宋体"/>
                <w:color w:val="auto"/>
                <w:kern w:val="2"/>
                <w:sz w:val="18"/>
                <w:szCs w:val="18"/>
                <w:highlight w:val="none"/>
                <w:lang w:val="en-US" w:eastAsia="zh-CN"/>
              </w:rPr>
              <w:t>相应进度</w:t>
            </w:r>
            <w:r>
              <w:rPr>
                <w:rFonts w:hint="eastAsia" w:ascii="宋体" w:hAnsi="宋体" w:cs="宋体"/>
                <w:color w:val="auto"/>
                <w:kern w:val="2"/>
                <w:sz w:val="18"/>
                <w:szCs w:val="18"/>
                <w:highlight w:val="none"/>
              </w:rPr>
              <w:t>款，每年</w:t>
            </w:r>
            <w:r>
              <w:rPr>
                <w:rFonts w:hint="eastAsia" w:ascii="宋体" w:hAnsi="宋体" w:cs="宋体"/>
                <w:color w:val="auto"/>
                <w:kern w:val="2"/>
                <w:sz w:val="18"/>
                <w:szCs w:val="18"/>
                <w:highlight w:val="none"/>
                <w:lang w:val="en-US" w:eastAsia="zh-CN"/>
              </w:rPr>
              <w:t>考核结束后</w:t>
            </w:r>
            <w:r>
              <w:rPr>
                <w:rFonts w:hint="eastAsia" w:ascii="宋体" w:hAnsi="宋体" w:cs="宋体"/>
                <w:color w:val="auto"/>
                <w:kern w:val="2"/>
                <w:sz w:val="18"/>
                <w:szCs w:val="18"/>
                <w:highlight w:val="none"/>
              </w:rPr>
              <w:t>最高支付合同总金额的</w:t>
            </w:r>
            <w:r>
              <w:rPr>
                <w:rFonts w:hint="eastAsia" w:ascii="宋体" w:hAnsi="宋体" w:cs="宋体"/>
                <w:color w:val="auto"/>
                <w:kern w:val="2"/>
                <w:sz w:val="18"/>
                <w:szCs w:val="18"/>
                <w:highlight w:val="none"/>
                <w:lang w:val="en-US" w:eastAsia="zh-CN"/>
              </w:rPr>
              <w:t>5</w:t>
            </w:r>
            <w:r>
              <w:rPr>
                <w:rFonts w:hint="eastAsia" w:ascii="宋体" w:hAnsi="宋体" w:cs="宋体"/>
                <w:color w:val="auto"/>
                <w:kern w:val="2"/>
                <w:sz w:val="18"/>
                <w:szCs w:val="18"/>
                <w:highlight w:val="none"/>
              </w:rPr>
              <w:t>%。</w:t>
            </w:r>
          </w:p>
          <w:p w14:paraId="25B18CB9">
            <w:pPr>
              <w:pStyle w:val="32"/>
              <w:rPr>
                <w:color w:val="auto"/>
                <w:highlight w:val="none"/>
              </w:rPr>
            </w:pPr>
            <w:r>
              <w:rPr>
                <w:rFonts w:hint="eastAsia" w:ascii="宋体" w:hAnsi="宋体" w:cs="宋体"/>
                <w:color w:val="auto"/>
                <w:kern w:val="2"/>
                <w:highlight w:val="none"/>
              </w:rPr>
              <w:t>2、中标</w:t>
            </w:r>
            <w:r>
              <w:rPr>
                <w:rFonts w:hint="eastAsia" w:ascii="宋体" w:hAnsi="宋体" w:cs="宋体"/>
                <w:color w:val="auto"/>
                <w:kern w:val="2"/>
                <w:highlight w:val="none"/>
                <w:lang w:val="en-US" w:eastAsia="zh-CN"/>
              </w:rPr>
              <w:t>人</w:t>
            </w:r>
            <w:r>
              <w:rPr>
                <w:rFonts w:hint="eastAsia" w:ascii="宋体" w:hAnsi="宋体" w:cs="宋体"/>
                <w:color w:val="auto"/>
                <w:kern w:val="2"/>
                <w:highlight w:val="none"/>
              </w:rPr>
              <w:t>应在采购人付款前向采购人提供等额的合法有效发票，中标</w:t>
            </w:r>
            <w:r>
              <w:rPr>
                <w:rFonts w:hint="eastAsia" w:ascii="宋体" w:hAnsi="宋体" w:cs="宋体"/>
                <w:color w:val="auto"/>
                <w:kern w:val="2"/>
                <w:highlight w:val="none"/>
                <w:lang w:val="en-US" w:eastAsia="zh-CN"/>
              </w:rPr>
              <w:t>人</w:t>
            </w:r>
            <w:r>
              <w:rPr>
                <w:rFonts w:hint="eastAsia" w:ascii="宋体" w:hAnsi="宋体" w:cs="宋体"/>
                <w:color w:val="auto"/>
                <w:kern w:val="2"/>
                <w:highlight w:val="none"/>
              </w:rPr>
              <w:t>未及时向采购人开具发票的，采购人有权顺延付款时间，且不承担任何逾期付款违约责任。</w:t>
            </w:r>
          </w:p>
        </w:tc>
      </w:tr>
      <w:tr w14:paraId="272D2C19">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061034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其他要求</w:t>
            </w:r>
          </w:p>
        </w:tc>
        <w:tc>
          <w:tcPr>
            <w:tcW w:w="4581" w:type="pct"/>
            <w:gridSpan w:val="5"/>
            <w:tcBorders>
              <w:top w:val="single" w:color="auto" w:sz="4" w:space="0"/>
              <w:left w:val="nil"/>
              <w:bottom w:val="single" w:color="auto" w:sz="4" w:space="0"/>
              <w:right w:val="single" w:color="auto" w:sz="4" w:space="0"/>
            </w:tcBorders>
            <w:vAlign w:val="center"/>
          </w:tcPr>
          <w:p w14:paraId="2F0E6BAB">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rFonts w:hint="eastAsia"/>
                <w:b w:val="0"/>
                <w:bCs/>
                <w:color w:val="auto"/>
                <w:sz w:val="18"/>
                <w:szCs w:val="18"/>
                <w:highlight w:val="none"/>
              </w:rPr>
              <w:t>1</w:t>
            </w:r>
            <w:r>
              <w:rPr>
                <w:rFonts w:hint="eastAsia" w:ascii="宋体" w:hAnsi="宋体" w:cs="宋体"/>
                <w:b w:val="0"/>
                <w:bCs/>
                <w:color w:val="auto"/>
                <w:sz w:val="18"/>
                <w:szCs w:val="18"/>
                <w:highlight w:val="none"/>
              </w:rPr>
              <w:t>、报价要求：</w:t>
            </w:r>
          </w:p>
          <w:p w14:paraId="29BB222F">
            <w:pPr>
              <w:pStyle w:val="2"/>
              <w:spacing w:before="0" w:after="0"/>
              <w:rPr>
                <w:b w:val="0"/>
                <w:bCs/>
                <w:color w:val="auto"/>
                <w:sz w:val="18"/>
                <w:szCs w:val="18"/>
                <w:highlight w:val="none"/>
              </w:rPr>
            </w:pPr>
            <w:r>
              <w:rPr>
                <w:rFonts w:hint="eastAsia"/>
                <w:b w:val="0"/>
                <w:bCs/>
                <w:color w:val="auto"/>
                <w:sz w:val="18"/>
                <w:szCs w:val="18"/>
                <w:highlight w:val="none"/>
              </w:rPr>
              <w:t xml:space="preserve">1.1  </w:t>
            </w:r>
            <w:r>
              <w:rPr>
                <w:rFonts w:hint="eastAsia" w:ascii="宋体" w:hAnsi="宋体" w:cs="宋体"/>
                <w:b w:val="0"/>
                <w:bCs/>
                <w:color w:val="auto"/>
                <w:sz w:val="18"/>
                <w:szCs w:val="18"/>
                <w:highlight w:val="none"/>
              </w:rPr>
              <w:t>本项目</w:t>
            </w:r>
            <w:r>
              <w:rPr>
                <w:rFonts w:ascii="宋体" w:hAnsi="宋体" w:cs="宋体"/>
                <w:b w:val="0"/>
                <w:bCs/>
                <w:color w:val="auto"/>
                <w:sz w:val="18"/>
                <w:szCs w:val="18"/>
                <w:highlight w:val="none"/>
              </w:rPr>
              <w:t>为交钥匙工程，实行总承包报价</w:t>
            </w:r>
            <w:r>
              <w:rPr>
                <w:rFonts w:hint="eastAsia" w:ascii="宋体" w:hAnsi="宋体" w:cs="宋体"/>
                <w:b w:val="0"/>
                <w:bCs/>
                <w:color w:val="auto"/>
                <w:sz w:val="18"/>
                <w:szCs w:val="18"/>
                <w:highlight w:val="none"/>
              </w:rPr>
              <w:t>，必须含以下部分，包括：</w:t>
            </w:r>
          </w:p>
          <w:p w14:paraId="2C94CAC3">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b w:val="0"/>
                <w:bCs/>
                <w:color w:val="auto"/>
                <w:sz w:val="18"/>
                <w:szCs w:val="18"/>
                <w:highlight w:val="none"/>
              </w:rPr>
              <w:t>1</w:t>
            </w:r>
            <w:r>
              <w:rPr>
                <w:rFonts w:hint="eastAsia" w:ascii="宋体" w:hAnsi="宋体" w:cs="宋体"/>
                <w:b w:val="0"/>
                <w:bCs/>
                <w:color w:val="auto"/>
                <w:sz w:val="18"/>
                <w:szCs w:val="18"/>
                <w:highlight w:val="none"/>
              </w:rPr>
              <w:t>）服务的价格；</w:t>
            </w:r>
          </w:p>
          <w:p w14:paraId="7CCE28E3">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b w:val="0"/>
                <w:bCs/>
                <w:color w:val="auto"/>
                <w:sz w:val="18"/>
                <w:szCs w:val="18"/>
                <w:highlight w:val="none"/>
              </w:rPr>
              <w:t>2</w:t>
            </w:r>
            <w:r>
              <w:rPr>
                <w:rFonts w:hint="eastAsia" w:ascii="宋体" w:hAnsi="宋体" w:cs="宋体"/>
                <w:b w:val="0"/>
                <w:bCs/>
                <w:color w:val="auto"/>
                <w:sz w:val="18"/>
                <w:szCs w:val="18"/>
                <w:highlight w:val="none"/>
              </w:rPr>
              <w:t>）必要的保险费用和各项税金；</w:t>
            </w:r>
          </w:p>
          <w:p w14:paraId="49B9C4E4">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b w:val="0"/>
                <w:bCs/>
                <w:color w:val="auto"/>
                <w:sz w:val="18"/>
                <w:szCs w:val="18"/>
                <w:highlight w:val="none"/>
              </w:rPr>
              <w:t>3</w:t>
            </w:r>
            <w:r>
              <w:rPr>
                <w:rFonts w:hint="eastAsia" w:ascii="宋体" w:hAnsi="宋体" w:cs="宋体"/>
                <w:b w:val="0"/>
                <w:bCs/>
                <w:color w:val="auto"/>
                <w:sz w:val="18"/>
                <w:szCs w:val="18"/>
                <w:highlight w:val="none"/>
              </w:rPr>
              <w:t>）其他如定制开发、运输、装卸、安装、调试、培训、技术支持、售后服务、更新升级等费用；</w:t>
            </w:r>
          </w:p>
          <w:p w14:paraId="33AF4447">
            <w:pPr>
              <w:pStyle w:val="2"/>
              <w:spacing w:before="0" w:after="0"/>
              <w:rPr>
                <w:b w:val="0"/>
                <w:bCs/>
                <w:color w:val="auto"/>
                <w:sz w:val="18"/>
                <w:szCs w:val="18"/>
                <w:highlight w:val="none"/>
              </w:rPr>
            </w:pPr>
            <w:r>
              <w:rPr>
                <w:rFonts w:hint="eastAsia"/>
                <w:b w:val="0"/>
                <w:bCs/>
                <w:color w:val="auto"/>
                <w:sz w:val="18"/>
                <w:szCs w:val="18"/>
                <w:highlight w:val="none"/>
              </w:rPr>
              <w:t>（4）与第三方系统对接所产生的所有商业费用。</w:t>
            </w:r>
          </w:p>
          <w:p w14:paraId="1403A1B5">
            <w:pPr>
              <w:pStyle w:val="2"/>
              <w:tabs>
                <w:tab w:val="center" w:pos="4153"/>
                <w:tab w:val="right" w:pos="8306"/>
              </w:tabs>
              <w:spacing w:before="0" w:after="0"/>
              <w:rPr>
                <w:rFonts w:hint="eastAsia"/>
                <w:bCs/>
                <w:color w:val="auto"/>
                <w:sz w:val="18"/>
                <w:szCs w:val="18"/>
                <w:highlight w:val="none"/>
              </w:rPr>
            </w:pPr>
            <w:r>
              <w:rPr>
                <w:rFonts w:hint="eastAsia"/>
                <w:bCs/>
                <w:color w:val="auto"/>
                <w:sz w:val="18"/>
                <w:szCs w:val="18"/>
                <w:highlight w:val="none"/>
              </w:rPr>
              <w:t>（5）在</w:t>
            </w:r>
            <w:r>
              <w:rPr>
                <w:rFonts w:hint="eastAsia"/>
                <w:bCs/>
                <w:color w:val="auto"/>
                <w:sz w:val="18"/>
                <w:szCs w:val="18"/>
                <w:highlight w:val="none"/>
                <w:lang w:val="en-US" w:eastAsia="zh-CN"/>
              </w:rPr>
              <w:t>运营</w:t>
            </w:r>
            <w:r>
              <w:rPr>
                <w:rFonts w:hint="eastAsia"/>
                <w:bCs/>
                <w:color w:val="auto"/>
                <w:sz w:val="18"/>
                <w:szCs w:val="18"/>
                <w:highlight w:val="none"/>
              </w:rPr>
              <w:t>服务期内，每年负责系统的本项目的等保测评、密评等工作</w:t>
            </w:r>
            <w:r>
              <w:rPr>
                <w:rFonts w:hint="eastAsia"/>
                <w:bCs/>
                <w:color w:val="auto"/>
                <w:sz w:val="18"/>
                <w:szCs w:val="18"/>
                <w:highlight w:val="none"/>
                <w:lang w:eastAsia="zh-CN"/>
              </w:rPr>
              <w:t>，</w:t>
            </w:r>
            <w:r>
              <w:rPr>
                <w:rFonts w:hint="eastAsia"/>
                <w:bCs/>
                <w:color w:val="auto"/>
                <w:sz w:val="18"/>
                <w:szCs w:val="18"/>
                <w:highlight w:val="none"/>
                <w:lang w:val="en-US" w:eastAsia="zh-CN"/>
              </w:rPr>
              <w:t>按要求完成相关问题整改，须取得通过的结果，并按流程完成相关结果报备工作</w:t>
            </w:r>
            <w:r>
              <w:rPr>
                <w:rFonts w:hint="eastAsia"/>
                <w:bCs/>
                <w:color w:val="auto"/>
                <w:sz w:val="18"/>
                <w:szCs w:val="18"/>
                <w:highlight w:val="none"/>
              </w:rPr>
              <w:t>。</w:t>
            </w:r>
          </w:p>
          <w:p w14:paraId="665B5C0D">
            <w:pPr>
              <w:pStyle w:val="2"/>
              <w:spacing w:before="0" w:after="0"/>
              <w:rPr>
                <w:bCs/>
                <w:color w:val="auto"/>
                <w:highlight w:val="none"/>
              </w:rPr>
            </w:pPr>
            <w:r>
              <w:rPr>
                <w:rFonts w:hint="eastAsia"/>
                <w:b w:val="0"/>
                <w:bCs/>
                <w:color w:val="auto"/>
                <w:sz w:val="18"/>
                <w:szCs w:val="18"/>
                <w:highlight w:val="none"/>
              </w:rPr>
              <w:t>（6）为完成本次招标项目的全费用价格，其组成包括但不限于人员工资、劳动保险、办公、交通、专家咨询/评审、资料印刷、附加培训、税金及其他所有可能发生的一切费用。投标人为履行本合同而发生的所有费用均应包含在合同价款中，采购人不再另行支付其</w:t>
            </w:r>
            <w:r>
              <w:rPr>
                <w:rFonts w:hint="eastAsia"/>
                <w:b w:val="0"/>
                <w:bCs/>
                <w:color w:val="auto"/>
                <w:sz w:val="18"/>
                <w:szCs w:val="18"/>
                <w:highlight w:val="none"/>
                <w:lang w:val="en-US" w:eastAsia="zh-CN"/>
              </w:rPr>
              <w:t>他</w:t>
            </w:r>
            <w:r>
              <w:rPr>
                <w:rFonts w:hint="eastAsia"/>
                <w:b w:val="0"/>
                <w:bCs/>
                <w:color w:val="auto"/>
                <w:sz w:val="18"/>
                <w:szCs w:val="18"/>
                <w:highlight w:val="none"/>
              </w:rPr>
              <w:t>任何费用。</w:t>
            </w:r>
          </w:p>
          <w:p w14:paraId="49174DEB">
            <w:pPr>
              <w:pStyle w:val="2"/>
              <w:snapToGrid w:val="0"/>
              <w:spacing w:before="0" w:after="0"/>
              <w:jc w:val="left"/>
              <w:rPr>
                <w:b w:val="0"/>
                <w:bCs/>
                <w:color w:val="auto"/>
                <w:sz w:val="18"/>
                <w:szCs w:val="18"/>
                <w:highlight w:val="none"/>
              </w:rPr>
            </w:pPr>
            <w:r>
              <w:rPr>
                <w:rFonts w:hint="eastAsia"/>
                <w:b w:val="0"/>
                <w:bCs/>
                <w:color w:val="auto"/>
                <w:sz w:val="18"/>
                <w:szCs w:val="18"/>
                <w:highlight w:val="none"/>
              </w:rPr>
              <w:t>1.2.系统整体按信息安全等级保护三级设计，中标人所负责建设的内容满足信息安全有关设计要求，达到测评标准。</w:t>
            </w:r>
          </w:p>
          <w:p w14:paraId="6F990490">
            <w:pPr>
              <w:pStyle w:val="2"/>
              <w:spacing w:before="0" w:after="0"/>
              <w:rPr>
                <w:bCs/>
                <w:color w:val="auto"/>
                <w:sz w:val="18"/>
                <w:szCs w:val="18"/>
                <w:highlight w:val="none"/>
              </w:rPr>
            </w:pPr>
            <w:r>
              <w:rPr>
                <w:rFonts w:hint="eastAsia"/>
                <w:b w:val="0"/>
                <w:bCs/>
                <w:color w:val="auto"/>
                <w:sz w:val="18"/>
                <w:szCs w:val="18"/>
                <w:highlight w:val="none"/>
              </w:rPr>
              <w:t>1.3.中标人所提供的产品与服务，及最终交付的密码应用环境，必须满足国家商用密码应用安全性评估测评的有关标准和规范</w:t>
            </w:r>
          </w:p>
          <w:p w14:paraId="10DE0EE6">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rFonts w:hint="eastAsia"/>
                <w:b w:val="0"/>
                <w:bCs/>
                <w:color w:val="auto"/>
                <w:sz w:val="18"/>
                <w:szCs w:val="18"/>
                <w:highlight w:val="none"/>
              </w:rPr>
              <w:t>2</w:t>
            </w:r>
            <w:r>
              <w:rPr>
                <w:rFonts w:hint="eastAsia" w:ascii="宋体" w:hAnsi="宋体" w:cs="宋体"/>
                <w:b w:val="0"/>
                <w:bCs/>
                <w:color w:val="auto"/>
                <w:sz w:val="18"/>
                <w:szCs w:val="18"/>
                <w:highlight w:val="none"/>
              </w:rPr>
              <w:t>、验收要求及标准：</w:t>
            </w:r>
          </w:p>
          <w:p w14:paraId="5DFD0DAB">
            <w:pPr>
              <w:pStyle w:val="2"/>
              <w:spacing w:before="0" w:after="0"/>
              <w:rPr>
                <w:b w:val="0"/>
                <w:bCs/>
                <w:color w:val="auto"/>
                <w:sz w:val="18"/>
                <w:szCs w:val="18"/>
                <w:highlight w:val="none"/>
              </w:rPr>
            </w:pPr>
            <w:r>
              <w:rPr>
                <w:rFonts w:hint="eastAsia"/>
                <w:b w:val="0"/>
                <w:bCs/>
                <w:color w:val="auto"/>
                <w:sz w:val="18"/>
                <w:szCs w:val="18"/>
                <w:highlight w:val="none"/>
              </w:rPr>
              <w:t>2.1</w:t>
            </w:r>
            <w:r>
              <w:rPr>
                <w:rFonts w:hint="eastAsia" w:ascii="宋体" w:hAnsi="宋体" w:cs="宋体"/>
                <w:b w:val="0"/>
                <w:bCs/>
                <w:color w:val="auto"/>
                <w:sz w:val="18"/>
                <w:szCs w:val="18"/>
                <w:highlight w:val="none"/>
              </w:rPr>
              <w:t>根据采购需求的要求进行验收，在验收时由采购</w:t>
            </w:r>
            <w:r>
              <w:rPr>
                <w:rFonts w:hint="eastAsia" w:ascii="宋体" w:hAnsi="宋体" w:cs="宋体"/>
                <w:b w:val="0"/>
                <w:bCs/>
                <w:color w:val="auto"/>
                <w:sz w:val="18"/>
                <w:szCs w:val="18"/>
                <w:highlight w:val="none"/>
                <w:lang w:val="en-US" w:eastAsia="zh-CN"/>
              </w:rPr>
              <w:t>人</w:t>
            </w:r>
            <w:r>
              <w:rPr>
                <w:rFonts w:hint="eastAsia" w:ascii="宋体" w:hAnsi="宋体" w:cs="宋体"/>
                <w:b w:val="0"/>
                <w:bCs/>
                <w:color w:val="auto"/>
                <w:sz w:val="18"/>
                <w:szCs w:val="18"/>
                <w:highlight w:val="none"/>
              </w:rPr>
              <w:t>对照招标文件的功能目标及技术指标全面核对检验，如不符合招标文件的技术需求及要求以及提供虚假承诺的，按相关规定作退货处理及违约处理，中标人承担所有责任和费用，采购人保留进一步追究责任的权利。</w:t>
            </w:r>
          </w:p>
          <w:p w14:paraId="79040B8E">
            <w:pPr>
              <w:pStyle w:val="2"/>
              <w:spacing w:before="0" w:after="0"/>
              <w:rPr>
                <w:b w:val="0"/>
                <w:bCs/>
                <w:color w:val="auto"/>
                <w:sz w:val="18"/>
                <w:szCs w:val="18"/>
                <w:highlight w:val="none"/>
              </w:rPr>
            </w:pPr>
            <w:r>
              <w:rPr>
                <w:rFonts w:hint="eastAsia"/>
                <w:b w:val="0"/>
                <w:bCs/>
                <w:color w:val="auto"/>
                <w:sz w:val="18"/>
                <w:szCs w:val="18"/>
                <w:highlight w:val="none"/>
              </w:rPr>
              <w:t>2.2必要时采购人可委托第三方检测机构开展采购项目验收工作。</w:t>
            </w:r>
          </w:p>
          <w:p w14:paraId="71B9C064">
            <w:pPr>
              <w:pStyle w:val="2"/>
              <w:spacing w:before="0" w:after="0"/>
              <w:rPr>
                <w:b w:val="0"/>
                <w:bCs/>
                <w:color w:val="auto"/>
                <w:sz w:val="18"/>
                <w:szCs w:val="18"/>
                <w:highlight w:val="none"/>
              </w:rPr>
            </w:pPr>
            <w:r>
              <w:rPr>
                <w:rFonts w:hint="eastAsia"/>
                <w:b w:val="0"/>
                <w:bCs/>
                <w:color w:val="auto"/>
                <w:sz w:val="18"/>
                <w:szCs w:val="18"/>
                <w:highlight w:val="none"/>
              </w:rPr>
              <w:t>2.3中标人在约定的期限内完成本项目采购人最终确认的需求，认为可以验收的，以书面方式通知采购人。交付验收前，中标人须对所交付的项目进行功能和运行检测，以确认交付项目符合本项目技术参数要求。</w:t>
            </w:r>
          </w:p>
          <w:p w14:paraId="5B9B65D0">
            <w:pPr>
              <w:pStyle w:val="2"/>
              <w:spacing w:before="0" w:after="0"/>
              <w:rPr>
                <w:b w:val="0"/>
                <w:bCs/>
                <w:color w:val="auto"/>
                <w:sz w:val="18"/>
                <w:szCs w:val="18"/>
                <w:highlight w:val="none"/>
              </w:rPr>
            </w:pPr>
            <w:r>
              <w:rPr>
                <w:rFonts w:hint="eastAsia"/>
                <w:b w:val="0"/>
                <w:bCs/>
                <w:color w:val="auto"/>
                <w:sz w:val="18"/>
                <w:szCs w:val="18"/>
                <w:highlight w:val="none"/>
              </w:rPr>
              <w:t>2.4 验收过程中所产生的一切费用均由中标人承担。报价时应考虑相关费用。</w:t>
            </w:r>
          </w:p>
          <w:p w14:paraId="69CF4D6A">
            <w:pPr>
              <w:pStyle w:val="2"/>
              <w:spacing w:before="0" w:after="0"/>
              <w:rPr>
                <w:b w:val="0"/>
                <w:bCs/>
                <w:color w:val="auto"/>
                <w:sz w:val="18"/>
                <w:szCs w:val="18"/>
                <w:highlight w:val="none"/>
              </w:rPr>
            </w:pPr>
            <w:r>
              <w:rPr>
                <w:rFonts w:hint="eastAsia"/>
                <w:b w:val="0"/>
                <w:bCs/>
                <w:color w:val="auto"/>
                <w:sz w:val="18"/>
                <w:szCs w:val="18"/>
                <w:highlight w:val="none"/>
              </w:rPr>
              <w:t>3</w:t>
            </w:r>
            <w:r>
              <w:rPr>
                <w:rFonts w:hint="eastAsia" w:ascii="宋体" w:hAnsi="宋体" w:cs="宋体"/>
                <w:b w:val="0"/>
                <w:bCs/>
                <w:color w:val="auto"/>
                <w:sz w:val="18"/>
                <w:szCs w:val="18"/>
                <w:highlight w:val="none"/>
              </w:rPr>
              <w:t>、投标人可自行根据实际情况，在投标文件中提供技术材料、商务材料等作为评审因素。</w:t>
            </w:r>
          </w:p>
          <w:p w14:paraId="498AEA6E">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b w:val="0"/>
                <w:bCs/>
                <w:color w:val="auto"/>
                <w:sz w:val="18"/>
                <w:szCs w:val="18"/>
                <w:highlight w:val="none"/>
              </w:rPr>
              <w:t>4</w:t>
            </w:r>
            <w:r>
              <w:rPr>
                <w:rFonts w:hint="eastAsia" w:ascii="宋体" w:hAnsi="宋体" w:cs="宋体"/>
                <w:b w:val="0"/>
                <w:bCs/>
                <w:color w:val="auto"/>
                <w:sz w:val="18"/>
                <w:szCs w:val="18"/>
                <w:highlight w:val="none"/>
              </w:rPr>
              <w:t>、投标人提供产品的功能，在使用过程中必须根据采购人的实际需要进行调整，在采购人提出调整要求时，必须能够在规定的时限内完成。</w:t>
            </w:r>
          </w:p>
          <w:p w14:paraId="1B62C4AB">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b w:val="0"/>
                <w:bCs/>
                <w:color w:val="auto"/>
                <w:sz w:val="18"/>
                <w:szCs w:val="18"/>
                <w:highlight w:val="none"/>
              </w:rPr>
              <w:t>5</w:t>
            </w:r>
            <w:r>
              <w:rPr>
                <w:rFonts w:hint="eastAsia" w:ascii="宋体" w:hAnsi="宋体" w:cs="宋体"/>
                <w:b w:val="0"/>
                <w:bCs/>
                <w:color w:val="auto"/>
                <w:sz w:val="18"/>
                <w:szCs w:val="18"/>
                <w:highlight w:val="none"/>
              </w:rPr>
              <w:t>、</w:t>
            </w:r>
            <w:r>
              <w:rPr>
                <w:rFonts w:hint="eastAsia"/>
                <w:b w:val="0"/>
                <w:bCs/>
                <w:color w:val="auto"/>
                <w:sz w:val="18"/>
                <w:szCs w:val="18"/>
                <w:highlight w:val="none"/>
              </w:rPr>
              <w:t>投标人报价包含系统部署所需的操作系统、数据库软件、中间件、集群软件等相关系统软件（但不限于所列），投标人根据需要配置并对其安全负责。投标人配置的软件须取得长期使用合法授权或版权。</w:t>
            </w:r>
          </w:p>
          <w:p w14:paraId="6A8CD866">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b w:val="0"/>
                <w:bCs/>
                <w:color w:val="auto"/>
                <w:sz w:val="18"/>
                <w:szCs w:val="18"/>
                <w:highlight w:val="none"/>
              </w:rPr>
              <w:t>6</w:t>
            </w:r>
            <w:r>
              <w:rPr>
                <w:rFonts w:hint="eastAsia" w:ascii="宋体" w:hAnsi="宋体" w:cs="宋体"/>
                <w:b w:val="0"/>
                <w:bCs/>
                <w:color w:val="auto"/>
                <w:sz w:val="18"/>
                <w:szCs w:val="18"/>
                <w:highlight w:val="none"/>
              </w:rPr>
              <w:t>、投标人投标的产品中标后即可有产品进行使用，产品可根据采购人需求在免费维护期内定制开发。</w:t>
            </w:r>
          </w:p>
          <w:p w14:paraId="5CC2BEDA">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rFonts w:hint="eastAsia"/>
                <w:b w:val="0"/>
                <w:bCs/>
                <w:color w:val="auto"/>
                <w:sz w:val="18"/>
                <w:szCs w:val="18"/>
                <w:highlight w:val="none"/>
              </w:rPr>
              <w:t>7</w:t>
            </w:r>
            <w:r>
              <w:rPr>
                <w:rFonts w:hint="eastAsia" w:ascii="宋体" w:hAnsi="宋体" w:cs="宋体"/>
                <w:b w:val="0"/>
                <w:bCs/>
                <w:color w:val="auto"/>
                <w:sz w:val="18"/>
                <w:szCs w:val="18"/>
                <w:highlight w:val="none"/>
              </w:rPr>
              <w:t>、投标人投标的产品如需使用第三方的软件、插件等，必须保证第三方的软件、插件安全可靠。</w:t>
            </w:r>
          </w:p>
          <w:p w14:paraId="0C2553DF">
            <w:pPr>
              <w:pStyle w:val="2"/>
              <w:spacing w:before="0" w:after="0"/>
              <w:rPr>
                <w:b w:val="0"/>
                <w:bCs/>
                <w:color w:val="auto"/>
                <w:sz w:val="18"/>
                <w:szCs w:val="18"/>
                <w:highlight w:val="none"/>
              </w:rPr>
            </w:pPr>
            <w:r>
              <w:rPr>
                <w:rFonts w:hint="eastAsia" w:ascii="宋体" w:hAnsi="宋体" w:cs="宋体"/>
                <w:b w:val="0"/>
                <w:bCs/>
                <w:color w:val="auto"/>
                <w:sz w:val="18"/>
                <w:szCs w:val="18"/>
                <w:highlight w:val="none"/>
              </w:rPr>
              <w:t>★</w:t>
            </w:r>
            <w:r>
              <w:rPr>
                <w:b w:val="0"/>
                <w:bCs/>
                <w:color w:val="auto"/>
                <w:sz w:val="18"/>
                <w:szCs w:val="18"/>
                <w:highlight w:val="none"/>
              </w:rPr>
              <w:t>8</w:t>
            </w:r>
            <w:r>
              <w:rPr>
                <w:rFonts w:hint="eastAsia" w:ascii="宋体" w:hAnsi="宋体" w:cs="宋体"/>
                <w:b w:val="0"/>
                <w:bCs/>
                <w:color w:val="auto"/>
                <w:sz w:val="18"/>
                <w:szCs w:val="18"/>
                <w:highlight w:val="none"/>
              </w:rPr>
              <w:t>、投标人中标后，投标产品的源代码及后台数据库必须交由采购人管理，</w:t>
            </w:r>
            <w:r>
              <w:rPr>
                <w:rFonts w:hint="eastAsia" w:ascii="宋体" w:hAnsi="宋体" w:cs="宋体"/>
                <w:b w:val="0"/>
                <w:bCs/>
                <w:color w:val="auto"/>
                <w:sz w:val="18"/>
                <w:szCs w:val="18"/>
                <w:highlight w:val="none"/>
                <w:lang w:val="en-US" w:eastAsia="zh-CN"/>
              </w:rPr>
              <w:t>根据需求开发定制化产品需提交源码给采购人管理，</w:t>
            </w:r>
            <w:r>
              <w:rPr>
                <w:rFonts w:hint="eastAsia" w:ascii="宋体" w:hAnsi="宋体" w:cs="宋体"/>
                <w:b w:val="0"/>
                <w:bCs/>
                <w:color w:val="auto"/>
                <w:sz w:val="18"/>
                <w:szCs w:val="18"/>
                <w:highlight w:val="none"/>
              </w:rPr>
              <w:t>且投标人的开发人员不能使用或泄露相关数据给第三方，一经发现，将追究相应的法律责任。</w:t>
            </w:r>
          </w:p>
          <w:p w14:paraId="1277D2A7">
            <w:pPr>
              <w:pStyle w:val="2"/>
              <w:spacing w:before="0" w:after="0"/>
              <w:rPr>
                <w:rFonts w:hint="eastAsia"/>
                <w:b w:val="0"/>
                <w:bCs/>
                <w:color w:val="auto"/>
                <w:sz w:val="18"/>
                <w:szCs w:val="18"/>
                <w:highlight w:val="none"/>
              </w:rPr>
            </w:pPr>
            <w:r>
              <w:rPr>
                <w:rFonts w:hint="eastAsia"/>
                <w:b w:val="0"/>
                <w:bCs/>
                <w:color w:val="auto"/>
                <w:sz w:val="18"/>
                <w:szCs w:val="18"/>
                <w:highlight w:val="none"/>
              </w:rPr>
              <w:t>★9、</w:t>
            </w:r>
            <w:r>
              <w:rPr>
                <w:rFonts w:hint="eastAsia"/>
                <w:b w:val="0"/>
                <w:bCs/>
                <w:color w:val="auto"/>
                <w:sz w:val="18"/>
                <w:szCs w:val="18"/>
                <w:highlight w:val="none"/>
                <w:lang w:val="en-US" w:eastAsia="zh-CN"/>
              </w:rPr>
              <w:t>投标人或相关产品厂商与采购人共同开展相关课题、奖项等申报工作，共同完成本项目所建设平台或系统相关的专利、软著等成果登记和论文发表（运营服务期内每个方向成果每年不少于1个），进一步完成相关科技成果登记，探索共同开展相关技术成果的服务转化工作。</w:t>
            </w:r>
          </w:p>
          <w:p w14:paraId="02C39247">
            <w:pPr>
              <w:pStyle w:val="2"/>
              <w:spacing w:before="0" w:after="0"/>
            </w:pPr>
            <w:r>
              <w:rPr>
                <w:rFonts w:hint="eastAsia"/>
                <w:b w:val="0"/>
                <w:bCs/>
                <w:color w:val="auto"/>
                <w:sz w:val="18"/>
                <w:szCs w:val="18"/>
                <w:highlight w:val="none"/>
              </w:rPr>
              <w:t>★</w:t>
            </w:r>
            <w:r>
              <w:rPr>
                <w:b w:val="0"/>
                <w:bCs/>
                <w:color w:val="auto"/>
                <w:sz w:val="18"/>
                <w:szCs w:val="18"/>
                <w:highlight w:val="none"/>
              </w:rPr>
              <w:t>1</w:t>
            </w:r>
            <w:r>
              <w:rPr>
                <w:rFonts w:hint="eastAsia"/>
                <w:b w:val="0"/>
                <w:bCs/>
                <w:color w:val="auto"/>
                <w:sz w:val="18"/>
                <w:szCs w:val="18"/>
                <w:highlight w:val="none"/>
                <w:lang w:val="en-US" w:eastAsia="zh-CN"/>
              </w:rPr>
              <w:t>0、</w:t>
            </w:r>
            <w:r>
              <w:rPr>
                <w:rFonts w:hint="eastAsia"/>
                <w:b w:val="0"/>
                <w:bCs/>
                <w:color w:val="auto"/>
                <w:sz w:val="18"/>
                <w:szCs w:val="18"/>
                <w:highlight w:val="none"/>
              </w:rPr>
              <w:t>凡是使用第三方软件、第三方插件的，必须对第三方软件和插件进行检测，出具安全检测报告，进行代码审计、渗透和测试。第三方软件、插件没有知识产权纠纷。</w:t>
            </w:r>
          </w:p>
          <w:p w14:paraId="359E849C">
            <w:pPr>
              <w:spacing w:line="240" w:lineRule="auto"/>
              <w:rPr>
                <w:rFonts w:hint="eastAsia" w:ascii="宋体" w:hAnsi="宋体" w:cs="宋体"/>
                <w:b/>
                <w:bCs/>
                <w:color w:val="auto"/>
                <w:kern w:val="0"/>
                <w:sz w:val="18"/>
                <w:szCs w:val="18"/>
                <w:highlight w:val="none"/>
              </w:rPr>
            </w:pPr>
            <w:r>
              <w:rPr>
                <w:rFonts w:hint="eastAsia"/>
                <w:b w:val="0"/>
                <w:bCs/>
                <w:color w:val="auto"/>
                <w:sz w:val="18"/>
                <w:szCs w:val="18"/>
                <w:highlight w:val="none"/>
              </w:rPr>
              <w:t>★</w:t>
            </w:r>
            <w:r>
              <w:rPr>
                <w:b w:val="0"/>
                <w:bCs/>
                <w:color w:val="auto"/>
                <w:sz w:val="18"/>
                <w:szCs w:val="18"/>
                <w:highlight w:val="none"/>
              </w:rPr>
              <w:t>1</w:t>
            </w:r>
            <w:r>
              <w:rPr>
                <w:rFonts w:hint="eastAsia"/>
                <w:b w:val="0"/>
                <w:bCs/>
                <w:color w:val="auto"/>
                <w:sz w:val="18"/>
                <w:szCs w:val="18"/>
                <w:highlight w:val="none"/>
                <w:lang w:eastAsia="zh-CN"/>
              </w:rPr>
              <w:t>1</w:t>
            </w:r>
            <w:r>
              <w:rPr>
                <w:rFonts w:hint="eastAsia"/>
                <w:b w:val="0"/>
                <w:bCs/>
                <w:color w:val="auto"/>
                <w:sz w:val="18"/>
                <w:szCs w:val="18"/>
                <w:highlight w:val="none"/>
              </w:rPr>
              <w:t>、中标人须按照采购人的要求指定专人完成项目竣工验收材料整理及提交，完成竣工验收评审会等工作的组织。</w:t>
            </w:r>
          </w:p>
        </w:tc>
      </w:tr>
      <w:tr w14:paraId="05D8117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F8786E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color w:val="auto"/>
                <w:kern w:val="0"/>
                <w:sz w:val="18"/>
                <w:szCs w:val="18"/>
                <w:highlight w:val="none"/>
              </w:rPr>
              <w:t>保密条款</w:t>
            </w:r>
          </w:p>
        </w:tc>
        <w:tc>
          <w:tcPr>
            <w:tcW w:w="4581" w:type="pct"/>
            <w:gridSpan w:val="5"/>
            <w:tcBorders>
              <w:top w:val="single" w:color="auto" w:sz="4" w:space="0"/>
              <w:left w:val="nil"/>
              <w:bottom w:val="single" w:color="auto" w:sz="4" w:space="0"/>
              <w:right w:val="single" w:color="auto" w:sz="4" w:space="0"/>
            </w:tcBorders>
            <w:vAlign w:val="center"/>
          </w:tcPr>
          <w:p w14:paraId="671E3CDD">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1.中标人对项目涉及的软硬件资料、网络拓扑、账号、密码、网络参数等负有安全保密责任，并需承担因未尽安全保密责任而引起的损失。项目在建设期、售后服务期和运维过程中，所用软件平台系统、数据库、数据与程序接口、硬件设备的用户管理、权限管理、密码管理等统一由采购人负责管理并授权中标人使用，中标人不得在任何环节擅自修改或额外设置用户和密码。中标人需做好相关信息的安全保密工作。</w:t>
            </w:r>
          </w:p>
          <w:p w14:paraId="31C77261">
            <w:pPr>
              <w:spacing w:line="240" w:lineRule="auto"/>
              <w:rPr>
                <w:rFonts w:hint="eastAsia" w:ascii="宋体" w:hAnsi="宋体" w:cs="宋体"/>
                <w:color w:val="auto"/>
                <w:kern w:val="0"/>
                <w:sz w:val="18"/>
                <w:szCs w:val="18"/>
                <w:highlight w:val="none"/>
              </w:rPr>
            </w:pPr>
            <w:r>
              <w:rPr>
                <w:rFonts w:hint="eastAsia" w:ascii="宋体" w:hAnsi="宋体" w:cs="宋体"/>
                <w:color w:val="auto"/>
                <w:sz w:val="18"/>
                <w:szCs w:val="18"/>
                <w:highlight w:val="none"/>
              </w:rPr>
              <w:t>2.本项目所生成、取得或交换而来的数据归采购人所有，未经采购人书面同意，中标人不得擅自对数据进行存储、提取、分析、截留、阻断、加密等行为，中标人亦无权对第三方泄露本项目产生的任何数据信息内容。</w:t>
            </w:r>
          </w:p>
        </w:tc>
      </w:tr>
      <w:tr w14:paraId="30910B23">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1D7A66E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w:t>
            </w:r>
            <w:r>
              <w:rPr>
                <w:rFonts w:hint="eastAsia" w:ascii="宋体" w:hAnsi="宋体" w:cs="宋体"/>
                <w:b w:val="0"/>
                <w:bCs w:val="0"/>
                <w:color w:val="auto"/>
                <w:kern w:val="0"/>
                <w:sz w:val="18"/>
                <w:szCs w:val="18"/>
                <w:highlight w:val="none"/>
              </w:rPr>
              <w:t>数据安全要求</w:t>
            </w:r>
          </w:p>
        </w:tc>
        <w:tc>
          <w:tcPr>
            <w:tcW w:w="4581" w:type="pct"/>
            <w:gridSpan w:val="5"/>
            <w:tcBorders>
              <w:top w:val="single" w:color="auto" w:sz="4" w:space="0"/>
              <w:left w:val="nil"/>
              <w:bottom w:val="single" w:color="auto" w:sz="4" w:space="0"/>
              <w:right w:val="single" w:color="auto" w:sz="4" w:space="0"/>
            </w:tcBorders>
            <w:vAlign w:val="center"/>
          </w:tcPr>
          <w:p w14:paraId="0938DE51">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1、中标人须严格遵守《网络安全法》《数据安全法》《个人信息保护法》《密码法》及政务行业相关管理规范；</w:t>
            </w:r>
          </w:p>
          <w:p w14:paraId="251DDF64">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2、本项目全部政务业务数据及敏感信息权属归采购人所有，中标人应严格按照相关规定履行数据安全保护义务，不得擅自留存、使用、泄露或者向他人提供政务数据，不得擅自将数据用于商业用途，不得擅自向境外提供数据；3、所有项目服务人员须遵守保密管理规定、签订保密承诺，严控信息外泄；对未落实安全责任导致数据泄露，违反数据安全、网络安全等有关法律、行政法规的规定，受到行政处罚或者刑事处罚的人员，依法限制或者禁止其参与本项目；4、项目结束后须完整移交全部资料与权限，在采购人监督下彻底销毁自有设备内政务数据，不得留存任何备份；</w:t>
            </w:r>
          </w:p>
          <w:p w14:paraId="5B4792B8">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5、如发生数据泄露等安全事件须及时上报，因</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原因造成安全事故、损失及追责的，由中标人承担全部赔偿责任与法律后果。</w:t>
            </w:r>
          </w:p>
          <w:p w14:paraId="7F858BEF">
            <w:pPr>
              <w:widowControl/>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6、配合做好政务信息系统安全检查、评测、审计等监督管理工作，如实、完整提供政务信息系统建设、运营、维护和政务数据安全管理相关情况，不得拒绝、隐匿、瞒报，若</w:t>
            </w:r>
            <w:r>
              <w:rPr>
                <w:rFonts w:hint="eastAsia" w:ascii="宋体" w:hAnsi="宋体" w:cs="宋体"/>
                <w:color w:val="auto"/>
                <w:sz w:val="18"/>
                <w:szCs w:val="18"/>
                <w:highlight w:val="none"/>
                <w:lang w:val="en-US" w:eastAsia="zh-CN"/>
              </w:rPr>
              <w:t>中标人</w:t>
            </w:r>
            <w:r>
              <w:rPr>
                <w:rFonts w:hint="eastAsia" w:ascii="宋体" w:hAnsi="宋体" w:cs="宋体"/>
                <w:color w:val="auto"/>
                <w:sz w:val="18"/>
                <w:szCs w:val="18"/>
                <w:highlight w:val="none"/>
              </w:rPr>
              <w:t>违反数据安全管理有关要求，</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将依法追究相关责任。</w:t>
            </w:r>
          </w:p>
        </w:tc>
      </w:tr>
      <w:tr w14:paraId="651AB9CB">
        <w:tblPrEx>
          <w:tblCellMar>
            <w:top w:w="0" w:type="dxa"/>
            <w:left w:w="108" w:type="dxa"/>
            <w:bottom w:w="0" w:type="dxa"/>
            <w:right w:w="108" w:type="dxa"/>
          </w:tblCellMar>
        </w:tblPrEx>
        <w:trPr>
          <w:trHeight w:val="480" w:hRule="atLeast"/>
        </w:trPr>
        <w:tc>
          <w:tcPr>
            <w:tcW w:w="418" w:type="pct"/>
            <w:tcBorders>
              <w:top w:val="nil"/>
              <w:left w:val="single" w:color="auto" w:sz="4" w:space="0"/>
              <w:bottom w:val="single" w:color="auto" w:sz="4" w:space="0"/>
              <w:right w:val="single" w:color="auto" w:sz="4" w:space="0"/>
            </w:tcBorders>
            <w:noWrap/>
            <w:vAlign w:val="center"/>
          </w:tcPr>
          <w:p w14:paraId="3909ECF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演示要求</w:t>
            </w:r>
          </w:p>
        </w:tc>
        <w:tc>
          <w:tcPr>
            <w:tcW w:w="4581" w:type="pct"/>
            <w:gridSpan w:val="5"/>
            <w:tcBorders>
              <w:top w:val="single" w:color="auto" w:sz="4" w:space="0"/>
              <w:left w:val="nil"/>
              <w:bottom w:val="single" w:color="auto" w:sz="4" w:space="0"/>
              <w:right w:val="single" w:color="auto" w:sz="4" w:space="0"/>
            </w:tcBorders>
            <w:vAlign w:val="center"/>
          </w:tcPr>
          <w:p w14:paraId="3D787D26">
            <w:pPr>
              <w:widowControl/>
              <w:snapToGrid/>
              <w:spacing w:line="240" w:lineRule="auto"/>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1、投标人可根据自身情况，按《第四章 评标方法及评标标准》</w:t>
            </w:r>
            <w:r>
              <w:rPr>
                <w:rFonts w:hint="eastAsia" w:ascii="宋体" w:hAnsi="宋体" w:cs="宋体"/>
                <w:b w:val="0"/>
                <w:bCs w:val="0"/>
                <w:color w:val="auto"/>
                <w:sz w:val="18"/>
                <w:szCs w:val="18"/>
                <w:highlight w:val="none"/>
              </w:rPr>
              <w:t>“重点产品及服务工具功能演示分”</w:t>
            </w:r>
            <w:r>
              <w:rPr>
                <w:rFonts w:hint="eastAsia" w:ascii="宋体" w:hAnsi="宋体" w:cs="宋体"/>
                <w:color w:val="auto"/>
                <w:sz w:val="18"/>
                <w:szCs w:val="18"/>
                <w:highlight w:val="none"/>
              </w:rPr>
              <w:t>要求进行演示，不作为实质性要求，</w:t>
            </w:r>
            <w:r>
              <w:rPr>
                <w:rFonts w:hint="eastAsia" w:ascii="宋体" w:hAnsi="宋体" w:cs="宋体"/>
                <w:bCs w:val="0"/>
                <w:color w:val="auto"/>
                <w:sz w:val="18"/>
                <w:szCs w:val="18"/>
                <w:highlight w:val="none"/>
              </w:rPr>
              <w:t>投标人如需要演示的，开标当日登录广西政府采购云平台（https://www.gcy.zfcg.gxzf.gov.cn）系统进行线上视频演示</w:t>
            </w:r>
            <w:r>
              <w:rPr>
                <w:rFonts w:hint="eastAsia" w:ascii="宋体" w:hAnsi="宋体" w:cs="宋体"/>
                <w:color w:val="auto"/>
                <w:sz w:val="18"/>
                <w:szCs w:val="18"/>
                <w:highlight w:val="none"/>
              </w:rPr>
              <w:t>。</w:t>
            </w:r>
          </w:p>
          <w:p w14:paraId="253657FE">
            <w:pPr>
              <w:widowControl/>
              <w:snapToGrid/>
              <w:spacing w:line="240" w:lineRule="auto"/>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2、演示时间：本项目提交投标文件截止时间</w:t>
            </w:r>
            <w:r>
              <w:rPr>
                <w:rFonts w:hint="eastAsia" w:ascii="宋体" w:hAnsi="宋体" w:cs="宋体"/>
                <w:bCs w:val="0"/>
                <w:color w:val="auto"/>
                <w:sz w:val="18"/>
                <w:szCs w:val="18"/>
                <w:highlight w:val="none"/>
              </w:rPr>
              <w:t>后</w:t>
            </w:r>
            <w:r>
              <w:rPr>
                <w:rFonts w:hint="eastAsia" w:ascii="宋体" w:hAnsi="宋体" w:cs="宋体"/>
                <w:color w:val="auto"/>
                <w:sz w:val="18"/>
                <w:szCs w:val="18"/>
                <w:highlight w:val="none"/>
              </w:rPr>
              <w:t>，具体时间</w:t>
            </w:r>
            <w:r>
              <w:rPr>
                <w:rFonts w:hint="eastAsia" w:ascii="宋体" w:hAnsi="宋体" w:cs="宋体"/>
                <w:bCs w:val="0"/>
                <w:color w:val="auto"/>
                <w:sz w:val="18"/>
                <w:szCs w:val="18"/>
                <w:highlight w:val="none"/>
              </w:rPr>
              <w:t>由</w:t>
            </w:r>
            <w:r>
              <w:rPr>
                <w:rFonts w:hint="eastAsia" w:ascii="宋体" w:hAnsi="宋体" w:cs="宋体"/>
                <w:color w:val="auto"/>
                <w:kern w:val="2"/>
                <w:sz w:val="18"/>
                <w:szCs w:val="18"/>
                <w:highlight w:val="none"/>
              </w:rPr>
              <w:t>代理机构</w:t>
            </w:r>
            <w:r>
              <w:rPr>
                <w:rFonts w:hint="eastAsia" w:ascii="宋体" w:hAnsi="宋体" w:cs="宋体"/>
                <w:bCs w:val="0"/>
                <w:color w:val="auto"/>
                <w:sz w:val="18"/>
                <w:szCs w:val="18"/>
                <w:highlight w:val="none"/>
              </w:rPr>
              <w:t>工作人员</w:t>
            </w:r>
            <w:r>
              <w:rPr>
                <w:rFonts w:hint="eastAsia" w:ascii="宋体" w:hAnsi="宋体" w:cs="宋体"/>
                <w:color w:val="auto"/>
                <w:sz w:val="18"/>
                <w:szCs w:val="18"/>
                <w:highlight w:val="none"/>
              </w:rPr>
              <w:t>另行通知。</w:t>
            </w:r>
          </w:p>
          <w:p w14:paraId="1BB9C788">
            <w:pPr>
              <w:widowControl/>
              <w:snapToGrid/>
              <w:spacing w:line="240" w:lineRule="auto"/>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3、演示地点：广西政府采购云平台（https://www.gcy.zfcg.gxzf.gov.cn）。</w:t>
            </w:r>
          </w:p>
          <w:p w14:paraId="79582158">
            <w:pPr>
              <w:widowControl/>
              <w:snapToGrid/>
              <w:spacing w:line="240" w:lineRule="auto"/>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4、演示时间要求：每位投标人演示时间不超过45分钟（含方案介绍部分、系统演示部分）。</w:t>
            </w:r>
          </w:p>
          <w:p w14:paraId="469EF7E1">
            <w:pPr>
              <w:widowControl/>
              <w:snapToGrid/>
              <w:spacing w:line="240" w:lineRule="auto"/>
              <w:textAlignment w:val="center"/>
              <w:rPr>
                <w:rFonts w:hint="eastAsia" w:ascii="宋体" w:hAnsi="宋体" w:cs="宋体"/>
                <w:color w:val="auto"/>
                <w:kern w:val="0"/>
                <w:sz w:val="18"/>
                <w:szCs w:val="18"/>
                <w:highlight w:val="none"/>
              </w:rPr>
            </w:pPr>
            <w:r>
              <w:rPr>
                <w:rFonts w:hint="eastAsia" w:ascii="宋体" w:hAnsi="宋体" w:cs="宋体"/>
                <w:color w:val="auto"/>
                <w:sz w:val="18"/>
                <w:szCs w:val="18"/>
                <w:highlight w:val="none"/>
              </w:rPr>
              <w:t>5、各投标人对演示要求做好充分考虑，并自行准备好演示所需的设备、排插、系统、网络热点等。</w:t>
            </w:r>
          </w:p>
        </w:tc>
      </w:tr>
    </w:tbl>
    <w:p w14:paraId="367EDA9F">
      <w:pPr>
        <w:spacing w:line="360" w:lineRule="auto"/>
        <w:jc w:val="center"/>
        <w:rPr>
          <w:rFonts w:hint="eastAsia" w:ascii="宋体" w:hAnsi="宋体"/>
          <w:color w:val="auto"/>
          <w:highlight w:val="none"/>
        </w:rPr>
      </w:pPr>
    </w:p>
    <w:p w14:paraId="0E1583D5">
      <w:pPr>
        <w:spacing w:line="360" w:lineRule="auto"/>
        <w:jc w:val="center"/>
        <w:rPr>
          <w:rFonts w:hint="eastAsia" w:ascii="宋体" w:hAnsi="宋体"/>
          <w:color w:val="auto"/>
          <w:highlight w:val="none"/>
        </w:rPr>
      </w:pPr>
    </w:p>
    <w:p w14:paraId="6FA77DFB">
      <w:pPr>
        <w:pStyle w:val="3"/>
        <w:keepNext w:val="0"/>
        <w:keepLines w:val="0"/>
        <w:spacing w:before="0" w:after="0"/>
        <w:jc w:val="center"/>
        <w:rPr>
          <w:rFonts w:hint="eastAsia" w:ascii="宋体" w:hAnsi="宋体" w:eastAsia="宋体"/>
          <w:color w:val="auto"/>
          <w:highlight w:val="none"/>
        </w:rPr>
      </w:pPr>
      <w:bookmarkStart w:id="46" w:name="_Toc3534"/>
    </w:p>
    <w:p w14:paraId="2CDFEAA0">
      <w:pPr>
        <w:pStyle w:val="3"/>
        <w:keepNext w:val="0"/>
        <w:keepLines w:val="0"/>
        <w:spacing w:before="0" w:after="0"/>
        <w:jc w:val="center"/>
        <w:rPr>
          <w:rFonts w:hint="eastAsia" w:ascii="宋体" w:hAnsi="宋体" w:eastAsia="宋体"/>
          <w:color w:val="auto"/>
          <w:highlight w:val="none"/>
        </w:rPr>
      </w:pPr>
    </w:p>
    <w:p w14:paraId="1B7A59BF">
      <w:pPr>
        <w:pStyle w:val="3"/>
        <w:keepNext w:val="0"/>
        <w:keepLines w:val="0"/>
        <w:spacing w:before="0" w:after="0"/>
        <w:jc w:val="center"/>
        <w:rPr>
          <w:rFonts w:hint="eastAsia" w:ascii="宋体" w:hAnsi="宋体" w:eastAsia="宋体"/>
          <w:color w:val="auto"/>
          <w:highlight w:val="none"/>
        </w:rPr>
      </w:pPr>
    </w:p>
    <w:p w14:paraId="56A6ABF7">
      <w:pPr>
        <w:pStyle w:val="3"/>
        <w:keepNext w:val="0"/>
        <w:keepLines w:val="0"/>
        <w:spacing w:before="0" w:after="0"/>
        <w:jc w:val="center"/>
        <w:rPr>
          <w:rFonts w:hint="eastAsia" w:ascii="宋体" w:hAnsi="宋体" w:eastAsia="宋体"/>
          <w:color w:val="auto"/>
          <w:highlight w:val="none"/>
        </w:rPr>
      </w:pPr>
    </w:p>
    <w:p w14:paraId="50AD7C71">
      <w:pPr>
        <w:pStyle w:val="3"/>
        <w:keepNext w:val="0"/>
        <w:keepLines w:val="0"/>
        <w:spacing w:before="0" w:after="0"/>
        <w:jc w:val="center"/>
        <w:rPr>
          <w:rFonts w:hint="eastAsia" w:ascii="宋体" w:hAnsi="宋体" w:eastAsia="宋体"/>
          <w:color w:val="auto"/>
          <w:highlight w:val="none"/>
        </w:rPr>
      </w:pPr>
    </w:p>
    <w:p w14:paraId="05F3EB81">
      <w:pPr>
        <w:pStyle w:val="3"/>
        <w:keepNext w:val="0"/>
        <w:keepLines w:val="0"/>
        <w:spacing w:before="0" w:after="0"/>
        <w:jc w:val="center"/>
        <w:rPr>
          <w:rFonts w:hint="eastAsia" w:ascii="宋体" w:hAnsi="宋体" w:eastAsia="宋体"/>
          <w:color w:val="auto"/>
          <w:highlight w:val="none"/>
        </w:rPr>
      </w:pPr>
    </w:p>
    <w:p w14:paraId="4A446E0F">
      <w:pPr>
        <w:pStyle w:val="3"/>
        <w:keepNext w:val="0"/>
        <w:keepLines w:val="0"/>
        <w:spacing w:before="0" w:after="0"/>
        <w:jc w:val="center"/>
        <w:rPr>
          <w:rFonts w:hint="eastAsia" w:ascii="宋体" w:hAnsi="宋体" w:eastAsia="宋体"/>
          <w:color w:val="auto"/>
          <w:highlight w:val="none"/>
        </w:rPr>
      </w:pPr>
    </w:p>
    <w:p w14:paraId="5ECD8613">
      <w:pPr>
        <w:pStyle w:val="3"/>
        <w:keepNext w:val="0"/>
        <w:keepLines w:val="0"/>
        <w:spacing w:before="0" w:after="0"/>
        <w:jc w:val="center"/>
        <w:rPr>
          <w:rFonts w:hint="eastAsia" w:ascii="宋体" w:hAnsi="宋体" w:eastAsia="宋体"/>
          <w:color w:val="auto"/>
          <w:highlight w:val="none"/>
        </w:rPr>
      </w:pPr>
    </w:p>
    <w:p w14:paraId="27655846">
      <w:pPr>
        <w:pStyle w:val="3"/>
        <w:keepNext w:val="0"/>
        <w:keepLines w:val="0"/>
        <w:spacing w:before="0" w:after="0"/>
        <w:jc w:val="center"/>
        <w:rPr>
          <w:rFonts w:hint="eastAsia" w:ascii="宋体" w:hAnsi="宋体" w:eastAsia="宋体"/>
          <w:color w:val="auto"/>
          <w:highlight w:val="none"/>
        </w:rPr>
      </w:pPr>
    </w:p>
    <w:p w14:paraId="02AC14A9">
      <w:pPr>
        <w:pStyle w:val="3"/>
        <w:keepNext w:val="0"/>
        <w:keepLines w:val="0"/>
        <w:spacing w:before="0" w:after="0"/>
        <w:jc w:val="center"/>
        <w:rPr>
          <w:rFonts w:hint="eastAsia" w:ascii="宋体" w:hAnsi="宋体" w:eastAsia="宋体"/>
          <w:color w:val="auto"/>
          <w:highlight w:val="none"/>
        </w:rPr>
      </w:pPr>
    </w:p>
    <w:p w14:paraId="0A915D9C">
      <w:pPr>
        <w:pStyle w:val="3"/>
        <w:keepNext w:val="0"/>
        <w:keepLines w:val="0"/>
        <w:spacing w:before="0" w:after="0"/>
        <w:jc w:val="center"/>
        <w:rPr>
          <w:rFonts w:hint="eastAsia" w:ascii="宋体" w:hAnsi="宋体" w:eastAsia="宋体"/>
          <w:color w:val="auto"/>
          <w:highlight w:val="none"/>
        </w:rPr>
      </w:pPr>
    </w:p>
    <w:p w14:paraId="54333E53">
      <w:pPr>
        <w:pStyle w:val="3"/>
        <w:keepNext w:val="0"/>
        <w:keepLines w:val="0"/>
        <w:spacing w:before="0" w:after="0"/>
        <w:jc w:val="center"/>
        <w:rPr>
          <w:rFonts w:hint="eastAsia" w:ascii="宋体" w:hAnsi="宋体" w:eastAsia="宋体"/>
          <w:color w:val="auto"/>
          <w:highlight w:val="none"/>
        </w:rPr>
      </w:pPr>
    </w:p>
    <w:p w14:paraId="096FD552">
      <w:pPr>
        <w:pStyle w:val="3"/>
        <w:keepNext w:val="0"/>
        <w:keepLines w:val="0"/>
        <w:spacing w:before="0" w:after="0"/>
        <w:jc w:val="center"/>
        <w:rPr>
          <w:rFonts w:hint="eastAsia" w:ascii="宋体" w:hAnsi="宋体" w:eastAsia="宋体"/>
          <w:color w:val="auto"/>
          <w:highlight w:val="none"/>
        </w:rPr>
      </w:pPr>
    </w:p>
    <w:p w14:paraId="51302B74">
      <w:pPr>
        <w:pStyle w:val="3"/>
        <w:keepNext w:val="0"/>
        <w:keepLines w:val="0"/>
        <w:spacing w:before="0" w:after="0"/>
        <w:jc w:val="center"/>
        <w:rPr>
          <w:rFonts w:hint="eastAsia" w:ascii="宋体" w:hAnsi="宋体" w:eastAsia="宋体"/>
          <w:color w:val="auto"/>
          <w:highlight w:val="none"/>
        </w:rPr>
      </w:pPr>
    </w:p>
    <w:p w14:paraId="1AC70FA9">
      <w:pPr>
        <w:pStyle w:val="3"/>
        <w:keepNext w:val="0"/>
        <w:keepLines w:val="0"/>
        <w:spacing w:before="0" w:after="0"/>
        <w:jc w:val="center"/>
        <w:rPr>
          <w:rFonts w:hint="eastAsia" w:ascii="宋体" w:hAnsi="宋体" w:eastAsia="宋体"/>
          <w:color w:val="auto"/>
          <w:highlight w:val="none"/>
        </w:rPr>
      </w:pPr>
    </w:p>
    <w:p w14:paraId="39872945">
      <w:pPr>
        <w:pStyle w:val="3"/>
        <w:keepNext w:val="0"/>
        <w:keepLines w:val="0"/>
        <w:spacing w:before="0" w:after="0"/>
        <w:jc w:val="center"/>
        <w:rPr>
          <w:rFonts w:hint="eastAsia" w:ascii="宋体" w:hAnsi="宋体" w:eastAsia="宋体"/>
          <w:color w:val="auto"/>
          <w:highlight w:val="none"/>
        </w:rPr>
      </w:pPr>
    </w:p>
    <w:p w14:paraId="6188919D">
      <w:pPr>
        <w:pStyle w:val="3"/>
        <w:keepNext w:val="0"/>
        <w:keepLines w:val="0"/>
        <w:spacing w:before="0" w:after="0"/>
        <w:jc w:val="center"/>
        <w:rPr>
          <w:rFonts w:hint="eastAsia" w:ascii="宋体" w:hAnsi="宋体" w:eastAsia="宋体"/>
          <w:color w:val="auto"/>
          <w:highlight w:val="none"/>
        </w:rPr>
      </w:pPr>
    </w:p>
    <w:p w14:paraId="3580DF21">
      <w:pPr>
        <w:pStyle w:val="3"/>
        <w:keepNext w:val="0"/>
        <w:keepLines w:val="0"/>
        <w:spacing w:before="0" w:after="0"/>
        <w:jc w:val="center"/>
        <w:rPr>
          <w:rFonts w:hint="eastAsia" w:ascii="宋体" w:hAnsi="宋体" w:eastAsia="宋体"/>
          <w:color w:val="auto"/>
          <w:highlight w:val="none"/>
        </w:rPr>
      </w:pPr>
    </w:p>
    <w:p w14:paraId="6F87A847">
      <w:pPr>
        <w:pStyle w:val="3"/>
        <w:keepNext w:val="0"/>
        <w:keepLines w:val="0"/>
        <w:spacing w:before="0" w:after="0"/>
        <w:jc w:val="center"/>
        <w:rPr>
          <w:rFonts w:hint="eastAsia" w:ascii="宋体" w:hAnsi="宋体" w:eastAsia="宋体"/>
          <w:color w:val="auto"/>
          <w:highlight w:val="none"/>
        </w:rPr>
      </w:pPr>
    </w:p>
    <w:p w14:paraId="409C2239">
      <w:pPr>
        <w:pStyle w:val="3"/>
        <w:keepNext w:val="0"/>
        <w:keepLines w:val="0"/>
        <w:spacing w:before="0" w:after="0"/>
        <w:jc w:val="center"/>
        <w:rPr>
          <w:rFonts w:hint="eastAsia" w:ascii="宋体" w:hAnsi="宋体" w:eastAsia="宋体"/>
          <w:color w:val="auto"/>
          <w:highlight w:val="none"/>
        </w:rPr>
      </w:pPr>
    </w:p>
    <w:p w14:paraId="17CBC7E3">
      <w:pPr>
        <w:pStyle w:val="3"/>
        <w:keepNext w:val="0"/>
        <w:keepLines w:val="0"/>
        <w:spacing w:before="0" w:after="0"/>
        <w:jc w:val="center"/>
        <w:rPr>
          <w:rFonts w:hint="eastAsia" w:ascii="宋体" w:hAnsi="宋体" w:eastAsia="宋体"/>
          <w:color w:val="auto"/>
          <w:highlight w:val="none"/>
        </w:rPr>
      </w:pPr>
      <w:r>
        <w:rPr>
          <w:rFonts w:hint="eastAsia" w:ascii="宋体" w:hAnsi="宋体" w:eastAsia="宋体"/>
          <w:color w:val="auto"/>
          <w:highlight w:val="none"/>
        </w:rPr>
        <w:t>第三章  投标人须知</w:t>
      </w:r>
      <w:bookmarkEnd w:id="46"/>
    </w:p>
    <w:p w14:paraId="73D28AFF">
      <w:pPr>
        <w:jc w:val="center"/>
        <w:rPr>
          <w:rFonts w:hint="eastAsia" w:ascii="宋体" w:hAnsi="宋体"/>
          <w:color w:val="auto"/>
          <w:sz w:val="36"/>
          <w:szCs w:val="36"/>
          <w:highlight w:val="none"/>
        </w:rPr>
      </w:pPr>
      <w:bookmarkStart w:id="47" w:name="_Toc254970526"/>
      <w:bookmarkStart w:id="48" w:name="_Toc254970667"/>
    </w:p>
    <w:p w14:paraId="43767949">
      <w:pPr>
        <w:jc w:val="center"/>
        <w:rPr>
          <w:rFonts w:hint="eastAsia" w:ascii="宋体" w:hAnsi="宋体"/>
          <w:color w:val="auto"/>
          <w:sz w:val="36"/>
          <w:szCs w:val="36"/>
          <w:highlight w:val="none"/>
        </w:rPr>
      </w:pPr>
      <w:r>
        <w:rPr>
          <w:rFonts w:hint="eastAsia" w:ascii="宋体" w:hAnsi="宋体"/>
          <w:color w:val="auto"/>
          <w:sz w:val="36"/>
          <w:szCs w:val="36"/>
          <w:highlight w:val="none"/>
        </w:rPr>
        <w:t>投标人须知前附表</w:t>
      </w:r>
      <w:bookmarkEnd w:id="47"/>
      <w:bookmarkEnd w:id="48"/>
    </w:p>
    <w:p w14:paraId="6E420487">
      <w:pPr>
        <w:jc w:val="center"/>
        <w:rPr>
          <w:rFonts w:hint="eastAsia" w:ascii="宋体" w:hAnsi="宋体"/>
          <w:color w:val="auto"/>
          <w:sz w:val="36"/>
          <w:szCs w:val="36"/>
          <w:highlight w:val="none"/>
        </w:rPr>
      </w:pPr>
    </w:p>
    <w:tbl>
      <w:tblPr>
        <w:tblStyle w:val="50"/>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4CC92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5C6BDD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A55453A">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146AD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A1D6572">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2E341B2F">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7FB54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2292011">
            <w:pPr>
              <w:spacing w:line="400" w:lineRule="exact"/>
              <w:jc w:val="center"/>
              <w:rPr>
                <w:rFonts w:hint="eastAsia" w:ascii="宋体" w:hAnsi="宋体"/>
                <w:color w:val="auto"/>
                <w:szCs w:val="21"/>
                <w:highlight w:val="none"/>
              </w:rPr>
            </w:pPr>
            <w:bookmarkStart w:id="49" w:name="_8.1"/>
            <w:bookmarkEnd w:id="49"/>
            <w:bookmarkStart w:id="50" w:name="_9.2"/>
            <w:bookmarkEnd w:id="50"/>
            <w:bookmarkStart w:id="51" w:name="_5"/>
            <w:bookmarkEnd w:id="51"/>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6DBD11E9">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78DE0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ABA9090">
            <w:pPr>
              <w:spacing w:line="400" w:lineRule="exact"/>
              <w:jc w:val="center"/>
              <w:rPr>
                <w:rFonts w:hint="eastAsia"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0E46B30C">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本项目不允许分包。</w:t>
            </w:r>
          </w:p>
        </w:tc>
      </w:tr>
      <w:tr w14:paraId="0CDCE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3E90A40E">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vAlign w:val="center"/>
          </w:tcPr>
          <w:p w14:paraId="7A30BF8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550F0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756D5EB0">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AF1C14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69949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0D8E2594">
            <w:pPr>
              <w:spacing w:line="400" w:lineRule="exact"/>
              <w:jc w:val="center"/>
              <w:rPr>
                <w:rFonts w:hint="eastAsia" w:ascii="宋体" w:hAnsi="宋体"/>
                <w:color w:val="auto"/>
                <w:szCs w:val="21"/>
                <w:highlight w:val="none"/>
              </w:rPr>
            </w:pPr>
            <w:bookmarkStart w:id="52" w:name="_13.1"/>
            <w:bookmarkEnd w:id="52"/>
            <w:r>
              <w:rPr>
                <w:rFonts w:hint="eastAsia" w:ascii="宋体" w:hAnsi="宋体"/>
                <w:color w:val="auto"/>
                <w:szCs w:val="21"/>
                <w:highlight w:val="none"/>
              </w:rPr>
              <w:t>13.</w:t>
            </w:r>
            <w:bookmarkStart w:id="53" w:name="_Hlt19632543"/>
            <w:r>
              <w:rPr>
                <w:rFonts w:hint="eastAsia" w:ascii="宋体" w:hAnsi="宋体"/>
                <w:color w:val="auto"/>
                <w:szCs w:val="21"/>
                <w:highlight w:val="none"/>
              </w:rPr>
              <w:t>1</w:t>
            </w:r>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458A7682">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128805CE">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71094DC9">
            <w:pPr>
              <w:tabs>
                <w:tab w:val="left" w:pos="459"/>
              </w:tabs>
              <w:snapToGrid w:val="0"/>
              <w:spacing w:line="400" w:lineRule="exact"/>
              <w:jc w:val="left"/>
              <w:rPr>
                <w:rFonts w:hint="eastAsia" w:ascii="宋体" w:hAnsi="宋体"/>
                <w:color w:val="auto"/>
                <w:szCs w:val="21"/>
                <w:highlight w:val="none"/>
              </w:rPr>
            </w:pPr>
            <w:bookmarkStart w:id="54" w:name="_Hlk71299233"/>
            <w:r>
              <w:rPr>
                <w:rFonts w:hint="eastAsia" w:ascii="宋体" w:hAnsi="宋体"/>
                <w:color w:val="auto"/>
                <w:szCs w:val="21"/>
                <w:highlight w:val="none"/>
              </w:rPr>
              <w:t>2、开标一览表</w:t>
            </w:r>
            <w:bookmarkEnd w:id="54"/>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BF630B">
            <w:pPr>
              <w:pStyle w:val="2"/>
              <w:rPr>
                <w:rFonts w:hint="eastAsia"/>
                <w:highlight w:val="none"/>
              </w:rPr>
            </w:pPr>
            <w:r>
              <w:rPr>
                <w:rFonts w:hint="eastAsia" w:ascii="宋体" w:hAnsi="宋体" w:cs="Times New Roman"/>
                <w:b w:val="0"/>
                <w:bCs/>
                <w:color w:val="auto"/>
                <w:kern w:val="2"/>
                <w:sz w:val="21"/>
                <w:szCs w:val="21"/>
                <w:highlight w:val="none"/>
                <w:lang w:val="en-US" w:eastAsia="zh-CN" w:bidi="ar-SA"/>
              </w:rPr>
              <w:t>3</w:t>
            </w:r>
            <w:r>
              <w:rPr>
                <w:rFonts w:hint="eastAsia" w:ascii="宋体" w:hAnsi="宋体" w:eastAsia="宋体" w:cs="Times New Roman"/>
                <w:b w:val="0"/>
                <w:bCs/>
                <w:color w:val="auto"/>
                <w:kern w:val="2"/>
                <w:sz w:val="21"/>
                <w:szCs w:val="21"/>
                <w:highlight w:val="none"/>
                <w:lang w:val="en-US" w:eastAsia="zh-CN" w:bidi="ar-SA"/>
              </w:rPr>
              <w:t>、《关于符合本国产品标准的声明函》或者财政部会同有关部门规定的有关证明文件</w:t>
            </w:r>
            <w:r>
              <w:rPr>
                <w:rFonts w:hint="eastAsia" w:ascii="宋体" w:hAnsi="宋体" w:cs="Times New Roman"/>
                <w:b w:val="0"/>
                <w:bCs/>
                <w:color w:val="auto"/>
                <w:kern w:val="2"/>
                <w:sz w:val="21"/>
                <w:szCs w:val="21"/>
                <w:highlight w:val="none"/>
                <w:lang w:val="en-US" w:eastAsia="zh-CN" w:bidi="ar-SA"/>
              </w:rPr>
              <w:t>；</w:t>
            </w:r>
            <w:r>
              <w:rPr>
                <w:rFonts w:hint="eastAsia" w:ascii="宋体" w:hAnsi="宋体" w:eastAsia="宋体" w:cs="Times New Roman"/>
                <w:b/>
                <w:color w:val="auto"/>
                <w:kern w:val="2"/>
                <w:sz w:val="21"/>
                <w:szCs w:val="21"/>
                <w:highlight w:val="none"/>
                <w:lang w:val="en-US" w:eastAsia="zh-CN" w:bidi="ar-SA"/>
              </w:rPr>
              <w:t>(投标人根据自身响应情况出具)</w:t>
            </w:r>
          </w:p>
          <w:p w14:paraId="02704C7D">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、投标人针对报价需要说明的其他文件和说明（格式自拟）。</w:t>
            </w:r>
          </w:p>
          <w:p w14:paraId="75E6C43E">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E600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71A22A2">
            <w:pPr>
              <w:spacing w:line="400" w:lineRule="exact"/>
              <w:rPr>
                <w:rFonts w:hint="eastAsia" w:ascii="宋体" w:hAnsi="宋体"/>
                <w:color w:val="auto"/>
                <w:szCs w:val="21"/>
                <w:highlight w:val="none"/>
              </w:rPr>
            </w:pPr>
            <w:bookmarkStart w:id="55" w:name="_13.2"/>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7AA5A38B">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2D28C8DA">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1、供应商为法人或者其他组织的，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5ECAA015">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2、投标人依法缴纳税收的相关材料（2025年10月至2026年3月内连续3个月的依法缴纳税收的凭据复印件；依法免税的供应商，必须提供相应文件证明其依法免税。从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6F6C13FE">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[2025年10月至2026年3月内连续3个月的依法缴纳社会保障资金的缴费凭证（专用收据或者社会保险缴纳清单）复印件；依法不需要缴纳社会保障资金的供应商，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47D1639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4、投标人财务状况报告（2024年度财务报表复印件或者银行出具的资信证明；投标人属于成立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043A7536">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2BBA3390">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06618848">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7、联合体协议书（格式后附）；（联合体投标时必须提供，否则按无效投标处理）</w:t>
            </w:r>
          </w:p>
          <w:p w14:paraId="446C3BA4">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8、中小企业声明函（格式后附）；</w:t>
            </w:r>
          </w:p>
          <w:p w14:paraId="5F159151">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34890EC7">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w:t>
            </w:r>
          </w:p>
          <w:p w14:paraId="43A470AD">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48DAD7F2">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5669F8E6">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512CDCB7">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5BF48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02ADCA6">
            <w:pPr>
              <w:spacing w:line="400" w:lineRule="exact"/>
              <w:rPr>
                <w:rFonts w:hint="eastAsia" w:ascii="宋体" w:hAnsi="宋体"/>
                <w:color w:val="auto"/>
                <w:szCs w:val="21"/>
                <w:highlight w:val="none"/>
              </w:rPr>
            </w:pPr>
            <w:bookmarkStart w:id="56" w:name="_13.3"/>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239F828E">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6C5FC81F">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3B83127">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55ADFDC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EB15D3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BC1A46D">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FEE8607">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BEDBF7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p>
          <w:p w14:paraId="4D11F94B">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2CAEC377">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53AE897A">
            <w:pPr>
              <w:snapToGrid w:val="0"/>
              <w:spacing w:line="400" w:lineRule="exact"/>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8964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492BC58">
            <w:pPr>
              <w:spacing w:line="400" w:lineRule="exact"/>
              <w:rPr>
                <w:rFonts w:hint="eastAsia" w:ascii="宋体" w:hAnsi="宋体"/>
                <w:color w:val="auto"/>
                <w:szCs w:val="21"/>
                <w:highlight w:val="none"/>
              </w:rPr>
            </w:pPr>
            <w:bookmarkStart w:id="57" w:name="_13.4"/>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63661BEC">
            <w:pPr>
              <w:snapToGrid w:val="0"/>
              <w:spacing w:line="400" w:lineRule="exact"/>
              <w:jc w:val="left"/>
              <w:rPr>
                <w:rFonts w:hint="eastAsia" w:ascii="宋体" w:hAnsi="宋体" w:cs="Courier New"/>
                <w:b/>
                <w:i/>
                <w:color w:val="auto"/>
                <w:szCs w:val="21"/>
                <w:highlight w:val="none"/>
              </w:rPr>
            </w:pPr>
            <w:r>
              <w:rPr>
                <w:rFonts w:hint="eastAsia" w:ascii="宋体" w:hAnsi="宋体" w:cs="Courier New"/>
                <w:b/>
                <w:color w:val="auto"/>
                <w:szCs w:val="21"/>
                <w:highlight w:val="none"/>
              </w:rPr>
              <w:t>技术文件：</w:t>
            </w:r>
          </w:p>
          <w:p w14:paraId="762D5C8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、技术要求偏离表（格式后附）；（必须提供，否则按无效投标处理）</w:t>
            </w:r>
          </w:p>
          <w:p w14:paraId="2BD49F25">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、服务方案（格式自拟）； </w:t>
            </w:r>
          </w:p>
          <w:p w14:paraId="400286DF">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、项目实施人员一览表（格式后附）； </w:t>
            </w:r>
          </w:p>
          <w:p w14:paraId="725004A3">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、投标人对本项目的合理化建议和改进措施（格式自拟）；</w:t>
            </w:r>
          </w:p>
          <w:p w14:paraId="41673F0C">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、除招标文件规定必须提供以外，投标人需要说明的其他文件和说明（格式自拟）。</w:t>
            </w:r>
          </w:p>
          <w:p w14:paraId="243DCFDA">
            <w:pPr>
              <w:snapToGrid w:val="0"/>
              <w:spacing w:line="400" w:lineRule="exact"/>
              <w:ind w:firstLine="316" w:firstLineChars="15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8BDB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7E62740">
            <w:pPr>
              <w:spacing w:line="400" w:lineRule="exact"/>
              <w:jc w:val="center"/>
              <w:rPr>
                <w:rFonts w:hint="eastAsia" w:ascii="宋体" w:hAnsi="宋体"/>
                <w:color w:val="auto"/>
                <w:szCs w:val="21"/>
                <w:highlight w:val="none"/>
              </w:rPr>
            </w:pPr>
            <w:bookmarkStart w:id="58" w:name="_16.2"/>
            <w:bookmarkEnd w:id="58"/>
            <w:bookmarkStart w:id="59" w:name="_13.5"/>
            <w:bookmarkEnd w:id="59"/>
            <w:r>
              <w:rPr>
                <w:rFonts w:hint="eastAsia" w:ascii="宋体" w:hAnsi="宋体"/>
                <w:color w:val="auto"/>
                <w:szCs w:val="21"/>
                <w:highlight w:val="none"/>
              </w:rPr>
              <w:t>16</w:t>
            </w:r>
            <w:bookmarkStart w:id="60" w:name="_Hlt19693758"/>
            <w:bookmarkStart w:id="61" w:name="_Hlt19194067"/>
            <w:bookmarkStart w:id="62" w:name="_Hlt19194066"/>
            <w:bookmarkStart w:id="63" w:name="_Hlt19693759"/>
            <w:r>
              <w:rPr>
                <w:rFonts w:hint="eastAsia" w:ascii="宋体" w:hAnsi="宋体"/>
                <w:color w:val="auto"/>
                <w:szCs w:val="21"/>
                <w:highlight w:val="none"/>
              </w:rPr>
              <w:t>.</w:t>
            </w:r>
            <w:bookmarkEnd w:id="60"/>
            <w:bookmarkEnd w:id="61"/>
            <w:bookmarkEnd w:id="62"/>
            <w:bookmarkEnd w:id="63"/>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280C8B71">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即满足全部采购需求所应提供的服务的价格；包括投标服务的成本、运输（含保险）（如有）、技术服务、培训、税费等所有费用。</w:t>
            </w:r>
          </w:p>
        </w:tc>
      </w:tr>
      <w:tr w14:paraId="1A96B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8B7DC17">
            <w:pPr>
              <w:spacing w:line="400" w:lineRule="exact"/>
              <w:jc w:val="center"/>
              <w:rPr>
                <w:rFonts w:hint="eastAsia" w:ascii="宋体" w:hAnsi="宋体"/>
                <w:color w:val="auto"/>
                <w:szCs w:val="21"/>
                <w:highlight w:val="none"/>
              </w:rPr>
            </w:pPr>
            <w:bookmarkStart w:id="64" w:name="_17.1"/>
            <w:bookmarkEnd w:id="64"/>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7A48A1A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投标有效期：投标截止之日起60天内。</w:t>
            </w:r>
          </w:p>
        </w:tc>
      </w:tr>
      <w:tr w14:paraId="07218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1DBC1DB">
            <w:pPr>
              <w:spacing w:line="400" w:lineRule="exact"/>
              <w:jc w:val="center"/>
              <w:rPr>
                <w:rFonts w:hint="eastAsia" w:ascii="宋体" w:hAnsi="宋体"/>
                <w:color w:val="auto"/>
                <w:szCs w:val="21"/>
                <w:highlight w:val="none"/>
              </w:rPr>
            </w:pPr>
            <w:bookmarkStart w:id="65" w:name="_18"/>
            <w:bookmarkEnd w:id="65"/>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27C1CC7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p w14:paraId="5FBFCD5F">
            <w:pPr>
              <w:snapToGrid w:val="0"/>
              <w:spacing w:line="400" w:lineRule="exact"/>
              <w:rPr>
                <w:rFonts w:hint="eastAsia"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olor w:val="auto"/>
                <w:szCs w:val="21"/>
                <w:highlight w:val="none"/>
              </w:rPr>
              <w:t>本项目收取投标保证金，具体规定如下：</w:t>
            </w:r>
          </w:p>
          <w:p w14:paraId="3054BFBC">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投标保证金金额：拾万元整（￥</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00000.00）。</w:t>
            </w:r>
          </w:p>
          <w:p w14:paraId="2394ECE7">
            <w:pPr>
              <w:snapToGrid w:val="0"/>
              <w:spacing w:line="400" w:lineRule="exact"/>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w:t>
            </w:r>
          </w:p>
          <w:p w14:paraId="06C7694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168F3AEF">
            <w:pPr>
              <w:pStyle w:val="18"/>
              <w:spacing w:line="400" w:lineRule="exact"/>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27602731">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69F70981">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71FE1F22">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24D946E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7A8985FD">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0359AB65">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D53B1D7">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036DC84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tc>
      </w:tr>
      <w:tr w14:paraId="20AFD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A15997">
            <w:pPr>
              <w:spacing w:line="400" w:lineRule="exact"/>
              <w:jc w:val="center"/>
              <w:rPr>
                <w:rFonts w:hint="eastAsia" w:ascii="宋体" w:hAnsi="宋体"/>
                <w:color w:val="auto"/>
                <w:szCs w:val="21"/>
                <w:highlight w:val="none"/>
              </w:rPr>
            </w:pPr>
            <w:bookmarkStart w:id="66" w:name="_19.2"/>
            <w:bookmarkEnd w:id="66"/>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4569F0C1">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投标文件应按报价文件、资格证明文件、商务文件、技术文件分别编制，</w:t>
            </w:r>
            <w:r>
              <w:rPr>
                <w:rFonts w:hint="eastAsia" w:ascii="宋体" w:hAnsi="宋体" w:cs="宋体"/>
                <w:color w:val="auto"/>
                <w:szCs w:val="21"/>
                <w:highlight w:val="none"/>
              </w:rPr>
              <w:t>并按广西政府采购云平台的要求编制、加密、上传。</w:t>
            </w:r>
          </w:p>
        </w:tc>
      </w:tr>
      <w:tr w14:paraId="7E98A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2DF46FA">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45030B0E">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7D06C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26256B6">
            <w:pPr>
              <w:spacing w:line="400" w:lineRule="exact"/>
              <w:jc w:val="center"/>
              <w:rPr>
                <w:rFonts w:hint="eastAsia" w:ascii="宋体" w:hAnsi="宋体"/>
                <w:color w:val="auto"/>
                <w:szCs w:val="21"/>
                <w:highlight w:val="none"/>
              </w:rPr>
            </w:pPr>
            <w:bookmarkStart w:id="67" w:name="_21.1"/>
            <w:bookmarkEnd w:id="67"/>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5B192161">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45A4985A">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7610D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385BAF2">
            <w:pPr>
              <w:spacing w:line="400" w:lineRule="exact"/>
              <w:jc w:val="center"/>
              <w:rPr>
                <w:rFonts w:hint="eastAsia" w:ascii="宋体" w:hAnsi="宋体"/>
                <w:color w:val="auto"/>
                <w:szCs w:val="21"/>
                <w:highlight w:val="none"/>
              </w:rPr>
            </w:pPr>
            <w:bookmarkStart w:id="68" w:name="_23"/>
            <w:bookmarkEnd w:id="68"/>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D13FDEA">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042145B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28D13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D87A17">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741CC4EC">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2E310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D18301B">
            <w:pPr>
              <w:spacing w:line="400" w:lineRule="exact"/>
              <w:jc w:val="center"/>
              <w:rPr>
                <w:rFonts w:hint="eastAsia" w:ascii="宋体" w:hAnsi="宋体"/>
                <w:color w:val="auto"/>
                <w:szCs w:val="21"/>
                <w:highlight w:val="none"/>
              </w:rPr>
            </w:pPr>
            <w:bookmarkStart w:id="69" w:name="_25.3"/>
            <w:bookmarkEnd w:id="69"/>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728F8A0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07B8461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8"/>
                <w:rFonts w:ascii="宋体" w:hAnsi="宋体"/>
                <w:color w:val="auto"/>
                <w:szCs w:val="21"/>
                <w:highlight w:val="none"/>
              </w:rPr>
              <w:t>www.ccgp.gov.cn</w:t>
            </w:r>
            <w:r>
              <w:rPr>
                <w:rStyle w:val="58"/>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17A043C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37B3D8C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0C5FD6FA">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DAAA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A1B105">
            <w:pPr>
              <w:spacing w:line="400" w:lineRule="exact"/>
              <w:jc w:val="center"/>
              <w:rPr>
                <w:rFonts w:hint="eastAsia" w:ascii="宋体" w:hAnsi="宋体"/>
                <w:color w:val="auto"/>
                <w:szCs w:val="21"/>
                <w:highlight w:val="none"/>
              </w:rPr>
            </w:pPr>
            <w:bookmarkStart w:id="70" w:name="_26"/>
            <w:bookmarkEnd w:id="70"/>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0D9283F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评标委员会的人数：5人或5人以上单数</w:t>
            </w:r>
            <w:r>
              <w:rPr>
                <w:rFonts w:hint="eastAsia" w:ascii="宋体" w:hAnsi="宋体"/>
                <w:color w:val="auto"/>
                <w:highlight w:val="none"/>
              </w:rPr>
              <w:t>。</w:t>
            </w:r>
          </w:p>
        </w:tc>
      </w:tr>
      <w:tr w14:paraId="6590D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3F6D809">
            <w:pPr>
              <w:spacing w:line="400" w:lineRule="exact"/>
              <w:jc w:val="center"/>
              <w:rPr>
                <w:rFonts w:hint="eastAsia" w:ascii="宋体" w:hAnsi="宋体"/>
                <w:color w:val="auto"/>
                <w:szCs w:val="21"/>
                <w:highlight w:val="none"/>
              </w:rPr>
            </w:pPr>
            <w:bookmarkStart w:id="71" w:name="_28.3"/>
            <w:bookmarkEnd w:id="71"/>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59E6CBC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78F76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235CAF5D">
            <w:pPr>
              <w:spacing w:line="400" w:lineRule="exact"/>
              <w:jc w:val="center"/>
              <w:rPr>
                <w:rFonts w:hint="eastAsia" w:ascii="宋体" w:hAnsi="宋体"/>
                <w:color w:val="auto"/>
                <w:szCs w:val="21"/>
                <w:highlight w:val="none"/>
              </w:rPr>
            </w:pPr>
            <w:bookmarkStart w:id="72" w:name="_29.2.2（2）"/>
            <w:bookmarkEnd w:id="72"/>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vAlign w:val="center"/>
          </w:tcPr>
          <w:p w14:paraId="1E55DF5A">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项。</w:t>
            </w:r>
          </w:p>
          <w:p w14:paraId="728FBD74">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项。</w:t>
            </w:r>
          </w:p>
        </w:tc>
      </w:tr>
      <w:tr w14:paraId="0F5F7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6A5F46A6">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6F1D51EF">
            <w:pPr>
              <w:snapToGrid w:val="0"/>
              <w:spacing w:line="400" w:lineRule="exact"/>
              <w:rPr>
                <w:rFonts w:hint="eastAsia" w:ascii="宋体" w:hAnsi="宋体" w:cs="宋体"/>
                <w:color w:val="auto"/>
                <w:szCs w:val="21"/>
                <w:highlight w:val="none"/>
                <w:u w:val="single"/>
              </w:rPr>
            </w:pPr>
            <w:r>
              <w:rPr>
                <w:rFonts w:ascii="宋体" w:hAnsi="宋体"/>
                <w:color w:val="auto"/>
                <w:highlight w:val="none"/>
              </w:rPr>
              <w:t>中标候选人推荐数量</w:t>
            </w:r>
            <w:r>
              <w:rPr>
                <w:rFonts w:hint="eastAsia" w:ascii="宋体" w:hAnsi="宋体"/>
                <w:color w:val="auto"/>
                <w:highlight w:val="none"/>
              </w:rPr>
              <w:t>：3家</w:t>
            </w:r>
          </w:p>
        </w:tc>
      </w:tr>
      <w:tr w14:paraId="44FBD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6A252B">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3B2D412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采用综合评分法的采购项目，采购人确定中标人时，出现中标候选人并列的情形，采购人按以下的方式确定中标人：按综合评分中价格分、技术分、商务分得分高低依次确定。</w:t>
            </w:r>
          </w:p>
        </w:tc>
      </w:tr>
      <w:tr w14:paraId="38DE2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FC8D2ED">
            <w:pPr>
              <w:spacing w:line="400" w:lineRule="exact"/>
              <w:jc w:val="center"/>
              <w:rPr>
                <w:rFonts w:hint="eastAsia" w:ascii="宋体" w:hAnsi="宋体"/>
                <w:color w:val="auto"/>
                <w:szCs w:val="21"/>
                <w:highlight w:val="none"/>
              </w:rPr>
            </w:pPr>
            <w:bookmarkStart w:id="73" w:name="_39.1"/>
            <w:bookmarkEnd w:id="73"/>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741D9653">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p w14:paraId="7323301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s="MS Mincho"/>
                <w:color w:val="auto"/>
                <w:szCs w:val="21"/>
                <w:highlight w:val="none"/>
              </w:rPr>
              <w:t>□</w:t>
            </w:r>
            <w:r>
              <w:rPr>
                <w:rFonts w:hint="eastAsia" w:ascii="宋体" w:hAnsi="宋体" w:cs="宋体"/>
                <w:color w:val="auto"/>
                <w:szCs w:val="21"/>
                <w:highlight w:val="none"/>
              </w:rPr>
              <w:t>本项目收取履约保证金，具体规定如下：</w:t>
            </w:r>
          </w:p>
          <w:p w14:paraId="3300C65B">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履约保证金金额：按合同金额的5%（小微企业按合同金额的2%）</w:t>
            </w:r>
          </w:p>
          <w:p w14:paraId="5DA844DB">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履约保证金递交方式：银行转账、支票、汇票、本票或者金融、担保机构出具的保函等非现金方式</w:t>
            </w:r>
          </w:p>
          <w:p w14:paraId="1047B1F0">
            <w:pPr>
              <w:autoSpaceDE w:val="0"/>
              <w:autoSpaceDN w:val="0"/>
              <w:snapToGrid w:val="0"/>
              <w:spacing w:line="400" w:lineRule="exact"/>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项目验收合格后自动转换成质保金，服务期内项目若无质量问题，服务期结束后无息返还。</w:t>
            </w:r>
          </w:p>
          <w:p w14:paraId="75C5C045">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265C6A64">
            <w:pPr>
              <w:spacing w:line="400" w:lineRule="exact"/>
              <w:jc w:val="left"/>
              <w:rPr>
                <w:rFonts w:hint="eastAsia" w:ascii="宋体" w:hAnsi="宋体"/>
                <w:color w:val="auto"/>
                <w:szCs w:val="21"/>
                <w:highlight w:val="none"/>
              </w:rPr>
            </w:pPr>
            <w:r>
              <w:rPr>
                <w:rFonts w:hint="eastAsia" w:ascii="宋体" w:hAnsi="宋体"/>
                <w:color w:val="auto"/>
                <w:szCs w:val="21"/>
                <w:highlight w:val="none"/>
              </w:rPr>
              <w:t>开户名称：</w:t>
            </w:r>
          </w:p>
          <w:p w14:paraId="039ACD9E">
            <w:pPr>
              <w:spacing w:line="400" w:lineRule="exact"/>
              <w:jc w:val="left"/>
              <w:rPr>
                <w:rFonts w:hint="eastAsia" w:ascii="宋体" w:hAnsi="宋体"/>
                <w:color w:val="auto"/>
                <w:szCs w:val="21"/>
                <w:highlight w:val="none"/>
              </w:rPr>
            </w:pPr>
            <w:r>
              <w:rPr>
                <w:rFonts w:hint="eastAsia" w:ascii="宋体" w:hAnsi="宋体"/>
                <w:color w:val="auto"/>
                <w:szCs w:val="21"/>
                <w:highlight w:val="none"/>
              </w:rPr>
              <w:t>开户银行：</w:t>
            </w:r>
          </w:p>
          <w:p w14:paraId="5B0182EA">
            <w:pPr>
              <w:spacing w:line="400" w:lineRule="exact"/>
              <w:jc w:val="left"/>
              <w:rPr>
                <w:rFonts w:hint="eastAsia" w:ascii="宋体" w:hAnsi="宋体"/>
                <w:color w:val="auto"/>
                <w:szCs w:val="21"/>
                <w:highlight w:val="none"/>
              </w:rPr>
            </w:pPr>
            <w:r>
              <w:rPr>
                <w:rFonts w:hint="eastAsia" w:ascii="宋体" w:hAnsi="宋体"/>
                <w:color w:val="auto"/>
                <w:szCs w:val="21"/>
                <w:highlight w:val="none"/>
              </w:rPr>
              <w:t>银行账号：</w:t>
            </w:r>
          </w:p>
          <w:p w14:paraId="18ECBC20">
            <w:pPr>
              <w:spacing w:line="400" w:lineRule="exact"/>
              <w:jc w:val="left"/>
              <w:rPr>
                <w:rFonts w:hint="eastAsia" w:ascii="宋体" w:hAnsi="宋体" w:cs="Courier New"/>
                <w:color w:val="auto"/>
                <w:szCs w:val="21"/>
                <w:highlight w:val="none"/>
              </w:rPr>
            </w:pPr>
            <w:r>
              <w:rPr>
                <w:rFonts w:ascii="宋体" w:hAnsi="宋体" w:cs="Courier New"/>
                <w:color w:val="auto"/>
                <w:szCs w:val="21"/>
                <w:highlight w:val="none"/>
              </w:rPr>
              <w:t>备注：</w:t>
            </w:r>
          </w:p>
          <w:p w14:paraId="45ACB2B8">
            <w:pPr>
              <w:spacing w:line="400" w:lineRule="exact"/>
              <w:jc w:val="left"/>
              <w:rPr>
                <w:rFonts w:hint="eastAsia" w:ascii="宋体" w:hAnsi="宋体" w:cs="Courier New"/>
                <w:color w:val="auto"/>
                <w:szCs w:val="21"/>
                <w:highlight w:val="none"/>
              </w:rPr>
            </w:pPr>
            <w:r>
              <w:rPr>
                <w:rFonts w:ascii="宋体" w:hAnsi="宋体"/>
                <w:b/>
                <w:color w:val="auto"/>
                <w:szCs w:val="21"/>
                <w:highlight w:val="none"/>
              </w:rPr>
              <w:t>1</w:t>
            </w:r>
            <w:bookmarkStart w:id="74"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74"/>
          </w:p>
          <w:p w14:paraId="63CCF2AA">
            <w:pPr>
              <w:spacing w:line="400" w:lineRule="exact"/>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5D86C93">
            <w:pPr>
              <w:spacing w:line="400" w:lineRule="exact"/>
              <w:jc w:val="left"/>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采用金融、担保机构出具的保函的，必须为无条件保函，否则不予签订合同。</w:t>
            </w:r>
          </w:p>
          <w:p w14:paraId="2D05842F">
            <w:pPr>
              <w:spacing w:line="400" w:lineRule="exact"/>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7C37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5974AD9">
            <w:pPr>
              <w:spacing w:line="400" w:lineRule="exact"/>
              <w:jc w:val="center"/>
              <w:rPr>
                <w:rFonts w:hint="eastAsia" w:ascii="宋体" w:hAnsi="宋体"/>
                <w:color w:val="auto"/>
                <w:szCs w:val="21"/>
                <w:highlight w:val="none"/>
              </w:rPr>
            </w:pPr>
            <w:bookmarkStart w:id="75" w:name="_40.1"/>
            <w:bookmarkEnd w:id="75"/>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726FE9D1">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DBEC5CF">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21CB7CA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2062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2781B19">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vAlign w:val="center"/>
          </w:tcPr>
          <w:p w14:paraId="7326198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接收质疑函方式：以纸质书面形式</w:t>
            </w:r>
          </w:p>
          <w:p w14:paraId="45BFF1E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质疑联系部门及联系方式：广西科文招标有限公司，质疑联系人：雷栋、胡安娜，联系电话：0771-2023805、2023511，</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广西南宁市民族大道141号中鼎万象东方D区五层</w:t>
            </w:r>
          </w:p>
          <w:p w14:paraId="017CC09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highlight w:val="none"/>
              </w:rPr>
              <w:t>现场提交质疑办理业务时间：工作日，</w:t>
            </w:r>
            <w:r>
              <w:rPr>
                <w:rFonts w:hint="eastAsia" w:ascii="宋体" w:hAnsi="宋体" w:cs="Arial"/>
                <w:color w:val="auto"/>
                <w:szCs w:val="21"/>
                <w:highlight w:val="none"/>
              </w:rPr>
              <w:t>上午8:00-12:00；下午1</w:t>
            </w:r>
            <w:r>
              <w:rPr>
                <w:rFonts w:hint="eastAsia" w:ascii="宋体" w:hAnsi="宋体" w:cs="Arial"/>
                <w:color w:val="auto"/>
                <w:highlight w:val="none"/>
              </w:rPr>
              <w:t>5</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-1</w:t>
            </w:r>
            <w:r>
              <w:rPr>
                <w:rFonts w:hint="eastAsia" w:ascii="宋体" w:hAnsi="宋体" w:cs="Arial"/>
                <w:color w:val="auto"/>
                <w:highlight w:val="none"/>
              </w:rPr>
              <w:t>8</w:t>
            </w:r>
            <w:r>
              <w:rPr>
                <w:rFonts w:hint="eastAsia" w:ascii="宋体" w:hAnsi="宋体" w:cs="Arial"/>
                <w:color w:val="auto"/>
                <w:szCs w:val="21"/>
                <w:highlight w:val="none"/>
              </w:rPr>
              <w:t>:</w:t>
            </w:r>
            <w:r>
              <w:rPr>
                <w:rFonts w:hint="eastAsia" w:ascii="宋体" w:hAnsi="宋体" w:cs="Arial"/>
                <w:color w:val="auto"/>
                <w:highlight w:val="none"/>
              </w:rPr>
              <w:t>0</w:t>
            </w:r>
            <w:r>
              <w:rPr>
                <w:rFonts w:hint="eastAsia" w:ascii="宋体" w:hAnsi="宋体" w:cs="Arial"/>
                <w:color w:val="auto"/>
                <w:szCs w:val="21"/>
                <w:highlight w:val="none"/>
              </w:rPr>
              <w:t>0（北京时间）</w:t>
            </w:r>
          </w:p>
        </w:tc>
      </w:tr>
      <w:tr w14:paraId="0FD45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CD9C401">
            <w:pPr>
              <w:spacing w:line="400" w:lineRule="exact"/>
              <w:jc w:val="center"/>
              <w:rPr>
                <w:rFonts w:hint="eastAsia" w:ascii="宋体" w:hAnsi="宋体"/>
                <w:color w:val="auto"/>
                <w:szCs w:val="21"/>
                <w:highlight w:val="none"/>
              </w:rPr>
            </w:pPr>
            <w:bookmarkStart w:id="76" w:name="_42"/>
            <w:bookmarkEnd w:id="76"/>
            <w:bookmarkStart w:id="77" w:name="_41"/>
            <w:bookmarkEnd w:id="77"/>
            <w:bookmarkStart w:id="78" w:name="_Hlt17709148"/>
            <w:r>
              <w:rPr>
                <w:rFonts w:hint="eastAsia" w:ascii="宋体" w:hAnsi="宋体"/>
                <w:color w:val="auto"/>
                <w:szCs w:val="21"/>
                <w:highlight w:val="none"/>
              </w:rPr>
              <w:t>3</w:t>
            </w:r>
            <w:bookmarkEnd w:id="78"/>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2C3F29A9">
            <w:pPr>
              <w:pStyle w:val="26"/>
              <w:snapToGrid w:val="0"/>
              <w:spacing w:line="400" w:lineRule="exact"/>
              <w:rPr>
                <w:rFonts w:hint="eastAsia" w:hAnsi="宋体"/>
                <w:color w:val="auto"/>
                <w:kern w:val="2"/>
                <w:sz w:val="21"/>
                <w:highlight w:val="none"/>
              </w:rPr>
            </w:pPr>
            <w:r>
              <w:rPr>
                <w:rFonts w:hAnsi="宋体"/>
                <w:color w:val="auto"/>
                <w:kern w:val="2"/>
                <w:sz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194EC0B7">
            <w:pPr>
              <w:pStyle w:val="26"/>
              <w:snapToGrid w:val="0"/>
              <w:spacing w:line="400" w:lineRule="exact"/>
              <w:rPr>
                <w:rFonts w:hint="eastAsia" w:hAnsi="宋体"/>
                <w:color w:val="auto"/>
                <w:kern w:val="2"/>
                <w:sz w:val="21"/>
                <w:highlight w:val="none"/>
              </w:rPr>
            </w:pPr>
            <w:r>
              <w:rPr>
                <w:rFonts w:hAnsi="宋体"/>
                <w:color w:val="auto"/>
                <w:kern w:val="2"/>
                <w:sz w:val="21"/>
                <w:highlight w:val="none"/>
              </w:rPr>
              <w:t>2、采购代理服务费收取标准：</w:t>
            </w:r>
          </w:p>
          <w:p w14:paraId="6C26BD12">
            <w:pPr>
              <w:pStyle w:val="26"/>
              <w:snapToGrid w:val="0"/>
              <w:spacing w:line="400" w:lineRule="exact"/>
              <w:rPr>
                <w:rFonts w:hint="eastAsia" w:hAnsi="宋体"/>
                <w:color w:val="auto"/>
                <w:kern w:val="2"/>
                <w:sz w:val="21"/>
                <w:highlight w:val="none"/>
              </w:rPr>
            </w:pPr>
            <w:r>
              <w:rPr>
                <w:rFonts w:hAnsi="宋体"/>
                <w:color w:val="auto"/>
                <w:kern w:val="2"/>
                <w:sz w:val="21"/>
                <w:highlight w:val="none"/>
              </w:rPr>
              <w:t>按本须知正文第39.2条规定的收费计算标准采用差额定率累进法计算出收费基准价格，采购代理服务费收费以收费基准价格收取。</w:t>
            </w:r>
          </w:p>
          <w:p w14:paraId="0D9201DD">
            <w:pPr>
              <w:pStyle w:val="26"/>
              <w:snapToGrid w:val="0"/>
              <w:spacing w:line="400" w:lineRule="exact"/>
              <w:rPr>
                <w:rFonts w:hint="eastAsia" w:hAnsi="宋体"/>
                <w:color w:val="auto"/>
                <w:kern w:val="2"/>
                <w:sz w:val="21"/>
                <w:highlight w:val="none"/>
              </w:rPr>
            </w:pPr>
            <w:r>
              <w:rPr>
                <w:rFonts w:hAnsi="宋体"/>
                <w:color w:val="auto"/>
                <w:kern w:val="2"/>
                <w:sz w:val="21"/>
                <w:highlight w:val="none"/>
              </w:rPr>
              <w:t>3、账户名称：广西科文招标有限公司南宁八分公司</w:t>
            </w:r>
          </w:p>
          <w:p w14:paraId="14F418E4">
            <w:pPr>
              <w:pStyle w:val="26"/>
              <w:snapToGrid w:val="0"/>
              <w:spacing w:line="400" w:lineRule="exact"/>
              <w:rPr>
                <w:rFonts w:hint="eastAsia" w:hAnsi="宋体"/>
                <w:color w:val="auto"/>
                <w:kern w:val="2"/>
                <w:sz w:val="21"/>
                <w:highlight w:val="none"/>
              </w:rPr>
            </w:pPr>
            <w:r>
              <w:rPr>
                <w:rFonts w:hAnsi="宋体"/>
                <w:color w:val="auto"/>
                <w:kern w:val="2"/>
                <w:sz w:val="21"/>
                <w:highlight w:val="none"/>
              </w:rPr>
              <w:t>开户银行：广西北部湾银行股份有限公司南宁市云景支行</w:t>
            </w:r>
          </w:p>
          <w:p w14:paraId="6F58CEDB">
            <w:pPr>
              <w:pStyle w:val="26"/>
              <w:snapToGrid w:val="0"/>
              <w:spacing w:line="400" w:lineRule="exact"/>
              <w:rPr>
                <w:rFonts w:hint="eastAsia" w:hAnsi="宋体"/>
                <w:color w:val="auto"/>
                <w:kern w:val="2"/>
                <w:sz w:val="21"/>
                <w:highlight w:val="none"/>
              </w:rPr>
            </w:pPr>
            <w:r>
              <w:rPr>
                <w:rFonts w:hAnsi="宋体"/>
                <w:color w:val="auto"/>
                <w:kern w:val="2"/>
                <w:sz w:val="21"/>
                <w:highlight w:val="none"/>
              </w:rPr>
              <w:t>银行账号：8050 2996 77 00001</w:t>
            </w:r>
          </w:p>
        </w:tc>
      </w:tr>
      <w:tr w14:paraId="51000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3E6BAD">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3853A75E">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4D8E0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5753BF1">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0357088B">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7F655C44">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CFE99A2">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5D8362E5">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584D4F3B">
            <w:pPr>
              <w:spacing w:line="400" w:lineRule="exact"/>
              <w:jc w:val="left"/>
              <w:rPr>
                <w:rFonts w:hint="eastAsia" w:ascii="宋体" w:hAnsi="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543C1FEF">
      <w:pPr>
        <w:snapToGrid w:val="0"/>
        <w:rPr>
          <w:rFonts w:hint="eastAsia" w:ascii="宋体" w:hAnsi="宋体"/>
          <w:color w:val="auto"/>
          <w:sz w:val="24"/>
          <w:szCs w:val="20"/>
          <w:highlight w:val="none"/>
        </w:rPr>
      </w:pPr>
    </w:p>
    <w:p w14:paraId="3D603166">
      <w:pPr>
        <w:pStyle w:val="6"/>
        <w:keepNext w:val="0"/>
        <w:keepLines w:val="0"/>
        <w:jc w:val="center"/>
        <w:rPr>
          <w:rFonts w:hint="eastAsia" w:ascii="宋体" w:hAnsi="宋体" w:eastAsia="宋体"/>
          <w:color w:val="auto"/>
          <w:highlight w:val="none"/>
        </w:rPr>
      </w:pPr>
    </w:p>
    <w:p w14:paraId="6B50E5CA">
      <w:pPr>
        <w:rPr>
          <w:rFonts w:hint="eastAsia" w:ascii="宋体" w:hAnsi="宋体"/>
          <w:color w:val="auto"/>
          <w:highlight w:val="none"/>
        </w:rPr>
      </w:pPr>
    </w:p>
    <w:p w14:paraId="1C8A27F0">
      <w:pPr>
        <w:rPr>
          <w:rFonts w:hint="eastAsia" w:ascii="宋体" w:hAnsi="宋体"/>
          <w:color w:val="auto"/>
          <w:highlight w:val="none"/>
        </w:rPr>
      </w:pPr>
    </w:p>
    <w:p w14:paraId="66E2C703">
      <w:pPr>
        <w:rPr>
          <w:rFonts w:hint="eastAsia" w:ascii="宋体" w:hAnsi="宋体"/>
          <w:color w:val="auto"/>
          <w:highlight w:val="none"/>
        </w:rPr>
      </w:pPr>
    </w:p>
    <w:p w14:paraId="1032E3DF">
      <w:pPr>
        <w:rPr>
          <w:rFonts w:hint="eastAsia" w:ascii="宋体" w:hAnsi="宋体"/>
          <w:color w:val="auto"/>
          <w:highlight w:val="none"/>
        </w:rPr>
      </w:pPr>
    </w:p>
    <w:p w14:paraId="2F19A554">
      <w:pPr>
        <w:rPr>
          <w:rFonts w:hint="eastAsia" w:ascii="宋体" w:hAnsi="宋体"/>
          <w:color w:val="auto"/>
          <w:highlight w:val="none"/>
        </w:rPr>
      </w:pPr>
    </w:p>
    <w:p w14:paraId="21234F7D">
      <w:pPr>
        <w:rPr>
          <w:rFonts w:hint="eastAsia" w:ascii="宋体" w:hAnsi="宋体"/>
          <w:color w:val="auto"/>
          <w:highlight w:val="none"/>
        </w:rPr>
      </w:pPr>
    </w:p>
    <w:p w14:paraId="6C522072">
      <w:pPr>
        <w:rPr>
          <w:rFonts w:hint="eastAsia" w:ascii="宋体" w:hAnsi="宋体"/>
          <w:color w:val="auto"/>
          <w:highlight w:val="none"/>
        </w:rPr>
      </w:pPr>
    </w:p>
    <w:p w14:paraId="196EDEF6">
      <w:pPr>
        <w:rPr>
          <w:rFonts w:hint="eastAsia" w:ascii="宋体" w:hAnsi="宋体"/>
          <w:color w:val="auto"/>
          <w:highlight w:val="none"/>
        </w:rPr>
      </w:pPr>
    </w:p>
    <w:p w14:paraId="560A71A8">
      <w:pPr>
        <w:rPr>
          <w:rFonts w:hint="eastAsia" w:ascii="宋体" w:hAnsi="宋体"/>
          <w:color w:val="auto"/>
          <w:highlight w:val="none"/>
        </w:rPr>
      </w:pPr>
    </w:p>
    <w:p w14:paraId="61B041E6">
      <w:pPr>
        <w:rPr>
          <w:rFonts w:hint="eastAsia" w:ascii="宋体" w:hAnsi="宋体"/>
          <w:color w:val="auto"/>
          <w:highlight w:val="none"/>
        </w:rPr>
      </w:pPr>
    </w:p>
    <w:p w14:paraId="6A50842D">
      <w:pPr>
        <w:rPr>
          <w:rFonts w:hint="eastAsia" w:ascii="宋体" w:hAnsi="宋体"/>
          <w:color w:val="auto"/>
          <w:highlight w:val="none"/>
        </w:rPr>
      </w:pPr>
    </w:p>
    <w:p w14:paraId="643CEBCE">
      <w:pPr>
        <w:rPr>
          <w:rFonts w:hint="eastAsia" w:ascii="宋体" w:hAnsi="宋体"/>
          <w:color w:val="auto"/>
          <w:highlight w:val="none"/>
        </w:rPr>
      </w:pPr>
    </w:p>
    <w:p w14:paraId="3985CF22">
      <w:pPr>
        <w:rPr>
          <w:rFonts w:hint="eastAsia" w:ascii="宋体" w:hAnsi="宋体"/>
          <w:color w:val="auto"/>
          <w:highlight w:val="none"/>
        </w:rPr>
      </w:pPr>
    </w:p>
    <w:p w14:paraId="34282FAC">
      <w:pPr>
        <w:rPr>
          <w:rFonts w:hint="eastAsia" w:ascii="宋体" w:hAnsi="宋体"/>
          <w:color w:val="auto"/>
          <w:highlight w:val="none"/>
        </w:rPr>
      </w:pPr>
    </w:p>
    <w:p w14:paraId="035BD411">
      <w:pPr>
        <w:rPr>
          <w:rFonts w:hint="eastAsia" w:ascii="宋体" w:hAnsi="宋体"/>
          <w:color w:val="auto"/>
          <w:highlight w:val="none"/>
        </w:rPr>
      </w:pPr>
    </w:p>
    <w:p w14:paraId="3913E1F4">
      <w:pPr>
        <w:rPr>
          <w:rFonts w:hint="eastAsia" w:ascii="宋体" w:hAnsi="宋体"/>
          <w:color w:val="auto"/>
          <w:highlight w:val="none"/>
        </w:rPr>
      </w:pPr>
    </w:p>
    <w:p w14:paraId="3E38045B">
      <w:pPr>
        <w:rPr>
          <w:rFonts w:hint="eastAsia" w:ascii="宋体" w:hAnsi="宋体"/>
          <w:color w:val="auto"/>
          <w:highlight w:val="none"/>
        </w:rPr>
      </w:pPr>
    </w:p>
    <w:p w14:paraId="40EDABD3">
      <w:pPr>
        <w:rPr>
          <w:rFonts w:hint="eastAsia" w:ascii="宋体" w:hAnsi="宋体"/>
          <w:color w:val="auto"/>
          <w:highlight w:val="none"/>
        </w:rPr>
      </w:pPr>
    </w:p>
    <w:p w14:paraId="37F23ED2">
      <w:pPr>
        <w:rPr>
          <w:rFonts w:hint="eastAsia" w:ascii="宋体" w:hAnsi="宋体"/>
          <w:color w:val="auto"/>
          <w:highlight w:val="none"/>
        </w:rPr>
      </w:pPr>
    </w:p>
    <w:p w14:paraId="1921265A">
      <w:pPr>
        <w:rPr>
          <w:rFonts w:hint="eastAsia" w:ascii="宋体" w:hAnsi="宋体"/>
          <w:color w:val="auto"/>
          <w:highlight w:val="none"/>
        </w:rPr>
      </w:pPr>
    </w:p>
    <w:p w14:paraId="2DF91722">
      <w:pPr>
        <w:rPr>
          <w:rFonts w:hint="eastAsia" w:ascii="宋体" w:hAnsi="宋体"/>
          <w:color w:val="auto"/>
          <w:highlight w:val="none"/>
        </w:rPr>
      </w:pPr>
    </w:p>
    <w:p w14:paraId="1E5D8462">
      <w:pPr>
        <w:rPr>
          <w:rFonts w:hint="eastAsia" w:ascii="宋体" w:hAnsi="宋体"/>
          <w:color w:val="auto"/>
          <w:highlight w:val="none"/>
        </w:rPr>
      </w:pPr>
    </w:p>
    <w:p w14:paraId="148789EA">
      <w:pPr>
        <w:rPr>
          <w:rFonts w:hint="eastAsia" w:ascii="宋体" w:hAnsi="宋体"/>
          <w:color w:val="auto"/>
          <w:highlight w:val="none"/>
        </w:rPr>
      </w:pPr>
    </w:p>
    <w:p w14:paraId="19046FDF">
      <w:pPr>
        <w:rPr>
          <w:rFonts w:hint="eastAsia" w:ascii="宋体" w:hAnsi="宋体"/>
          <w:color w:val="auto"/>
          <w:highlight w:val="none"/>
        </w:rPr>
      </w:pPr>
    </w:p>
    <w:p w14:paraId="378A45AD">
      <w:pPr>
        <w:rPr>
          <w:rFonts w:hint="eastAsia" w:ascii="宋体" w:hAnsi="宋体"/>
          <w:color w:val="auto"/>
          <w:highlight w:val="none"/>
        </w:rPr>
      </w:pPr>
    </w:p>
    <w:p w14:paraId="4599044D">
      <w:pPr>
        <w:rPr>
          <w:rFonts w:hint="eastAsia" w:ascii="宋体" w:hAnsi="宋体"/>
          <w:color w:val="auto"/>
          <w:highlight w:val="none"/>
        </w:rPr>
      </w:pPr>
    </w:p>
    <w:p w14:paraId="4633E5A0">
      <w:pPr>
        <w:rPr>
          <w:rFonts w:hint="eastAsia" w:ascii="宋体" w:hAnsi="宋体"/>
          <w:color w:val="auto"/>
          <w:highlight w:val="none"/>
        </w:rPr>
      </w:pPr>
    </w:p>
    <w:p w14:paraId="117B78F0">
      <w:pPr>
        <w:rPr>
          <w:rFonts w:hint="eastAsia" w:ascii="宋体" w:hAnsi="宋体"/>
          <w:color w:val="auto"/>
          <w:highlight w:val="none"/>
        </w:rPr>
      </w:pPr>
    </w:p>
    <w:p w14:paraId="2201690D">
      <w:pPr>
        <w:pStyle w:val="6"/>
        <w:keepNext w:val="0"/>
        <w:keepLines w:val="0"/>
        <w:jc w:val="center"/>
        <w:rPr>
          <w:rFonts w:hint="eastAsia" w:ascii="宋体" w:hAnsi="宋体" w:eastAsia="宋体"/>
          <w:color w:val="auto"/>
          <w:highlight w:val="none"/>
        </w:rPr>
      </w:pPr>
    </w:p>
    <w:p w14:paraId="39A3F0D8">
      <w:pPr>
        <w:rPr>
          <w:rFonts w:hint="eastAsia" w:ascii="宋体" w:hAnsi="宋体"/>
          <w:color w:val="auto"/>
          <w:highlight w:val="none"/>
        </w:rPr>
      </w:pPr>
    </w:p>
    <w:p w14:paraId="42A581A8">
      <w:pPr>
        <w:rPr>
          <w:rFonts w:hint="eastAsia" w:ascii="宋体" w:hAnsi="宋体"/>
          <w:color w:val="auto"/>
          <w:highlight w:val="none"/>
        </w:rPr>
      </w:pPr>
    </w:p>
    <w:p w14:paraId="0D5BA20E">
      <w:pPr>
        <w:rPr>
          <w:rFonts w:hint="eastAsia" w:ascii="宋体" w:hAnsi="宋体"/>
          <w:color w:val="auto"/>
          <w:highlight w:val="none"/>
        </w:rPr>
      </w:pPr>
    </w:p>
    <w:p w14:paraId="54D6A026">
      <w:pPr>
        <w:rPr>
          <w:color w:val="auto"/>
          <w:highlight w:val="none"/>
        </w:rPr>
      </w:pPr>
    </w:p>
    <w:p w14:paraId="4E4AB694">
      <w:pPr>
        <w:pStyle w:val="6"/>
        <w:keepNext w:val="0"/>
        <w:keepLines w:val="0"/>
        <w:jc w:val="center"/>
        <w:rPr>
          <w:rFonts w:hint="eastAsia" w:ascii="宋体" w:hAnsi="宋体" w:eastAsia="宋体"/>
          <w:color w:val="auto"/>
          <w:highlight w:val="none"/>
        </w:rPr>
      </w:pPr>
      <w:r>
        <w:rPr>
          <w:rFonts w:hint="eastAsia" w:ascii="宋体" w:hAnsi="宋体" w:eastAsia="宋体"/>
          <w:color w:val="auto"/>
          <w:highlight w:val="none"/>
        </w:rPr>
        <w:t>投标人须知正文</w:t>
      </w:r>
    </w:p>
    <w:p w14:paraId="07AB08F1">
      <w:pPr>
        <w:pStyle w:val="6"/>
        <w:keepNext w:val="0"/>
        <w:keepLines w:val="0"/>
        <w:jc w:val="center"/>
        <w:rPr>
          <w:rFonts w:hint="eastAsia" w:ascii="宋体" w:hAnsi="宋体" w:eastAsia="宋体"/>
          <w:color w:val="auto"/>
          <w:highlight w:val="none"/>
        </w:rPr>
      </w:pPr>
      <w:r>
        <w:rPr>
          <w:rFonts w:hint="eastAsia" w:ascii="宋体" w:hAnsi="宋体" w:eastAsia="宋体"/>
          <w:color w:val="auto"/>
          <w:highlight w:val="none"/>
        </w:rPr>
        <w:t>一、总  则</w:t>
      </w:r>
    </w:p>
    <w:p w14:paraId="35905989">
      <w:pPr>
        <w:pStyle w:val="7"/>
        <w:keepNext w:val="0"/>
        <w:keepLines w:val="0"/>
        <w:spacing w:before="0" w:after="0" w:line="360" w:lineRule="auto"/>
        <w:ind w:left="420" w:leftChars="200"/>
        <w:rPr>
          <w:rFonts w:hint="eastAsia" w:ascii="宋体" w:hAnsi="宋体"/>
          <w:color w:val="auto"/>
          <w:highlight w:val="none"/>
        </w:rPr>
      </w:pPr>
      <w:bookmarkStart w:id="79" w:name="_Toc254970668"/>
      <w:bookmarkStart w:id="80" w:name="_Toc254970527"/>
      <w:r>
        <w:rPr>
          <w:rFonts w:hint="eastAsia" w:ascii="宋体" w:hAnsi="宋体"/>
          <w:color w:val="auto"/>
          <w:highlight w:val="none"/>
        </w:rPr>
        <w:t>1.适用范围</w:t>
      </w:r>
      <w:bookmarkEnd w:id="79"/>
      <w:bookmarkEnd w:id="80"/>
    </w:p>
    <w:p w14:paraId="59026D3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6AADF1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D423CF7">
      <w:pPr>
        <w:pStyle w:val="7"/>
        <w:keepNext w:val="0"/>
        <w:keepLines w:val="0"/>
        <w:spacing w:before="0" w:after="0" w:line="360" w:lineRule="auto"/>
        <w:ind w:left="420" w:leftChars="200"/>
        <w:rPr>
          <w:rFonts w:hint="eastAsia" w:ascii="宋体" w:hAnsi="宋体"/>
          <w:color w:val="auto"/>
          <w:highlight w:val="none"/>
        </w:rPr>
      </w:pPr>
      <w:bookmarkStart w:id="81" w:name="_Toc254970669"/>
      <w:bookmarkStart w:id="82" w:name="_Toc254970528"/>
      <w:r>
        <w:rPr>
          <w:rFonts w:hint="eastAsia" w:ascii="宋体" w:hAnsi="宋体"/>
          <w:color w:val="auto"/>
          <w:highlight w:val="none"/>
        </w:rPr>
        <w:t>2.定义</w:t>
      </w:r>
      <w:bookmarkEnd w:id="81"/>
      <w:bookmarkEnd w:id="82"/>
    </w:p>
    <w:p w14:paraId="5292B95F">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2.1“采购人”是指依法进行政府采购的国家机关、事业单位、团体组织。</w:t>
      </w:r>
    </w:p>
    <w:p w14:paraId="28A9E72F">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2.2“采购代理机构”是指政府采购集中采购机构和集中采购机构以外的采购代理机构。</w:t>
      </w:r>
    </w:p>
    <w:p w14:paraId="7444B15F">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2.3“供应商”是指向采购人提供货物、工程或者服务的法人、其他组织或者自然人。</w:t>
      </w:r>
    </w:p>
    <w:p w14:paraId="12570A57">
      <w:pPr>
        <w:pStyle w:val="15"/>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78A2A248">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2.5“货物”是指各种形态和种类的物品，包括原材料、燃料、设备、产品等；“服务”是指除货物和工程以外的其他政府采购对象。</w:t>
      </w:r>
    </w:p>
    <w:p w14:paraId="274AB5F1">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134E29DA">
      <w:pPr>
        <w:pStyle w:val="7"/>
        <w:keepNext w:val="0"/>
        <w:keepLines w:val="0"/>
        <w:spacing w:before="0" w:after="0" w:line="360" w:lineRule="auto"/>
        <w:rPr>
          <w:rFonts w:hint="eastAsia" w:ascii="宋体" w:hAnsi="宋体"/>
          <w:b/>
          <w:color w:val="auto"/>
          <w:sz w:val="21"/>
          <w:szCs w:val="21"/>
          <w:highlight w:val="none"/>
        </w:rPr>
      </w:pPr>
      <w:r>
        <w:rPr>
          <w:rFonts w:hint="eastAsia" w:ascii="宋体" w:hAnsi="宋体"/>
          <w:color w:val="auto"/>
          <w:sz w:val="21"/>
          <w:szCs w:val="21"/>
          <w:highlight w:val="none"/>
        </w:rPr>
        <w:t xml:space="preserve">    2.7“书面形式”是指合同书、信件和数据电文（包括电报、电传、传真、电子数据交换和电子邮件）等可以有形地表现所载内容的形式。</w:t>
      </w:r>
    </w:p>
    <w:p w14:paraId="29EC68E3">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2.8“实质性要求”是指招标文件中已经指明不满足则投标无效的条款，或者不能负偏离的条款，或者采购需求中带“”的条款。</w:t>
      </w:r>
    </w:p>
    <w:p w14:paraId="66F5ED6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BC454F4">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4BC8277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3" w:name="_Toc254970529"/>
      <w:bookmarkStart w:id="84" w:name="_Toc254970670"/>
    </w:p>
    <w:p w14:paraId="7610E18E">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w:t>
      </w:r>
      <w:bookmarkEnd w:id="83"/>
      <w:bookmarkEnd w:id="84"/>
      <w:r>
        <w:rPr>
          <w:rFonts w:hint="eastAsia" w:ascii="宋体" w:hAnsi="宋体"/>
          <w:color w:val="auto"/>
          <w:highlight w:val="none"/>
        </w:rPr>
        <w:t>投标人的资格要求</w:t>
      </w:r>
    </w:p>
    <w:p w14:paraId="5494636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2E567987">
      <w:pPr>
        <w:pStyle w:val="7"/>
        <w:keepNext w:val="0"/>
        <w:keepLines w:val="0"/>
        <w:spacing w:before="0" w:after="0" w:line="360" w:lineRule="auto"/>
        <w:ind w:left="420" w:leftChars="200"/>
        <w:rPr>
          <w:rFonts w:hint="eastAsia" w:ascii="宋体" w:hAnsi="宋体"/>
          <w:color w:val="auto"/>
          <w:highlight w:val="none"/>
        </w:rPr>
      </w:pPr>
      <w:bookmarkStart w:id="85" w:name="_Toc254970530"/>
      <w:bookmarkStart w:id="86" w:name="_Toc254970671"/>
      <w:r>
        <w:rPr>
          <w:rFonts w:hint="eastAsia" w:ascii="宋体" w:hAnsi="宋体"/>
          <w:color w:val="auto"/>
          <w:highlight w:val="none"/>
        </w:rPr>
        <w:t>4.投标委托</w:t>
      </w:r>
      <w:bookmarkEnd w:id="85"/>
      <w:bookmarkEnd w:id="86"/>
    </w:p>
    <w:p w14:paraId="3000B2A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3A4DBE0">
      <w:pPr>
        <w:pStyle w:val="7"/>
        <w:keepNext w:val="0"/>
        <w:keepLines w:val="0"/>
        <w:spacing w:before="0" w:after="0" w:line="360" w:lineRule="auto"/>
        <w:ind w:left="420" w:leftChars="200"/>
        <w:rPr>
          <w:rFonts w:hint="eastAsia" w:ascii="宋体" w:hAnsi="宋体"/>
          <w:color w:val="auto"/>
          <w:highlight w:val="none"/>
        </w:rPr>
      </w:pPr>
      <w:bookmarkStart w:id="87" w:name="_5.投标费用"/>
      <w:bookmarkEnd w:id="87"/>
      <w:bookmarkStart w:id="88" w:name="_Toc254970531"/>
      <w:bookmarkStart w:id="89" w:name="_Toc254970672"/>
      <w:r>
        <w:rPr>
          <w:rFonts w:hint="eastAsia" w:ascii="宋体" w:hAnsi="宋体"/>
          <w:color w:val="auto"/>
          <w:highlight w:val="none"/>
        </w:rPr>
        <w:t>5.投标费用</w:t>
      </w:r>
      <w:bookmarkEnd w:id="88"/>
      <w:bookmarkEnd w:id="89"/>
    </w:p>
    <w:p w14:paraId="4B9045BE">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F0295A7">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6.联合体投标</w:t>
      </w:r>
    </w:p>
    <w:p w14:paraId="3A2CAAA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183FE13">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655D1CF5">
      <w:pPr>
        <w:pStyle w:val="7"/>
        <w:keepNext w:val="0"/>
        <w:keepLines w:val="0"/>
        <w:spacing w:before="0" w:after="0" w:line="360" w:lineRule="auto"/>
        <w:ind w:firstLine="424" w:firstLineChars="202"/>
        <w:rPr>
          <w:rFonts w:hint="eastAsia" w:ascii="宋体" w:hAnsi="宋体"/>
          <w:color w:val="auto"/>
          <w:highlight w:val="none"/>
        </w:rPr>
      </w:pPr>
      <w:r>
        <w:rPr>
          <w:rFonts w:hint="eastAsia" w:ascii="宋体" w:hAnsi="宋体"/>
          <w:bCs/>
          <w:color w:val="auto"/>
          <w:sz w:val="21"/>
          <w:szCs w:val="21"/>
          <w:highlight w:val="none"/>
        </w:rPr>
        <w:t>6.3</w:t>
      </w:r>
      <w:bookmarkStart w:id="90" w:name="_Hlk65857072"/>
      <w:r>
        <w:rPr>
          <w:rFonts w:hint="eastAsia" w:ascii="宋体" w:hAnsi="宋体"/>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0"/>
    </w:p>
    <w:p w14:paraId="67233CC7">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 xml:space="preserve">7.转包与分包             </w:t>
      </w:r>
    </w:p>
    <w:p w14:paraId="255C7B38">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7.1本项目不允许转包。</w:t>
      </w:r>
    </w:p>
    <w:p w14:paraId="6FE0984C">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C6750A1">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8D6DC28">
      <w:pPr>
        <w:pStyle w:val="7"/>
        <w:keepNext w:val="0"/>
        <w:keepLines w:val="0"/>
        <w:spacing w:before="0" w:after="0" w:line="360" w:lineRule="auto"/>
        <w:ind w:left="420" w:leftChars="200"/>
        <w:rPr>
          <w:rFonts w:hint="eastAsia" w:ascii="宋体" w:hAnsi="宋体"/>
          <w:color w:val="auto"/>
          <w:highlight w:val="none"/>
        </w:rPr>
      </w:pPr>
      <w:bookmarkStart w:id="91" w:name="_Toc254970532"/>
      <w:bookmarkStart w:id="92" w:name="_Toc254970673"/>
      <w:r>
        <w:rPr>
          <w:rFonts w:hint="eastAsia" w:ascii="宋体" w:hAnsi="宋体"/>
          <w:color w:val="auto"/>
          <w:highlight w:val="none"/>
        </w:rPr>
        <w:t>8.特别说明</w:t>
      </w:r>
      <w:bookmarkEnd w:id="91"/>
      <w:bookmarkEnd w:id="92"/>
    </w:p>
    <w:p w14:paraId="27E25ACE">
      <w:pPr>
        <w:pStyle w:val="7"/>
        <w:keepNext w:val="0"/>
        <w:keepLines w:val="0"/>
        <w:spacing w:before="0" w:after="0" w:line="360" w:lineRule="auto"/>
        <w:ind w:firstLine="315" w:firstLineChars="150"/>
        <w:rPr>
          <w:rFonts w:hint="eastAsia" w:ascii="宋体" w:hAnsi="宋体"/>
          <w:b/>
          <w:color w:val="auto"/>
          <w:sz w:val="21"/>
          <w:szCs w:val="21"/>
          <w:highlight w:val="none"/>
        </w:rPr>
      </w:pPr>
      <w:bookmarkStart w:id="93" w:name="_8.1提供相同品牌产品且通过资格审查、符合性审查的不同投标人参加同一合"/>
      <w:bookmarkEnd w:id="93"/>
      <w:r>
        <w:rPr>
          <w:rFonts w:hint="eastAsia" w:ascii="宋体" w:hAnsi="宋体"/>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48D2C3CA">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8.2投标人应仔细阅读招标文件的所有内容，按照招标文件的要求提交投标文件，并对所提供的全部资料的真实性承担法律责任。</w:t>
      </w:r>
    </w:p>
    <w:p w14:paraId="321FEC7C">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2B8CE6A3">
      <w:pPr>
        <w:pStyle w:val="7"/>
        <w:keepNext w:val="0"/>
        <w:keepLines w:val="0"/>
        <w:spacing w:before="0" w:after="0" w:line="360" w:lineRule="auto"/>
        <w:ind w:left="420" w:leftChars="200"/>
        <w:rPr>
          <w:rFonts w:hint="eastAsia" w:ascii="宋体" w:hAnsi="宋体"/>
          <w:color w:val="auto"/>
          <w:highlight w:val="none"/>
        </w:rPr>
      </w:pPr>
      <w:r>
        <w:rPr>
          <w:rFonts w:ascii="宋体" w:hAnsi="宋体"/>
          <w:color w:val="auto"/>
          <w:highlight w:val="none"/>
        </w:rPr>
        <w:t>9.</w:t>
      </w:r>
      <w:r>
        <w:rPr>
          <w:rFonts w:hint="eastAsia" w:ascii="宋体" w:hAnsi="宋体"/>
          <w:color w:val="auto"/>
          <w:highlight w:val="none"/>
        </w:rPr>
        <w:t>回避与串通投标</w:t>
      </w:r>
    </w:p>
    <w:p w14:paraId="03805195">
      <w:pPr>
        <w:pStyle w:val="7"/>
        <w:keepNext w:val="0"/>
        <w:keepLines w:val="0"/>
        <w:spacing w:before="0" w:after="0" w:line="360" w:lineRule="auto"/>
        <w:ind w:firstLine="367" w:firstLineChars="175"/>
        <w:rPr>
          <w:rFonts w:hint="eastAsia" w:ascii="宋体" w:hAnsi="宋体"/>
          <w:b/>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.1在政府采购活动中，采购人员及相关人员与</w:t>
      </w:r>
      <w:r>
        <w:rPr>
          <w:rFonts w:hint="eastAsia" w:ascii="宋体" w:hAnsi="宋体"/>
          <w:color w:val="auto"/>
          <w:sz w:val="21"/>
          <w:szCs w:val="21"/>
          <w:highlight w:val="none"/>
        </w:rPr>
        <w:t>供应商</w:t>
      </w:r>
      <w:r>
        <w:rPr>
          <w:rFonts w:ascii="宋体" w:hAnsi="宋体"/>
          <w:color w:val="auto"/>
          <w:sz w:val="21"/>
          <w:szCs w:val="21"/>
          <w:highlight w:val="none"/>
        </w:rPr>
        <w:t>有下列利害关系之一的，应当回避：</w:t>
      </w:r>
    </w:p>
    <w:p w14:paraId="39CFDA7E">
      <w:pPr>
        <w:pStyle w:val="26"/>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0F0D3EB9">
      <w:pPr>
        <w:pStyle w:val="26"/>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279CEDAB">
      <w:pPr>
        <w:pStyle w:val="26"/>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16381E15">
      <w:pPr>
        <w:pStyle w:val="26"/>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541C2B08">
      <w:pPr>
        <w:pStyle w:val="26"/>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B469A86">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885A5C1">
      <w:pPr>
        <w:pStyle w:val="7"/>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184F1E86">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636C5ED">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1067AC6B">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153911CD">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4304D82E">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0B282EA3">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45B77EE9">
      <w:pPr>
        <w:pStyle w:val="7"/>
        <w:keepNext w:val="0"/>
        <w:keepLines w:val="0"/>
        <w:spacing w:before="0" w:after="0" w:line="360" w:lineRule="auto"/>
        <w:ind w:left="420" w:leftChars="200"/>
        <w:rPr>
          <w:rFonts w:hint="eastAsia" w:ascii="宋体" w:hAnsi="宋体"/>
          <w:b/>
          <w:color w:val="auto"/>
          <w:sz w:val="21"/>
          <w:szCs w:val="21"/>
          <w:highlight w:val="none"/>
        </w:rPr>
      </w:pPr>
      <w:r>
        <w:rPr>
          <w:rFonts w:ascii="宋体" w:hAnsi="宋体"/>
          <w:color w:val="auto"/>
          <w:sz w:val="21"/>
          <w:szCs w:val="21"/>
          <w:highlight w:val="none"/>
        </w:rPr>
        <w:t>9.3</w:t>
      </w:r>
      <w:r>
        <w:rPr>
          <w:rFonts w:hint="eastAsia" w:ascii="宋体" w:hAnsi="宋体"/>
          <w:color w:val="auto"/>
          <w:sz w:val="21"/>
          <w:szCs w:val="21"/>
          <w:highlight w:val="none"/>
        </w:rPr>
        <w:t>供应商有下列情形之一的，属于恶意串通行为，将报同级监督管理部门：</w:t>
      </w:r>
    </w:p>
    <w:p w14:paraId="67BFD1C2">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43E49F6E">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5FD75659">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434320DA">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42BE80FC">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37AB1D4">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76CFCF9C">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690369E5">
      <w:pPr>
        <w:pStyle w:val="26"/>
        <w:snapToGrid w:val="0"/>
        <w:spacing w:line="360" w:lineRule="auto"/>
        <w:ind w:left="2" w:leftChars="1" w:firstLine="422" w:firstLineChars="200"/>
        <w:rPr>
          <w:rFonts w:hint="eastAsia" w:hAnsi="宋体"/>
          <w:b/>
          <w:color w:val="auto"/>
          <w:kern w:val="2"/>
          <w:sz w:val="21"/>
          <w:highlight w:val="none"/>
        </w:rPr>
      </w:pPr>
    </w:p>
    <w:p w14:paraId="0772CD51">
      <w:pPr>
        <w:pStyle w:val="6"/>
        <w:keepNext w:val="0"/>
        <w:keepLines w:val="0"/>
        <w:jc w:val="center"/>
        <w:rPr>
          <w:rFonts w:hint="eastAsia" w:ascii="宋体" w:hAnsi="宋体" w:eastAsia="宋体"/>
          <w:color w:val="auto"/>
          <w:highlight w:val="none"/>
        </w:rPr>
      </w:pPr>
      <w:bookmarkStart w:id="94" w:name="_Toc254970675"/>
      <w:bookmarkStart w:id="95" w:name="_Toc254970534"/>
      <w:r>
        <w:rPr>
          <w:rFonts w:hint="eastAsia" w:ascii="宋体" w:hAnsi="宋体" w:eastAsia="宋体"/>
          <w:color w:val="auto"/>
          <w:highlight w:val="none"/>
        </w:rPr>
        <w:t>二、招标文件</w:t>
      </w:r>
      <w:bookmarkEnd w:id="94"/>
      <w:bookmarkEnd w:id="95"/>
    </w:p>
    <w:p w14:paraId="5C5CD67D">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10.招标文件的组成</w:t>
      </w:r>
    </w:p>
    <w:p w14:paraId="01F3AFF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7AA9403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D5CAC5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687E898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1585E0D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53EA478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6751D0A0">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11.招标文件的澄清、修改 、现场考察和答疑会</w:t>
      </w:r>
    </w:p>
    <w:p w14:paraId="0AE963EA">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262F26E7">
      <w:pPr>
        <w:pStyle w:val="7"/>
        <w:keepNext w:val="0"/>
        <w:keepLines w:val="0"/>
        <w:spacing w:before="0" w:after="0" w:line="360" w:lineRule="auto"/>
        <w:ind w:firstLine="420" w:firstLineChars="200"/>
        <w:rPr>
          <w:rFonts w:hint="eastAsia" w:ascii="宋体" w:hAnsi="宋体"/>
          <w:color w:val="auto"/>
          <w:highlight w:val="none"/>
        </w:rPr>
      </w:pPr>
      <w:r>
        <w:rPr>
          <w:rFonts w:hint="eastAsia" w:ascii="宋体" w:hAnsi="宋体"/>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7E15B7A6">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2838A6B2">
      <w:pPr>
        <w:spacing w:line="360" w:lineRule="auto"/>
        <w:ind w:firstLine="420" w:firstLineChars="200"/>
        <w:rPr>
          <w:rFonts w:hint="eastAsia" w:ascii="宋体"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1022669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6"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3340DC57">
      <w:pPr>
        <w:pStyle w:val="26"/>
        <w:snapToGrid w:val="0"/>
        <w:spacing w:line="360" w:lineRule="auto"/>
        <w:ind w:firstLine="420" w:firstLineChars="200"/>
        <w:rPr>
          <w:rFonts w:hint="eastAsia" w:hAnsi="宋体"/>
          <w:color w:val="auto"/>
          <w:sz w:val="21"/>
          <w:highlight w:val="none"/>
        </w:rPr>
      </w:pPr>
    </w:p>
    <w:bookmarkEnd w:id="96"/>
    <w:p w14:paraId="1D8DDA62">
      <w:pPr>
        <w:pStyle w:val="6"/>
        <w:keepNext w:val="0"/>
        <w:keepLines w:val="0"/>
        <w:jc w:val="center"/>
        <w:rPr>
          <w:rFonts w:hint="eastAsia" w:ascii="宋体" w:hAnsi="宋体" w:eastAsia="宋体"/>
          <w:color w:val="auto"/>
          <w:highlight w:val="none"/>
        </w:rPr>
      </w:pPr>
      <w:bookmarkStart w:id="97" w:name="_Toc254970676"/>
      <w:bookmarkStart w:id="98" w:name="_Toc254970535"/>
      <w:r>
        <w:rPr>
          <w:rFonts w:hint="eastAsia" w:ascii="宋体" w:hAnsi="宋体" w:eastAsia="宋体"/>
          <w:color w:val="auto"/>
          <w:highlight w:val="none"/>
        </w:rPr>
        <w:t>三、投标文件的编制</w:t>
      </w:r>
      <w:bookmarkEnd w:id="97"/>
      <w:bookmarkEnd w:id="98"/>
    </w:p>
    <w:p w14:paraId="16E5D6BF">
      <w:pPr>
        <w:pStyle w:val="7"/>
        <w:keepNext w:val="0"/>
        <w:keepLines w:val="0"/>
        <w:spacing w:before="0" w:after="0" w:line="360" w:lineRule="auto"/>
        <w:ind w:left="420" w:leftChars="200"/>
        <w:rPr>
          <w:rFonts w:hint="eastAsia" w:ascii="宋体" w:hAnsi="宋体"/>
          <w:color w:val="auto"/>
          <w:highlight w:val="none"/>
        </w:rPr>
      </w:pPr>
      <w:bookmarkStart w:id="99" w:name="_Toc254970536"/>
      <w:bookmarkStart w:id="100" w:name="_Toc254970677"/>
      <w:r>
        <w:rPr>
          <w:rFonts w:hint="eastAsia" w:ascii="宋体" w:hAnsi="宋体"/>
          <w:color w:val="auto"/>
          <w:highlight w:val="none"/>
        </w:rPr>
        <w:t>12.投标文件的编制原则</w:t>
      </w:r>
    </w:p>
    <w:p w14:paraId="12206CFD">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10A0310">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13.投标文件的组成</w:t>
      </w:r>
      <w:bookmarkEnd w:id="99"/>
      <w:bookmarkEnd w:id="100"/>
    </w:p>
    <w:p w14:paraId="7236CAE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641AD894">
      <w:pPr>
        <w:pStyle w:val="7"/>
        <w:keepNext w:val="0"/>
        <w:keepLines w:val="0"/>
        <w:spacing w:before="0" w:after="0" w:line="360" w:lineRule="auto"/>
        <w:ind w:left="420" w:leftChars="200"/>
        <w:rPr>
          <w:rFonts w:hint="eastAsia" w:ascii="宋体" w:hAnsi="宋体"/>
          <w:b/>
          <w:color w:val="auto"/>
          <w:sz w:val="21"/>
          <w:szCs w:val="21"/>
          <w:highlight w:val="none"/>
        </w:rPr>
      </w:pPr>
      <w:bookmarkStart w:id="101" w:name="_13.1报价文件:_具体材料见“投标人须知前附表”。"/>
      <w:bookmarkEnd w:id="101"/>
      <w:r>
        <w:rPr>
          <w:rFonts w:hint="eastAsia" w:ascii="宋体" w:hAnsi="宋体"/>
          <w:color w:val="auto"/>
          <w:sz w:val="21"/>
          <w:szCs w:val="21"/>
          <w:highlight w:val="none"/>
        </w:rPr>
        <w:t>（1）报价文件：</w:t>
      </w:r>
      <w:r>
        <w:rPr>
          <w:rFonts w:ascii="宋体" w:hAnsi="宋体"/>
          <w:color w:val="auto"/>
          <w:sz w:val="21"/>
          <w:szCs w:val="21"/>
          <w:highlight w:val="none"/>
        </w:rPr>
        <w:t xml:space="preserve"> 具体材料见“投标人须知前附表”</w:t>
      </w:r>
      <w:r>
        <w:rPr>
          <w:rFonts w:hint="eastAsia" w:ascii="宋体" w:hAnsi="宋体"/>
          <w:color w:val="auto"/>
          <w:sz w:val="21"/>
          <w:szCs w:val="21"/>
          <w:highlight w:val="none"/>
        </w:rPr>
        <w:t>。</w:t>
      </w:r>
    </w:p>
    <w:p w14:paraId="2ACD8037">
      <w:pPr>
        <w:pStyle w:val="7"/>
        <w:keepNext w:val="0"/>
        <w:keepLines w:val="0"/>
        <w:spacing w:before="0" w:after="0" w:line="360" w:lineRule="auto"/>
        <w:ind w:left="420" w:leftChars="200"/>
        <w:rPr>
          <w:rFonts w:hint="eastAsia" w:ascii="宋体" w:hAnsi="宋体"/>
          <w:b/>
          <w:color w:val="auto"/>
          <w:sz w:val="21"/>
          <w:szCs w:val="21"/>
          <w:highlight w:val="none"/>
        </w:rPr>
      </w:pPr>
      <w:bookmarkStart w:id="102" w:name="_13.2资格证明文件：具体材料见“投标人须知前附表”。"/>
      <w:bookmarkEnd w:id="102"/>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）资格证明文件：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47218522">
      <w:pPr>
        <w:pStyle w:val="7"/>
        <w:keepNext w:val="0"/>
        <w:keepLines w:val="0"/>
        <w:spacing w:before="0" w:after="0" w:line="360" w:lineRule="auto"/>
        <w:ind w:left="420" w:leftChars="200"/>
        <w:rPr>
          <w:rFonts w:hint="eastAsia" w:ascii="宋体" w:hAnsi="宋体"/>
          <w:b/>
          <w:color w:val="auto"/>
          <w:sz w:val="21"/>
          <w:szCs w:val="21"/>
          <w:highlight w:val="none"/>
        </w:rPr>
      </w:pPr>
      <w:bookmarkStart w:id="103" w:name="_13.3商务文件:_具体材料见“投标人须知前附表”。"/>
      <w:bookmarkEnd w:id="103"/>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）商务文件：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23D84AC8">
      <w:pPr>
        <w:pStyle w:val="7"/>
        <w:keepNext w:val="0"/>
        <w:keepLines w:val="0"/>
        <w:spacing w:before="0" w:after="0" w:line="360" w:lineRule="auto"/>
        <w:ind w:left="420" w:leftChars="200"/>
        <w:rPr>
          <w:rFonts w:hint="eastAsia" w:ascii="宋体" w:hAnsi="宋体"/>
          <w:b/>
          <w:color w:val="auto"/>
          <w:sz w:val="21"/>
          <w:szCs w:val="21"/>
          <w:highlight w:val="none"/>
        </w:rPr>
      </w:pPr>
      <w:bookmarkStart w:id="104" w:name="_13.4技术文件：具体材料见“投标人须知前附表”。"/>
      <w:bookmarkEnd w:id="104"/>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）技术文件：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bookmarkStart w:id="105" w:name="_13.5投标文件电子版：具体材料见“投标人须知前附表”。"/>
      <w:bookmarkEnd w:id="105"/>
    </w:p>
    <w:p w14:paraId="016536CD">
      <w:pPr>
        <w:pStyle w:val="7"/>
        <w:keepNext w:val="0"/>
        <w:keepLines w:val="0"/>
        <w:spacing w:before="0" w:after="0" w:line="360" w:lineRule="auto"/>
        <w:ind w:left="420" w:leftChars="200"/>
        <w:rPr>
          <w:rFonts w:hint="eastAsia" w:ascii="宋体" w:hAnsi="宋体"/>
          <w:color w:val="auto"/>
          <w:highlight w:val="none"/>
        </w:rPr>
      </w:pPr>
      <w:bookmarkStart w:id="106" w:name="_Toc254970678"/>
      <w:bookmarkStart w:id="107" w:name="_Toc254970537"/>
      <w:r>
        <w:rPr>
          <w:rFonts w:hint="eastAsia" w:ascii="宋体" w:hAnsi="宋体"/>
          <w:color w:val="auto"/>
          <w:highlight w:val="none"/>
        </w:rPr>
        <w:t>14.投标文件的语言及计量</w:t>
      </w:r>
      <w:bookmarkEnd w:id="106"/>
      <w:bookmarkEnd w:id="107"/>
    </w:p>
    <w:p w14:paraId="03343F09">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14.1语言文字</w:t>
      </w:r>
    </w:p>
    <w:p w14:paraId="67C4FEDD">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A4CE9F8">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14.2投标计量单位</w:t>
      </w:r>
    </w:p>
    <w:p w14:paraId="6ECCD877">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4E0C11DE">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15.投标的风险</w:t>
      </w:r>
    </w:p>
    <w:p w14:paraId="6F0A1C83">
      <w:pPr>
        <w:pStyle w:val="26"/>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37F5015B">
      <w:pPr>
        <w:pStyle w:val="7"/>
        <w:keepNext w:val="0"/>
        <w:keepLines w:val="0"/>
        <w:spacing w:before="0" w:after="0" w:line="360" w:lineRule="auto"/>
        <w:ind w:left="420" w:leftChars="200"/>
        <w:rPr>
          <w:rFonts w:hint="eastAsia" w:ascii="宋体" w:hAnsi="宋体"/>
          <w:color w:val="auto"/>
          <w:highlight w:val="none"/>
        </w:rPr>
      </w:pPr>
      <w:bookmarkStart w:id="108" w:name="_Toc254970679"/>
      <w:bookmarkStart w:id="109" w:name="_Toc254970538"/>
      <w:r>
        <w:rPr>
          <w:rFonts w:hint="eastAsia" w:ascii="宋体" w:hAnsi="宋体"/>
          <w:color w:val="auto"/>
          <w:highlight w:val="none"/>
        </w:rPr>
        <w:t>16.投标报价</w:t>
      </w:r>
      <w:bookmarkEnd w:id="108"/>
      <w:bookmarkEnd w:id="109"/>
    </w:p>
    <w:p w14:paraId="371757E5">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16.1投标报价应按“第六章　投标文件格式”中“开标一览表”格式填写。</w:t>
      </w:r>
    </w:p>
    <w:p w14:paraId="0EC26DCA">
      <w:pPr>
        <w:pStyle w:val="7"/>
        <w:keepNext w:val="0"/>
        <w:keepLines w:val="0"/>
        <w:spacing w:before="0" w:after="0" w:line="360" w:lineRule="auto"/>
        <w:ind w:left="420" w:leftChars="200"/>
        <w:rPr>
          <w:rFonts w:hint="eastAsia" w:ascii="宋体" w:hAnsi="宋体"/>
          <w:b/>
          <w:color w:val="auto"/>
          <w:sz w:val="21"/>
          <w:szCs w:val="21"/>
          <w:highlight w:val="none"/>
        </w:rPr>
      </w:pPr>
      <w:bookmarkStart w:id="110" w:name="_16.2投标报价具体定义见投标人须知前附表。"/>
      <w:bookmarkEnd w:id="110"/>
      <w:r>
        <w:rPr>
          <w:rFonts w:hint="eastAsia" w:ascii="宋体" w:hAnsi="宋体"/>
          <w:color w:val="auto"/>
          <w:sz w:val="21"/>
          <w:szCs w:val="21"/>
          <w:highlight w:val="none"/>
        </w:rPr>
        <w:t>16.2投标报价具体包括内容详见“投标人须知前附表”。</w:t>
      </w:r>
    </w:p>
    <w:p w14:paraId="157A6C45">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16.3投标人必须就所投每个分标的全部内容分别作完整唯一总价报价，不得存在漏项报价；投标人必须就所投分标的单项内容作唯一报价。</w:t>
      </w:r>
    </w:p>
    <w:p w14:paraId="6C91BF1D">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17.投标有效期</w:t>
      </w:r>
    </w:p>
    <w:p w14:paraId="22398CC2">
      <w:pPr>
        <w:pStyle w:val="7"/>
        <w:keepNext w:val="0"/>
        <w:keepLines w:val="0"/>
        <w:spacing w:before="0" w:after="0" w:line="360" w:lineRule="auto"/>
        <w:ind w:firstLine="420" w:firstLineChars="200"/>
        <w:rPr>
          <w:rFonts w:hint="eastAsia" w:ascii="宋体" w:hAnsi="宋体"/>
          <w:b/>
          <w:color w:val="auto"/>
          <w:sz w:val="21"/>
          <w:szCs w:val="21"/>
          <w:highlight w:val="none"/>
        </w:rPr>
      </w:pPr>
      <w:bookmarkStart w:id="111" w:name="_17.1投标有效期应按“投标人须知中的前附表”规定的期限。"/>
      <w:bookmarkEnd w:id="111"/>
      <w:r>
        <w:rPr>
          <w:rFonts w:hint="eastAsia" w:ascii="宋体" w:hAnsi="宋体"/>
          <w:color w:val="auto"/>
          <w:sz w:val="21"/>
          <w:szCs w:val="21"/>
          <w:highlight w:val="none"/>
        </w:rPr>
        <w:t>17.1投标有效期是指为保证采购人有足够的时间在开标后完成评标、定标、合同签订等工作而要求投标人提交的投标文件在一定时间内保持有效的期限。</w:t>
      </w:r>
    </w:p>
    <w:p w14:paraId="7D4E4478">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17.2</w:t>
      </w:r>
      <w:bookmarkStart w:id="112" w:name="_Toc254970681"/>
      <w:bookmarkStart w:id="113" w:name="_Toc254970540"/>
      <w:r>
        <w:rPr>
          <w:rFonts w:hint="eastAsia" w:ascii="宋体" w:hAnsi="宋体"/>
          <w:color w:val="auto"/>
          <w:sz w:val="21"/>
          <w:szCs w:val="21"/>
          <w:highlight w:val="none"/>
        </w:rPr>
        <w:t xml:space="preserve"> 投标有效期应按规定的期限作出承诺，具体详见“投标人须知前附表”。</w:t>
      </w:r>
    </w:p>
    <w:p w14:paraId="2C3ADF29">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17.3投标人的投标文件在投标有效期内均保持有效。</w:t>
      </w:r>
      <w:bookmarkEnd w:id="112"/>
      <w:bookmarkEnd w:id="113"/>
    </w:p>
    <w:p w14:paraId="6918D763">
      <w:pPr>
        <w:pStyle w:val="7"/>
        <w:keepNext w:val="0"/>
        <w:keepLines w:val="0"/>
        <w:spacing w:before="0" w:after="0" w:line="360" w:lineRule="auto"/>
        <w:ind w:left="420" w:leftChars="200"/>
        <w:rPr>
          <w:rFonts w:hint="eastAsia" w:ascii="宋体" w:hAnsi="宋体"/>
          <w:color w:val="auto"/>
          <w:highlight w:val="none"/>
        </w:rPr>
      </w:pPr>
      <w:bookmarkStart w:id="114" w:name="_18.投标保证金"/>
      <w:bookmarkEnd w:id="114"/>
      <w:bookmarkStart w:id="115" w:name="_Toc254970682"/>
      <w:bookmarkStart w:id="116" w:name="_Toc254970541"/>
      <w:r>
        <w:rPr>
          <w:rFonts w:hint="eastAsia" w:ascii="宋体" w:hAnsi="宋体"/>
          <w:color w:val="auto"/>
          <w:highlight w:val="none"/>
        </w:rPr>
        <w:t>18.投标保证金</w:t>
      </w:r>
      <w:bookmarkEnd w:id="115"/>
      <w:bookmarkEnd w:id="116"/>
    </w:p>
    <w:p w14:paraId="2561618C">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18.1投标人须按“投标人须知前附表” 的规定提交投标保证金。</w:t>
      </w:r>
    </w:p>
    <w:p w14:paraId="637E57B6">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18.2投标保证金的退还</w:t>
      </w:r>
    </w:p>
    <w:p w14:paraId="48DD57BE">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 xml:space="preserve">未中标人的投标保证金自中标通知书发出之日起4个工作日内退还；中标人的投标保证金自政府采购合同签订之日起4个工作日内退还。 </w:t>
      </w:r>
    </w:p>
    <w:p w14:paraId="5904507A">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18.3除逾期退还投标保证金和终止招标的情形以外，投标保证金不计息。</w:t>
      </w:r>
    </w:p>
    <w:p w14:paraId="6BCF6299">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 xml:space="preserve">18.4投标人有下列情形之一的，投标保证金将不予退还： </w:t>
      </w:r>
    </w:p>
    <w:p w14:paraId="46050903">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11FB0B33">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（2）投标人在投标过程中弄虚作假，提供虚假材料的；</w:t>
      </w:r>
    </w:p>
    <w:p w14:paraId="62F1C18A">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（3）中标人无正当理由不与采购人签订合同的；</w:t>
      </w:r>
    </w:p>
    <w:p w14:paraId="1595A9D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（4）投标人出现本章第9.2、9.3情形的；</w:t>
      </w:r>
    </w:p>
    <w:p w14:paraId="12A8DAA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294CAAAD">
      <w:pPr>
        <w:pStyle w:val="7"/>
        <w:keepNext w:val="0"/>
        <w:keepLines w:val="0"/>
        <w:spacing w:before="0" w:after="0" w:line="360" w:lineRule="auto"/>
        <w:ind w:left="420" w:leftChars="200"/>
        <w:rPr>
          <w:rFonts w:hint="eastAsia" w:ascii="宋体" w:hAnsi="宋体"/>
          <w:color w:val="auto"/>
          <w:highlight w:val="none"/>
        </w:rPr>
      </w:pPr>
      <w:bookmarkStart w:id="117" w:name="_Toc254970683"/>
      <w:bookmarkStart w:id="118" w:name="_Toc254970542"/>
      <w:r>
        <w:rPr>
          <w:rFonts w:hint="eastAsia" w:ascii="宋体" w:hAnsi="宋体"/>
          <w:color w:val="auto"/>
          <w:highlight w:val="none"/>
        </w:rPr>
        <w:t>19.投标文件的</w:t>
      </w:r>
      <w:bookmarkEnd w:id="117"/>
      <w:bookmarkEnd w:id="118"/>
      <w:r>
        <w:rPr>
          <w:rFonts w:hint="eastAsia" w:ascii="宋体" w:hAnsi="宋体"/>
          <w:color w:val="auto"/>
          <w:highlight w:val="none"/>
        </w:rPr>
        <w:t>编制</w:t>
      </w:r>
    </w:p>
    <w:p w14:paraId="3878369E">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B4DF35F">
      <w:pPr>
        <w:pStyle w:val="7"/>
        <w:keepNext w:val="0"/>
        <w:keepLines w:val="0"/>
        <w:spacing w:before="0" w:after="0" w:line="360" w:lineRule="auto"/>
        <w:ind w:firstLine="420" w:firstLineChars="200"/>
        <w:rPr>
          <w:rFonts w:hint="eastAsia" w:ascii="宋体" w:hAnsi="宋体"/>
          <w:b/>
          <w:color w:val="auto"/>
          <w:sz w:val="21"/>
          <w:szCs w:val="21"/>
          <w:highlight w:val="none"/>
        </w:rPr>
      </w:pPr>
      <w:bookmarkStart w:id="119" w:name="_19.2投标文件应按报价文件、资格证明文件、商务文件、技术文件分别编制"/>
      <w:bookmarkEnd w:id="119"/>
      <w:r>
        <w:rPr>
          <w:rFonts w:hint="eastAsia" w:ascii="宋体" w:hAnsi="宋体"/>
          <w:color w:val="auto"/>
          <w:sz w:val="21"/>
          <w:szCs w:val="21"/>
          <w:highlight w:val="none"/>
        </w:rPr>
        <w:t>19.2投标文件应按报价文件、资格证明文件、商务文件、技术文件分别编制电子文件，并按“广西政府采购云平台”平台的要求编制、加密、上传。</w:t>
      </w:r>
    </w:p>
    <w:p w14:paraId="48B32FA9">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19.</w:t>
      </w:r>
      <w:bookmarkStart w:id="120" w:name="_Hlk65832616"/>
      <w:r>
        <w:rPr>
          <w:rFonts w:hint="eastAsia" w:ascii="宋体" w:hAnsi="宋体"/>
          <w:color w:val="auto"/>
          <w:sz w:val="21"/>
          <w:szCs w:val="21"/>
          <w:highlight w:val="none"/>
        </w:rPr>
        <w:t>3投标文件须由投标人在规定位置</w:t>
      </w:r>
      <w:r>
        <w:rPr>
          <w:rFonts w:hint="eastAsia" w:ascii="宋体" w:hAnsi="宋体"/>
          <w:color w:val="auto"/>
          <w:sz w:val="21"/>
          <w:szCs w:val="21"/>
          <w:highlight w:val="none"/>
          <w:lang w:val="en-US" w:eastAsia="zh-CN"/>
        </w:rPr>
        <w:t>加</w:t>
      </w:r>
      <w:r>
        <w:rPr>
          <w:rFonts w:hint="eastAsia" w:ascii="宋体" w:hAnsi="宋体"/>
          <w:color w:val="auto"/>
          <w:sz w:val="21"/>
          <w:szCs w:val="21"/>
          <w:highlight w:val="none"/>
        </w:rPr>
        <w:t>盖公章并签字</w:t>
      </w:r>
      <w:bookmarkStart w:id="121" w:name="_Hlk65832569"/>
      <w:r>
        <w:rPr>
          <w:rFonts w:hint="eastAsia" w:ascii="宋体" w:hAnsi="宋体"/>
          <w:color w:val="auto"/>
          <w:sz w:val="21"/>
          <w:szCs w:val="21"/>
          <w:highlight w:val="none"/>
        </w:rPr>
        <w:t>（具体以投标人须知前附表或投标文件格式规定为准）</w:t>
      </w:r>
      <w:bookmarkEnd w:id="120"/>
      <w:bookmarkEnd w:id="121"/>
      <w:r>
        <w:rPr>
          <w:rFonts w:hint="eastAsia" w:ascii="宋体" w:hAnsi="宋体"/>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color w:val="auto"/>
          <w:sz w:val="21"/>
          <w:szCs w:val="21"/>
          <w:highlight w:val="none"/>
        </w:rPr>
        <w:t>。</w:t>
      </w:r>
    </w:p>
    <w:p w14:paraId="768E0039">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19.4投标文件中标注的投标人名称应与主体资格证明（如营业执照、事业单位法人证书、执业许可证、自然人身份证等）及公章一致，否则按无效投标处理。</w:t>
      </w:r>
    </w:p>
    <w:p w14:paraId="6904AA14">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B89349D">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20.投标文件的加密、解密</w:t>
      </w:r>
    </w:p>
    <w:p w14:paraId="3C39473B">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6098B47C">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21.投标文件的提交</w:t>
      </w:r>
    </w:p>
    <w:p w14:paraId="1BF6DD98">
      <w:pPr>
        <w:pStyle w:val="7"/>
        <w:keepNext w:val="0"/>
        <w:keepLines w:val="0"/>
        <w:spacing w:before="0" w:after="0" w:line="360" w:lineRule="auto"/>
        <w:ind w:firstLine="420" w:firstLineChars="200"/>
        <w:rPr>
          <w:rFonts w:hint="eastAsia" w:ascii="宋体" w:hAnsi="宋体"/>
          <w:b/>
          <w:color w:val="auto"/>
          <w:sz w:val="21"/>
          <w:szCs w:val="21"/>
          <w:highlight w:val="none"/>
        </w:rPr>
      </w:pPr>
      <w:bookmarkStart w:id="122" w:name="_21.1投标人必须在“投标人须知中的前附表”规定的投标文件接收时间和投"/>
      <w:bookmarkEnd w:id="122"/>
      <w:r>
        <w:rPr>
          <w:rFonts w:hint="eastAsia" w:ascii="宋体" w:hAnsi="宋体"/>
          <w:color w:val="auto"/>
          <w:sz w:val="21"/>
          <w:szCs w:val="21"/>
          <w:highlight w:val="none"/>
        </w:rPr>
        <w:t>21.1投标人必须在“投标人须知前附表”规定的投标文件接收时间和投标地点提交投标文件。</w:t>
      </w:r>
    </w:p>
    <w:p w14:paraId="07B6DE7D">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21.2本项目为全流程电子化政府采购项目，通过广西政府采购云平台（</w:t>
      </w:r>
      <w:r>
        <w:rPr>
          <w:rFonts w:ascii="宋体" w:hAnsi="宋体"/>
          <w:color w:val="auto"/>
          <w:sz w:val="21"/>
          <w:szCs w:val="21"/>
          <w:highlight w:val="none"/>
        </w:rPr>
        <w:t>https://www.gcy.zfcg.gxzf.gov.cn</w:t>
      </w:r>
      <w:r>
        <w:rPr>
          <w:rFonts w:hint="eastAsia" w:ascii="宋体" w:hAnsi="宋体"/>
          <w:color w:val="auto"/>
          <w:sz w:val="21"/>
          <w:szCs w:val="21"/>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5EC41992">
      <w:pPr>
        <w:pStyle w:val="7"/>
        <w:keepNext w:val="0"/>
        <w:keepLines w:val="0"/>
        <w:spacing w:before="0" w:after="0" w:line="360" w:lineRule="auto"/>
        <w:ind w:firstLine="420" w:firstLineChars="200"/>
        <w:jc w:val="left"/>
        <w:rPr>
          <w:rFonts w:hint="eastAsia" w:ascii="宋体" w:hAnsi="宋体"/>
          <w:b/>
          <w:color w:val="auto"/>
          <w:sz w:val="21"/>
          <w:szCs w:val="21"/>
          <w:highlight w:val="none"/>
        </w:rPr>
      </w:pPr>
      <w:r>
        <w:rPr>
          <w:rFonts w:hint="eastAsia" w:ascii="宋体" w:hAnsi="宋体"/>
          <w:color w:val="auto"/>
          <w:sz w:val="21"/>
          <w:szCs w:val="21"/>
          <w:highlight w:val="none"/>
        </w:rPr>
        <w:t>21.3未在规定时间内上传或者未按广西政府采购云平台的要求编制、加密的电子投标文件，广西政府采购云平台将拒收。</w:t>
      </w:r>
    </w:p>
    <w:p w14:paraId="56DD40BE">
      <w:pPr>
        <w:pStyle w:val="15"/>
        <w:rPr>
          <w:rFonts w:hint="eastAsia" w:ascii="宋体" w:hAnsi="宋体"/>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10F81054">
      <w:pPr>
        <w:pStyle w:val="15"/>
        <w:rPr>
          <w:rFonts w:hint="eastAsia" w:ascii="宋体" w:hAnsi="宋体"/>
          <w:color w:val="auto"/>
          <w:highlight w:val="none"/>
        </w:rPr>
      </w:pPr>
    </w:p>
    <w:p w14:paraId="588CBF3E">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22. 投标文件的补充、修改、撤回与退回</w:t>
      </w:r>
    </w:p>
    <w:p w14:paraId="60CC0CC5">
      <w:pPr>
        <w:snapToGrid w:val="0"/>
        <w:spacing w:line="360" w:lineRule="auto"/>
        <w:ind w:firstLine="420"/>
        <w:jc w:val="left"/>
        <w:rPr>
          <w:rFonts w:hint="eastAsia" w:ascii="宋体" w:hAnsi="宋体"/>
          <w:color w:val="auto"/>
          <w:szCs w:val="21"/>
          <w:highlight w:val="none"/>
        </w:rPr>
      </w:pPr>
      <w:bookmarkStart w:id="123" w:name="_Toc254970543"/>
      <w:bookmarkStart w:id="124" w:name="_Toc254970684"/>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3"/>
    <w:bookmarkEnd w:id="124"/>
    <w:p w14:paraId="3F6EDE9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387AD8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7119809E">
      <w:pPr>
        <w:pStyle w:val="21"/>
        <w:snapToGrid w:val="0"/>
        <w:spacing w:line="360" w:lineRule="auto"/>
        <w:ind w:firstLine="739"/>
        <w:rPr>
          <w:rFonts w:hint="eastAsia" w:ascii="宋体" w:hAnsi="宋体"/>
          <w:snapToGrid w:val="0"/>
          <w:color w:val="auto"/>
          <w:szCs w:val="21"/>
          <w:highlight w:val="none"/>
        </w:rPr>
      </w:pPr>
    </w:p>
    <w:p w14:paraId="1891E483">
      <w:pPr>
        <w:pStyle w:val="6"/>
        <w:keepNext w:val="0"/>
        <w:keepLines w:val="0"/>
        <w:jc w:val="center"/>
        <w:rPr>
          <w:rFonts w:hint="eastAsia" w:ascii="宋体" w:hAnsi="宋体" w:eastAsia="宋体"/>
          <w:color w:val="auto"/>
          <w:highlight w:val="none"/>
        </w:rPr>
      </w:pPr>
      <w:bookmarkStart w:id="125" w:name="_Toc254970544"/>
      <w:bookmarkStart w:id="126" w:name="_Toc254970685"/>
      <w:r>
        <w:rPr>
          <w:rFonts w:hint="eastAsia" w:ascii="宋体" w:hAnsi="宋体" w:eastAsia="宋体"/>
          <w:color w:val="auto"/>
          <w:highlight w:val="none"/>
        </w:rPr>
        <w:t>四、开    标</w:t>
      </w:r>
      <w:bookmarkEnd w:id="125"/>
      <w:bookmarkEnd w:id="126"/>
    </w:p>
    <w:p w14:paraId="29CC96B6">
      <w:pPr>
        <w:pStyle w:val="7"/>
        <w:keepNext w:val="0"/>
        <w:keepLines w:val="0"/>
        <w:spacing w:before="0" w:after="0" w:line="360" w:lineRule="auto"/>
        <w:ind w:left="420" w:leftChars="200"/>
        <w:rPr>
          <w:rFonts w:hint="eastAsia" w:ascii="宋体" w:hAnsi="宋体"/>
          <w:color w:val="auto"/>
          <w:highlight w:val="none"/>
        </w:rPr>
      </w:pPr>
      <w:bookmarkStart w:id="127" w:name="_23.开标时间和地点"/>
      <w:bookmarkEnd w:id="127"/>
      <w:r>
        <w:rPr>
          <w:rFonts w:hint="eastAsia" w:ascii="宋体" w:hAnsi="宋体"/>
          <w:color w:val="auto"/>
          <w:highlight w:val="none"/>
        </w:rPr>
        <w:t>23.开标时间和地点</w:t>
      </w:r>
    </w:p>
    <w:p w14:paraId="4DEF8FA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5D0CCA4C">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04873B7B">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24.开标程序</w:t>
      </w:r>
    </w:p>
    <w:p w14:paraId="6A0378D1">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64A328AB">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56FFE032">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310FB305">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2CF47D49">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（2）电子唱标。投标文件解密结束，各投标供应商报价均在广西政府采购云平台远程不见面开标大厅展示；</w:t>
      </w:r>
    </w:p>
    <w:p w14:paraId="223A5EF8">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01ED3DBB">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B62BB9A">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5ED5E64">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697058AF">
      <w:pPr>
        <w:autoSpaceDE w:val="0"/>
        <w:autoSpaceDN w:val="0"/>
        <w:adjustRightInd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22F2F85E">
      <w:pPr>
        <w:pStyle w:val="26"/>
        <w:snapToGrid w:val="0"/>
        <w:spacing w:line="360" w:lineRule="auto"/>
        <w:ind w:left="689" w:leftChars="228" w:hanging="210" w:hangingChars="100"/>
        <w:rPr>
          <w:rFonts w:hint="eastAsia" w:hAnsi="宋体"/>
          <w:color w:val="auto"/>
          <w:sz w:val="21"/>
          <w:highlight w:val="none"/>
        </w:rPr>
      </w:pPr>
    </w:p>
    <w:p w14:paraId="67591C9A">
      <w:pPr>
        <w:pStyle w:val="6"/>
        <w:keepNext w:val="0"/>
        <w:keepLines w:val="0"/>
        <w:jc w:val="center"/>
        <w:rPr>
          <w:rFonts w:hint="eastAsia" w:ascii="宋体" w:hAnsi="宋体" w:eastAsia="宋体"/>
          <w:color w:val="auto"/>
          <w:highlight w:val="none"/>
        </w:rPr>
      </w:pPr>
      <w:r>
        <w:rPr>
          <w:rFonts w:hint="eastAsia" w:ascii="宋体" w:hAnsi="宋体" w:eastAsia="宋体"/>
          <w:color w:val="auto"/>
          <w:highlight w:val="none"/>
        </w:rPr>
        <w:t>五、资格审查</w:t>
      </w:r>
    </w:p>
    <w:p w14:paraId="4501596F">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25.资格审查</w:t>
      </w:r>
    </w:p>
    <w:p w14:paraId="198BCA48">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25.1</w:t>
      </w:r>
      <w:r>
        <w:rPr>
          <w:rFonts w:ascii="宋体" w:hAnsi="宋体"/>
          <w:color w:val="auto"/>
          <w:sz w:val="21"/>
          <w:szCs w:val="21"/>
          <w:highlight w:val="none"/>
        </w:rPr>
        <w:t>开标结束后，</w:t>
      </w:r>
      <w:r>
        <w:rPr>
          <w:rFonts w:hint="eastAsia" w:ascii="宋体" w:hAnsi="宋体"/>
          <w:color w:val="auto"/>
          <w:sz w:val="21"/>
          <w:szCs w:val="21"/>
          <w:highlight w:val="none"/>
        </w:rPr>
        <w:t>采购人或者采购代理机构</w:t>
      </w:r>
      <w:r>
        <w:rPr>
          <w:rFonts w:ascii="宋体" w:hAnsi="宋体"/>
          <w:color w:val="auto"/>
          <w:sz w:val="21"/>
          <w:szCs w:val="21"/>
          <w:highlight w:val="none"/>
        </w:rPr>
        <w:t>依法对投标人的资格进行审查。</w:t>
      </w:r>
    </w:p>
    <w:p w14:paraId="5F406BED">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83D0A62">
      <w:pPr>
        <w:pStyle w:val="7"/>
        <w:keepNext w:val="0"/>
        <w:keepLines w:val="0"/>
        <w:spacing w:before="0" w:after="0" w:line="360" w:lineRule="auto"/>
        <w:ind w:firstLine="420" w:firstLineChars="200"/>
        <w:rPr>
          <w:rFonts w:hint="eastAsia" w:ascii="宋体" w:hAnsi="宋体"/>
          <w:color w:val="auto"/>
          <w:sz w:val="21"/>
          <w:szCs w:val="21"/>
          <w:highlight w:val="none"/>
        </w:rPr>
      </w:pPr>
      <w:bookmarkStart w:id="128" w:name="_25.3_投标人有下列情形之一的，资格审查不通过而导致其投标无效："/>
      <w:bookmarkEnd w:id="128"/>
      <w:r>
        <w:rPr>
          <w:rFonts w:hint="eastAsia" w:ascii="宋体" w:hAnsi="宋体"/>
          <w:color w:val="auto"/>
          <w:sz w:val="21"/>
          <w:szCs w:val="21"/>
          <w:highlight w:val="none"/>
        </w:rPr>
        <w:t>25.3 投标人有下列情形之一的，资格审查不通过，作无效投标处理：</w:t>
      </w:r>
    </w:p>
    <w:p w14:paraId="0A2C27CD">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3CD9310F">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（2）不具备招标文件中规定的资格要求的；</w:t>
      </w:r>
    </w:p>
    <w:p w14:paraId="1F2367A3">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1801BE96">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6DF8F48D">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6601AB99">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43A100ED">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48DB9A18">
      <w:pPr>
        <w:pStyle w:val="26"/>
        <w:snapToGrid w:val="0"/>
        <w:spacing w:line="360" w:lineRule="auto"/>
        <w:ind w:left="689" w:leftChars="228" w:hanging="210" w:hangingChars="100"/>
        <w:rPr>
          <w:rFonts w:hint="eastAsia" w:hAnsi="宋体"/>
          <w:color w:val="auto"/>
          <w:sz w:val="21"/>
          <w:highlight w:val="none"/>
        </w:rPr>
      </w:pPr>
    </w:p>
    <w:p w14:paraId="235D5F6B">
      <w:pPr>
        <w:pStyle w:val="6"/>
        <w:keepNext w:val="0"/>
        <w:keepLines w:val="0"/>
        <w:jc w:val="center"/>
        <w:rPr>
          <w:rFonts w:hint="eastAsia" w:ascii="宋体" w:hAnsi="宋体" w:eastAsia="宋体"/>
          <w:color w:val="auto"/>
          <w:highlight w:val="none"/>
        </w:rPr>
      </w:pPr>
      <w:r>
        <w:rPr>
          <w:rFonts w:hint="eastAsia" w:ascii="宋体" w:hAnsi="宋体" w:eastAsia="宋体"/>
          <w:color w:val="auto"/>
          <w:highlight w:val="none"/>
        </w:rPr>
        <w:t>六、评   标</w:t>
      </w:r>
    </w:p>
    <w:p w14:paraId="3AF8792A">
      <w:pPr>
        <w:pStyle w:val="7"/>
        <w:keepNext w:val="0"/>
        <w:keepLines w:val="0"/>
        <w:spacing w:before="0" w:after="0" w:line="360" w:lineRule="auto"/>
        <w:ind w:left="420" w:leftChars="200"/>
        <w:rPr>
          <w:rFonts w:hint="eastAsia" w:ascii="宋体" w:hAnsi="宋体"/>
          <w:color w:val="auto"/>
          <w:highlight w:val="none"/>
        </w:rPr>
      </w:pPr>
      <w:bookmarkStart w:id="129" w:name="_26.组建评标委员会"/>
      <w:bookmarkEnd w:id="129"/>
      <w:r>
        <w:rPr>
          <w:rFonts w:hint="eastAsia" w:ascii="宋体" w:hAnsi="宋体"/>
          <w:color w:val="auto"/>
          <w:highlight w:val="none"/>
        </w:rPr>
        <w:t>26.组建评标委员会</w:t>
      </w:r>
    </w:p>
    <w:p w14:paraId="79692BE5">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5579F18C">
      <w:pPr>
        <w:pStyle w:val="26"/>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0431B9D5">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27.评标的依据</w:t>
      </w:r>
    </w:p>
    <w:p w14:paraId="51574C4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32FB8DE0">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28.评标原则</w:t>
      </w:r>
    </w:p>
    <w:p w14:paraId="7FAF034E">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B60449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30" w:name="_28.3评标方法。本项目将按须知前附表规定的评标办法进行评标，具体评标"/>
      <w:bookmarkEnd w:id="130"/>
      <w:r>
        <w:rPr>
          <w:rFonts w:hint="eastAsia" w:hAnsi="宋体"/>
          <w:color w:val="auto"/>
          <w:sz w:val="21"/>
          <w:highlight w:val="none"/>
        </w:rPr>
        <w:t>评委表决。评标委员会成员对需要共同认定的事项存在争议的，应当按照少数服从多数的原则作出结论。</w:t>
      </w:r>
    </w:p>
    <w:p w14:paraId="41123425">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004970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19273096">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29.评标方法及中标候选人推荐</w:t>
      </w:r>
    </w:p>
    <w:p w14:paraId="0AC2D95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5E04672C">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9.2中标候选人推荐数量详见</w:t>
      </w:r>
      <w:r>
        <w:rPr>
          <w:rFonts w:hint="eastAsia" w:hAnsi="宋体"/>
          <w:color w:val="auto"/>
          <w:sz w:val="21"/>
          <w:highlight w:val="none"/>
        </w:rPr>
        <w:t>“投标人须知前附表”。</w:t>
      </w:r>
    </w:p>
    <w:p w14:paraId="57002CF6">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44F4AE1B">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598275D3">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79BE30A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513B56B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14A67165">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B16EC8F">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398CB96C">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2D5575FF">
      <w:pPr>
        <w:pStyle w:val="26"/>
        <w:snapToGrid w:val="0"/>
        <w:spacing w:line="360" w:lineRule="auto"/>
        <w:rPr>
          <w:rFonts w:hint="eastAsia" w:hAnsi="宋体"/>
          <w:color w:val="auto"/>
          <w:sz w:val="21"/>
          <w:highlight w:val="none"/>
        </w:rPr>
      </w:pPr>
    </w:p>
    <w:p w14:paraId="75BFAF83">
      <w:pPr>
        <w:pStyle w:val="6"/>
        <w:keepNext w:val="0"/>
        <w:keepLines w:val="0"/>
        <w:jc w:val="center"/>
        <w:rPr>
          <w:rFonts w:hint="eastAsia" w:ascii="宋体" w:hAnsi="宋体" w:eastAsia="宋体"/>
          <w:color w:val="auto"/>
          <w:highlight w:val="none"/>
        </w:rPr>
      </w:pPr>
      <w:bookmarkStart w:id="131" w:name="_Toc254970687"/>
      <w:bookmarkStart w:id="132" w:name="_Toc254970546"/>
      <w:r>
        <w:rPr>
          <w:rFonts w:hint="eastAsia" w:ascii="宋体" w:hAnsi="宋体" w:eastAsia="宋体"/>
          <w:color w:val="auto"/>
          <w:highlight w:val="none"/>
        </w:rPr>
        <w:t>七、</w:t>
      </w:r>
      <w:bookmarkEnd w:id="131"/>
      <w:bookmarkEnd w:id="132"/>
      <w:r>
        <w:rPr>
          <w:rFonts w:hint="eastAsia" w:ascii="宋体" w:hAnsi="宋体" w:eastAsia="宋体"/>
          <w:color w:val="auto"/>
          <w:highlight w:val="none"/>
        </w:rPr>
        <w:t>中标和合同</w:t>
      </w:r>
    </w:p>
    <w:p w14:paraId="1F2A6E0C">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30确定中标人</w:t>
      </w:r>
    </w:p>
    <w:p w14:paraId="21064736">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ascii="宋体" w:hAnsi="宋体"/>
          <w:color w:val="auto"/>
          <w:sz w:val="21"/>
          <w:szCs w:val="21"/>
          <w:highlight w:val="none"/>
        </w:rPr>
        <w:t>30.1</w:t>
      </w:r>
      <w:r>
        <w:rPr>
          <w:rFonts w:hint="eastAsia" w:ascii="宋体" w:hAnsi="宋体"/>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5C9230C">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F200A3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6785D23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7C8B89A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6109E7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2F0DA1F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49388F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2292D1F">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011DD106">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31. 结果公告</w:t>
      </w:r>
    </w:p>
    <w:p w14:paraId="17791C9F">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1.1</w:t>
      </w:r>
      <w:r>
        <w:rPr>
          <w:rFonts w:hint="eastAsia" w:ascii="宋体" w:hAnsi="宋体"/>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02B18784">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6C17E256">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32.发出中标通知书</w:t>
      </w:r>
    </w:p>
    <w:p w14:paraId="195B8EF2">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7FEE9DCD">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33. 无义务解释未中标原因</w:t>
      </w:r>
    </w:p>
    <w:p w14:paraId="20D9F4C9">
      <w:pPr>
        <w:pStyle w:val="7"/>
        <w:keepNext w:val="0"/>
        <w:keepLines w:val="0"/>
        <w:spacing w:before="0" w:after="0" w:line="360" w:lineRule="auto"/>
        <w:ind w:left="420" w:leftChars="200"/>
        <w:rPr>
          <w:rFonts w:hint="eastAsia" w:ascii="宋体" w:hAnsi="宋体"/>
          <w:b/>
          <w:color w:val="auto"/>
          <w:sz w:val="21"/>
          <w:szCs w:val="21"/>
          <w:highlight w:val="none"/>
        </w:rPr>
      </w:pPr>
      <w:r>
        <w:rPr>
          <w:rFonts w:hint="eastAsia" w:ascii="宋体" w:hAnsi="宋体"/>
          <w:color w:val="auto"/>
          <w:sz w:val="21"/>
          <w:szCs w:val="21"/>
          <w:highlight w:val="none"/>
        </w:rPr>
        <w:t>采购代理机构无义务向未中标的投标人解释未中标原因和退还投标文件。</w:t>
      </w:r>
    </w:p>
    <w:p w14:paraId="3CEBA047">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34.合同授予标准</w:t>
      </w:r>
    </w:p>
    <w:p w14:paraId="77D4A49D">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7BF39A49">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35.履约保证金</w:t>
      </w:r>
    </w:p>
    <w:p w14:paraId="7DBA64F1">
      <w:pPr>
        <w:pStyle w:val="7"/>
        <w:keepNext w:val="0"/>
        <w:keepLines w:val="0"/>
        <w:spacing w:before="0" w:after="0" w:line="360" w:lineRule="auto"/>
        <w:ind w:firstLine="315" w:firstLineChars="150"/>
        <w:rPr>
          <w:rFonts w:hint="eastAsia" w:ascii="宋体" w:hAnsi="宋体"/>
          <w:color w:val="auto"/>
          <w:sz w:val="21"/>
          <w:szCs w:val="21"/>
          <w:highlight w:val="none"/>
        </w:rPr>
      </w:pPr>
      <w:bookmarkStart w:id="133" w:name="_39.1中标人须于签订合同前按本须知前附表规定的金额转账或电汇到指定账"/>
      <w:bookmarkEnd w:id="133"/>
      <w:r>
        <w:rPr>
          <w:rFonts w:hint="eastAsia" w:ascii="宋体" w:hAnsi="宋体"/>
          <w:color w:val="auto"/>
          <w:sz w:val="21"/>
          <w:szCs w:val="21"/>
          <w:highlight w:val="none"/>
        </w:rPr>
        <w:t>3</w:t>
      </w:r>
      <w:r>
        <w:rPr>
          <w:rFonts w:ascii="宋体" w:hAnsi="宋体"/>
          <w:color w:val="auto"/>
          <w:sz w:val="21"/>
          <w:szCs w:val="21"/>
          <w:highlight w:val="none"/>
        </w:rPr>
        <w:t>5</w:t>
      </w:r>
      <w:r>
        <w:rPr>
          <w:rFonts w:hint="eastAsia" w:ascii="宋体" w:hAnsi="宋体"/>
          <w:color w:val="auto"/>
          <w:sz w:val="21"/>
          <w:szCs w:val="21"/>
          <w:highlight w:val="none"/>
        </w:rPr>
        <w:t>.1 本项目不收取履约保证金。</w:t>
      </w:r>
    </w:p>
    <w:p w14:paraId="32EF93B8">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36.签订合同</w:t>
      </w:r>
    </w:p>
    <w:p w14:paraId="417AB42E">
      <w:pPr>
        <w:pStyle w:val="7"/>
        <w:keepNext w:val="0"/>
        <w:keepLines w:val="0"/>
        <w:spacing w:before="0" w:after="0" w:line="360" w:lineRule="auto"/>
        <w:ind w:firstLine="315" w:firstLineChars="150"/>
        <w:rPr>
          <w:rFonts w:hint="eastAsia" w:ascii="宋体" w:hAnsi="宋体"/>
          <w:b/>
          <w:bCs/>
          <w:color w:val="auto"/>
          <w:sz w:val="21"/>
          <w:szCs w:val="21"/>
          <w:highlight w:val="none"/>
        </w:rPr>
      </w:pPr>
      <w:bookmarkStart w:id="134" w:name="_40.1投标人接到中标通知书后，按须知前附表规定向采购人出示相关资格证"/>
      <w:bookmarkEnd w:id="134"/>
      <w:r>
        <w:rPr>
          <w:rFonts w:hint="eastAsia" w:ascii="宋体" w:hAnsi="宋体"/>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Cs/>
          <w:color w:val="auto"/>
          <w:sz w:val="21"/>
          <w:szCs w:val="21"/>
          <w:highlight w:val="none"/>
        </w:rPr>
        <w:t>如中标人为联合体的，</w:t>
      </w:r>
      <w:r>
        <w:rPr>
          <w:rFonts w:ascii="宋体" w:hAnsi="宋体"/>
          <w:bCs/>
          <w:color w:val="auto"/>
          <w:sz w:val="21"/>
          <w:szCs w:val="21"/>
          <w:highlight w:val="none"/>
        </w:rPr>
        <w:t>联合体各方应当共同与采购人签订采购合同，就采购合同约定的事项对采购人承担连带责任。</w:t>
      </w:r>
    </w:p>
    <w:p w14:paraId="42229681">
      <w:pPr>
        <w:pStyle w:val="7"/>
        <w:keepNext w:val="0"/>
        <w:keepLines w:val="0"/>
        <w:spacing w:before="0" w:after="0"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36.2签订合同时间：自中标通知书发出之日起25日内签订合同。</w:t>
      </w:r>
    </w:p>
    <w:p w14:paraId="66ECC127">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 xml:space="preserve"> 36.</w:t>
      </w:r>
      <w:r>
        <w:rPr>
          <w:rFonts w:ascii="宋体" w:hAnsi="宋体"/>
          <w:color w:val="auto"/>
          <w:sz w:val="21"/>
          <w:szCs w:val="21"/>
          <w:highlight w:val="none"/>
        </w:rPr>
        <w:t>3</w:t>
      </w:r>
      <w:r>
        <w:rPr>
          <w:rFonts w:hint="eastAsia" w:ascii="宋体" w:hAnsi="宋体"/>
          <w:color w:val="auto"/>
          <w:sz w:val="21"/>
          <w:szCs w:val="21"/>
          <w:highlight w:val="none"/>
        </w:rPr>
        <w:t>中标人拒绝与采购人签订合同的，按照本须知正文第3</w:t>
      </w:r>
      <w:r>
        <w:rPr>
          <w:rFonts w:ascii="宋体" w:hAnsi="宋体"/>
          <w:color w:val="auto"/>
          <w:sz w:val="21"/>
          <w:szCs w:val="21"/>
          <w:highlight w:val="none"/>
        </w:rPr>
        <w:t>0.4条</w:t>
      </w:r>
      <w:r>
        <w:rPr>
          <w:rFonts w:hint="eastAsia" w:ascii="宋体" w:hAnsi="宋体"/>
          <w:color w:val="auto"/>
          <w:sz w:val="21"/>
          <w:szCs w:val="21"/>
          <w:highlight w:val="none"/>
        </w:rPr>
        <w:t>的规定执行。</w:t>
      </w:r>
    </w:p>
    <w:p w14:paraId="5130059C">
      <w:pPr>
        <w:pStyle w:val="7"/>
        <w:keepNext w:val="0"/>
        <w:keepLines w:val="0"/>
        <w:spacing w:before="0" w:after="0" w:line="360" w:lineRule="auto"/>
        <w:ind w:left="420" w:leftChars="200"/>
        <w:rPr>
          <w:rFonts w:hint="eastAsia" w:ascii="宋体" w:hAnsi="宋体"/>
          <w:color w:val="auto"/>
          <w:highlight w:val="none"/>
        </w:rPr>
      </w:pPr>
      <w:bookmarkStart w:id="135" w:name="_41.政府采购合同公告"/>
      <w:bookmarkEnd w:id="135"/>
      <w:r>
        <w:rPr>
          <w:rFonts w:hint="eastAsia" w:ascii="宋体" w:hAnsi="宋体"/>
          <w:color w:val="auto"/>
          <w:highlight w:val="none"/>
        </w:rPr>
        <w:t>37.政府采购合同公告</w:t>
      </w:r>
    </w:p>
    <w:p w14:paraId="52B581C5">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7680F1F7">
      <w:pPr>
        <w:pStyle w:val="7"/>
        <w:keepNext w:val="0"/>
        <w:keepLines w:val="0"/>
        <w:spacing w:before="0" w:after="0" w:line="360" w:lineRule="auto"/>
        <w:ind w:left="420" w:leftChars="200"/>
        <w:rPr>
          <w:rFonts w:hint="eastAsia" w:ascii="宋体" w:hAnsi="宋体"/>
          <w:color w:val="auto"/>
          <w:highlight w:val="none"/>
        </w:rPr>
      </w:pPr>
      <w:r>
        <w:rPr>
          <w:rFonts w:hint="eastAsia" w:ascii="宋体" w:hAnsi="宋体"/>
          <w:color w:val="auto"/>
          <w:highlight w:val="none"/>
        </w:rPr>
        <w:t>3</w:t>
      </w:r>
      <w:r>
        <w:rPr>
          <w:rFonts w:ascii="宋体" w:hAnsi="宋体"/>
          <w:color w:val="auto"/>
          <w:highlight w:val="none"/>
        </w:rPr>
        <w:t>8.</w:t>
      </w:r>
      <w:r>
        <w:rPr>
          <w:rFonts w:hint="eastAsia" w:ascii="宋体" w:hAnsi="宋体"/>
          <w:color w:val="auto"/>
          <w:highlight w:val="none"/>
        </w:rPr>
        <w:t xml:space="preserve"> 询问、质疑和投诉</w:t>
      </w:r>
    </w:p>
    <w:p w14:paraId="5199EDCA">
      <w:pPr>
        <w:pStyle w:val="15"/>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45001549">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EB2523D">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62D2052E">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1A95D0BF">
      <w:pPr>
        <w:pStyle w:val="26"/>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5B79F573">
      <w:pPr>
        <w:pStyle w:val="7"/>
        <w:keepNext w:val="0"/>
        <w:keepLines w:val="0"/>
        <w:spacing w:before="0" w:after="0" w:line="360" w:lineRule="auto"/>
        <w:ind w:firstLine="315" w:firstLineChars="150"/>
        <w:rPr>
          <w:rFonts w:hint="eastAsia"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3</w:t>
      </w:r>
      <w:r>
        <w:rPr>
          <w:rFonts w:ascii="宋体" w:hAnsi="宋体"/>
          <w:bCs/>
          <w:color w:val="auto"/>
          <w:sz w:val="21"/>
          <w:highlight w:val="none"/>
        </w:rPr>
        <w:t>供应商提出质疑应当提交质疑函和必要的证明材料</w:t>
      </w:r>
      <w:r>
        <w:rPr>
          <w:rFonts w:hint="eastAsia" w:ascii="宋体" w:hAnsi="宋体"/>
          <w:bCs/>
          <w:color w:val="auto"/>
          <w:sz w:val="21"/>
          <w:highlight w:val="none"/>
        </w:rPr>
        <w:t>，</w:t>
      </w:r>
      <w:r>
        <w:rPr>
          <w:rFonts w:ascii="宋体" w:hAnsi="宋体"/>
          <w:bCs/>
          <w:color w:val="auto"/>
          <w:sz w:val="21"/>
          <w:highlight w:val="none"/>
        </w:rPr>
        <w:t>针对同一采购程序环节的质疑</w:t>
      </w:r>
      <w:r>
        <w:rPr>
          <w:rFonts w:hint="eastAsia" w:ascii="宋体" w:hAnsi="宋体"/>
          <w:bCs/>
          <w:color w:val="auto"/>
          <w:sz w:val="21"/>
          <w:highlight w:val="none"/>
        </w:rPr>
        <w:t>必须</w:t>
      </w:r>
      <w:r>
        <w:rPr>
          <w:rFonts w:ascii="宋体" w:hAnsi="宋体"/>
          <w:bCs/>
          <w:color w:val="auto"/>
          <w:sz w:val="21"/>
          <w:highlight w:val="none"/>
        </w:rPr>
        <w:t>在法定质疑期内一次性提出。质疑函应当包括下列内容</w:t>
      </w:r>
      <w:r>
        <w:rPr>
          <w:rFonts w:hint="eastAsia" w:ascii="宋体" w:hAnsi="宋体"/>
          <w:bCs/>
          <w:color w:val="auto"/>
          <w:sz w:val="21"/>
          <w:highlight w:val="none"/>
        </w:rPr>
        <w:t>（质疑函格式后附）</w:t>
      </w:r>
      <w:r>
        <w:rPr>
          <w:rFonts w:ascii="宋体" w:hAnsi="宋体"/>
          <w:bCs/>
          <w:color w:val="auto"/>
          <w:sz w:val="21"/>
          <w:highlight w:val="none"/>
        </w:rPr>
        <w:t>：</w:t>
      </w:r>
    </w:p>
    <w:p w14:paraId="1123AC89">
      <w:pPr>
        <w:pStyle w:val="26"/>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3CC961D6">
      <w:pPr>
        <w:pStyle w:val="26"/>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9714292">
      <w:pPr>
        <w:pStyle w:val="26"/>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003CFEAC">
      <w:pPr>
        <w:pStyle w:val="26"/>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5B9B7E88">
      <w:pPr>
        <w:pStyle w:val="26"/>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8B36951">
      <w:pPr>
        <w:pStyle w:val="26"/>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73F6222">
      <w:pPr>
        <w:pStyle w:val="26"/>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EB84EEA">
      <w:pPr>
        <w:pStyle w:val="7"/>
        <w:keepNext w:val="0"/>
        <w:keepLines w:val="0"/>
        <w:snapToGrid w:val="0"/>
        <w:spacing w:before="0" w:after="0" w:line="360" w:lineRule="auto"/>
        <w:ind w:firstLine="420" w:firstLineChars="200"/>
        <w:rPr>
          <w:rFonts w:hint="eastAsia" w:ascii="宋体" w:hAnsi="宋体"/>
          <w:b/>
          <w:bCs/>
          <w:color w:val="auto"/>
          <w:sz w:val="21"/>
          <w:szCs w:val="21"/>
          <w:highlight w:val="none"/>
        </w:rPr>
      </w:pPr>
      <w:r>
        <w:rPr>
          <w:rFonts w:ascii="宋体" w:hAnsi="宋体"/>
          <w:color w:val="auto"/>
          <w:sz w:val="21"/>
          <w:szCs w:val="21"/>
          <w:highlight w:val="none"/>
        </w:rPr>
        <w:t>3</w:t>
      </w:r>
      <w:r>
        <w:rPr>
          <w:rFonts w:ascii="宋体" w:hAnsi="宋体"/>
          <w:bCs/>
          <w:color w:val="auto"/>
          <w:sz w:val="21"/>
          <w:szCs w:val="21"/>
          <w:highlight w:val="none"/>
        </w:rPr>
        <w:t>8.4</w:t>
      </w:r>
      <w:r>
        <w:rPr>
          <w:rFonts w:hint="eastAsia" w:ascii="宋体" w:hAnsi="宋体"/>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7942B07D">
      <w:pPr>
        <w:pStyle w:val="26"/>
        <w:snapToGrid w:val="0"/>
        <w:spacing w:line="360" w:lineRule="auto"/>
        <w:rPr>
          <w:rFonts w:hint="eastAsia"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0932AA92">
      <w:pPr>
        <w:pStyle w:val="26"/>
        <w:snapToGrid w:val="0"/>
        <w:spacing w:line="360" w:lineRule="auto"/>
        <w:rPr>
          <w:rFonts w:hint="eastAsia" w:hAnsi="宋体"/>
          <w:bCs/>
          <w:color w:val="auto"/>
          <w:sz w:val="21"/>
          <w:highlight w:val="none"/>
        </w:rPr>
      </w:pPr>
      <w:r>
        <w:rPr>
          <w:rFonts w:hint="eastAsia" w:hAnsi="宋体"/>
          <w:bCs/>
          <w:color w:val="auto"/>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1AAF69B4">
      <w:pPr>
        <w:pStyle w:val="26"/>
        <w:snapToGrid w:val="0"/>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5AA800FF">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6" w:name="_八、其他事项"/>
      <w:bookmarkEnd w:id="136"/>
    </w:p>
    <w:p w14:paraId="12BE06D0">
      <w:pPr>
        <w:pStyle w:val="26"/>
        <w:snapToGrid w:val="0"/>
        <w:spacing w:line="360" w:lineRule="auto"/>
        <w:ind w:firstLine="400" w:firstLineChars="200"/>
        <w:rPr>
          <w:rFonts w:hint="eastAsia" w:hAnsi="宋体"/>
          <w:color w:val="auto"/>
          <w:highlight w:val="none"/>
        </w:rPr>
      </w:pPr>
    </w:p>
    <w:p w14:paraId="08C7159B">
      <w:pPr>
        <w:pStyle w:val="6"/>
        <w:keepNext w:val="0"/>
        <w:keepLines w:val="0"/>
        <w:jc w:val="center"/>
        <w:rPr>
          <w:rFonts w:hint="eastAsia" w:ascii="宋体" w:hAnsi="宋体" w:eastAsia="宋体"/>
          <w:color w:val="auto"/>
          <w:highlight w:val="none"/>
        </w:rPr>
      </w:pPr>
      <w:r>
        <w:rPr>
          <w:rFonts w:hint="eastAsia" w:ascii="宋体" w:hAnsi="宋体" w:eastAsia="宋体"/>
          <w:color w:val="auto"/>
          <w:highlight w:val="none"/>
        </w:rPr>
        <w:t>八、其他事项</w:t>
      </w:r>
    </w:p>
    <w:p w14:paraId="1EEF3E4D">
      <w:pPr>
        <w:pStyle w:val="7"/>
        <w:keepNext w:val="0"/>
        <w:keepLines w:val="0"/>
        <w:spacing w:before="0" w:after="0" w:line="360" w:lineRule="auto"/>
        <w:ind w:left="420" w:leftChars="200"/>
        <w:rPr>
          <w:rFonts w:hint="eastAsia" w:ascii="宋体" w:hAnsi="宋体"/>
          <w:color w:val="auto"/>
          <w:highlight w:val="none"/>
        </w:rPr>
      </w:pPr>
      <w:bookmarkStart w:id="137" w:name="_42.代理服务费"/>
      <w:bookmarkEnd w:id="137"/>
      <w:r>
        <w:rPr>
          <w:rFonts w:hint="eastAsia" w:ascii="宋体" w:hAnsi="宋体"/>
          <w:color w:val="auto"/>
          <w:highlight w:val="none"/>
        </w:rPr>
        <w:t>3</w:t>
      </w:r>
      <w:r>
        <w:rPr>
          <w:rFonts w:ascii="宋体" w:hAnsi="宋体"/>
          <w:color w:val="auto"/>
          <w:highlight w:val="none"/>
        </w:rPr>
        <w:t>9</w:t>
      </w:r>
      <w:r>
        <w:rPr>
          <w:rFonts w:hint="eastAsia" w:ascii="宋体" w:hAnsi="宋体"/>
          <w:color w:val="auto"/>
          <w:highlight w:val="none"/>
        </w:rPr>
        <w:t>.代理服务费</w:t>
      </w:r>
    </w:p>
    <w:p w14:paraId="3F80BF98">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2A3F6E0C">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695523EA">
      <w:pPr>
        <w:pStyle w:val="26"/>
        <w:snapToGrid w:val="0"/>
        <w:spacing w:line="360" w:lineRule="auto"/>
        <w:ind w:firstLine="420" w:firstLineChars="200"/>
        <w:rPr>
          <w:rFonts w:hint="eastAsia" w:hAnsi="宋体"/>
          <w:color w:val="auto"/>
          <w:sz w:val="21"/>
          <w:highlight w:val="none"/>
        </w:rPr>
      </w:pPr>
    </w:p>
    <w:tbl>
      <w:tblPr>
        <w:tblStyle w:val="5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32E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300441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2911B0C7">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6AAC8923">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697FA775">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6F56FABB">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505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E9028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Pr>
          <w:p w14:paraId="0815E4F8">
            <w:pPr>
              <w:spacing w:line="360" w:lineRule="auto"/>
              <w:rPr>
                <w:rFonts w:hint="eastAsia" w:ascii="宋体" w:hAnsi="宋体"/>
                <w:color w:val="auto"/>
                <w:szCs w:val="21"/>
                <w:highlight w:val="none"/>
              </w:rPr>
            </w:pPr>
            <w:r>
              <w:rPr>
                <w:rFonts w:ascii="宋体" w:hAnsi="宋体" w:cs="宋体"/>
                <w:color w:val="auto"/>
                <w:kern w:val="0"/>
                <w:szCs w:val="21"/>
                <w:highlight w:val="none"/>
              </w:rPr>
              <w:t xml:space="preserve">1.5% </w:t>
            </w:r>
          </w:p>
        </w:tc>
        <w:tc>
          <w:tcPr>
            <w:tcW w:w="1687" w:type="dxa"/>
          </w:tcPr>
          <w:p w14:paraId="382ADA8E">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1.5%</w:t>
            </w:r>
          </w:p>
        </w:tc>
        <w:tc>
          <w:tcPr>
            <w:tcW w:w="1659" w:type="dxa"/>
          </w:tcPr>
          <w:p w14:paraId="52E2128B">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7CEE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A37F261">
            <w:pPr>
              <w:spacing w:line="360" w:lineRule="auto"/>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tcPr>
          <w:p w14:paraId="69B2889B">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1.1% </w:t>
            </w:r>
          </w:p>
        </w:tc>
        <w:tc>
          <w:tcPr>
            <w:tcW w:w="1687" w:type="dxa"/>
          </w:tcPr>
          <w:p w14:paraId="0D8642BF">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0.8%</w:t>
            </w:r>
          </w:p>
        </w:tc>
        <w:tc>
          <w:tcPr>
            <w:tcW w:w="1659" w:type="dxa"/>
          </w:tcPr>
          <w:p w14:paraId="7B7146A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578A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518AF8">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tcPr>
          <w:p w14:paraId="635DFEB4">
            <w:pPr>
              <w:spacing w:line="360" w:lineRule="auto"/>
              <w:rPr>
                <w:rFonts w:hint="eastAsia" w:ascii="宋体" w:hAnsi="宋体"/>
                <w:color w:val="auto"/>
                <w:szCs w:val="21"/>
                <w:highlight w:val="none"/>
              </w:rPr>
            </w:pPr>
            <w:r>
              <w:rPr>
                <w:rFonts w:ascii="宋体" w:hAnsi="宋体" w:cs="宋体"/>
                <w:color w:val="auto"/>
                <w:kern w:val="0"/>
                <w:szCs w:val="21"/>
                <w:highlight w:val="none"/>
              </w:rPr>
              <w:t xml:space="preserve">0.8% </w:t>
            </w:r>
          </w:p>
        </w:tc>
        <w:tc>
          <w:tcPr>
            <w:tcW w:w="1687" w:type="dxa"/>
          </w:tcPr>
          <w:p w14:paraId="528AF59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0.45%</w:t>
            </w:r>
          </w:p>
        </w:tc>
        <w:tc>
          <w:tcPr>
            <w:tcW w:w="1659" w:type="dxa"/>
          </w:tcPr>
          <w:p w14:paraId="6C19189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0.55%</w:t>
            </w:r>
          </w:p>
        </w:tc>
      </w:tr>
      <w:tr w14:paraId="4460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16480F">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tcPr>
          <w:p w14:paraId="2E9CAA3E">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0.5% </w:t>
            </w:r>
          </w:p>
        </w:tc>
        <w:tc>
          <w:tcPr>
            <w:tcW w:w="1687" w:type="dxa"/>
          </w:tcPr>
          <w:p w14:paraId="19EA2A7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0.25%</w:t>
            </w:r>
          </w:p>
        </w:tc>
        <w:tc>
          <w:tcPr>
            <w:tcW w:w="1659" w:type="dxa"/>
          </w:tcPr>
          <w:p w14:paraId="0316E637">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2F30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D41B23B">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Pr>
          <w:p w14:paraId="19D86296">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p>
        </w:tc>
        <w:tc>
          <w:tcPr>
            <w:tcW w:w="1687" w:type="dxa"/>
          </w:tcPr>
          <w:p w14:paraId="779461C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0.1%</w:t>
            </w:r>
          </w:p>
        </w:tc>
        <w:tc>
          <w:tcPr>
            <w:tcW w:w="1659" w:type="dxa"/>
          </w:tcPr>
          <w:p w14:paraId="2586FFAA">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0.2%</w:t>
            </w:r>
          </w:p>
        </w:tc>
      </w:tr>
      <w:tr w14:paraId="71C0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72D3A5">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tcPr>
          <w:p w14:paraId="058F1143">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Pr>
          <w:p w14:paraId="18EE0F0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15ABA4C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7610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16053A">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tcPr>
          <w:p w14:paraId="26FE0D2E">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Pr>
          <w:p w14:paraId="1009F2E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5E3164FF">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r>
      <w:tr w14:paraId="4C12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478DB0">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tcPr>
          <w:p w14:paraId="06D9444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Pr>
          <w:p w14:paraId="462A2CF0">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0.008%</w:t>
            </w:r>
          </w:p>
        </w:tc>
        <w:tc>
          <w:tcPr>
            <w:tcW w:w="1659" w:type="dxa"/>
          </w:tcPr>
          <w:p w14:paraId="0018A44E">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r>
      <w:tr w14:paraId="01DA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57EC74">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tcPr>
          <w:p w14:paraId="5A74788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7C872708">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0.006%</w:t>
            </w:r>
          </w:p>
        </w:tc>
        <w:tc>
          <w:tcPr>
            <w:tcW w:w="1659" w:type="dxa"/>
          </w:tcPr>
          <w:p w14:paraId="6633452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0.006%</w:t>
            </w:r>
          </w:p>
        </w:tc>
      </w:tr>
      <w:tr w14:paraId="6E50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203DFA">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Pr>
          <w:p w14:paraId="4D05871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1C046BE9">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0.004%</w:t>
            </w:r>
          </w:p>
        </w:tc>
        <w:tc>
          <w:tcPr>
            <w:tcW w:w="1659" w:type="dxa"/>
          </w:tcPr>
          <w:p w14:paraId="07AC60F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0.004%</w:t>
            </w:r>
          </w:p>
        </w:tc>
      </w:tr>
    </w:tbl>
    <w:p w14:paraId="4E3F8D71">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注:</w:t>
      </w:r>
    </w:p>
    <w:p w14:paraId="14CCED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C1730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5054D26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1C8210E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3A347F3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200 － 100 ）万元 ×0.8%＝0.8万元</w:t>
      </w:r>
    </w:p>
    <w:p w14:paraId="4A2F01B2">
      <w:pPr>
        <w:pStyle w:val="26"/>
        <w:snapToGrid w:val="0"/>
        <w:spacing w:line="360" w:lineRule="auto"/>
        <w:ind w:firstLine="420"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7FDDF2E3">
      <w:pPr>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39.3代理服务费交纳银行账号</w:t>
      </w:r>
      <w:r>
        <w:rPr>
          <w:rFonts w:ascii="宋体" w:hAnsi="宋体" w:cs="宋体"/>
          <w:color w:val="auto"/>
          <w:szCs w:val="21"/>
          <w:highlight w:val="none"/>
        </w:rPr>
        <w:t>信息</w:t>
      </w:r>
      <w:r>
        <w:rPr>
          <w:rFonts w:hint="eastAsia" w:ascii="宋体" w:hAnsi="宋体" w:cs="宋体"/>
          <w:color w:val="auto"/>
          <w:szCs w:val="21"/>
          <w:highlight w:val="none"/>
        </w:rPr>
        <w:t>：详见投标须知前附表</w:t>
      </w:r>
    </w:p>
    <w:p w14:paraId="3B389D72">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40. 需要补充的其他内容</w:t>
      </w:r>
    </w:p>
    <w:p w14:paraId="7E2DA9EE">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2D74FA63">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5502134A">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8"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1E2A94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EEBDF08">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ACD1427">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ED39FD">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0B17A2">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8"/>
    </w:p>
    <w:p w14:paraId="4D403675">
      <w:pPr>
        <w:pStyle w:val="20"/>
        <w:ind w:left="449" w:leftChars="114" w:hanging="210" w:hangingChars="100"/>
        <w:rPr>
          <w:rFonts w:hint="eastAsia" w:ascii="宋体" w:hAnsi="宋体"/>
          <w:color w:val="auto"/>
          <w:highlight w:val="none"/>
        </w:rPr>
      </w:pPr>
      <w:r>
        <w:rPr>
          <w:rFonts w:ascii="宋体" w:hAnsi="宋体"/>
          <w:color w:val="auto"/>
          <w:highlight w:val="none"/>
        </w:rPr>
        <w:br w:type="page"/>
      </w:r>
    </w:p>
    <w:p w14:paraId="75845DAE">
      <w:pPr>
        <w:pStyle w:val="20"/>
        <w:ind w:left="449" w:leftChars="114" w:hanging="210" w:hangingChars="100"/>
        <w:rPr>
          <w:rFonts w:hint="eastAsia" w:ascii="宋体" w:hAnsi="宋体"/>
          <w:color w:val="auto"/>
          <w:highlight w:val="none"/>
        </w:rPr>
      </w:pPr>
    </w:p>
    <w:p w14:paraId="36D019B8">
      <w:pPr>
        <w:pStyle w:val="20"/>
        <w:ind w:left="449" w:leftChars="114" w:hanging="210" w:hangingChars="100"/>
        <w:rPr>
          <w:rFonts w:hint="eastAsia" w:ascii="宋体" w:hAnsi="宋体"/>
          <w:color w:val="auto"/>
          <w:highlight w:val="none"/>
        </w:rPr>
      </w:pPr>
    </w:p>
    <w:p w14:paraId="10DA6005">
      <w:pPr>
        <w:pStyle w:val="20"/>
        <w:ind w:left="449" w:leftChars="114" w:hanging="210" w:hangingChars="100"/>
        <w:rPr>
          <w:rFonts w:hint="eastAsia" w:ascii="宋体" w:hAnsi="宋体"/>
          <w:color w:val="auto"/>
          <w:highlight w:val="none"/>
        </w:rPr>
      </w:pPr>
    </w:p>
    <w:p w14:paraId="111BD018">
      <w:pPr>
        <w:pStyle w:val="26"/>
        <w:snapToGrid w:val="0"/>
        <w:spacing w:before="120" w:after="120"/>
        <w:rPr>
          <w:rFonts w:hint="eastAsia" w:hAnsi="宋体"/>
          <w:color w:val="auto"/>
          <w:highlight w:val="none"/>
        </w:rPr>
      </w:pPr>
    </w:p>
    <w:p w14:paraId="672DD459">
      <w:pPr>
        <w:pStyle w:val="26"/>
        <w:snapToGrid w:val="0"/>
        <w:spacing w:before="120" w:after="120"/>
        <w:rPr>
          <w:rFonts w:hint="eastAsia" w:hAnsi="宋体"/>
          <w:color w:val="auto"/>
          <w:highlight w:val="none"/>
        </w:rPr>
      </w:pPr>
    </w:p>
    <w:p w14:paraId="2C78AF86">
      <w:pPr>
        <w:pStyle w:val="26"/>
        <w:snapToGrid w:val="0"/>
        <w:spacing w:before="120" w:after="120"/>
        <w:rPr>
          <w:rFonts w:hint="eastAsia" w:hAnsi="宋体"/>
          <w:color w:val="auto"/>
          <w:highlight w:val="none"/>
        </w:rPr>
      </w:pPr>
    </w:p>
    <w:p w14:paraId="0D2F0194">
      <w:pPr>
        <w:pStyle w:val="26"/>
        <w:snapToGrid w:val="0"/>
        <w:spacing w:before="120" w:after="120"/>
        <w:rPr>
          <w:rFonts w:hint="eastAsia" w:hAnsi="宋体"/>
          <w:color w:val="auto"/>
          <w:highlight w:val="none"/>
        </w:rPr>
      </w:pPr>
    </w:p>
    <w:p w14:paraId="1D2C5970">
      <w:pPr>
        <w:pStyle w:val="26"/>
        <w:snapToGrid w:val="0"/>
        <w:spacing w:before="120" w:after="120"/>
        <w:rPr>
          <w:rFonts w:hint="eastAsia" w:hAnsi="宋体"/>
          <w:color w:val="auto"/>
          <w:highlight w:val="none"/>
        </w:rPr>
      </w:pPr>
    </w:p>
    <w:p w14:paraId="7E7A312C">
      <w:pPr>
        <w:pStyle w:val="26"/>
        <w:snapToGrid w:val="0"/>
        <w:spacing w:before="120" w:after="120"/>
        <w:rPr>
          <w:rFonts w:hint="eastAsia" w:hAnsi="宋体"/>
          <w:color w:val="auto"/>
          <w:highlight w:val="none"/>
        </w:rPr>
      </w:pPr>
    </w:p>
    <w:p w14:paraId="3006F206">
      <w:pPr>
        <w:pStyle w:val="26"/>
        <w:snapToGrid w:val="0"/>
        <w:spacing w:before="120" w:after="120"/>
        <w:rPr>
          <w:rFonts w:hint="eastAsia" w:hAnsi="宋体"/>
          <w:color w:val="auto"/>
          <w:highlight w:val="none"/>
        </w:rPr>
      </w:pPr>
    </w:p>
    <w:p w14:paraId="017D4C8C">
      <w:pPr>
        <w:pStyle w:val="26"/>
        <w:snapToGrid w:val="0"/>
        <w:spacing w:before="120" w:after="120"/>
        <w:rPr>
          <w:rFonts w:hint="eastAsia" w:hAnsi="宋体"/>
          <w:color w:val="auto"/>
          <w:highlight w:val="none"/>
        </w:rPr>
      </w:pPr>
    </w:p>
    <w:p w14:paraId="46FF4C66">
      <w:pPr>
        <w:pStyle w:val="26"/>
        <w:snapToGrid w:val="0"/>
        <w:spacing w:before="120" w:after="120"/>
        <w:rPr>
          <w:rFonts w:hint="eastAsia" w:hAnsi="宋体"/>
          <w:color w:val="auto"/>
          <w:highlight w:val="none"/>
        </w:rPr>
      </w:pPr>
    </w:p>
    <w:p w14:paraId="3F153595">
      <w:pPr>
        <w:pStyle w:val="3"/>
        <w:jc w:val="center"/>
        <w:rPr>
          <w:rFonts w:hint="eastAsia" w:ascii="宋体" w:hAnsi="宋体" w:eastAsia="宋体"/>
          <w:color w:val="auto"/>
          <w:highlight w:val="none"/>
        </w:rPr>
      </w:pPr>
      <w:bookmarkStart w:id="139" w:name="_Toc17795"/>
      <w:bookmarkStart w:id="140" w:name="_Toc330456896"/>
      <w:bookmarkStart w:id="141" w:name="_Toc254970548"/>
      <w:bookmarkStart w:id="142" w:name="_Toc254970689"/>
      <w:r>
        <w:rPr>
          <w:rFonts w:hint="eastAsia" w:ascii="宋体" w:hAnsi="宋体" w:eastAsia="宋体"/>
          <w:color w:val="auto"/>
          <w:highlight w:val="none"/>
        </w:rPr>
        <w:t>第四章  评标方法及评标标准</w:t>
      </w:r>
      <w:bookmarkEnd w:id="139"/>
      <w:bookmarkEnd w:id="140"/>
      <w:bookmarkEnd w:id="141"/>
      <w:bookmarkEnd w:id="142"/>
    </w:p>
    <w:p w14:paraId="6843A9C4">
      <w:pPr>
        <w:pStyle w:val="26"/>
        <w:spacing w:before="120" w:after="120"/>
        <w:outlineLvl w:val="0"/>
        <w:rPr>
          <w:rFonts w:hint="eastAsia" w:hAnsi="宋体"/>
          <w:b/>
          <w:color w:val="auto"/>
          <w:highlight w:val="none"/>
        </w:rPr>
      </w:pPr>
      <w:bookmarkStart w:id="143" w:name="_Toc254970690"/>
      <w:bookmarkStart w:id="144" w:name="_Toc254970549"/>
    </w:p>
    <w:bookmarkEnd w:id="143"/>
    <w:bookmarkEnd w:id="144"/>
    <w:p w14:paraId="36275674">
      <w:pPr>
        <w:pStyle w:val="26"/>
        <w:spacing w:before="120" w:after="120"/>
        <w:outlineLvl w:val="0"/>
        <w:rPr>
          <w:rFonts w:hint="eastAsia" w:hAnsi="宋体"/>
          <w:bCs/>
          <w:color w:val="auto"/>
          <w:sz w:val="32"/>
          <w:szCs w:val="32"/>
          <w:highlight w:val="none"/>
        </w:rPr>
      </w:pPr>
    </w:p>
    <w:p w14:paraId="0B433107">
      <w:pPr>
        <w:pStyle w:val="26"/>
        <w:spacing w:before="120" w:after="120"/>
        <w:outlineLvl w:val="0"/>
        <w:rPr>
          <w:rFonts w:hint="eastAsia" w:hAnsi="宋体"/>
          <w:bCs/>
          <w:color w:val="auto"/>
          <w:sz w:val="32"/>
          <w:szCs w:val="32"/>
          <w:highlight w:val="none"/>
        </w:rPr>
      </w:pPr>
    </w:p>
    <w:p w14:paraId="2D1CB297">
      <w:pPr>
        <w:pStyle w:val="26"/>
        <w:spacing w:before="120" w:after="120"/>
        <w:outlineLvl w:val="0"/>
        <w:rPr>
          <w:rFonts w:hint="eastAsia" w:hAnsi="宋体"/>
          <w:bCs/>
          <w:color w:val="auto"/>
          <w:sz w:val="32"/>
          <w:szCs w:val="32"/>
          <w:highlight w:val="none"/>
        </w:rPr>
      </w:pPr>
    </w:p>
    <w:p w14:paraId="6F7B1A50">
      <w:pPr>
        <w:spacing w:before="120" w:beforeLines="50" w:after="120" w:afterLines="50" w:line="400" w:lineRule="exact"/>
        <w:rPr>
          <w:rFonts w:hint="eastAsia" w:ascii="宋体" w:hAnsi="宋体"/>
          <w:b/>
          <w:color w:val="auto"/>
          <w:sz w:val="24"/>
          <w:highlight w:val="none"/>
        </w:rPr>
      </w:pPr>
    </w:p>
    <w:p w14:paraId="61DC9BCC">
      <w:pPr>
        <w:spacing w:before="120" w:beforeLines="50" w:after="120" w:afterLines="50" w:line="400" w:lineRule="exact"/>
        <w:rPr>
          <w:rFonts w:hint="eastAsia" w:ascii="宋体" w:hAnsi="宋体"/>
          <w:b/>
          <w:color w:val="auto"/>
          <w:sz w:val="24"/>
          <w:highlight w:val="none"/>
        </w:rPr>
      </w:pPr>
    </w:p>
    <w:p w14:paraId="536A943C">
      <w:pPr>
        <w:spacing w:before="120" w:beforeLines="50" w:after="120" w:afterLines="50" w:line="400" w:lineRule="exact"/>
        <w:rPr>
          <w:rFonts w:hint="eastAsia" w:ascii="宋体" w:hAnsi="宋体"/>
          <w:b/>
          <w:color w:val="auto"/>
          <w:sz w:val="24"/>
          <w:highlight w:val="none"/>
        </w:rPr>
      </w:pPr>
    </w:p>
    <w:p w14:paraId="0766F95F">
      <w:pPr>
        <w:spacing w:before="120" w:beforeLines="50" w:after="120" w:afterLines="50" w:line="400" w:lineRule="exact"/>
        <w:rPr>
          <w:rFonts w:hint="eastAsia" w:ascii="宋体" w:hAnsi="宋体"/>
          <w:b/>
          <w:color w:val="auto"/>
          <w:sz w:val="24"/>
          <w:highlight w:val="none"/>
        </w:rPr>
      </w:pPr>
    </w:p>
    <w:p w14:paraId="516B7667">
      <w:pPr>
        <w:spacing w:before="120" w:beforeLines="50" w:after="120" w:afterLines="50" w:line="400" w:lineRule="exact"/>
        <w:rPr>
          <w:rFonts w:hint="eastAsia" w:ascii="宋体" w:hAnsi="宋体"/>
          <w:b/>
          <w:color w:val="auto"/>
          <w:sz w:val="24"/>
          <w:highlight w:val="none"/>
        </w:rPr>
      </w:pPr>
    </w:p>
    <w:p w14:paraId="0125D088">
      <w:pPr>
        <w:spacing w:before="120" w:beforeLines="50" w:after="120" w:afterLines="50" w:line="400" w:lineRule="exact"/>
        <w:rPr>
          <w:rFonts w:hint="eastAsia" w:ascii="宋体" w:hAnsi="宋体"/>
          <w:b/>
          <w:color w:val="auto"/>
          <w:sz w:val="24"/>
          <w:highlight w:val="none"/>
        </w:rPr>
      </w:pPr>
    </w:p>
    <w:p w14:paraId="280A0544">
      <w:pPr>
        <w:spacing w:before="120" w:beforeLines="50" w:after="120" w:afterLines="50" w:line="400" w:lineRule="exact"/>
        <w:rPr>
          <w:rFonts w:hint="eastAsia" w:ascii="宋体" w:hAnsi="宋体"/>
          <w:b/>
          <w:color w:val="auto"/>
          <w:sz w:val="24"/>
          <w:highlight w:val="none"/>
        </w:rPr>
      </w:pPr>
    </w:p>
    <w:p w14:paraId="73AA8B4F">
      <w:pPr>
        <w:pStyle w:val="26"/>
        <w:spacing w:line="360" w:lineRule="exact"/>
        <w:rPr>
          <w:rFonts w:hint="eastAsia" w:hAnsi="宋体"/>
          <w:b/>
          <w:color w:val="auto"/>
          <w:sz w:val="24"/>
          <w:highlight w:val="none"/>
        </w:rPr>
      </w:pPr>
    </w:p>
    <w:p w14:paraId="780D8B7A">
      <w:pPr>
        <w:pStyle w:val="6"/>
        <w:keepNext w:val="0"/>
        <w:keepLines w:val="0"/>
        <w:jc w:val="center"/>
        <w:rPr>
          <w:rFonts w:hint="eastAsia" w:ascii="宋体" w:hAnsi="宋体" w:eastAsia="宋体"/>
          <w:color w:val="auto"/>
          <w:sz w:val="30"/>
          <w:szCs w:val="30"/>
          <w:highlight w:val="none"/>
        </w:rPr>
      </w:pPr>
      <w:r>
        <w:rPr>
          <w:rFonts w:ascii="宋体" w:hAnsi="宋体" w:eastAsia="宋体"/>
          <w:color w:val="auto"/>
          <w:sz w:val="30"/>
          <w:szCs w:val="30"/>
          <w:highlight w:val="none"/>
        </w:rPr>
        <w:br w:type="page"/>
      </w:r>
      <w:r>
        <w:rPr>
          <w:rFonts w:hint="eastAsia" w:ascii="宋体" w:hAnsi="宋体" w:eastAsia="宋体"/>
          <w:color w:val="auto"/>
          <w:sz w:val="30"/>
          <w:szCs w:val="30"/>
          <w:highlight w:val="none"/>
        </w:rPr>
        <w:t>一、评标方法</w:t>
      </w:r>
    </w:p>
    <w:p w14:paraId="680170C9">
      <w:pPr>
        <w:pStyle w:val="26"/>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27D0176C">
      <w:pPr>
        <w:pStyle w:val="26"/>
        <w:spacing w:line="360" w:lineRule="auto"/>
        <w:ind w:firstLine="420"/>
        <w:rPr>
          <w:rFonts w:hint="eastAsia"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13D631F4">
      <w:pPr>
        <w:pStyle w:val="6"/>
        <w:keepNext w:val="0"/>
        <w:keepLines w:val="0"/>
        <w:jc w:val="center"/>
        <w:rPr>
          <w:rFonts w:hint="eastAsia" w:ascii="宋体" w:hAnsi="宋体" w:eastAsia="宋体"/>
          <w:color w:val="auto"/>
          <w:sz w:val="30"/>
          <w:szCs w:val="30"/>
          <w:highlight w:val="none"/>
        </w:rPr>
      </w:pPr>
      <w:r>
        <w:rPr>
          <w:rFonts w:hint="eastAsia" w:ascii="宋体" w:hAnsi="宋体" w:eastAsia="宋体"/>
          <w:color w:val="auto"/>
          <w:sz w:val="30"/>
          <w:szCs w:val="30"/>
          <w:highlight w:val="none"/>
        </w:rPr>
        <w:t>二、评标程序</w:t>
      </w:r>
    </w:p>
    <w:p w14:paraId="46AD8396">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7183995E">
      <w:pPr>
        <w:pStyle w:val="26"/>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4C97FFD">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8B3B51D">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46E02305">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7718E877">
      <w:pPr>
        <w:pStyle w:val="15"/>
        <w:numPr>
          <w:ilvl w:val="0"/>
          <w:numId w:val="2"/>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4BA4464F">
      <w:pPr>
        <w:pStyle w:val="15"/>
        <w:numPr>
          <w:ilvl w:val="0"/>
          <w:numId w:val="2"/>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722AE84">
      <w:pPr>
        <w:pStyle w:val="15"/>
        <w:numPr>
          <w:ilvl w:val="0"/>
          <w:numId w:val="2"/>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13C574C2">
      <w:pPr>
        <w:pStyle w:val="15"/>
        <w:numPr>
          <w:ilvl w:val="0"/>
          <w:numId w:val="2"/>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F3C3EAA">
      <w:pPr>
        <w:pStyle w:val="15"/>
        <w:numPr>
          <w:ilvl w:val="0"/>
          <w:numId w:val="2"/>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3E366FE7">
      <w:pPr>
        <w:pStyle w:val="15"/>
        <w:numPr>
          <w:ilvl w:val="0"/>
          <w:numId w:val="2"/>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60823663">
      <w:pPr>
        <w:pStyle w:val="15"/>
        <w:numPr>
          <w:ilvl w:val="0"/>
          <w:numId w:val="2"/>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D0825FE">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0825E035">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2869FBB">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53E3B8DD">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4FCBC61D">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46379474">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4221A6A1">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062F0009">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034E7F40">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3C47E126">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FFFCCFF">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174CF2A">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299B66E6">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18B62570">
      <w:pPr>
        <w:numPr>
          <w:ilvl w:val="0"/>
          <w:numId w:val="3"/>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CD92C58">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1A0C841A">
      <w:pPr>
        <w:pStyle w:val="21"/>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（1）技术要求评审允许负偏离的条款数超过“投标人须知前附表”规定项数的；</w:t>
      </w:r>
    </w:p>
    <w:p w14:paraId="174E78B3">
      <w:pPr>
        <w:pStyle w:val="21"/>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（2）投标文件未提供“投标人须知前附表”第13.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条规定中“必须提供”的文件资料的；</w:t>
      </w:r>
    </w:p>
    <w:p w14:paraId="1ECA3ACD">
      <w:pPr>
        <w:pStyle w:val="21"/>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（3）虚假投标，或者出现其他情形而导致被评标委员会认定无效的；</w:t>
      </w:r>
    </w:p>
    <w:p w14:paraId="2065038D">
      <w:pPr>
        <w:pStyle w:val="21"/>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（4）</w:t>
      </w:r>
      <w:bookmarkStart w:id="145" w:name="_Hlk71706244"/>
      <w:r>
        <w:rPr>
          <w:rFonts w:hint="eastAsia" w:ascii="宋体" w:hAnsi="宋体"/>
          <w:b/>
          <w:color w:val="auto"/>
          <w:szCs w:val="21"/>
          <w:highlight w:val="none"/>
        </w:rPr>
        <w:t>招标文件未载明允许提供备选（替代）投标方案或明确不允许提供备选（替代）投标方案时，投标人提供了备选（替代）投标方案的；</w:t>
      </w:r>
      <w:bookmarkEnd w:id="145"/>
    </w:p>
    <w:p w14:paraId="377521B7">
      <w:pPr>
        <w:pStyle w:val="21"/>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（5）未响应招标文件实质性要求的。</w:t>
      </w:r>
    </w:p>
    <w:p w14:paraId="0B63CEE1">
      <w:pPr>
        <w:pStyle w:val="21"/>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2.4通过符合性审查的投标人不足3家，评标委员会不得继续评标，并出具评标报告。</w:t>
      </w:r>
    </w:p>
    <w:p w14:paraId="1EAB1954">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3D0852E">
      <w:pPr>
        <w:snapToGrid w:val="0"/>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688DBD7D">
      <w:pPr>
        <w:pStyle w:val="7"/>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34128B37">
      <w:pPr>
        <w:pStyle w:val="7"/>
        <w:keepNext w:val="0"/>
        <w:keepLines w:val="0"/>
        <w:spacing w:before="0" w:after="0" w:line="360" w:lineRule="auto"/>
        <w:ind w:left="420" w:leftChars="200"/>
        <w:rPr>
          <w:rFonts w:hint="eastAsia" w:ascii="宋体" w:hAnsi="宋体"/>
          <w:b/>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 xml:space="preserve">.1投标文件报价出现前后不一致的，按照下列规定修正： </w:t>
      </w:r>
    </w:p>
    <w:p w14:paraId="38402D4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8BF46D8">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1A04CC6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1F57E016">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7DDDFD06">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19816BC0">
      <w:pPr>
        <w:pStyle w:val="7"/>
        <w:keepNext w:val="0"/>
        <w:keepLines w:val="0"/>
        <w:spacing w:before="0" w:after="0" w:line="360" w:lineRule="auto"/>
        <w:rPr>
          <w:rFonts w:hint="eastAsia" w:ascii="宋体" w:hAnsi="宋体"/>
          <w:b/>
          <w:color w:val="auto"/>
          <w:sz w:val="21"/>
          <w:szCs w:val="21"/>
          <w:highlight w:val="none"/>
        </w:rPr>
      </w:pPr>
      <w:r>
        <w:rPr>
          <w:rFonts w:ascii="宋体" w:hAnsi="宋体"/>
          <w:color w:val="auto"/>
          <w:sz w:val="21"/>
          <w:szCs w:val="21"/>
          <w:highlight w:val="none"/>
        </w:rPr>
        <w:t xml:space="preserve">    4</w:t>
      </w:r>
      <w:r>
        <w:rPr>
          <w:rFonts w:hint="eastAsia" w:ascii="宋体" w:hAnsi="宋体"/>
          <w:color w:val="auto"/>
          <w:sz w:val="21"/>
          <w:szCs w:val="21"/>
          <w:highlight w:val="none"/>
        </w:rPr>
        <w:t>.2经投标人确认修正后的报价若超过采购预算金额或者最高限价，投标人的投标文件作无效投标处理。</w:t>
      </w:r>
    </w:p>
    <w:p w14:paraId="22C2A77E">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37F5F0B8">
      <w:pPr>
        <w:pStyle w:val="7"/>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00CDA33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221F69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BDD26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384940C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51576C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1B2A0A4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4F2DE1F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ABD5E4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olor w:val="auto"/>
          <w:szCs w:val="21"/>
          <w:highlight w:val="none"/>
          <w:lang w:val="en-US" w:eastAsia="zh-CN"/>
        </w:rPr>
        <w:t>作</w:t>
      </w:r>
      <w:r>
        <w:rPr>
          <w:rFonts w:hint="eastAsia" w:ascii="宋体" w:hAnsi="宋体"/>
          <w:color w:val="auto"/>
          <w:szCs w:val="21"/>
          <w:highlight w:val="none"/>
        </w:rPr>
        <w:t>出结论。持不同意见的评标委员会成员应当在评标报告上签署不同意见及理由，否则视为同意评标报告。</w:t>
      </w:r>
    </w:p>
    <w:p w14:paraId="267328A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15E7EE5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38F13609">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02035215">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34E2DEFB">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olor w:val="auto"/>
          <w:szCs w:val="21"/>
          <w:highlight w:val="none"/>
          <w:lang w:val="en-US" w:eastAsia="zh-CN"/>
        </w:rPr>
        <w:t>作</w:t>
      </w:r>
      <w:r>
        <w:rPr>
          <w:rFonts w:hint="eastAsia" w:ascii="宋体" w:hAnsi="宋体"/>
          <w:color w:val="auto"/>
          <w:szCs w:val="21"/>
          <w:highlight w:val="none"/>
        </w:rPr>
        <w:t>出结论。持不同意见的评标委员会成员应当在评标报告上签署不同意见及理由，否则视为同意评标报告。</w:t>
      </w:r>
    </w:p>
    <w:p w14:paraId="0E3073BB">
      <w:pPr>
        <w:snapToGrid w:val="0"/>
        <w:spacing w:line="360" w:lineRule="auto"/>
        <w:jc w:val="center"/>
        <w:rPr>
          <w:rFonts w:hint="eastAsia" w:ascii="宋体" w:hAnsi="宋体"/>
          <w:color w:val="auto"/>
          <w:highlight w:val="none"/>
        </w:rPr>
      </w:pPr>
      <w:r>
        <w:rPr>
          <w:rFonts w:ascii="宋体" w:hAnsi="宋体"/>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5B6DD78E">
      <w:pPr>
        <w:pStyle w:val="6"/>
        <w:keepNext w:val="0"/>
        <w:keepLines w:val="0"/>
        <w:jc w:val="center"/>
        <w:rPr>
          <w:rFonts w:hint="eastAsia" w:ascii="宋体" w:hAnsi="宋体" w:eastAsia="宋体"/>
          <w:color w:val="auto"/>
          <w:highlight w:val="none"/>
        </w:rPr>
      </w:pPr>
      <w:r>
        <w:rPr>
          <w:rFonts w:hint="eastAsia" w:ascii="宋体" w:hAnsi="宋体" w:eastAsia="宋体"/>
          <w:color w:val="auto"/>
          <w:highlight w:val="none"/>
        </w:rPr>
        <w:t>综合评分法</w:t>
      </w:r>
    </w:p>
    <w:p w14:paraId="764CAB97">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评定方法：</w:t>
      </w:r>
    </w:p>
    <w:p w14:paraId="43061D48">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（一）对进入详评的，采用百分制综合评分法。</w:t>
      </w:r>
    </w:p>
    <w:p w14:paraId="558EA6CB">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（二）计分办法（按四舍五入取至百分位）：</w:t>
      </w:r>
    </w:p>
    <w:tbl>
      <w:tblPr>
        <w:tblStyle w:val="50"/>
        <w:tblW w:w="4937" w:type="pct"/>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201"/>
        <w:gridCol w:w="6591"/>
        <w:gridCol w:w="1135"/>
      </w:tblGrid>
      <w:tr w14:paraId="2F19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13" w:type="pct"/>
            <w:vAlign w:val="center"/>
          </w:tcPr>
          <w:p w14:paraId="4B1DE7D6">
            <w:pPr>
              <w:spacing w:line="400" w:lineRule="exact"/>
              <w:jc w:val="center"/>
              <w:rPr>
                <w:rFonts w:hint="eastAsia" w:ascii="宋体" w:hAnsi="宋体" w:cs="宋体"/>
                <w:b/>
                <w:color w:val="auto"/>
                <w:kern w:val="21"/>
                <w:sz w:val="24"/>
                <w:highlight w:val="none"/>
              </w:rPr>
            </w:pPr>
            <w:r>
              <w:rPr>
                <w:rFonts w:hint="eastAsia" w:ascii="宋体" w:hAnsi="宋体" w:cs="宋体"/>
                <w:b/>
                <w:color w:val="auto"/>
                <w:kern w:val="21"/>
                <w:sz w:val="24"/>
                <w:highlight w:val="none"/>
              </w:rPr>
              <w:t>序号</w:t>
            </w:r>
          </w:p>
        </w:tc>
        <w:tc>
          <w:tcPr>
            <w:tcW w:w="617" w:type="pct"/>
            <w:vAlign w:val="center"/>
          </w:tcPr>
          <w:p w14:paraId="4796ED22">
            <w:pPr>
              <w:spacing w:line="400" w:lineRule="exact"/>
              <w:jc w:val="center"/>
              <w:rPr>
                <w:rFonts w:hint="eastAsia" w:ascii="宋体" w:hAnsi="宋体" w:cs="宋体"/>
                <w:b/>
                <w:color w:val="auto"/>
                <w:kern w:val="21"/>
                <w:sz w:val="24"/>
                <w:highlight w:val="none"/>
              </w:rPr>
            </w:pPr>
            <w:r>
              <w:rPr>
                <w:rFonts w:hint="eastAsia" w:ascii="宋体" w:hAnsi="宋体" w:cs="宋体"/>
                <w:b/>
                <w:color w:val="auto"/>
                <w:kern w:val="21"/>
                <w:sz w:val="24"/>
                <w:highlight w:val="none"/>
              </w:rPr>
              <w:t>评分类型</w:t>
            </w:r>
          </w:p>
        </w:tc>
        <w:tc>
          <w:tcPr>
            <w:tcW w:w="3386" w:type="pct"/>
            <w:vAlign w:val="center"/>
          </w:tcPr>
          <w:p w14:paraId="741D90D2">
            <w:pPr>
              <w:spacing w:line="400" w:lineRule="exact"/>
              <w:jc w:val="center"/>
              <w:rPr>
                <w:rFonts w:hint="eastAsia" w:ascii="宋体" w:hAnsi="宋体" w:cs="宋体"/>
                <w:b/>
                <w:color w:val="auto"/>
                <w:kern w:val="21"/>
                <w:sz w:val="24"/>
                <w:highlight w:val="none"/>
              </w:rPr>
            </w:pPr>
            <w:r>
              <w:rPr>
                <w:rFonts w:hint="eastAsia" w:ascii="宋体" w:hAnsi="宋体" w:cs="宋体"/>
                <w:b/>
                <w:color w:val="auto"/>
                <w:kern w:val="21"/>
                <w:sz w:val="24"/>
                <w:highlight w:val="none"/>
              </w:rPr>
              <w:t>评分标准</w:t>
            </w:r>
          </w:p>
        </w:tc>
        <w:tc>
          <w:tcPr>
            <w:tcW w:w="582" w:type="pct"/>
            <w:vAlign w:val="center"/>
          </w:tcPr>
          <w:p w14:paraId="03734195">
            <w:pPr>
              <w:spacing w:line="400" w:lineRule="exact"/>
              <w:jc w:val="center"/>
              <w:rPr>
                <w:rFonts w:hint="eastAsia" w:ascii="宋体" w:hAnsi="宋体" w:cs="宋体"/>
                <w:b/>
                <w:color w:val="auto"/>
                <w:kern w:val="21"/>
                <w:sz w:val="24"/>
                <w:highlight w:val="none"/>
              </w:rPr>
            </w:pPr>
            <w:r>
              <w:rPr>
                <w:rFonts w:hint="eastAsia" w:ascii="宋体" w:hAnsi="宋体" w:cs="宋体"/>
                <w:b/>
                <w:color w:val="auto"/>
                <w:kern w:val="21"/>
                <w:sz w:val="24"/>
                <w:highlight w:val="none"/>
              </w:rPr>
              <w:t>分值</w:t>
            </w:r>
          </w:p>
        </w:tc>
      </w:tr>
      <w:tr w14:paraId="356C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00CBADE5">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1</w:t>
            </w:r>
          </w:p>
        </w:tc>
        <w:tc>
          <w:tcPr>
            <w:tcW w:w="617" w:type="pct"/>
            <w:vAlign w:val="center"/>
          </w:tcPr>
          <w:p w14:paraId="69ECBAAF">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价格分</w:t>
            </w:r>
          </w:p>
        </w:tc>
        <w:tc>
          <w:tcPr>
            <w:tcW w:w="3386" w:type="pct"/>
            <w:vAlign w:val="center"/>
          </w:tcPr>
          <w:p w14:paraId="6D424EDD">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0A261A84">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（2）政策性扣除计算方法。</w:t>
            </w:r>
          </w:p>
          <w:p w14:paraId="698FB6B6">
            <w:pPr>
              <w:snapToGrid w:val="0"/>
              <w:spacing w:line="360" w:lineRule="atLeast"/>
              <w:ind w:firstLine="443" w:firstLineChars="211"/>
              <w:rPr>
                <w:rFonts w:hint="eastAsia" w:ascii="宋体" w:hAnsi="宋体"/>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进一步发挥政府采购政策功能促进企业发展的通知》（桂财采〔2022〕30号）的规定，投标人在其投标文件中提供《中小企业声明函》，且服务全部由小微企业承接，对其投标报价给予20%的扣除，扣除后的价格为评标报价，即评标报价=投标报价×（1-</w:t>
            </w:r>
            <w:r>
              <w:rPr>
                <w:rFonts w:ascii="宋体" w:hAnsi="宋体"/>
                <w:bCs/>
                <w:color w:val="auto"/>
                <w:szCs w:val="21"/>
                <w:highlight w:val="none"/>
              </w:rPr>
              <w:t>20</w:t>
            </w:r>
            <w:r>
              <w:rPr>
                <w:rFonts w:hint="eastAsia" w:ascii="宋体" w:hAnsi="宋体"/>
                <w:bCs/>
                <w:color w:val="auto"/>
                <w:szCs w:val="21"/>
                <w:highlight w:val="none"/>
              </w:rPr>
              <w:t>%）。除上述情况外，评标报价=投标报价。</w:t>
            </w:r>
          </w:p>
          <w:p w14:paraId="7F5772EF">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7EDF9823">
            <w:pPr>
              <w:snapToGrid w:val="0"/>
              <w:spacing w:line="360" w:lineRule="atLeast"/>
              <w:ind w:firstLine="233" w:firstLineChars="111"/>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71BEB935">
            <w:pPr>
              <w:snapToGrid w:val="0"/>
              <w:spacing w:line="360" w:lineRule="atLeast"/>
              <w:ind w:firstLine="233" w:firstLineChars="111"/>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（5）本国产品政策性扣除计算方法。</w:t>
            </w:r>
          </w:p>
          <w:p w14:paraId="0FB4A02E">
            <w:pPr>
              <w:snapToGrid w:val="0"/>
              <w:spacing w:line="360" w:lineRule="atLeast"/>
              <w:ind w:firstLine="233" w:firstLineChars="111"/>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 xml:space="preserve">   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69124EC">
            <w:pPr>
              <w:snapToGrid w:val="0"/>
              <w:spacing w:line="360" w:lineRule="atLeast"/>
              <w:ind w:firstLine="233" w:firstLineChars="111"/>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 xml:space="preserve">   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未达到80%，不享受价格评审优惠。</w:t>
            </w:r>
          </w:p>
          <w:p w14:paraId="1B8144A5">
            <w:pPr>
              <w:snapToGrid w:val="0"/>
              <w:spacing w:line="360" w:lineRule="atLeast"/>
              <w:ind w:firstLine="233" w:firstLineChars="111"/>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 xml:space="preserve"> 投标人在其投标文件中提供《关于符合本国产品标准的声明函》或财政部会同有关部门规定的有关证明文件，出具符合要求的《声明函》或有关证明文件的，该产品视为本国产品。</w:t>
            </w:r>
          </w:p>
          <w:p w14:paraId="59850E23">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lang w:val="en-US" w:eastAsia="zh-CN"/>
              </w:rPr>
              <w:t>如果所有参与竞争的供应商均可享受本国产品价格评审优惠，则统一不进行价格扣除。</w:t>
            </w:r>
          </w:p>
          <w:p w14:paraId="4017A6E1">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）满足招标文件要求且评标报价最低的评标报价为评标基准价，其价格分为满分。</w:t>
            </w:r>
          </w:p>
          <w:p w14:paraId="602F2D2D">
            <w:pPr>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7</w:t>
            </w:r>
            <w:r>
              <w:rPr>
                <w:rFonts w:hint="eastAsia" w:ascii="宋体" w:hAnsi="宋体"/>
                <w:bCs/>
                <w:color w:val="auto"/>
                <w:szCs w:val="21"/>
                <w:highlight w:val="none"/>
              </w:rPr>
              <w:t xml:space="preserve">）价格分计算公式：        </w:t>
            </w:r>
          </w:p>
          <w:p w14:paraId="2BAF4ED3">
            <w:pPr>
              <w:snapToGrid w:val="0"/>
              <w:spacing w:line="360" w:lineRule="atLeast"/>
              <w:ind w:firstLine="233" w:firstLineChars="111"/>
              <w:rPr>
                <w:rFonts w:hint="eastAsia" w:hAnsi="宋体" w:cs="宋体"/>
                <w:bCs/>
                <w:color w:val="auto"/>
                <w:kern w:val="21"/>
                <w:sz w:val="24"/>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=（评标基准价／评标报价）×3</w:t>
            </w:r>
            <w:r>
              <w:rPr>
                <w:rFonts w:hint="eastAsia" w:ascii="宋体" w:hAnsi="宋体"/>
                <w:bCs/>
                <w:color w:val="auto"/>
                <w:szCs w:val="21"/>
                <w:highlight w:val="none"/>
              </w:rPr>
              <w:t>0</w:t>
            </w:r>
            <w:r>
              <w:rPr>
                <w:rFonts w:hint="eastAsia" w:ascii="宋体" w:hAnsi="宋体" w:cs="Courier New"/>
                <w:bCs/>
                <w:color w:val="auto"/>
                <w:szCs w:val="21"/>
                <w:highlight w:val="none"/>
              </w:rPr>
              <w:t>分</w:t>
            </w:r>
          </w:p>
        </w:tc>
        <w:tc>
          <w:tcPr>
            <w:tcW w:w="582" w:type="pct"/>
            <w:vAlign w:val="center"/>
          </w:tcPr>
          <w:p w14:paraId="05DE4440">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30分</w:t>
            </w:r>
          </w:p>
        </w:tc>
      </w:tr>
      <w:tr w14:paraId="582F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75F8519A">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2</w:t>
            </w:r>
          </w:p>
        </w:tc>
        <w:tc>
          <w:tcPr>
            <w:tcW w:w="4004" w:type="pct"/>
            <w:gridSpan w:val="2"/>
            <w:vAlign w:val="center"/>
          </w:tcPr>
          <w:p w14:paraId="4ED1979D">
            <w:pPr>
              <w:spacing w:line="400" w:lineRule="exact"/>
              <w:rPr>
                <w:rFonts w:hint="eastAsia" w:ascii="宋体" w:hAnsi="宋体" w:cs="宋体"/>
                <w:bCs/>
                <w:color w:val="auto"/>
                <w:kern w:val="21"/>
                <w:sz w:val="24"/>
                <w:highlight w:val="none"/>
              </w:rPr>
            </w:pPr>
            <w:r>
              <w:rPr>
                <w:rFonts w:hint="eastAsia" w:ascii="宋体" w:hAnsi="宋体" w:cs="宋体"/>
                <w:bCs/>
                <w:color w:val="auto"/>
                <w:kern w:val="21"/>
                <w:sz w:val="24"/>
                <w:highlight w:val="none"/>
              </w:rPr>
              <w:t>技术分</w:t>
            </w:r>
          </w:p>
        </w:tc>
        <w:tc>
          <w:tcPr>
            <w:tcW w:w="582" w:type="pct"/>
            <w:vAlign w:val="center"/>
          </w:tcPr>
          <w:p w14:paraId="0FB3C741">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5</w:t>
            </w:r>
            <w:r>
              <w:rPr>
                <w:rFonts w:hint="eastAsia" w:ascii="宋体" w:hAnsi="宋体" w:cs="宋体"/>
                <w:bCs/>
                <w:color w:val="auto"/>
                <w:kern w:val="21"/>
                <w:sz w:val="24"/>
                <w:highlight w:val="none"/>
                <w:lang w:val="en-US" w:eastAsia="zh-CN"/>
              </w:rPr>
              <w:t>0</w:t>
            </w:r>
            <w:r>
              <w:rPr>
                <w:rFonts w:hint="eastAsia" w:ascii="宋体" w:hAnsi="宋体" w:cs="宋体"/>
                <w:bCs/>
                <w:color w:val="auto"/>
                <w:kern w:val="21"/>
                <w:sz w:val="24"/>
                <w:highlight w:val="none"/>
              </w:rPr>
              <w:t>分</w:t>
            </w:r>
          </w:p>
        </w:tc>
      </w:tr>
      <w:tr w14:paraId="6C11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426D58CB">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2.1</w:t>
            </w:r>
          </w:p>
        </w:tc>
        <w:tc>
          <w:tcPr>
            <w:tcW w:w="617" w:type="pct"/>
            <w:vAlign w:val="center"/>
          </w:tcPr>
          <w:p w14:paraId="2FE5AEC7">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产品技术分</w:t>
            </w:r>
          </w:p>
        </w:tc>
        <w:tc>
          <w:tcPr>
            <w:tcW w:w="3386" w:type="pct"/>
            <w:vAlign w:val="center"/>
          </w:tcPr>
          <w:p w14:paraId="6AFA259D">
            <w:pPr>
              <w:pStyle w:val="152"/>
              <w:spacing w:before="0" w:after="0" w:line="400" w:lineRule="exact"/>
              <w:rPr>
                <w:rFonts w:ascii="宋体"/>
                <w:color w:val="auto"/>
                <w:highlight w:val="none"/>
              </w:rPr>
            </w:pPr>
            <w:r>
              <w:rPr>
                <w:rFonts w:hint="eastAsia" w:ascii="宋体"/>
                <w:color w:val="auto"/>
                <w:highlight w:val="none"/>
              </w:rPr>
              <w:t>1、其中★号项为“实质性条款”，是指招标文件中已经指明不满足则投标无效的条款，或者不能负偏离的条款；</w:t>
            </w:r>
          </w:p>
          <w:p w14:paraId="0CF8BEFB">
            <w:pPr>
              <w:pStyle w:val="152"/>
              <w:spacing w:before="0" w:after="0" w:line="400" w:lineRule="exact"/>
              <w:rPr>
                <w:rFonts w:ascii="宋体"/>
                <w:color w:val="auto"/>
                <w:highlight w:val="none"/>
              </w:rPr>
            </w:pPr>
            <w:r>
              <w:rPr>
                <w:rFonts w:hint="eastAsia" w:ascii="宋体"/>
                <w:color w:val="auto"/>
                <w:highlight w:val="none"/>
              </w:rPr>
              <w:t>2、其他指标项为一般指标项，不满足一项扣</w:t>
            </w:r>
            <w:r>
              <w:rPr>
                <w:rFonts w:hint="eastAsia" w:ascii="宋体"/>
                <w:color w:val="auto"/>
                <w:highlight w:val="none"/>
                <w:lang w:val="en-US" w:eastAsia="zh-CN"/>
              </w:rPr>
              <w:t>1</w:t>
            </w:r>
            <w:r>
              <w:rPr>
                <w:rFonts w:hint="eastAsia" w:ascii="宋体"/>
                <w:color w:val="auto"/>
                <w:highlight w:val="none"/>
              </w:rPr>
              <w:t>.5分，扣完产品技术分为止，满分6分。</w:t>
            </w:r>
          </w:p>
        </w:tc>
        <w:tc>
          <w:tcPr>
            <w:tcW w:w="582" w:type="pct"/>
            <w:vAlign w:val="center"/>
          </w:tcPr>
          <w:p w14:paraId="0AFA6490">
            <w:pPr>
              <w:spacing w:line="400" w:lineRule="exact"/>
              <w:jc w:val="center"/>
              <w:rPr>
                <w:rFonts w:hint="eastAsia" w:ascii="宋体" w:hAnsi="宋体" w:cs="宋体"/>
                <w:bCs/>
                <w:color w:val="auto"/>
                <w:kern w:val="21"/>
                <w:sz w:val="24"/>
                <w:highlight w:val="none"/>
              </w:rPr>
            </w:pPr>
            <w:r>
              <w:rPr>
                <w:rFonts w:hint="eastAsia" w:ascii="宋体" w:hAnsi="宋体" w:cs="宋体"/>
                <w:color w:val="auto"/>
                <w:sz w:val="24"/>
                <w:highlight w:val="none"/>
              </w:rPr>
              <w:t>6分</w:t>
            </w:r>
          </w:p>
        </w:tc>
      </w:tr>
      <w:tr w14:paraId="65E1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21740F31">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2.2</w:t>
            </w:r>
          </w:p>
        </w:tc>
        <w:tc>
          <w:tcPr>
            <w:tcW w:w="617" w:type="pct"/>
            <w:vAlign w:val="center"/>
          </w:tcPr>
          <w:p w14:paraId="513EE5A5">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技术方案分</w:t>
            </w:r>
          </w:p>
        </w:tc>
        <w:tc>
          <w:tcPr>
            <w:tcW w:w="3386" w:type="pct"/>
            <w:vAlign w:val="center"/>
          </w:tcPr>
          <w:p w14:paraId="3468C087">
            <w:pPr>
              <w:pStyle w:val="152"/>
              <w:spacing w:before="0" w:after="0" w:line="400" w:lineRule="exact"/>
              <w:rPr>
                <w:rFonts w:ascii="宋体"/>
                <w:color w:val="auto"/>
                <w:highlight w:val="none"/>
              </w:rPr>
            </w:pPr>
            <w:r>
              <w:rPr>
                <w:rFonts w:hint="eastAsia" w:ascii="宋体"/>
                <w:color w:val="auto"/>
                <w:highlight w:val="none"/>
              </w:rPr>
              <w:t>由评审小组在打分前根据投标人的技术方案评定打分，达不到一档要求的不得分。</w:t>
            </w:r>
          </w:p>
          <w:p w14:paraId="678AEE74">
            <w:pPr>
              <w:pStyle w:val="152"/>
              <w:spacing w:before="0" w:after="0" w:line="400" w:lineRule="exact"/>
              <w:rPr>
                <w:rFonts w:ascii="宋体"/>
                <w:color w:val="auto"/>
                <w:highlight w:val="none"/>
              </w:rPr>
            </w:pPr>
            <w:r>
              <w:rPr>
                <w:rFonts w:hint="eastAsia" w:ascii="宋体"/>
                <w:color w:val="auto"/>
                <w:highlight w:val="none"/>
              </w:rPr>
              <w:t>一档（</w:t>
            </w:r>
            <w:r>
              <w:rPr>
                <w:rFonts w:hint="eastAsia" w:ascii="宋体"/>
                <w:color w:val="auto"/>
                <w:highlight w:val="none"/>
                <w:lang w:val="en-US" w:eastAsia="zh-CN"/>
              </w:rPr>
              <w:t>3</w:t>
            </w:r>
            <w:r>
              <w:rPr>
                <w:rFonts w:hint="eastAsia" w:ascii="宋体"/>
                <w:color w:val="auto"/>
                <w:highlight w:val="none"/>
              </w:rPr>
              <w:t>分）：技术方案合理，整体技术方案科学合理、表述清晰，技术方案满足采购需求而且科学合理，有明确的技术实现路线，满足技术要求的内容，方案思路清晰，兼容性强。与采购人实际情况匹配程度一般，实施可行性一般。</w:t>
            </w:r>
          </w:p>
          <w:p w14:paraId="5728842A">
            <w:pPr>
              <w:pStyle w:val="152"/>
              <w:spacing w:before="0" w:after="0" w:line="400" w:lineRule="exact"/>
              <w:rPr>
                <w:rFonts w:ascii="宋体"/>
                <w:color w:val="auto"/>
                <w:highlight w:val="none"/>
              </w:rPr>
            </w:pPr>
            <w:r>
              <w:rPr>
                <w:rFonts w:hint="eastAsia" w:ascii="宋体"/>
                <w:color w:val="auto"/>
                <w:highlight w:val="none"/>
              </w:rPr>
              <w:t>二档（</w:t>
            </w:r>
            <w:r>
              <w:rPr>
                <w:rFonts w:hint="eastAsia" w:ascii="宋体"/>
                <w:color w:val="auto"/>
                <w:highlight w:val="none"/>
                <w:lang w:val="en-US" w:eastAsia="zh-CN"/>
              </w:rPr>
              <w:t>7</w:t>
            </w:r>
            <w:r>
              <w:rPr>
                <w:rFonts w:hint="eastAsia" w:ascii="宋体"/>
                <w:color w:val="auto"/>
                <w:highlight w:val="none"/>
              </w:rPr>
              <w:t>分）：在一档基础上，对本项目的需求与背景理解深刻，结合实际环境分析当前安全技术能力问题与差距；需结合采购人实际环境详细设计各系统的具体部署方案，详细描述各类安全产品的应用场景，提供贴合采购人实际环境的工程落地实施要点，详细说明本次设计新建系统之间，新建系统与原有系统之间的集成架构设计方案。与采购人实际情况匹配程度较好，实施可行性较好。</w:t>
            </w:r>
          </w:p>
          <w:p w14:paraId="39F08ECE">
            <w:pPr>
              <w:pStyle w:val="152"/>
              <w:spacing w:before="0" w:after="0" w:line="400" w:lineRule="exact"/>
              <w:rPr>
                <w:rFonts w:hint="eastAsia" w:ascii="宋体" w:hAnsi="宋体"/>
                <w:b/>
                <w:bCs/>
                <w:color w:val="auto"/>
                <w:kern w:val="2"/>
                <w:sz w:val="24"/>
                <w:szCs w:val="24"/>
                <w:highlight w:val="none"/>
              </w:rPr>
            </w:pPr>
            <w:r>
              <w:rPr>
                <w:rFonts w:hint="eastAsia" w:ascii="宋体"/>
                <w:color w:val="auto"/>
                <w:highlight w:val="none"/>
              </w:rPr>
              <w:t>三档（</w:t>
            </w:r>
            <w:r>
              <w:rPr>
                <w:rFonts w:hint="eastAsia" w:ascii="宋体"/>
                <w:color w:val="auto"/>
                <w:highlight w:val="none"/>
                <w:lang w:val="en-US" w:eastAsia="zh-CN"/>
              </w:rPr>
              <w:t>11</w:t>
            </w:r>
            <w:r>
              <w:rPr>
                <w:rFonts w:hint="eastAsia" w:ascii="宋体"/>
                <w:color w:val="auto"/>
                <w:highlight w:val="none"/>
              </w:rPr>
              <w:t>分）：在二档基础上，提供安全运营服务系统、数据安全监测平台、政务云密码监管平台、溯源分析平台等的详细设计方案，提供详细的功能架构、数据流、技术架构。要求提供的系统功能详细设计与项目需求贴合度高，完全符合本项目建设需求。提供在本次项目建设后的未来建设思路设计，阐述如何基于当前项目成果进行拓展与升级，确保项目的可持续发展与适应性。</w:t>
            </w:r>
          </w:p>
        </w:tc>
        <w:tc>
          <w:tcPr>
            <w:tcW w:w="582" w:type="pct"/>
            <w:vAlign w:val="center"/>
          </w:tcPr>
          <w:p w14:paraId="2564A8A9">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1</w:t>
            </w:r>
            <w:r>
              <w:rPr>
                <w:rFonts w:hint="eastAsia" w:ascii="宋体" w:hAnsi="宋体" w:cs="宋体"/>
                <w:bCs/>
                <w:color w:val="auto"/>
                <w:kern w:val="21"/>
                <w:sz w:val="24"/>
                <w:highlight w:val="none"/>
                <w:lang w:val="en-US" w:eastAsia="zh-CN"/>
              </w:rPr>
              <w:t>1</w:t>
            </w:r>
            <w:r>
              <w:rPr>
                <w:rFonts w:hint="eastAsia" w:ascii="宋体" w:hAnsi="宋体" w:cs="宋体"/>
                <w:bCs/>
                <w:color w:val="auto"/>
                <w:kern w:val="21"/>
                <w:sz w:val="24"/>
                <w:highlight w:val="none"/>
              </w:rPr>
              <w:t>分</w:t>
            </w:r>
          </w:p>
        </w:tc>
      </w:tr>
      <w:tr w14:paraId="4636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55BFF869">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2.3</w:t>
            </w:r>
          </w:p>
        </w:tc>
        <w:tc>
          <w:tcPr>
            <w:tcW w:w="617" w:type="pct"/>
            <w:vAlign w:val="center"/>
          </w:tcPr>
          <w:p w14:paraId="3B2EF57A">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实施方案分</w:t>
            </w:r>
          </w:p>
        </w:tc>
        <w:tc>
          <w:tcPr>
            <w:tcW w:w="3386" w:type="pct"/>
            <w:vAlign w:val="center"/>
          </w:tcPr>
          <w:p w14:paraId="077DE920">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一档（3分）：投标人提供有实施管理、实施组织方案、质量保证措施、系统测试、试运行、验收等内容，基本可行，实施过程中安排的实施人员不少于8人。</w:t>
            </w:r>
          </w:p>
          <w:p w14:paraId="1553B099">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二档（6分）：投标人提供可行的实施管理、实施组织方案、质量保证、测试、试运行、验收等内容；</w:t>
            </w:r>
            <w:r>
              <w:rPr>
                <w:rFonts w:hint="eastAsia" w:ascii="宋体" w:hAnsi="宋体"/>
                <w:bCs/>
                <w:color w:val="auto"/>
                <w:szCs w:val="21"/>
                <w:highlight w:val="none"/>
                <w:lang w:val="en-US" w:eastAsia="zh-CN"/>
              </w:rPr>
              <w:t>具备</w:t>
            </w:r>
            <w:r>
              <w:rPr>
                <w:rFonts w:hint="eastAsia" w:ascii="宋体" w:hAnsi="宋体"/>
                <w:bCs/>
                <w:color w:val="auto"/>
                <w:szCs w:val="21"/>
                <w:highlight w:val="none"/>
              </w:rPr>
              <w:t>实施思路，进度安排较为合理全面，</w:t>
            </w:r>
            <w:r>
              <w:rPr>
                <w:rFonts w:hint="eastAsia" w:ascii="Calibri" w:hAnsi="Calibri"/>
                <w:bCs/>
                <w:color w:val="auto"/>
                <w:szCs w:val="21"/>
                <w:highlight w:val="none"/>
              </w:rPr>
              <w:t>有质量控制措施、安全保障措施和应急保障措施；</w:t>
            </w:r>
            <w:r>
              <w:rPr>
                <w:rFonts w:hint="eastAsia" w:ascii="宋体" w:hAnsi="宋体"/>
                <w:bCs/>
                <w:color w:val="auto"/>
                <w:szCs w:val="21"/>
                <w:highlight w:val="none"/>
              </w:rPr>
              <w:t>且本次项目安排的实施人员不少于15人，且实施人员中至少7人具备信息系统项目管理师证书、网络规划设计师、系统规划与管理师、系统分析师证书之一（实施人员需涵盖上述所列所有专业证书</w:t>
            </w:r>
            <w:r>
              <w:rPr>
                <w:rFonts w:hint="eastAsia" w:ascii="宋体" w:hAnsi="宋体"/>
                <w:bCs/>
                <w:color w:val="auto"/>
                <w:szCs w:val="21"/>
                <w:highlight w:val="none"/>
                <w:lang w:eastAsia="zh-CN"/>
              </w:rPr>
              <w:t>，</w:t>
            </w:r>
            <w:r>
              <w:rPr>
                <w:rFonts w:hint="eastAsia" w:ascii="宋体" w:hAnsi="宋体"/>
                <w:bCs/>
                <w:color w:val="auto"/>
                <w:szCs w:val="21"/>
                <w:highlight w:val="none"/>
              </w:rPr>
              <w:t>需提供由人力资源和社会保障部、工业和信息化部，或人力资源和社会保障厅或中国信息安全测评中心颁发的资质证书复印件</w:t>
            </w:r>
            <w:r>
              <w:rPr>
                <w:rFonts w:hint="eastAsia" w:ascii="宋体" w:hAnsi="宋体"/>
                <w:bCs/>
                <w:color w:val="auto"/>
                <w:szCs w:val="21"/>
                <w:highlight w:val="none"/>
                <w:lang w:eastAsia="zh-CN"/>
              </w:rPr>
              <w:t>，</w:t>
            </w:r>
            <w:r>
              <w:rPr>
                <w:rFonts w:hint="eastAsia" w:ascii="宋体" w:hAnsi="宋体" w:cs="宋体"/>
                <w:color w:val="auto"/>
                <w:szCs w:val="21"/>
                <w:highlight w:val="none"/>
              </w:rPr>
              <w:t>并加盖投标人公章</w:t>
            </w:r>
            <w:r>
              <w:rPr>
                <w:rFonts w:hint="eastAsia" w:ascii="宋体" w:hAnsi="宋体"/>
                <w:bCs/>
                <w:color w:val="auto"/>
                <w:szCs w:val="21"/>
                <w:highlight w:val="none"/>
              </w:rPr>
              <w:t>）。</w:t>
            </w:r>
          </w:p>
          <w:p w14:paraId="5BB4EBCF">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三档（9分）：投标人提供科学合理的实施管理、实施组织方案、质量保证、测试、试运行、验收等内容；实施思路清晰、进度安排合理全面，</w:t>
            </w:r>
            <w:r>
              <w:rPr>
                <w:rFonts w:hint="eastAsia" w:ascii="Calibri" w:hAnsi="Calibri"/>
                <w:bCs/>
                <w:color w:val="auto"/>
                <w:szCs w:val="21"/>
                <w:highlight w:val="none"/>
              </w:rPr>
              <w:t>有详细的质量控制措施、安全保障措施和应急保障措施，实施进度计划详细并有时间表，有具体的进度控制措施，提供清晰可执行的工作管理、保密制度；</w:t>
            </w:r>
            <w:r>
              <w:rPr>
                <w:rFonts w:hint="eastAsia" w:ascii="宋体" w:hAnsi="宋体"/>
                <w:bCs/>
                <w:color w:val="auto"/>
                <w:szCs w:val="21"/>
                <w:highlight w:val="none"/>
              </w:rPr>
              <w:t>本次项目安排的实施团队，且实施团队人员配置要求达到如下标准：</w:t>
            </w:r>
          </w:p>
          <w:p w14:paraId="35DE15BE">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1）项目负责人1人，项目负责人要求同时具有项目管理类高级工程师职称证书、</w:t>
            </w:r>
            <w:r>
              <w:rPr>
                <w:rFonts w:hint="eastAsia" w:hAnsi="宋体" w:cs="宋体"/>
                <w:color w:val="auto"/>
                <w:szCs w:val="21"/>
                <w:highlight w:val="none"/>
              </w:rPr>
              <w:t>信息系统项目管理师资质、系统规划与管理师资质</w:t>
            </w:r>
            <w:r>
              <w:rPr>
                <w:rFonts w:hint="eastAsia" w:ascii="宋体" w:hAnsi="宋体"/>
                <w:bCs/>
                <w:color w:val="auto"/>
                <w:szCs w:val="21"/>
                <w:highlight w:val="none"/>
              </w:rPr>
              <w:t>，缺一项视为不满足。（需提供</w:t>
            </w:r>
            <w:r>
              <w:rPr>
                <w:rFonts w:hint="eastAsia" w:hAnsi="宋体" w:cs="宋体"/>
                <w:color w:val="auto"/>
                <w:szCs w:val="21"/>
                <w:highlight w:val="none"/>
              </w:rPr>
              <w:t>省级及以上人力资源和社会保障部门颁发的</w:t>
            </w:r>
            <w:r>
              <w:rPr>
                <w:rFonts w:hint="eastAsia" w:ascii="宋体" w:hAnsi="宋体"/>
                <w:bCs/>
                <w:color w:val="auto"/>
                <w:szCs w:val="21"/>
                <w:highlight w:val="none"/>
              </w:rPr>
              <w:t>资质证书复印件</w:t>
            </w:r>
            <w:r>
              <w:rPr>
                <w:rFonts w:hint="eastAsia" w:ascii="宋体" w:hAnsi="宋体" w:cs="宋体"/>
                <w:color w:val="auto"/>
                <w:szCs w:val="21"/>
                <w:highlight w:val="none"/>
              </w:rPr>
              <w:t>并加盖投标人公章</w:t>
            </w:r>
            <w:r>
              <w:rPr>
                <w:rFonts w:hint="eastAsia" w:ascii="宋体" w:hAnsi="宋体"/>
                <w:bCs/>
                <w:color w:val="auto"/>
                <w:szCs w:val="21"/>
                <w:highlight w:val="none"/>
              </w:rPr>
              <w:t>）</w:t>
            </w:r>
          </w:p>
          <w:p w14:paraId="6DAB0D86">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2）项目经理1人（不含项目负责人），项目经理要求具有计算机类高级工程师职称证书、</w:t>
            </w:r>
            <w:r>
              <w:rPr>
                <w:rFonts w:hint="eastAsia" w:hAnsi="宋体" w:cs="宋体"/>
                <w:color w:val="auto"/>
                <w:szCs w:val="21"/>
                <w:highlight w:val="none"/>
              </w:rPr>
              <w:t>信息系统项目管理师资质</w:t>
            </w:r>
            <w:r>
              <w:rPr>
                <w:rFonts w:hint="eastAsia" w:ascii="宋体" w:hAnsi="宋体"/>
                <w:bCs/>
                <w:color w:val="auto"/>
                <w:szCs w:val="21"/>
                <w:highlight w:val="none"/>
              </w:rPr>
              <w:t>，缺一项视为不满足。（需提供</w:t>
            </w:r>
            <w:r>
              <w:rPr>
                <w:rFonts w:hint="eastAsia" w:hAnsi="宋体" w:cs="宋体"/>
                <w:color w:val="auto"/>
                <w:szCs w:val="21"/>
                <w:highlight w:val="none"/>
              </w:rPr>
              <w:t>省级及以上人力资源和社会保障部门颁发的</w:t>
            </w:r>
            <w:r>
              <w:rPr>
                <w:rFonts w:hint="eastAsia" w:ascii="宋体" w:hAnsi="宋体"/>
                <w:bCs/>
                <w:color w:val="auto"/>
                <w:szCs w:val="21"/>
                <w:highlight w:val="none"/>
              </w:rPr>
              <w:t>资质证书复印件</w:t>
            </w:r>
            <w:r>
              <w:rPr>
                <w:rFonts w:hint="eastAsia" w:ascii="宋体" w:hAnsi="宋体" w:cs="宋体"/>
                <w:color w:val="auto"/>
                <w:szCs w:val="21"/>
                <w:highlight w:val="none"/>
              </w:rPr>
              <w:t>并加盖投标人公章</w:t>
            </w:r>
            <w:r>
              <w:rPr>
                <w:rFonts w:hint="eastAsia" w:ascii="宋体" w:hAnsi="宋体"/>
                <w:bCs/>
                <w:color w:val="auto"/>
                <w:szCs w:val="21"/>
                <w:highlight w:val="none"/>
              </w:rPr>
              <w:t>）</w:t>
            </w:r>
          </w:p>
          <w:p w14:paraId="3DC03879">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3）技术经理1人（不含项目负责人、项目经理），要求同时具有</w:t>
            </w:r>
            <w:r>
              <w:rPr>
                <w:rFonts w:hint="eastAsia" w:hAnsi="宋体" w:cs="宋体"/>
                <w:color w:val="auto"/>
                <w:szCs w:val="21"/>
                <w:highlight w:val="none"/>
              </w:rPr>
              <w:t>信息系统项目管理师、系统架构设计师资质，</w:t>
            </w:r>
            <w:r>
              <w:rPr>
                <w:rFonts w:hint="eastAsia" w:ascii="宋体" w:hAnsi="宋体"/>
                <w:bCs/>
                <w:color w:val="auto"/>
                <w:szCs w:val="21"/>
                <w:highlight w:val="none"/>
              </w:rPr>
              <w:t>缺一项视为不满足。（需提供</w:t>
            </w:r>
            <w:r>
              <w:rPr>
                <w:rFonts w:hint="eastAsia" w:hAnsi="宋体" w:cs="宋体"/>
                <w:color w:val="auto"/>
                <w:szCs w:val="21"/>
                <w:highlight w:val="none"/>
              </w:rPr>
              <w:t>省级及以上人力资源和社会保障部门颁发的</w:t>
            </w:r>
            <w:r>
              <w:rPr>
                <w:rFonts w:hint="eastAsia" w:ascii="宋体" w:hAnsi="宋体"/>
                <w:bCs/>
                <w:color w:val="auto"/>
                <w:szCs w:val="21"/>
                <w:highlight w:val="none"/>
              </w:rPr>
              <w:t>资质证书复印件</w:t>
            </w:r>
            <w:r>
              <w:rPr>
                <w:rFonts w:hint="eastAsia" w:ascii="宋体" w:hAnsi="宋体" w:cs="宋体"/>
                <w:color w:val="auto"/>
                <w:szCs w:val="21"/>
                <w:highlight w:val="none"/>
              </w:rPr>
              <w:t>并加盖投标人公章</w:t>
            </w:r>
            <w:r>
              <w:rPr>
                <w:rFonts w:hint="eastAsia" w:ascii="宋体" w:hAnsi="宋体"/>
                <w:bCs/>
                <w:color w:val="auto"/>
                <w:szCs w:val="21"/>
                <w:highlight w:val="none"/>
              </w:rPr>
              <w:t>）</w:t>
            </w:r>
          </w:p>
          <w:p w14:paraId="713CEFAC">
            <w:pPr>
              <w:snapToGrid w:val="0"/>
              <w:spacing w:line="360" w:lineRule="atLeast"/>
              <w:ind w:firstLine="233" w:firstLineChars="111"/>
              <w:rPr>
                <w:rFonts w:hint="eastAsia"/>
                <w:color w:val="auto"/>
                <w:highlight w:val="none"/>
              </w:rPr>
            </w:pPr>
            <w:r>
              <w:rPr>
                <w:rFonts w:hint="eastAsia" w:ascii="宋体" w:hAnsi="宋体"/>
                <w:bCs/>
                <w:color w:val="auto"/>
                <w:szCs w:val="21"/>
                <w:highlight w:val="none"/>
              </w:rPr>
              <w:t>4）安全经理1人（不含项目负责人、项目经理</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技术经理</w:t>
            </w:r>
            <w:r>
              <w:rPr>
                <w:rFonts w:hint="eastAsia" w:ascii="宋体" w:hAnsi="宋体"/>
                <w:bCs/>
                <w:color w:val="auto"/>
                <w:szCs w:val="21"/>
                <w:highlight w:val="none"/>
              </w:rPr>
              <w:t>），要求同时具有注册信息安全专业人员(CISP)证书、系统集成项目管理工程师、网络工程师，缺一项视为不满足。（需提供由中国信息安全测评中心或人力资源和社会保障部门或工信部颁发的资质证书复印件</w:t>
            </w:r>
            <w:r>
              <w:rPr>
                <w:rFonts w:hint="eastAsia" w:ascii="宋体" w:hAnsi="宋体" w:cs="宋体"/>
                <w:color w:val="auto"/>
                <w:szCs w:val="21"/>
                <w:highlight w:val="none"/>
              </w:rPr>
              <w:t>并加盖投标人公章</w:t>
            </w:r>
            <w:r>
              <w:rPr>
                <w:rFonts w:hint="eastAsia" w:ascii="宋体" w:hAnsi="宋体"/>
                <w:bCs/>
                <w:color w:val="auto"/>
                <w:szCs w:val="21"/>
                <w:highlight w:val="none"/>
              </w:rPr>
              <w:t>）</w:t>
            </w:r>
          </w:p>
          <w:p w14:paraId="6BFFD679">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5）实施人员（不含项目负责人、项目经理、技术经理）不少于20人，且实施人员中（不含项目负责人、项目经理、技术经理）中至少15人具备注册信息安全工程师（CISP）证书、信息系统项目管理师证书、网络规划设计师、系统规划与管理师、数据库系统工程师、系统分析师证书、软件评测师证书之一（实施人员需涵盖上述所列所有专业证书，需提供由人力资源和社会保障部、工业和信息化部，或人力资源和社会保障厅或中国信息安全测评中心颁发的资质证书复印件</w:t>
            </w:r>
            <w:r>
              <w:rPr>
                <w:rFonts w:hint="eastAsia" w:ascii="宋体" w:hAnsi="宋体"/>
                <w:bCs/>
                <w:color w:val="auto"/>
                <w:szCs w:val="21"/>
                <w:highlight w:val="none"/>
                <w:lang w:eastAsia="zh-CN"/>
              </w:rPr>
              <w:t>，</w:t>
            </w:r>
            <w:r>
              <w:rPr>
                <w:rFonts w:hint="eastAsia" w:ascii="宋体" w:hAnsi="宋体" w:cs="宋体"/>
                <w:color w:val="auto"/>
                <w:szCs w:val="21"/>
                <w:highlight w:val="none"/>
              </w:rPr>
              <w:t>并加盖投标人公章</w:t>
            </w:r>
            <w:r>
              <w:rPr>
                <w:rFonts w:hint="eastAsia" w:ascii="宋体" w:hAnsi="宋体"/>
                <w:bCs/>
                <w:color w:val="auto"/>
                <w:szCs w:val="21"/>
                <w:highlight w:val="none"/>
              </w:rPr>
              <w:t>）。</w:t>
            </w:r>
          </w:p>
          <w:p w14:paraId="7799CDEC">
            <w:pPr>
              <w:snapToGrid w:val="0"/>
              <w:spacing w:line="360" w:lineRule="atLeast"/>
              <w:ind w:firstLine="233" w:firstLineChars="111"/>
              <w:rPr>
                <w:rFonts w:hint="eastAsia" w:ascii="宋体" w:hAnsi="宋体"/>
                <w:bCs/>
                <w:color w:val="auto"/>
                <w:kern w:val="21"/>
                <w:sz w:val="24"/>
                <w:szCs w:val="24"/>
                <w:highlight w:val="none"/>
              </w:rPr>
            </w:pPr>
            <w:r>
              <w:rPr>
                <w:rFonts w:hint="eastAsia" w:ascii="宋体" w:hAnsi="宋体"/>
                <w:bCs/>
                <w:color w:val="auto"/>
                <w:szCs w:val="21"/>
                <w:highlight w:val="none"/>
              </w:rPr>
              <w:t>以上五类人员证书需同时满足相应要求，且人员不得重复使用，否则不得分。</w:t>
            </w:r>
          </w:p>
        </w:tc>
        <w:tc>
          <w:tcPr>
            <w:tcW w:w="582" w:type="pct"/>
            <w:vAlign w:val="center"/>
          </w:tcPr>
          <w:p w14:paraId="7CFE53F3">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9分</w:t>
            </w:r>
          </w:p>
        </w:tc>
      </w:tr>
      <w:tr w14:paraId="0E24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169FF0C0">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2.4</w:t>
            </w:r>
          </w:p>
        </w:tc>
        <w:tc>
          <w:tcPr>
            <w:tcW w:w="617" w:type="pct"/>
            <w:vAlign w:val="center"/>
          </w:tcPr>
          <w:p w14:paraId="310CD53F">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售后服务分</w:t>
            </w:r>
          </w:p>
        </w:tc>
        <w:tc>
          <w:tcPr>
            <w:tcW w:w="3386" w:type="pct"/>
            <w:vAlign w:val="center"/>
          </w:tcPr>
          <w:p w14:paraId="09DD3D31">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一档（2分）：售后服务方案内容包括服务内容、响应时间、故障处理、技术指导、服务质量保证，方案内容描述一般明确、工作目标一般清晰、措施一般合理、方法得当，基本符合项目要求且本次项目安排的售后团队人员不少于4名。提供基础培训方案，内容包括培训计划、培训目标、培训内容、培训教材说明，方案内容简单。</w:t>
            </w:r>
          </w:p>
          <w:p w14:paraId="0457EAF6">
            <w:pPr>
              <w:snapToGrid w:val="0"/>
              <w:spacing w:line="360" w:lineRule="atLeast"/>
              <w:ind w:firstLine="233" w:firstLineChars="111"/>
              <w:rPr>
                <w:rFonts w:hint="eastAsia" w:ascii="宋体" w:hAnsi="宋体"/>
                <w:bCs/>
                <w:color w:val="auto"/>
                <w:szCs w:val="21"/>
                <w:highlight w:val="none"/>
              </w:rPr>
            </w:pPr>
            <w:r>
              <w:rPr>
                <w:rFonts w:hint="eastAsia" w:ascii="宋体" w:hAnsi="宋体"/>
                <w:bCs/>
                <w:color w:val="auto"/>
                <w:szCs w:val="21"/>
                <w:highlight w:val="none"/>
              </w:rPr>
              <w:t>二档（4分）：</w:t>
            </w:r>
            <w:r>
              <w:rPr>
                <w:rFonts w:hint="eastAsia" w:ascii="宋体" w:hAnsi="宋体" w:cs="宋体"/>
                <w:color w:val="auto"/>
                <w:szCs w:val="21"/>
                <w:highlight w:val="none"/>
              </w:rPr>
              <w:t>售后服务方案内容包括服务内容、响应时间、故障处理、技术指导、服务质量保证，方案内容描述较为明确、工作目标较为清晰、措施较为合理、方法较为得当，完全符合项目要求且本次项目安排的售后团队人员不少于6名，其中拟投入人员中具有信息系统项目管理师资格的人员不少于2名。在完全满足一档培训方案的基础上，能够提供较为完整的培训方案，内容包括培训计划、培训目标、培训内容、培训教材说明、培训教师、培训质量保证等，方案内容描述一般明确、工作目标一般清晰、措施一般合理、方法得当、符合项目要求。</w:t>
            </w:r>
          </w:p>
          <w:p w14:paraId="02EDBFDF">
            <w:pPr>
              <w:snapToGrid w:val="0"/>
              <w:spacing w:line="360" w:lineRule="atLeast"/>
              <w:ind w:firstLine="233" w:firstLineChars="111"/>
              <w:rPr>
                <w:rFonts w:hint="eastAsia" w:ascii="宋体" w:hAnsi="宋体" w:cs="宋体"/>
                <w:color w:val="auto"/>
                <w:szCs w:val="21"/>
                <w:highlight w:val="none"/>
              </w:rPr>
            </w:pPr>
            <w:r>
              <w:rPr>
                <w:rFonts w:hint="eastAsia" w:ascii="宋体" w:hAnsi="宋体"/>
                <w:bCs/>
                <w:color w:val="auto"/>
                <w:szCs w:val="21"/>
                <w:highlight w:val="none"/>
              </w:rPr>
              <w:t>三档（6分）：</w:t>
            </w:r>
            <w:r>
              <w:rPr>
                <w:rFonts w:hint="eastAsia" w:ascii="宋体" w:hAnsi="宋体" w:cs="宋体"/>
                <w:color w:val="auto"/>
                <w:szCs w:val="21"/>
                <w:highlight w:val="none"/>
              </w:rPr>
              <w:t>售后服务方案内容包括服务内容、响应时间、故障处理、技术指导、服务质量保证，方案内容描述非常明确、工作目标非常清晰、措施非常合理、方法非常得当，服务方案优于项目采购需求，且本次项目安排的售后团队人员不少于13名，且拟投入人员中具有系统架构设计师资格的人员不少于2名、具有信息系统项目管理师资格的人员不少于4名、中国信息安全测评中心注册的信息安全专业人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CISP）</w:t>
            </w:r>
            <w:r>
              <w:rPr>
                <w:rFonts w:hint="eastAsia" w:ascii="宋体" w:hAnsi="宋体" w:cs="宋体"/>
                <w:color w:val="auto"/>
                <w:szCs w:val="21"/>
                <w:highlight w:val="none"/>
              </w:rPr>
              <w:t>不少于2名、中级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网络工程师不少于3名。在完全满足二档培训方案的基础上，能提供具体质量保证措施，从培训工作管理及培训过程质量控制等方面进行详细说明，方案内容描述较为明确、工作目标较为清晰、措施较为合理、方法较为得当、符合项目要求。</w:t>
            </w:r>
          </w:p>
          <w:p w14:paraId="3B2D30B8">
            <w:pPr>
              <w:snapToGrid w:val="0"/>
              <w:spacing w:line="360" w:lineRule="atLeast"/>
              <w:ind w:firstLine="233" w:firstLineChars="111"/>
              <w:rPr>
                <w:rFonts w:hint="eastAsia" w:hAnsi="宋体" w:cs="宋体"/>
                <w:bCs/>
                <w:color w:val="auto"/>
                <w:kern w:val="21"/>
                <w:sz w:val="24"/>
                <w:highlight w:val="none"/>
              </w:rPr>
            </w:pPr>
            <w:r>
              <w:rPr>
                <w:rFonts w:hint="eastAsia" w:ascii="宋体" w:hAnsi="宋体"/>
                <w:bCs/>
                <w:color w:val="auto"/>
                <w:szCs w:val="21"/>
                <w:highlight w:val="none"/>
                <w:lang w:val="en-US" w:eastAsia="zh-CN"/>
              </w:rPr>
              <w:t>注：应</w:t>
            </w:r>
            <w:r>
              <w:rPr>
                <w:rFonts w:hint="eastAsia" w:ascii="宋体" w:hAnsi="宋体"/>
                <w:bCs/>
                <w:color w:val="auto"/>
                <w:szCs w:val="21"/>
                <w:highlight w:val="none"/>
              </w:rPr>
              <w:t>在投标文件中提供售后团队人员由人力资源和社会保障部、工业和信息化部，或人力资源和社会保障厅，或</w:t>
            </w:r>
            <w:r>
              <w:rPr>
                <w:rFonts w:hint="eastAsia" w:ascii="宋体" w:hAnsi="宋体" w:cs="宋体"/>
                <w:color w:val="auto"/>
                <w:szCs w:val="21"/>
                <w:highlight w:val="none"/>
              </w:rPr>
              <w:t>中国信息安全测评中心颁发的</w:t>
            </w:r>
            <w:r>
              <w:rPr>
                <w:rFonts w:hint="eastAsia" w:ascii="宋体" w:hAnsi="宋体"/>
                <w:bCs/>
                <w:color w:val="auto"/>
                <w:szCs w:val="21"/>
                <w:highlight w:val="none"/>
              </w:rPr>
              <w:t>资质证书复印件</w:t>
            </w:r>
            <w:r>
              <w:rPr>
                <w:rFonts w:hint="eastAsia" w:ascii="宋体" w:hAnsi="宋体"/>
                <w:bCs/>
                <w:color w:val="auto"/>
                <w:szCs w:val="21"/>
                <w:highlight w:val="none"/>
                <w:lang w:eastAsia="zh-CN"/>
              </w:rPr>
              <w:t>，</w:t>
            </w:r>
            <w:r>
              <w:rPr>
                <w:rFonts w:hint="eastAsia" w:ascii="宋体" w:hAnsi="宋体" w:cs="宋体"/>
                <w:color w:val="auto"/>
                <w:szCs w:val="21"/>
                <w:highlight w:val="none"/>
              </w:rPr>
              <w:t>并加盖投标人公章</w:t>
            </w:r>
            <w:r>
              <w:rPr>
                <w:rFonts w:hint="eastAsia" w:ascii="宋体" w:hAnsi="宋体"/>
                <w:bCs/>
                <w:color w:val="auto"/>
                <w:szCs w:val="21"/>
                <w:highlight w:val="none"/>
              </w:rPr>
              <w:t>。</w:t>
            </w:r>
          </w:p>
        </w:tc>
        <w:tc>
          <w:tcPr>
            <w:tcW w:w="582" w:type="pct"/>
            <w:vAlign w:val="center"/>
          </w:tcPr>
          <w:p w14:paraId="10F194AB">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6分</w:t>
            </w:r>
          </w:p>
        </w:tc>
      </w:tr>
      <w:tr w14:paraId="7CC6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5A8CC571">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2.5</w:t>
            </w:r>
          </w:p>
        </w:tc>
        <w:tc>
          <w:tcPr>
            <w:tcW w:w="617" w:type="pct"/>
            <w:vAlign w:val="center"/>
          </w:tcPr>
          <w:p w14:paraId="4931B57B">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运营服务方案分</w:t>
            </w:r>
          </w:p>
        </w:tc>
        <w:tc>
          <w:tcPr>
            <w:tcW w:w="3386" w:type="pct"/>
            <w:vAlign w:val="center"/>
          </w:tcPr>
          <w:p w14:paraId="78980C8F">
            <w:pPr>
              <w:pStyle w:val="152"/>
              <w:spacing w:line="400" w:lineRule="exact"/>
              <w:rPr>
                <w:rFonts w:hint="eastAsia" w:ascii="宋体" w:hAnsi="宋体"/>
                <w:bCs/>
                <w:color w:val="auto"/>
                <w:highlight w:val="none"/>
              </w:rPr>
            </w:pPr>
            <w:r>
              <w:rPr>
                <w:rFonts w:hint="eastAsia" w:ascii="宋体" w:hAnsi="宋体"/>
                <w:bCs/>
                <w:color w:val="auto"/>
                <w:highlight w:val="none"/>
              </w:rPr>
              <w:t>由评审小组在打分前根据投标人的技术方案评定打分，达不到一档要求的不得分。</w:t>
            </w:r>
          </w:p>
          <w:p w14:paraId="462C23A7">
            <w:pPr>
              <w:pStyle w:val="152"/>
              <w:spacing w:line="400" w:lineRule="exact"/>
              <w:rPr>
                <w:rFonts w:hint="eastAsia" w:ascii="宋体" w:hAnsi="宋体"/>
                <w:bCs/>
                <w:color w:val="auto"/>
                <w:highlight w:val="none"/>
              </w:rPr>
            </w:pPr>
            <w:r>
              <w:rPr>
                <w:rFonts w:hint="eastAsia" w:ascii="宋体" w:hAnsi="宋体"/>
                <w:bCs/>
                <w:color w:val="auto"/>
                <w:highlight w:val="none"/>
              </w:rPr>
              <w:t>一档（</w:t>
            </w:r>
            <w:r>
              <w:rPr>
                <w:rFonts w:hint="eastAsia" w:ascii="宋体" w:hAnsi="宋体"/>
                <w:bCs/>
                <w:color w:val="auto"/>
                <w:highlight w:val="none"/>
                <w:lang w:val="en-US" w:eastAsia="zh-CN"/>
              </w:rPr>
              <w:t>2</w:t>
            </w:r>
            <w:r>
              <w:rPr>
                <w:rFonts w:hint="eastAsia" w:ascii="宋体" w:hAnsi="宋体"/>
                <w:bCs/>
                <w:color w:val="auto"/>
                <w:highlight w:val="none"/>
              </w:rPr>
              <w:t>分）：运营方案合理，能具体阐述甲方目前在安全运营的现状以及存在的问题，并基于现状和问题涉及设计整体运营服务的业务架构，安全运营设计能提供安全运营组织设计、安全运营制度岗位设计、安全运营制度设计等内容。</w:t>
            </w:r>
          </w:p>
          <w:p w14:paraId="047EED55">
            <w:pPr>
              <w:pStyle w:val="152"/>
              <w:spacing w:line="400" w:lineRule="exact"/>
              <w:rPr>
                <w:rFonts w:hint="eastAsia" w:ascii="宋体" w:hAnsi="宋体"/>
                <w:bCs/>
                <w:color w:val="auto"/>
                <w:highlight w:val="none"/>
              </w:rPr>
            </w:pPr>
            <w:r>
              <w:rPr>
                <w:rFonts w:hint="eastAsia" w:ascii="宋体" w:hAnsi="宋体"/>
                <w:bCs/>
                <w:color w:val="auto"/>
                <w:highlight w:val="none"/>
              </w:rPr>
              <w:t>二档（</w:t>
            </w:r>
            <w:r>
              <w:rPr>
                <w:rFonts w:hint="eastAsia" w:ascii="宋体" w:hAnsi="宋体"/>
                <w:bCs/>
                <w:color w:val="auto"/>
                <w:highlight w:val="none"/>
                <w:lang w:val="en-US" w:eastAsia="zh-CN"/>
              </w:rPr>
              <w:t>6</w:t>
            </w:r>
            <w:r>
              <w:rPr>
                <w:rFonts w:hint="eastAsia" w:ascii="宋体" w:hAnsi="宋体"/>
                <w:bCs/>
                <w:color w:val="auto"/>
                <w:highlight w:val="none"/>
              </w:rPr>
              <w:t>分）：在一档基础上，能够提供基于各项安全运营活动的总体运营流程关系图、各项安全运营业务流程（含设计图），并设计各项安全运营业务流程中的详细活动及流程（包括活动所需的组织岗位、工作流程、工具平台、运营数据、制度要求与考核评价指标）等内容，并能提供关联运营活动的安全运营服务工具设计。</w:t>
            </w:r>
          </w:p>
          <w:p w14:paraId="2B9B8D00">
            <w:pPr>
              <w:pStyle w:val="152"/>
              <w:spacing w:before="0" w:after="0" w:line="400" w:lineRule="exact"/>
              <w:rPr>
                <w:rFonts w:hint="eastAsia" w:ascii="宋体" w:hAnsi="宋体"/>
                <w:bCs/>
                <w:color w:val="auto"/>
                <w:highlight w:val="none"/>
              </w:rPr>
            </w:pPr>
            <w:r>
              <w:rPr>
                <w:rFonts w:hint="eastAsia" w:ascii="宋体" w:hAnsi="宋体"/>
                <w:bCs/>
                <w:color w:val="auto"/>
                <w:highlight w:val="none"/>
              </w:rPr>
              <w:t>三档（</w:t>
            </w:r>
            <w:r>
              <w:rPr>
                <w:rFonts w:hint="eastAsia" w:ascii="宋体" w:hAnsi="宋体"/>
                <w:bCs/>
                <w:color w:val="auto"/>
                <w:highlight w:val="none"/>
                <w:lang w:val="en-US" w:eastAsia="zh-CN"/>
              </w:rPr>
              <w:t>10</w:t>
            </w:r>
            <w:r>
              <w:rPr>
                <w:rFonts w:hint="eastAsia" w:ascii="宋体" w:hAnsi="宋体"/>
                <w:bCs/>
                <w:color w:val="auto"/>
                <w:highlight w:val="none"/>
              </w:rPr>
              <w:t>分）：在二档基础上，能够根据甲方业务环境的特性，基于信息系统生命周期各个阶段（包括</w:t>
            </w:r>
            <w:r>
              <w:rPr>
                <w:rFonts w:hint="eastAsia" w:ascii="宋体" w:hAnsi="宋体"/>
                <w:bCs/>
                <w:color w:val="auto"/>
                <w:highlight w:val="none"/>
                <w:lang w:val="en-US" w:eastAsia="zh-CN"/>
              </w:rPr>
              <w:t>信</w:t>
            </w:r>
            <w:r>
              <w:rPr>
                <w:rFonts w:hint="eastAsia" w:ascii="宋体" w:hAnsi="宋体"/>
                <w:bCs/>
                <w:color w:val="auto"/>
                <w:highlight w:val="none"/>
              </w:rPr>
              <w:t>息系统上线前检测、云上防护、暴露面与漏洞管理、告警威胁监测及研判、应急响应处置、安全事件溯源调查、加固整改、联防联控与内部情报共享、信息系统退运下线等环节）设计甲方与各云平台租户在安全运营活动中的职责边界以及安全责任；能够详细设计各类平台/服务工具与安全运营业务的支撑关系，与客户实际情况匹配程度优秀，可实施性优秀。</w:t>
            </w:r>
          </w:p>
        </w:tc>
        <w:tc>
          <w:tcPr>
            <w:tcW w:w="582" w:type="pct"/>
            <w:vAlign w:val="center"/>
          </w:tcPr>
          <w:p w14:paraId="4733D820">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1</w:t>
            </w:r>
            <w:r>
              <w:rPr>
                <w:rFonts w:hint="eastAsia" w:ascii="宋体" w:hAnsi="宋体" w:cs="宋体"/>
                <w:bCs/>
                <w:color w:val="auto"/>
                <w:kern w:val="21"/>
                <w:sz w:val="24"/>
                <w:highlight w:val="none"/>
                <w:lang w:val="en-US" w:eastAsia="zh-CN"/>
              </w:rPr>
              <w:t>0</w:t>
            </w:r>
            <w:r>
              <w:rPr>
                <w:rFonts w:hint="eastAsia" w:ascii="宋体" w:hAnsi="宋体" w:cs="宋体"/>
                <w:bCs/>
                <w:color w:val="auto"/>
                <w:kern w:val="21"/>
                <w:sz w:val="24"/>
                <w:highlight w:val="none"/>
              </w:rPr>
              <w:t>分</w:t>
            </w:r>
          </w:p>
        </w:tc>
      </w:tr>
      <w:tr w14:paraId="754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3CF063B0">
            <w:pPr>
              <w:spacing w:line="400" w:lineRule="exact"/>
              <w:jc w:val="center"/>
              <w:rPr>
                <w:rFonts w:hint="eastAsia" w:ascii="宋体" w:hAnsi="宋体" w:eastAsia="宋体" w:cs="宋体"/>
                <w:bCs/>
                <w:color w:val="auto"/>
                <w:kern w:val="21"/>
                <w:sz w:val="24"/>
                <w:highlight w:val="none"/>
                <w:lang w:eastAsia="zh-CN"/>
              </w:rPr>
            </w:pPr>
            <w:r>
              <w:rPr>
                <w:rFonts w:hint="eastAsia" w:ascii="宋体" w:hAnsi="宋体" w:cs="宋体"/>
                <w:bCs/>
                <w:color w:val="auto"/>
                <w:kern w:val="21"/>
                <w:sz w:val="24"/>
                <w:highlight w:val="none"/>
              </w:rPr>
              <w:t>2.</w:t>
            </w:r>
            <w:r>
              <w:rPr>
                <w:rFonts w:hint="eastAsia" w:ascii="宋体" w:hAnsi="宋体" w:cs="宋体"/>
                <w:bCs/>
                <w:color w:val="auto"/>
                <w:kern w:val="21"/>
                <w:sz w:val="24"/>
                <w:highlight w:val="none"/>
                <w:lang w:val="en-US" w:eastAsia="zh-CN"/>
              </w:rPr>
              <w:t>6</w:t>
            </w:r>
            <w:bookmarkStart w:id="158" w:name="_GoBack"/>
            <w:bookmarkEnd w:id="158"/>
          </w:p>
        </w:tc>
        <w:tc>
          <w:tcPr>
            <w:tcW w:w="617" w:type="pct"/>
            <w:vAlign w:val="center"/>
          </w:tcPr>
          <w:p w14:paraId="6998DF55">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重点产品及服务工具功能演示分</w:t>
            </w:r>
          </w:p>
        </w:tc>
        <w:tc>
          <w:tcPr>
            <w:tcW w:w="3386" w:type="pct"/>
            <w:vAlign w:val="center"/>
          </w:tcPr>
          <w:p w14:paraId="47913A08">
            <w:pPr>
              <w:pStyle w:val="152"/>
              <w:spacing w:before="0" w:after="0" w:line="400" w:lineRule="exact"/>
              <w:rPr>
                <w:rFonts w:hint="eastAsia" w:ascii="宋体" w:hAnsi="宋体"/>
                <w:bCs/>
                <w:color w:val="auto"/>
                <w:highlight w:val="none"/>
              </w:rPr>
            </w:pPr>
            <w:r>
              <w:rPr>
                <w:rFonts w:hint="eastAsia" w:ascii="宋体" w:hAnsi="宋体"/>
                <w:bCs/>
                <w:color w:val="auto"/>
                <w:highlight w:val="none"/>
              </w:rPr>
              <w:t>由投标人代表对系统进行演示及讲解，演示时间不超过45分钟，</w:t>
            </w:r>
            <w:r>
              <w:rPr>
                <w:rFonts w:hint="eastAsia" w:ascii="宋体" w:hAnsi="宋体"/>
                <w:b/>
                <w:color w:val="auto"/>
                <w:highlight w:val="none"/>
              </w:rPr>
              <w:t>系统演示共8项，每项</w:t>
            </w:r>
            <w:r>
              <w:rPr>
                <w:rFonts w:hint="eastAsia" w:ascii="宋体" w:hAnsi="宋体"/>
                <w:b/>
                <w:color w:val="auto"/>
                <w:highlight w:val="none"/>
                <w:lang w:val="en-US" w:eastAsia="zh-CN"/>
              </w:rPr>
              <w:t>1</w:t>
            </w:r>
            <w:r>
              <w:rPr>
                <w:rFonts w:hint="eastAsia" w:ascii="宋体" w:hAnsi="宋体"/>
                <w:b/>
                <w:color w:val="auto"/>
                <w:highlight w:val="none"/>
              </w:rPr>
              <w:t>分，总分</w:t>
            </w:r>
            <w:r>
              <w:rPr>
                <w:rFonts w:hint="eastAsia" w:ascii="宋体" w:hAnsi="宋体"/>
                <w:b/>
                <w:color w:val="auto"/>
                <w:highlight w:val="none"/>
                <w:lang w:val="en-US" w:eastAsia="zh-CN"/>
              </w:rPr>
              <w:t>8</w:t>
            </w:r>
            <w:r>
              <w:rPr>
                <w:rFonts w:hint="eastAsia" w:ascii="宋体" w:hAnsi="宋体"/>
                <w:b/>
                <w:color w:val="auto"/>
                <w:highlight w:val="none"/>
              </w:rPr>
              <w:t>分。每项演示内容的所有功能点、业务流程及细节要求完全满足要求得</w:t>
            </w:r>
            <w:r>
              <w:rPr>
                <w:rFonts w:hint="eastAsia" w:ascii="宋体" w:hAnsi="宋体"/>
                <w:b/>
                <w:color w:val="auto"/>
                <w:highlight w:val="none"/>
                <w:lang w:val="en-US" w:eastAsia="zh-CN"/>
              </w:rPr>
              <w:t>1</w:t>
            </w:r>
            <w:r>
              <w:rPr>
                <w:rFonts w:hint="eastAsia" w:ascii="宋体" w:hAnsi="宋体"/>
                <w:b/>
                <w:color w:val="auto"/>
                <w:highlight w:val="none"/>
              </w:rPr>
              <w:t>分</w:t>
            </w:r>
            <w:r>
              <w:rPr>
                <w:rFonts w:hint="eastAsia" w:ascii="宋体" w:hAnsi="宋体"/>
                <w:b/>
                <w:color w:val="auto"/>
                <w:highlight w:val="none"/>
                <w:lang w:eastAsia="zh-CN"/>
              </w:rPr>
              <w:t>。</w:t>
            </w:r>
            <w:r>
              <w:rPr>
                <w:rFonts w:hint="eastAsia" w:ascii="宋体" w:hAnsi="宋体"/>
                <w:b/>
                <w:color w:val="auto"/>
                <w:highlight w:val="none"/>
              </w:rPr>
              <w:t>演示内容存在任意功能缺漏、细节不符、流程缺失等不能完全满足要求</w:t>
            </w:r>
            <w:r>
              <w:rPr>
                <w:rFonts w:hint="eastAsia" w:ascii="宋体" w:hAnsi="宋体"/>
                <w:b/>
                <w:color w:val="auto"/>
                <w:highlight w:val="none"/>
                <w:lang w:val="en-US" w:eastAsia="zh-CN"/>
              </w:rPr>
              <w:t>的，每有一个不符合要求扣0.5分，扣除分数不超过该项的最高分，即1分</w:t>
            </w:r>
            <w:r>
              <w:rPr>
                <w:rFonts w:hint="eastAsia" w:ascii="宋体" w:hAnsi="宋体"/>
                <w:b/>
                <w:color w:val="auto"/>
                <w:highlight w:val="none"/>
              </w:rPr>
              <w:t>。</w:t>
            </w:r>
            <w:r>
              <w:rPr>
                <w:rFonts w:hint="eastAsia" w:ascii="宋体" w:hAnsi="宋体"/>
                <w:b w:val="0"/>
                <w:bCs/>
                <w:color w:val="auto"/>
                <w:highlight w:val="none"/>
                <w:lang w:val="en-US" w:eastAsia="zh-CN"/>
              </w:rPr>
              <w:t>仅</w:t>
            </w:r>
            <w:r>
              <w:rPr>
                <w:rFonts w:hint="eastAsia" w:ascii="宋体" w:hAnsi="宋体"/>
                <w:bCs/>
                <w:color w:val="auto"/>
                <w:highlight w:val="none"/>
              </w:rPr>
              <w:t xml:space="preserve">使用静态页面、PPT、录像视频进行演示讲解视为无效演示，不得分。投标人需逐项演示以下内容： </w:t>
            </w:r>
          </w:p>
          <w:p w14:paraId="1C848EE3">
            <w:pPr>
              <w:pStyle w:val="152"/>
              <w:spacing w:line="400" w:lineRule="exact"/>
              <w:rPr>
                <w:rFonts w:hint="eastAsia" w:ascii="宋体" w:hAnsi="宋体"/>
                <w:bCs/>
                <w:color w:val="auto"/>
                <w:highlight w:val="none"/>
              </w:rPr>
            </w:pPr>
            <w:r>
              <w:rPr>
                <w:rFonts w:hint="eastAsia" w:ascii="宋体" w:hAnsi="宋体"/>
                <w:bCs/>
                <w:color w:val="auto"/>
                <w:highlight w:val="none"/>
              </w:rPr>
              <w:t>1、针对安全运营服务系统进行重点功能演示，演示功能点如下 ：</w:t>
            </w:r>
          </w:p>
          <w:p w14:paraId="199F4E32">
            <w:pPr>
              <w:pStyle w:val="152"/>
              <w:spacing w:line="400" w:lineRule="exact"/>
              <w:rPr>
                <w:rFonts w:hint="eastAsia" w:ascii="宋体" w:hAnsi="宋体"/>
                <w:bCs/>
                <w:color w:val="auto"/>
                <w:highlight w:val="none"/>
              </w:rPr>
            </w:pPr>
            <w:r>
              <w:rPr>
                <w:rFonts w:hint="eastAsia" w:ascii="宋体" w:hAnsi="宋体"/>
                <w:bCs/>
                <w:color w:val="auto"/>
                <w:highlight w:val="none"/>
              </w:rPr>
              <w:t>（1）指挥展示模块功能：将可视化大屏解耦为独立的可视化组件，形成可视化组件库，可将组件划分为业务主题组件、分析组件、条件组件；业务组件库内置多个通用布局模板和组件，能够通过能够所见即所得的编排方式实现对态势可视化大屏的编辑和布局的灵活配置。支持从这三类组件中，按需选取组件、调整组件显示位置，从而形成新的态势可视化分析场景。</w:t>
            </w:r>
          </w:p>
          <w:p w14:paraId="6CF5B7FB">
            <w:pPr>
              <w:pStyle w:val="152"/>
              <w:spacing w:line="400" w:lineRule="exact"/>
              <w:rPr>
                <w:rFonts w:hint="eastAsia" w:ascii="宋体" w:hAnsi="宋体"/>
                <w:bCs/>
                <w:color w:val="auto"/>
                <w:highlight w:val="none"/>
              </w:rPr>
            </w:pPr>
            <w:r>
              <w:rPr>
                <w:rFonts w:hint="eastAsia" w:ascii="宋体" w:hAnsi="宋体"/>
                <w:bCs/>
                <w:color w:val="auto"/>
                <w:highlight w:val="none"/>
              </w:rPr>
              <w:t>（2）通报预警模块功能：支持对发现的安全事件先进行告警确认，而后转为事件进行研判，最后启动后续处置，包括启动通报、启动应急和关联应急等。在通报过程包含开始、审核、签收、执行、验证、归档等环节。</w:t>
            </w:r>
          </w:p>
          <w:p w14:paraId="75994123">
            <w:pPr>
              <w:pStyle w:val="152"/>
              <w:spacing w:line="400" w:lineRule="exact"/>
              <w:rPr>
                <w:rFonts w:hint="eastAsia" w:ascii="宋体" w:hAnsi="宋体"/>
                <w:bCs/>
                <w:color w:val="auto"/>
                <w:highlight w:val="none"/>
              </w:rPr>
            </w:pPr>
            <w:r>
              <w:rPr>
                <w:rFonts w:hint="eastAsia" w:ascii="宋体" w:hAnsi="宋体"/>
                <w:bCs/>
                <w:color w:val="auto"/>
                <w:highlight w:val="none"/>
              </w:rPr>
              <w:t>（3）应急指挥模块功能：系统支持内置应急预案和自定义添加应急预案；支持对应急处置工作流程的自定义编排，实现流程的灵活处理。支持以原子组件方式将工作组件（包括业务交互、脚本执行、机器动作、人工指令和逻辑节点等类型）可视化拖拽对当前应急流程进行编辑、更新等操作。</w:t>
            </w:r>
          </w:p>
          <w:p w14:paraId="28A751BE">
            <w:pPr>
              <w:pStyle w:val="152"/>
              <w:spacing w:line="400" w:lineRule="exact"/>
              <w:rPr>
                <w:rFonts w:hint="eastAsia" w:ascii="宋体" w:hAnsi="宋体"/>
                <w:bCs/>
                <w:color w:val="auto"/>
                <w:highlight w:val="none"/>
              </w:rPr>
            </w:pPr>
            <w:r>
              <w:rPr>
                <w:rFonts w:hint="eastAsia" w:ascii="宋体" w:hAnsi="宋体"/>
                <w:bCs/>
                <w:color w:val="auto"/>
                <w:highlight w:val="none"/>
              </w:rPr>
              <w:t>（4）运营支持模块功能：通过图形化方式呈现指令的整体流程和详情内容，使用不同状态进行标识指令流程中的执行完的环节、正在执行中的环节和未执行的环节。支持指令流程图形化的呈现方式和具体流程的放大、缩小、居中和全屏等展示功能。同时能够了解指令环节的进展信息、反馈催办、操作记录等。</w:t>
            </w:r>
          </w:p>
          <w:p w14:paraId="636B99B8">
            <w:pPr>
              <w:pStyle w:val="152"/>
              <w:spacing w:line="400" w:lineRule="exact"/>
              <w:rPr>
                <w:rFonts w:hint="eastAsia" w:ascii="宋体" w:hAnsi="宋体"/>
                <w:bCs/>
                <w:color w:val="auto"/>
                <w:highlight w:val="none"/>
              </w:rPr>
            </w:pPr>
            <w:r>
              <w:rPr>
                <w:rFonts w:hint="eastAsia" w:ascii="宋体" w:hAnsi="宋体"/>
                <w:bCs/>
                <w:color w:val="auto"/>
                <w:highlight w:val="none"/>
              </w:rPr>
              <w:t>（5）安全事件模块功能：分析引擎管理支持分析规则管理，支持的规则类型包括但不限于穿透、单表过滤、威胁情报、关联统计、序列、不发生、灵活配置、基线-日志统计、基线-行为统计、基线多源统计等，可在画布上以拖拉拽的形式，构建规则的节点顺序与每一步的配置。生成的规则可监控其运行状态监控和管理，包括任务仪表盘、告警仪表盘、实时占用资源统计以及运行任务管理功能，可对任务进行查询、停止、刷新、删除、下载日志等操作</w:t>
            </w:r>
          </w:p>
          <w:p w14:paraId="2F28EB8C">
            <w:pPr>
              <w:pStyle w:val="152"/>
              <w:spacing w:line="400" w:lineRule="exact"/>
              <w:rPr>
                <w:rFonts w:hint="eastAsia" w:ascii="宋体" w:hAnsi="宋体"/>
                <w:bCs/>
                <w:color w:val="auto"/>
                <w:highlight w:val="none"/>
              </w:rPr>
            </w:pPr>
            <w:r>
              <w:rPr>
                <w:rFonts w:hint="eastAsia" w:ascii="宋体" w:hAnsi="宋体"/>
                <w:bCs/>
                <w:color w:val="auto"/>
                <w:highlight w:val="none"/>
              </w:rPr>
              <w:t>2、针对数据安全监测平台进行重点功能演示，演示功能点如下：</w:t>
            </w:r>
          </w:p>
          <w:p w14:paraId="75296E6E">
            <w:pPr>
              <w:pStyle w:val="152"/>
              <w:spacing w:line="400" w:lineRule="exact"/>
              <w:rPr>
                <w:rFonts w:hint="eastAsia" w:ascii="宋体" w:hAnsi="宋体"/>
                <w:bCs/>
                <w:color w:val="auto"/>
                <w:highlight w:val="none"/>
              </w:rPr>
            </w:pPr>
            <w:r>
              <w:rPr>
                <w:rFonts w:hint="eastAsia" w:ascii="宋体" w:hAnsi="宋体"/>
                <w:bCs/>
                <w:color w:val="auto"/>
                <w:highlight w:val="none"/>
              </w:rPr>
              <w:t>（1）数据资产识别模块功能：可显示流动数据和静态数据，针对流动数据可显示数据总量、来自应用、来自存储资产、被访问次数的统计数据。针对静态数据可显示数据总量、表行数、文件数、已扫描资产数的统计数据。以列表的方式显示流动数据和静态数据的数据标签，可显示各类数据标签的统计数据，并且针对统计的数量进行下钻查询详细敏感数据。敏感数据可直接展示具体的敏感数据内容如手机号、身份证号、家庭住址等，并支持查看相关数据的敏感数据详情。支持通过检索字段（包括：数据、数据标签、数据类别、数据级别、应用、API、存储资产地址等）作为检索条件进行敏感数据的搜索。</w:t>
            </w:r>
          </w:p>
          <w:p w14:paraId="44D6D931">
            <w:pPr>
              <w:pStyle w:val="152"/>
              <w:spacing w:line="400" w:lineRule="exact"/>
              <w:rPr>
                <w:rFonts w:hint="eastAsia" w:ascii="宋体" w:hAnsi="宋体"/>
                <w:bCs/>
                <w:color w:val="auto"/>
                <w:highlight w:val="none"/>
              </w:rPr>
            </w:pPr>
            <w:r>
              <w:rPr>
                <w:rFonts w:hint="eastAsia" w:ascii="宋体" w:hAnsi="宋体"/>
                <w:bCs/>
                <w:color w:val="auto"/>
                <w:highlight w:val="none"/>
              </w:rPr>
              <w:t>（2）数据流动使用监测模块功能：支持以列表的方式显示每条数据访问日志，并可显示源IP、目的IP、应用、API、数据库、数据标签、数据类型、数据流向、访问时间等信息。支持以图谱的方式显示数据的流动情况。支持以链路的形式展示各节点的访问行为，并查看数据流动链路上的详细信息，包括数据标签、文件、数据访问量等信息。</w:t>
            </w:r>
          </w:p>
          <w:p w14:paraId="7A0C5E69">
            <w:pPr>
              <w:pStyle w:val="152"/>
              <w:spacing w:line="400" w:lineRule="exact"/>
              <w:rPr>
                <w:rFonts w:hint="eastAsia" w:ascii="宋体" w:hAnsi="宋体"/>
                <w:bCs/>
                <w:color w:val="auto"/>
                <w:highlight w:val="none"/>
              </w:rPr>
            </w:pPr>
            <w:r>
              <w:rPr>
                <w:rFonts w:hint="eastAsia" w:ascii="宋体" w:hAnsi="宋体"/>
                <w:bCs/>
                <w:color w:val="auto"/>
                <w:highlight w:val="none"/>
              </w:rPr>
              <w:t>（3）数据安全分析模块功能：新增分析策略支持穿透、单表过滤、单表统计、关联统计、序列、基线、威胁情报等规则模板；每种配置规则支持显示规则说明，并提供示例图。支持图形化交互配置方式，灵活组合规则建模中的计算单元；支持资源管理和过滤器配置，在配置分析规则时可通过应用过滤器和应用对象资源快速配置。</w:t>
            </w:r>
          </w:p>
          <w:p w14:paraId="3CB82C5E">
            <w:pPr>
              <w:pStyle w:val="152"/>
              <w:spacing w:line="400" w:lineRule="exact"/>
              <w:rPr>
                <w:rFonts w:hint="eastAsia" w:ascii="宋体" w:hAnsi="宋体"/>
                <w:bCs/>
                <w:color w:val="auto"/>
                <w:highlight w:val="none"/>
              </w:rPr>
            </w:pPr>
          </w:p>
        </w:tc>
        <w:tc>
          <w:tcPr>
            <w:tcW w:w="582" w:type="pct"/>
            <w:vAlign w:val="center"/>
          </w:tcPr>
          <w:p w14:paraId="49DAC41E">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lang w:val="en-US" w:eastAsia="zh-CN"/>
              </w:rPr>
              <w:t>8</w:t>
            </w:r>
            <w:r>
              <w:rPr>
                <w:rFonts w:hint="eastAsia" w:ascii="宋体" w:hAnsi="宋体" w:cs="宋体"/>
                <w:bCs/>
                <w:color w:val="auto"/>
                <w:kern w:val="21"/>
                <w:sz w:val="24"/>
                <w:highlight w:val="none"/>
              </w:rPr>
              <w:t>分</w:t>
            </w:r>
          </w:p>
        </w:tc>
      </w:tr>
      <w:tr w14:paraId="7704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3E27D2A0">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3</w:t>
            </w:r>
          </w:p>
        </w:tc>
        <w:tc>
          <w:tcPr>
            <w:tcW w:w="4004" w:type="pct"/>
            <w:gridSpan w:val="2"/>
            <w:vAlign w:val="center"/>
          </w:tcPr>
          <w:p w14:paraId="12AB4398">
            <w:pPr>
              <w:spacing w:line="400" w:lineRule="exact"/>
              <w:rPr>
                <w:rFonts w:hint="eastAsia" w:ascii="宋体" w:hAnsi="宋体" w:cs="宋体"/>
                <w:bCs/>
                <w:color w:val="auto"/>
                <w:kern w:val="21"/>
                <w:sz w:val="24"/>
                <w:highlight w:val="none"/>
              </w:rPr>
            </w:pPr>
            <w:r>
              <w:rPr>
                <w:rFonts w:hint="eastAsia" w:ascii="宋体" w:hAnsi="宋体" w:cs="宋体"/>
                <w:bCs/>
                <w:color w:val="auto"/>
                <w:kern w:val="21"/>
                <w:sz w:val="24"/>
                <w:highlight w:val="none"/>
              </w:rPr>
              <w:t>商务分</w:t>
            </w:r>
          </w:p>
        </w:tc>
        <w:tc>
          <w:tcPr>
            <w:tcW w:w="582" w:type="pct"/>
            <w:vAlign w:val="center"/>
          </w:tcPr>
          <w:p w14:paraId="55CAA87D">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lang w:val="en-US" w:eastAsia="zh-CN"/>
              </w:rPr>
              <w:t>20</w:t>
            </w:r>
            <w:r>
              <w:rPr>
                <w:rFonts w:hint="eastAsia" w:ascii="宋体" w:hAnsi="宋体" w:cs="宋体"/>
                <w:bCs/>
                <w:color w:val="auto"/>
                <w:kern w:val="21"/>
                <w:sz w:val="24"/>
                <w:highlight w:val="none"/>
              </w:rPr>
              <w:t>分</w:t>
            </w:r>
          </w:p>
        </w:tc>
      </w:tr>
      <w:tr w14:paraId="38DD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1A54BAC7">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3.1</w:t>
            </w:r>
          </w:p>
        </w:tc>
        <w:tc>
          <w:tcPr>
            <w:tcW w:w="617" w:type="pct"/>
            <w:vAlign w:val="center"/>
          </w:tcPr>
          <w:p w14:paraId="411DE2BE">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综合实力分</w:t>
            </w:r>
          </w:p>
        </w:tc>
        <w:tc>
          <w:tcPr>
            <w:tcW w:w="3386" w:type="pct"/>
            <w:vAlign w:val="center"/>
          </w:tcPr>
          <w:p w14:paraId="02F46969">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投标人应具备有效的企业资质证书：</w:t>
            </w:r>
          </w:p>
          <w:p w14:paraId="01E967BE">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1.为考核投标人的软件开发实力，投标人通过SPCA软件能力成熟度模型等级5级的得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分，此项满分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0F160A47">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2.为考核投标人信息安全服务能力，如投标人同时具备信息系统安全集成服务资质三级及以上等级的、软件安全开发服务资质三级及以上等级的、信息安全风险评估服务资质三级及以上等级的，得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分，须提供有效的证书证明材料并加盖投标人公章，</w:t>
            </w:r>
            <w:r>
              <w:rPr>
                <w:rFonts w:hint="eastAsia" w:ascii="宋体" w:hAnsi="宋体" w:cs="宋体"/>
                <w:color w:val="auto"/>
                <w:szCs w:val="21"/>
                <w:highlight w:val="none"/>
                <w:lang w:val="en-US" w:eastAsia="zh-CN"/>
              </w:rPr>
              <w:t>缺少上述任意一项证书的</w:t>
            </w:r>
            <w:r>
              <w:rPr>
                <w:rFonts w:hint="eastAsia" w:ascii="宋体" w:hAnsi="宋体" w:cs="宋体"/>
                <w:color w:val="auto"/>
                <w:szCs w:val="21"/>
                <w:highlight w:val="none"/>
              </w:rPr>
              <w:t>不得分，此项满分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D1BB1F0">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3.投标人具备IS09001（质量管理体系）、ISO27001（信息安全体系）、ISO20000（信息技术服务管理体系）、ISO22301（业务连续性管理体系）和ISO27017（信息安全管理体系），同时具有上述证书得3分，须提供有效的证书证明材料并加盖投标人公章，</w:t>
            </w:r>
            <w:r>
              <w:rPr>
                <w:rFonts w:hint="eastAsia" w:ascii="宋体" w:hAnsi="宋体" w:cs="宋体"/>
                <w:color w:val="auto"/>
                <w:szCs w:val="21"/>
                <w:highlight w:val="none"/>
                <w:lang w:val="en-US" w:eastAsia="zh-CN"/>
              </w:rPr>
              <w:t>缺少上述任意一项证书的</w:t>
            </w:r>
            <w:r>
              <w:rPr>
                <w:rFonts w:hint="eastAsia" w:ascii="宋体" w:hAnsi="宋体" w:cs="宋体"/>
                <w:color w:val="auto"/>
                <w:szCs w:val="21"/>
                <w:highlight w:val="none"/>
              </w:rPr>
              <w:t>不得分，此项满分3分。</w:t>
            </w:r>
          </w:p>
          <w:p w14:paraId="09FE83C7">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4.为考核投标人的运行维护能力，投标人具备ITSS运行维护资质三级及以上的得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分，须提供有效的证书证明材料并加盖投标人公章，否则不得分，此项满分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F4E760A">
            <w:pPr>
              <w:snapToGrid w:val="0"/>
              <w:spacing w:line="360" w:lineRule="atLeast"/>
              <w:ind w:firstLine="233" w:firstLineChars="111"/>
              <w:rPr>
                <w:rFonts w:hint="eastAsia" w:ascii="宋体" w:hAnsi="宋体" w:cs="宋体"/>
                <w:bCs/>
                <w:color w:val="auto"/>
                <w:kern w:val="21"/>
                <w:sz w:val="24"/>
                <w:highlight w:val="none"/>
              </w:rPr>
            </w:pPr>
            <w:r>
              <w:rPr>
                <w:rFonts w:hint="eastAsia" w:ascii="宋体" w:hAnsi="宋体" w:cs="宋体"/>
                <w:color w:val="auto"/>
                <w:szCs w:val="21"/>
                <w:highlight w:val="none"/>
              </w:rPr>
              <w:t>注：投标人所提供的资质证书须为投标人自身所具备的资质证书，且需提供以上资质证书复印件作为佐证材料，否则视为不满足要求。</w:t>
            </w:r>
          </w:p>
        </w:tc>
        <w:tc>
          <w:tcPr>
            <w:tcW w:w="582" w:type="pct"/>
            <w:vAlign w:val="center"/>
          </w:tcPr>
          <w:p w14:paraId="7D6FF256">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lang w:val="en-US" w:eastAsia="zh-CN"/>
              </w:rPr>
              <w:t>10</w:t>
            </w:r>
            <w:r>
              <w:rPr>
                <w:rFonts w:hint="eastAsia" w:ascii="宋体" w:hAnsi="宋体" w:cs="宋体"/>
                <w:bCs/>
                <w:color w:val="auto"/>
                <w:kern w:val="21"/>
                <w:sz w:val="24"/>
                <w:highlight w:val="none"/>
              </w:rPr>
              <w:t>分</w:t>
            </w:r>
          </w:p>
        </w:tc>
      </w:tr>
      <w:tr w14:paraId="6420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49CE80E3">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3.2</w:t>
            </w:r>
          </w:p>
        </w:tc>
        <w:tc>
          <w:tcPr>
            <w:tcW w:w="617" w:type="pct"/>
            <w:vAlign w:val="center"/>
          </w:tcPr>
          <w:p w14:paraId="1B868F11">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rPr>
              <w:t>业绩案例分</w:t>
            </w:r>
          </w:p>
        </w:tc>
        <w:tc>
          <w:tcPr>
            <w:tcW w:w="3386" w:type="pct"/>
            <w:vAlign w:val="center"/>
          </w:tcPr>
          <w:p w14:paraId="50EB537B">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自2021年以来，投标人具备的信息安全建设类项目业绩或信息安全服务类项目业绩，每提供1个项目业绩证明材料得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0C8CBD1D">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自2021年以来，投标人具备系统平台建设类项目业绩，每提供1个项目业绩证明材料得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7B176A83">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提供所签订的合同关键页（包括但不限于合同签订双方名称页、采购内容页、签字盖章页</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签订时间</w:t>
            </w:r>
            <w:r>
              <w:rPr>
                <w:rFonts w:hint="eastAsia" w:ascii="宋体" w:hAnsi="宋体" w:cs="宋体"/>
                <w:color w:val="auto"/>
                <w:szCs w:val="21"/>
                <w:highlight w:val="none"/>
              </w:rPr>
              <w:t>等）复印件作为佐证材料，并加盖投标人公章。</w:t>
            </w:r>
          </w:p>
          <w:p w14:paraId="00C315E6">
            <w:pPr>
              <w:snapToGrid w:val="0"/>
              <w:spacing w:line="360" w:lineRule="atLeast"/>
              <w:ind w:firstLine="233" w:firstLineChars="111"/>
              <w:rPr>
                <w:rFonts w:hint="eastAsia" w:ascii="宋体" w:hAnsi="宋体" w:cs="宋体"/>
                <w:color w:val="auto"/>
                <w:szCs w:val="21"/>
                <w:highlight w:val="none"/>
              </w:rPr>
            </w:pPr>
            <w:r>
              <w:rPr>
                <w:rFonts w:hint="eastAsia" w:ascii="宋体" w:hAnsi="宋体" w:cs="宋体"/>
                <w:color w:val="auto"/>
                <w:szCs w:val="21"/>
                <w:highlight w:val="none"/>
              </w:rPr>
              <w:t>注：1.该项所指业绩须为投标人自身具有的业绩，若所提供的业绩证明材料为非投标人自身具有的业绩，该项视为不满足。2.若业绩案例同时满足信息安全建设类项目业绩或信息安全服务类项目业绩，系统平台建设类项目业绩的，仅计一次得分，不得重复累计加分。</w:t>
            </w:r>
          </w:p>
        </w:tc>
        <w:tc>
          <w:tcPr>
            <w:tcW w:w="582" w:type="pct"/>
            <w:vAlign w:val="center"/>
          </w:tcPr>
          <w:p w14:paraId="78D5A4C6">
            <w:pPr>
              <w:spacing w:line="400" w:lineRule="exact"/>
              <w:jc w:val="center"/>
              <w:rPr>
                <w:rFonts w:hint="eastAsia" w:ascii="宋体" w:hAnsi="宋体" w:cs="宋体"/>
                <w:bCs/>
                <w:color w:val="auto"/>
                <w:kern w:val="21"/>
                <w:sz w:val="24"/>
                <w:highlight w:val="none"/>
              </w:rPr>
            </w:pPr>
            <w:r>
              <w:rPr>
                <w:rFonts w:hint="eastAsia" w:ascii="宋体" w:hAnsi="宋体" w:cs="宋体"/>
                <w:bCs/>
                <w:color w:val="auto"/>
                <w:kern w:val="21"/>
                <w:sz w:val="24"/>
                <w:highlight w:val="none"/>
                <w:lang w:val="en-US" w:eastAsia="zh-CN"/>
              </w:rPr>
              <w:t>10</w:t>
            </w:r>
            <w:r>
              <w:rPr>
                <w:rFonts w:hint="eastAsia" w:ascii="宋体" w:hAnsi="宋体" w:cs="宋体"/>
                <w:bCs/>
                <w:color w:val="auto"/>
                <w:kern w:val="21"/>
                <w:sz w:val="24"/>
                <w:highlight w:val="none"/>
              </w:rPr>
              <w:t>分</w:t>
            </w:r>
          </w:p>
        </w:tc>
      </w:tr>
      <w:tr w14:paraId="6C2C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4D117D92">
            <w:pPr>
              <w:spacing w:line="400" w:lineRule="exact"/>
              <w:ind w:firstLine="472" w:firstLineChars="196"/>
              <w:jc w:val="left"/>
              <w:rPr>
                <w:rFonts w:hint="eastAsia" w:ascii="宋体" w:hAnsi="宋体" w:cs="宋体"/>
                <w:bCs/>
                <w:color w:val="auto"/>
                <w:kern w:val="21"/>
                <w:sz w:val="24"/>
                <w:highlight w:val="none"/>
              </w:rPr>
            </w:pPr>
            <w:r>
              <w:rPr>
                <w:rFonts w:hint="eastAsia" w:ascii="宋体" w:hAnsi="宋体" w:cs="宋体"/>
                <w:b/>
                <w:bCs/>
                <w:color w:val="auto"/>
                <w:kern w:val="21"/>
                <w:sz w:val="24"/>
                <w:highlight w:val="none"/>
              </w:rPr>
              <w:t>总得分=1+2+3。</w:t>
            </w:r>
          </w:p>
        </w:tc>
      </w:tr>
    </w:tbl>
    <w:p w14:paraId="48E92961">
      <w:pPr>
        <w:pStyle w:val="26"/>
        <w:spacing w:line="440" w:lineRule="exact"/>
        <w:ind w:firstLine="420"/>
        <w:rPr>
          <w:rFonts w:hint="eastAsia" w:hAnsi="宋体"/>
          <w:color w:val="auto"/>
          <w:highlight w:val="none"/>
        </w:rPr>
      </w:pPr>
    </w:p>
    <w:p w14:paraId="0C5ECE00">
      <w:pPr>
        <w:pStyle w:val="26"/>
        <w:spacing w:line="440" w:lineRule="exact"/>
        <w:ind w:firstLine="420"/>
        <w:rPr>
          <w:rFonts w:hint="eastAsia" w:hAnsi="宋体"/>
          <w:color w:val="auto"/>
          <w:highlight w:val="none"/>
        </w:rPr>
      </w:pPr>
      <w:bookmarkStart w:id="146" w:name="_Toc3570436"/>
      <w:bookmarkStart w:id="147" w:name="_Toc3570278"/>
    </w:p>
    <w:p w14:paraId="5E91716C">
      <w:pPr>
        <w:rPr>
          <w:rFonts w:hint="eastAsia" w:ascii="宋体" w:hAnsi="宋体"/>
          <w:color w:val="auto"/>
          <w:highlight w:val="none"/>
        </w:rPr>
      </w:pPr>
    </w:p>
    <w:p w14:paraId="6B07F905">
      <w:pPr>
        <w:pStyle w:val="26"/>
        <w:spacing w:line="440" w:lineRule="exact"/>
        <w:ind w:firstLine="420"/>
        <w:rPr>
          <w:rFonts w:hint="eastAsia" w:hAnsi="宋体"/>
          <w:bCs/>
          <w:color w:val="auto"/>
          <w:kern w:val="2"/>
          <w:sz w:val="21"/>
          <w:szCs w:val="24"/>
          <w:highlight w:val="none"/>
        </w:rPr>
      </w:pPr>
      <w:r>
        <w:rPr>
          <w:rFonts w:hint="eastAsia" w:hAnsi="宋体"/>
          <w:bCs/>
          <w:color w:val="auto"/>
          <w:kern w:val="2"/>
          <w:sz w:val="21"/>
          <w:szCs w:val="24"/>
          <w:highlight w:val="none"/>
          <w:lang w:val="en-US" w:eastAsia="zh-CN"/>
        </w:rPr>
        <w:t>评</w:t>
      </w:r>
      <w:r>
        <w:rPr>
          <w:rFonts w:hint="eastAsia" w:hAnsi="宋体"/>
          <w:bCs/>
          <w:color w:val="auto"/>
          <w:kern w:val="2"/>
          <w:sz w:val="21"/>
          <w:szCs w:val="24"/>
          <w:highlight w:val="none"/>
        </w:rPr>
        <w:t xml:space="preserve">标中出现下列情形之一的，评标委员会应当启动异常低价投标（响应）审查程序： </w:t>
      </w:r>
    </w:p>
    <w:p w14:paraId="07132E3F">
      <w:pPr>
        <w:pStyle w:val="26"/>
        <w:spacing w:line="440" w:lineRule="exact"/>
        <w:ind w:firstLine="420"/>
        <w:rPr>
          <w:rFonts w:hint="eastAsia" w:hAnsi="宋体"/>
          <w:bCs/>
          <w:color w:val="auto"/>
          <w:kern w:val="2"/>
          <w:sz w:val="21"/>
          <w:szCs w:val="24"/>
          <w:highlight w:val="none"/>
        </w:rPr>
      </w:pPr>
      <w:r>
        <w:rPr>
          <w:rFonts w:hint="eastAsia" w:hAnsi="宋体"/>
          <w:bCs/>
          <w:color w:val="auto"/>
          <w:kern w:val="2"/>
          <w:sz w:val="21"/>
          <w:szCs w:val="24"/>
          <w:highlight w:val="none"/>
        </w:rPr>
        <w:t xml:space="preserve">1.投标（响应）报价低于全部通过符合性审查供应商投标（响应）报价平均值50%的，即投标（响应）报价&lt;全部通过符合性审查供应商投标（响应）报价平均值×50%； </w:t>
      </w:r>
    </w:p>
    <w:p w14:paraId="0DDE3EF4">
      <w:pPr>
        <w:pStyle w:val="26"/>
        <w:spacing w:line="440" w:lineRule="exact"/>
        <w:ind w:firstLine="420"/>
        <w:rPr>
          <w:rFonts w:hint="eastAsia" w:hAnsi="宋体"/>
          <w:bCs/>
          <w:color w:val="auto"/>
          <w:kern w:val="2"/>
          <w:sz w:val="21"/>
          <w:szCs w:val="24"/>
          <w:highlight w:val="none"/>
        </w:rPr>
      </w:pPr>
      <w:r>
        <w:rPr>
          <w:rFonts w:hint="eastAsia" w:hAnsi="宋体"/>
          <w:bCs/>
          <w:color w:val="auto"/>
          <w:kern w:val="2"/>
          <w:sz w:val="21"/>
          <w:szCs w:val="24"/>
          <w:highlight w:val="none"/>
        </w:rPr>
        <w:t xml:space="preserve">2.投标（响应）报价低于通过符合性审查的次低报价供应商投标（响应）报价50%的，即投标（响应）报价&lt;通过符合性审查的次低报价供应商投标（响应）报价×50%； </w:t>
      </w:r>
    </w:p>
    <w:p w14:paraId="1E81A9E8">
      <w:pPr>
        <w:pStyle w:val="26"/>
        <w:spacing w:line="440" w:lineRule="exact"/>
        <w:ind w:firstLine="420"/>
        <w:rPr>
          <w:rFonts w:hint="eastAsia" w:hAnsi="宋体"/>
          <w:bCs/>
          <w:color w:val="auto"/>
          <w:kern w:val="2"/>
          <w:sz w:val="21"/>
          <w:szCs w:val="24"/>
          <w:highlight w:val="none"/>
        </w:rPr>
      </w:pPr>
      <w:r>
        <w:rPr>
          <w:rFonts w:hint="eastAsia" w:hAnsi="宋体"/>
          <w:bCs/>
          <w:color w:val="auto"/>
          <w:kern w:val="2"/>
          <w:sz w:val="21"/>
          <w:szCs w:val="24"/>
          <w:highlight w:val="none"/>
        </w:rPr>
        <w:t xml:space="preserve">3.投标（响应）报价低于采购项目最高限价45%的，即投标（响应）报价&lt;采购项目最高限价×45%； </w:t>
      </w:r>
    </w:p>
    <w:p w14:paraId="54458D72">
      <w:pPr>
        <w:pStyle w:val="26"/>
        <w:spacing w:line="440" w:lineRule="exact"/>
        <w:ind w:firstLine="420"/>
        <w:rPr>
          <w:rFonts w:hint="eastAsia" w:hAnsi="宋体"/>
          <w:bCs/>
          <w:color w:val="auto"/>
          <w:kern w:val="2"/>
          <w:sz w:val="21"/>
          <w:szCs w:val="24"/>
          <w:highlight w:val="none"/>
        </w:rPr>
      </w:pPr>
      <w:r>
        <w:rPr>
          <w:rFonts w:hint="eastAsia" w:hAnsi="宋体"/>
          <w:bCs/>
          <w:color w:val="auto"/>
          <w:kern w:val="2"/>
          <w:sz w:val="21"/>
          <w:szCs w:val="24"/>
          <w:highlight w:val="none"/>
        </w:rPr>
        <w:t>4.评标委员会基于专业判断，认为投标人报价过低，有可能影响产品质量或者不能诚信履约的其他情形。</w:t>
      </w:r>
    </w:p>
    <w:p w14:paraId="4B53EF23">
      <w:pPr>
        <w:pStyle w:val="26"/>
        <w:spacing w:line="440" w:lineRule="exact"/>
        <w:ind w:firstLine="420"/>
        <w:rPr>
          <w:rFonts w:hint="eastAsia" w:hAnsi="宋体"/>
          <w:bCs/>
          <w:color w:val="auto"/>
          <w:kern w:val="2"/>
          <w:sz w:val="21"/>
          <w:szCs w:val="24"/>
          <w:highlight w:val="none"/>
        </w:rPr>
      </w:pPr>
      <w:r>
        <w:rPr>
          <w:rFonts w:hint="eastAsia" w:hAnsi="宋体"/>
          <w:bCs/>
          <w:color w:val="auto"/>
          <w:kern w:val="2"/>
          <w:sz w:val="21"/>
          <w:szCs w:val="24"/>
          <w:highlight w:val="none"/>
        </w:rPr>
        <w:t>评标委员会启动异常低价投标（响应）审查后，属于前述第1项至第4项情形的，应当要求相关投标人在评标现场30分钟内对投标（响应）价格作出解释，提供项目具体成本测算等与报价合理性相关的书面说明及必要的证明材料，包括但不限于原材料成本、人工成本、制造费用等。其中，属于第3项情形，投标文件已随投标（响应）文件一并提交相关书面说明及必要的证明材料的，在评标现场可不再重复提交。</w:t>
      </w:r>
    </w:p>
    <w:p w14:paraId="2CC4C82D">
      <w:pPr>
        <w:pStyle w:val="26"/>
        <w:spacing w:line="440" w:lineRule="exact"/>
        <w:ind w:firstLine="420"/>
        <w:rPr>
          <w:rFonts w:hint="eastAsia" w:hAnsi="宋体"/>
          <w:bCs/>
          <w:color w:val="auto"/>
          <w:sz w:val="21"/>
          <w:highlight w:val="none"/>
        </w:rPr>
      </w:pPr>
      <w:r>
        <w:rPr>
          <w:rFonts w:hint="eastAsia" w:hAnsi="宋体"/>
          <w:bCs/>
          <w:color w:val="auto"/>
          <w:kern w:val="2"/>
          <w:sz w:val="21"/>
          <w:szCs w:val="24"/>
          <w:highlight w:val="none"/>
        </w:rPr>
        <w:t>评标委员会依据专业经验，参考同类项目中标（成交）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评标委员会应当将其作为无效响应处理</w:t>
      </w:r>
      <w:r>
        <w:rPr>
          <w:rFonts w:hint="eastAsia" w:hAnsi="宋体" w:cs="宋体"/>
          <w:bCs/>
          <w:color w:val="auto"/>
          <w:kern w:val="2"/>
          <w:sz w:val="21"/>
          <w:highlight w:val="none"/>
        </w:rPr>
        <w:t>。</w:t>
      </w:r>
    </w:p>
    <w:bookmarkEnd w:id="146"/>
    <w:bookmarkEnd w:id="147"/>
    <w:p w14:paraId="77AD4A14">
      <w:pPr>
        <w:pStyle w:val="26"/>
        <w:spacing w:line="360" w:lineRule="auto"/>
        <w:ind w:firstLine="420"/>
        <w:rPr>
          <w:rFonts w:hint="eastAsia" w:hAnsi="宋体"/>
          <w:bCs/>
          <w:color w:val="auto"/>
          <w:sz w:val="21"/>
          <w:highlight w:val="none"/>
        </w:rPr>
      </w:pPr>
      <w:r>
        <w:rPr>
          <w:rFonts w:hint="eastAsia" w:hAnsi="宋体"/>
          <w:bCs/>
          <w:color w:val="auto"/>
          <w:sz w:val="21"/>
          <w:highlight w:val="none"/>
        </w:rPr>
        <w:t>注：1.计分方法按四舍五入取至百分位；</w:t>
      </w:r>
    </w:p>
    <w:p w14:paraId="1FBCD450">
      <w:pPr>
        <w:pStyle w:val="26"/>
        <w:spacing w:line="360" w:lineRule="auto"/>
        <w:ind w:firstLine="420"/>
        <w:rPr>
          <w:rFonts w:hint="eastAsia" w:hAnsi="宋体"/>
          <w:bCs/>
          <w:color w:val="auto"/>
          <w:sz w:val="21"/>
          <w:highlight w:val="none"/>
        </w:rPr>
      </w:pPr>
      <w:r>
        <w:rPr>
          <w:rFonts w:hint="eastAsia" w:hAnsi="宋体"/>
          <w:bCs/>
          <w:color w:val="auto"/>
          <w:sz w:val="21"/>
          <w:highlight w:val="none"/>
        </w:rPr>
        <w:t xml:space="preserve">    2.因落实政府采购政策进行价格调整的，以调整后的价格计算评标基准价和投标报价。</w:t>
      </w:r>
    </w:p>
    <w:p w14:paraId="1BA28FE0">
      <w:pPr>
        <w:pStyle w:val="6"/>
        <w:keepNext w:val="0"/>
        <w:keepLines w:val="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四、中标候选人推荐原则</w:t>
      </w:r>
    </w:p>
    <w:p w14:paraId="0538BC03">
      <w:pPr>
        <w:pStyle w:val="26"/>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57E3351C">
      <w:pPr>
        <w:pStyle w:val="26"/>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25835F58">
      <w:pPr>
        <w:pStyle w:val="26"/>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（二）最低评标价法</w:t>
      </w:r>
    </w:p>
    <w:p w14:paraId="34BF4071">
      <w:pPr>
        <w:spacing w:line="360" w:lineRule="auto"/>
        <w:ind w:firstLine="420" w:firstLineChars="200"/>
        <w:contextualSpacing/>
        <w:rPr>
          <w:rFonts w:hint="eastAsia" w:ascii="宋体" w:hAnsi="宋体"/>
          <w:b/>
          <w:color w:val="auto"/>
          <w:sz w:val="24"/>
          <w:highlight w:val="none"/>
        </w:rPr>
      </w:pPr>
      <w:r>
        <w:rPr>
          <w:rFonts w:hint="eastAsia" w:ascii="宋体" w:hAnsi="宋体"/>
          <w:color w:val="auto"/>
          <w:highlight w:val="none"/>
        </w:rPr>
        <w:t>评标委员会按照评标价从低到高排序并推荐中标候选人，评标价</w:t>
      </w:r>
      <w:r>
        <w:rPr>
          <w:rFonts w:ascii="宋体" w:hAnsi="宋体"/>
          <w:color w:val="auto"/>
          <w:highlight w:val="none"/>
        </w:rPr>
        <w:t>相同的并列。投标文件满足招标文件全部实质性要求且</w:t>
      </w:r>
      <w:r>
        <w:rPr>
          <w:rFonts w:hint="eastAsia" w:ascii="宋体" w:hAnsi="宋体"/>
          <w:color w:val="auto"/>
          <w:highlight w:val="none"/>
        </w:rPr>
        <w:t>评标价</w:t>
      </w:r>
      <w:r>
        <w:rPr>
          <w:rFonts w:ascii="宋体" w:hAnsi="宋体"/>
          <w:color w:val="auto"/>
          <w:highlight w:val="none"/>
        </w:rPr>
        <w:t>最低的投标人为排名第一的中标候选人。</w:t>
      </w:r>
    </w:p>
    <w:p w14:paraId="554E094E">
      <w:pPr>
        <w:spacing w:before="120" w:beforeLines="50" w:after="120" w:afterLines="50" w:line="400" w:lineRule="exact"/>
        <w:rPr>
          <w:rFonts w:hint="eastAsia" w:ascii="宋体" w:hAnsi="宋体"/>
          <w:b/>
          <w:color w:val="auto"/>
          <w:sz w:val="24"/>
          <w:highlight w:val="none"/>
        </w:rPr>
      </w:pPr>
    </w:p>
    <w:p w14:paraId="10CB1A72">
      <w:pPr>
        <w:rPr>
          <w:rFonts w:hint="eastAsia" w:ascii="宋体" w:hAnsi="宋体"/>
          <w:color w:val="auto"/>
          <w:highlight w:val="none"/>
        </w:rPr>
      </w:pPr>
    </w:p>
    <w:p w14:paraId="0F0DACC3">
      <w:pPr>
        <w:rPr>
          <w:rFonts w:hint="eastAsia" w:ascii="宋体" w:hAnsi="宋体"/>
          <w:color w:val="auto"/>
          <w:highlight w:val="none"/>
        </w:rPr>
      </w:pPr>
    </w:p>
    <w:p w14:paraId="5A56BAF1">
      <w:pPr>
        <w:rPr>
          <w:rFonts w:hint="eastAsia" w:ascii="宋体" w:hAnsi="宋体"/>
          <w:color w:val="auto"/>
          <w:highlight w:val="none"/>
        </w:rPr>
      </w:pPr>
    </w:p>
    <w:p w14:paraId="10C59791">
      <w:pPr>
        <w:rPr>
          <w:rFonts w:hint="eastAsia" w:ascii="宋体" w:hAnsi="宋体"/>
          <w:color w:val="auto"/>
          <w:highlight w:val="none"/>
        </w:rPr>
      </w:pPr>
    </w:p>
    <w:p w14:paraId="73A5C283">
      <w:pPr>
        <w:rPr>
          <w:rFonts w:hint="eastAsia" w:ascii="宋体" w:hAnsi="宋体"/>
          <w:color w:val="auto"/>
          <w:highlight w:val="none"/>
        </w:rPr>
      </w:pPr>
    </w:p>
    <w:p w14:paraId="712D4802">
      <w:pPr>
        <w:pStyle w:val="48"/>
        <w:ind w:firstLine="240"/>
        <w:rPr>
          <w:color w:val="auto"/>
          <w:highlight w:val="none"/>
        </w:rPr>
      </w:pPr>
    </w:p>
    <w:p w14:paraId="0E5C6919">
      <w:pPr>
        <w:pStyle w:val="49"/>
        <w:ind w:firstLine="480"/>
        <w:rPr>
          <w:color w:val="auto"/>
          <w:highlight w:val="none"/>
        </w:rPr>
      </w:pPr>
    </w:p>
    <w:p w14:paraId="7C97CD28">
      <w:pPr>
        <w:rPr>
          <w:color w:val="auto"/>
          <w:highlight w:val="none"/>
        </w:rPr>
      </w:pPr>
    </w:p>
    <w:p w14:paraId="7F19D96D">
      <w:pPr>
        <w:rPr>
          <w:color w:val="auto"/>
          <w:highlight w:val="none"/>
        </w:rPr>
      </w:pPr>
    </w:p>
    <w:p w14:paraId="6EA71F39">
      <w:pPr>
        <w:pStyle w:val="3"/>
        <w:jc w:val="center"/>
        <w:rPr>
          <w:rFonts w:hint="eastAsia" w:ascii="宋体" w:hAnsi="宋体" w:eastAsia="宋体"/>
          <w:color w:val="auto"/>
          <w:highlight w:val="none"/>
        </w:rPr>
      </w:pPr>
      <w:bookmarkStart w:id="148" w:name="_Toc614"/>
      <w:r>
        <w:rPr>
          <w:rFonts w:hint="eastAsia" w:ascii="宋体" w:hAnsi="宋体" w:eastAsia="宋体"/>
          <w:color w:val="auto"/>
          <w:highlight w:val="none"/>
        </w:rPr>
        <w:t>第五章  拟签订的合同文本</w:t>
      </w:r>
    </w:p>
    <w:bookmarkEnd w:id="148"/>
    <w:p w14:paraId="08C5FC00">
      <w:pPr>
        <w:snapToGrid w:val="0"/>
        <w:spacing w:line="400" w:lineRule="exact"/>
        <w:jc w:val="center"/>
        <w:rPr>
          <w:rFonts w:hint="eastAsia" w:ascii="宋体" w:hAnsi="宋体"/>
          <w:b/>
          <w:bCs/>
          <w:color w:val="auto"/>
          <w:sz w:val="30"/>
          <w:szCs w:val="30"/>
          <w:highlight w:val="none"/>
        </w:rPr>
      </w:pPr>
      <w:bookmarkStart w:id="149" w:name="_Hlk55381736"/>
      <w:r>
        <w:rPr>
          <w:rFonts w:hint="eastAsia" w:ascii="宋体" w:hAnsi="宋体"/>
          <w:b/>
          <w:bCs/>
          <w:color w:val="auto"/>
          <w:sz w:val="30"/>
          <w:szCs w:val="30"/>
          <w:highlight w:val="none"/>
        </w:rPr>
        <w:t>广西壮族自治区政府采购合同</w:t>
      </w:r>
    </w:p>
    <w:p w14:paraId="057D6FAF">
      <w:pPr>
        <w:snapToGrid w:val="0"/>
        <w:spacing w:line="400" w:lineRule="exact"/>
        <w:ind w:right="480"/>
        <w:jc w:val="center"/>
        <w:rPr>
          <w:rFonts w:hint="eastAsia" w:ascii="宋体" w:hAnsi="宋体"/>
          <w:b/>
          <w:bCs/>
          <w:color w:val="auto"/>
          <w:sz w:val="28"/>
          <w:szCs w:val="28"/>
          <w:highlight w:val="none"/>
        </w:rPr>
      </w:pPr>
      <w:r>
        <w:rPr>
          <w:rFonts w:hint="eastAsia" w:ascii="宋体" w:hAnsi="宋体"/>
          <w:b/>
          <w:bCs/>
          <w:color w:val="auto"/>
          <w:sz w:val="28"/>
          <w:szCs w:val="28"/>
          <w:highlight w:val="none"/>
        </w:rPr>
        <w:t>合同格式</w:t>
      </w:r>
    </w:p>
    <w:p w14:paraId="710631FC">
      <w:pPr>
        <w:snapToGrid w:val="0"/>
        <w:spacing w:line="360" w:lineRule="exact"/>
        <w:ind w:right="480"/>
        <w:rPr>
          <w:rFonts w:hint="eastAsia" w:ascii="宋体" w:hAnsi="宋体"/>
          <w:bCs/>
          <w:color w:val="auto"/>
          <w:sz w:val="24"/>
          <w:highlight w:val="none"/>
          <w:u w:val="single"/>
        </w:rPr>
      </w:pPr>
      <w:r>
        <w:rPr>
          <w:rFonts w:hint="eastAsia" w:ascii="宋体" w:hAnsi="宋体"/>
          <w:bCs/>
          <w:color w:val="auto"/>
          <w:sz w:val="24"/>
          <w:highlight w:val="none"/>
        </w:rPr>
        <w:t>合同编号：</w:t>
      </w:r>
    </w:p>
    <w:p w14:paraId="73C2B5DA">
      <w:pPr>
        <w:snapToGrid w:val="0"/>
        <w:spacing w:line="360" w:lineRule="exact"/>
        <w:rPr>
          <w:rFonts w:hint="eastAsia" w:ascii="宋体" w:hAnsi="宋体"/>
          <w:color w:val="auto"/>
          <w:sz w:val="24"/>
          <w:highlight w:val="none"/>
        </w:rPr>
      </w:pPr>
      <w:r>
        <w:rPr>
          <w:rFonts w:hint="eastAsia" w:ascii="宋体" w:hAnsi="宋体"/>
          <w:color w:val="auto"/>
          <w:sz w:val="24"/>
          <w:highlight w:val="none"/>
        </w:rPr>
        <w:t>采购单位（甲方）</w:t>
      </w:r>
      <w:r>
        <w:rPr>
          <w:rFonts w:hint="eastAsia" w:ascii="宋体" w:hAnsi="宋体"/>
          <w:color w:val="auto"/>
          <w:spacing w:val="-20"/>
          <w:sz w:val="24"/>
          <w:highlight w:val="none"/>
        </w:rPr>
        <w:t>采 购 计 划 号</w:t>
      </w:r>
    </w:p>
    <w:p w14:paraId="32BBDB40">
      <w:pPr>
        <w:snapToGrid w:val="0"/>
        <w:spacing w:line="360" w:lineRule="exact"/>
        <w:rPr>
          <w:rFonts w:hint="eastAsia" w:ascii="宋体" w:hAnsi="宋体"/>
          <w:color w:val="auto"/>
          <w:sz w:val="24"/>
          <w:highlight w:val="none"/>
        </w:rPr>
      </w:pPr>
      <w:r>
        <w:rPr>
          <w:rFonts w:hint="eastAsia" w:ascii="宋体" w:hAnsi="宋体"/>
          <w:color w:val="auto"/>
          <w:sz w:val="24"/>
          <w:highlight w:val="none"/>
        </w:rPr>
        <w:t>供 应 商（乙方）</w:t>
      </w:r>
      <w:r>
        <w:rPr>
          <w:rFonts w:hint="eastAsia" w:ascii="宋体" w:hAnsi="宋体"/>
          <w:color w:val="auto"/>
          <w:spacing w:val="-20"/>
          <w:sz w:val="24"/>
          <w:highlight w:val="none"/>
        </w:rPr>
        <w:t xml:space="preserve">项目编号 </w:t>
      </w:r>
    </w:p>
    <w:p w14:paraId="32255E2B">
      <w:pPr>
        <w:snapToGrid w:val="0"/>
        <w:spacing w:line="360" w:lineRule="exact"/>
        <w:rPr>
          <w:rFonts w:hint="eastAsia" w:ascii="宋体" w:hAnsi="宋体"/>
          <w:color w:val="auto"/>
          <w:sz w:val="24"/>
          <w:highlight w:val="none"/>
          <w:u w:val="single"/>
        </w:rPr>
      </w:pPr>
      <w:r>
        <w:rPr>
          <w:rFonts w:hint="eastAsia" w:ascii="宋体" w:hAnsi="宋体"/>
          <w:color w:val="auto"/>
          <w:sz w:val="24"/>
          <w:highlight w:val="none"/>
        </w:rPr>
        <w:t>签  订  地  点          签订时间</w:t>
      </w:r>
    </w:p>
    <w:p w14:paraId="39393206">
      <w:pPr>
        <w:snapToGrid w:val="0"/>
        <w:spacing w:line="360" w:lineRule="exact"/>
        <w:ind w:firstLine="480" w:firstLineChars="200"/>
        <w:rPr>
          <w:rFonts w:hint="eastAsia" w:ascii="宋体" w:hAnsi="宋体"/>
          <w:color w:val="auto"/>
          <w:sz w:val="24"/>
          <w:highlight w:val="none"/>
        </w:rPr>
      </w:pPr>
    </w:p>
    <w:p w14:paraId="4F2EFEF0">
      <w:pPr>
        <w:snapToGrid w:val="0"/>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w:t>
      </w:r>
      <w:r>
        <w:rPr>
          <w:rFonts w:hint="eastAsia" w:ascii="宋体" w:hAnsi="宋体"/>
          <w:color w:val="auto"/>
          <w:sz w:val="24"/>
          <w:highlight w:val="none"/>
          <w:lang w:val="en-US" w:eastAsia="zh-CN"/>
        </w:rPr>
        <w:t>招标</w:t>
      </w:r>
      <w:r>
        <w:rPr>
          <w:rFonts w:hint="eastAsia" w:ascii="宋体" w:hAnsi="宋体"/>
          <w:color w:val="auto"/>
          <w:sz w:val="24"/>
          <w:highlight w:val="none"/>
        </w:rPr>
        <w:t>文件、</w:t>
      </w:r>
      <w:r>
        <w:rPr>
          <w:rFonts w:hint="eastAsia" w:ascii="宋体" w:hAnsi="宋体"/>
          <w:color w:val="auto"/>
          <w:sz w:val="24"/>
          <w:highlight w:val="none"/>
          <w:lang w:val="en-US" w:eastAsia="zh-CN"/>
        </w:rPr>
        <w:t>投标</w:t>
      </w:r>
      <w:r>
        <w:rPr>
          <w:rFonts w:hint="eastAsia" w:ascii="宋体" w:hAnsi="宋体"/>
          <w:color w:val="auto"/>
          <w:sz w:val="24"/>
          <w:highlight w:val="none"/>
        </w:rPr>
        <w:t>文件规定条款和中标人承诺，甲乙双方签订本合同。</w:t>
      </w:r>
    </w:p>
    <w:p w14:paraId="79111D97">
      <w:pPr>
        <w:snapToGrid w:val="0"/>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一、合同标的：</w:t>
      </w:r>
    </w:p>
    <w:p w14:paraId="30C5359F">
      <w:pPr>
        <w:tabs>
          <w:tab w:val="left" w:pos="3081"/>
        </w:tabs>
        <w:snapToGrid w:val="0"/>
        <w:spacing w:line="360" w:lineRule="exact"/>
        <w:rPr>
          <w:rFonts w:hint="eastAsia" w:ascii="宋体" w:hAnsi="宋体"/>
          <w:color w:val="auto"/>
          <w:sz w:val="24"/>
          <w:highlight w:val="none"/>
        </w:rPr>
      </w:pPr>
      <w:r>
        <w:rPr>
          <w:rFonts w:hint="eastAsia" w:ascii="宋体" w:hAnsi="宋体"/>
          <w:color w:val="auto"/>
          <w:sz w:val="24"/>
          <w:highlight w:val="none"/>
        </w:rPr>
        <w:t>服务内容一览表</w:t>
      </w:r>
      <w:r>
        <w:rPr>
          <w:rFonts w:ascii="宋体" w:hAnsi="宋体"/>
          <w:color w:val="auto"/>
          <w:sz w:val="24"/>
          <w:highlight w:val="none"/>
        </w:rPr>
        <w:tab/>
      </w:r>
    </w:p>
    <w:tbl>
      <w:tblPr>
        <w:tblStyle w:val="5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2A68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vAlign w:val="center"/>
          </w:tcPr>
          <w:p w14:paraId="5074C3A3">
            <w:pPr>
              <w:snapToGrid w:val="0"/>
              <w:spacing w:line="360" w:lineRule="exact"/>
              <w:rPr>
                <w:rFonts w:hint="eastAsia" w:ascii="宋体" w:hAnsi="宋体"/>
                <w:color w:val="auto"/>
                <w:sz w:val="24"/>
                <w:highlight w:val="none"/>
              </w:rPr>
            </w:pPr>
            <w:r>
              <w:rPr>
                <w:rFonts w:hint="eastAsia" w:ascii="宋体" w:hAnsi="宋体"/>
                <w:color w:val="auto"/>
                <w:sz w:val="24"/>
                <w:highlight w:val="none"/>
              </w:rPr>
              <w:t>序号</w:t>
            </w:r>
          </w:p>
        </w:tc>
        <w:tc>
          <w:tcPr>
            <w:tcW w:w="1620" w:type="dxa"/>
            <w:vAlign w:val="center"/>
          </w:tcPr>
          <w:p w14:paraId="0148E067">
            <w:pPr>
              <w:snapToGrid w:val="0"/>
              <w:spacing w:line="360" w:lineRule="exact"/>
              <w:rPr>
                <w:rFonts w:hint="eastAsia" w:ascii="宋体" w:hAnsi="宋体"/>
                <w:color w:val="auto"/>
                <w:sz w:val="24"/>
                <w:highlight w:val="none"/>
              </w:rPr>
            </w:pPr>
            <w:r>
              <w:rPr>
                <w:rFonts w:hint="eastAsia" w:ascii="宋体" w:hAnsi="宋体"/>
                <w:color w:val="auto"/>
                <w:sz w:val="24"/>
                <w:highlight w:val="none"/>
              </w:rPr>
              <w:t>服务项目</w:t>
            </w:r>
          </w:p>
        </w:tc>
        <w:tc>
          <w:tcPr>
            <w:tcW w:w="1800" w:type="dxa"/>
            <w:vAlign w:val="center"/>
          </w:tcPr>
          <w:p w14:paraId="5B9B6431">
            <w:pPr>
              <w:snapToGrid w:val="0"/>
              <w:spacing w:line="360" w:lineRule="exact"/>
              <w:rPr>
                <w:rFonts w:hint="eastAsia" w:ascii="宋体" w:hAnsi="宋体"/>
                <w:color w:val="auto"/>
                <w:sz w:val="24"/>
                <w:highlight w:val="none"/>
              </w:rPr>
            </w:pPr>
            <w:r>
              <w:rPr>
                <w:rFonts w:hint="eastAsia" w:ascii="宋体" w:hAnsi="宋体"/>
                <w:color w:val="auto"/>
                <w:sz w:val="24"/>
                <w:highlight w:val="none"/>
              </w:rPr>
              <w:t>服务内容、标准</w:t>
            </w:r>
          </w:p>
        </w:tc>
        <w:tc>
          <w:tcPr>
            <w:tcW w:w="1260" w:type="dxa"/>
            <w:vAlign w:val="center"/>
          </w:tcPr>
          <w:p w14:paraId="64307918">
            <w:pPr>
              <w:snapToGrid w:val="0"/>
              <w:spacing w:line="360" w:lineRule="exact"/>
              <w:rPr>
                <w:rFonts w:hint="eastAsia" w:ascii="宋体" w:hAnsi="宋体"/>
                <w:color w:val="auto"/>
                <w:sz w:val="24"/>
                <w:highlight w:val="none"/>
              </w:rPr>
            </w:pPr>
            <w:r>
              <w:rPr>
                <w:rFonts w:hint="eastAsia" w:ascii="宋体" w:hAnsi="宋体"/>
                <w:color w:val="auto"/>
                <w:sz w:val="24"/>
                <w:highlight w:val="none"/>
              </w:rPr>
              <w:t>数量</w:t>
            </w:r>
          </w:p>
        </w:tc>
        <w:tc>
          <w:tcPr>
            <w:tcW w:w="1260" w:type="dxa"/>
            <w:vAlign w:val="center"/>
          </w:tcPr>
          <w:p w14:paraId="516DFF84">
            <w:pPr>
              <w:snapToGrid w:val="0"/>
              <w:spacing w:line="360" w:lineRule="exact"/>
              <w:rPr>
                <w:rFonts w:hint="eastAsia" w:ascii="宋体" w:hAnsi="宋体"/>
                <w:color w:val="auto"/>
                <w:sz w:val="24"/>
                <w:highlight w:val="none"/>
              </w:rPr>
            </w:pPr>
            <w:r>
              <w:rPr>
                <w:rFonts w:hint="eastAsia" w:ascii="宋体" w:hAnsi="宋体"/>
                <w:color w:val="auto"/>
                <w:sz w:val="24"/>
                <w:highlight w:val="none"/>
              </w:rPr>
              <w:t>单位</w:t>
            </w:r>
          </w:p>
        </w:tc>
        <w:tc>
          <w:tcPr>
            <w:tcW w:w="1440" w:type="dxa"/>
            <w:vAlign w:val="center"/>
          </w:tcPr>
          <w:p w14:paraId="46086F7E">
            <w:pPr>
              <w:snapToGrid w:val="0"/>
              <w:spacing w:line="360" w:lineRule="exact"/>
              <w:rPr>
                <w:rFonts w:hint="eastAsia" w:ascii="宋体" w:hAnsi="宋体"/>
                <w:color w:val="auto"/>
                <w:sz w:val="24"/>
                <w:highlight w:val="none"/>
              </w:rPr>
            </w:pPr>
            <w:r>
              <w:rPr>
                <w:rFonts w:hint="eastAsia" w:ascii="宋体" w:hAnsi="宋体"/>
                <w:color w:val="auto"/>
                <w:sz w:val="24"/>
                <w:highlight w:val="none"/>
              </w:rPr>
              <w:t>单  价</w:t>
            </w:r>
          </w:p>
          <w:p w14:paraId="2E8657C5">
            <w:pPr>
              <w:snapToGrid w:val="0"/>
              <w:spacing w:line="360" w:lineRule="exact"/>
              <w:rPr>
                <w:rFonts w:hint="eastAsia" w:ascii="宋体" w:hAnsi="宋体"/>
                <w:color w:val="auto"/>
                <w:sz w:val="24"/>
                <w:highlight w:val="none"/>
              </w:rPr>
            </w:pPr>
            <w:r>
              <w:rPr>
                <w:rFonts w:hint="eastAsia" w:ascii="宋体" w:hAnsi="宋体"/>
                <w:color w:val="auto"/>
                <w:sz w:val="24"/>
                <w:highlight w:val="none"/>
              </w:rPr>
              <w:t>（元）</w:t>
            </w:r>
          </w:p>
        </w:tc>
        <w:tc>
          <w:tcPr>
            <w:tcW w:w="1260" w:type="dxa"/>
            <w:vAlign w:val="center"/>
          </w:tcPr>
          <w:p w14:paraId="4AD8B085">
            <w:pPr>
              <w:snapToGrid w:val="0"/>
              <w:spacing w:line="360" w:lineRule="exact"/>
              <w:rPr>
                <w:rFonts w:hint="eastAsia" w:ascii="宋体" w:hAnsi="宋体"/>
                <w:color w:val="auto"/>
                <w:sz w:val="24"/>
                <w:highlight w:val="none"/>
              </w:rPr>
            </w:pPr>
            <w:r>
              <w:rPr>
                <w:rFonts w:hint="eastAsia" w:ascii="宋体" w:hAnsi="宋体"/>
                <w:color w:val="auto"/>
                <w:sz w:val="24"/>
                <w:highlight w:val="none"/>
              </w:rPr>
              <w:t>金  额</w:t>
            </w:r>
          </w:p>
          <w:p w14:paraId="7DD3AEBE">
            <w:pPr>
              <w:snapToGrid w:val="0"/>
              <w:spacing w:line="360" w:lineRule="exact"/>
              <w:rPr>
                <w:rFonts w:hint="eastAsia" w:ascii="宋体" w:hAnsi="宋体"/>
                <w:color w:val="auto"/>
                <w:sz w:val="24"/>
                <w:highlight w:val="none"/>
              </w:rPr>
            </w:pPr>
            <w:r>
              <w:rPr>
                <w:rFonts w:hint="eastAsia" w:ascii="宋体" w:hAnsi="宋体"/>
                <w:color w:val="auto"/>
                <w:sz w:val="24"/>
                <w:highlight w:val="none"/>
              </w:rPr>
              <w:t>（元）</w:t>
            </w:r>
          </w:p>
        </w:tc>
      </w:tr>
      <w:tr w14:paraId="1699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60EA0197">
            <w:pPr>
              <w:snapToGrid w:val="0"/>
              <w:spacing w:line="36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1</w:t>
            </w:r>
          </w:p>
        </w:tc>
        <w:tc>
          <w:tcPr>
            <w:tcW w:w="1620" w:type="dxa"/>
            <w:vAlign w:val="center"/>
          </w:tcPr>
          <w:p w14:paraId="6A26CC2A">
            <w:pPr>
              <w:snapToGrid w:val="0"/>
              <w:spacing w:line="360" w:lineRule="exact"/>
              <w:jc w:val="center"/>
              <w:rPr>
                <w:rFonts w:hint="eastAsia" w:ascii="宋体" w:hAnsi="宋体"/>
                <w:color w:val="auto"/>
                <w:sz w:val="24"/>
                <w:highlight w:val="none"/>
              </w:rPr>
            </w:pPr>
            <w:r>
              <w:rPr>
                <w:rFonts w:hint="eastAsia" w:ascii="宋体" w:hAnsi="宋体"/>
                <w:color w:val="auto"/>
                <w:sz w:val="21"/>
                <w:szCs w:val="21"/>
                <w:highlight w:val="none"/>
                <w:lang w:val="en-US" w:eastAsia="zh-CN"/>
              </w:rPr>
              <w:t>广西数字政府一体安全项目（一期）</w:t>
            </w:r>
          </w:p>
        </w:tc>
        <w:tc>
          <w:tcPr>
            <w:tcW w:w="1800" w:type="dxa"/>
            <w:vAlign w:val="center"/>
          </w:tcPr>
          <w:p w14:paraId="4296BA03">
            <w:pPr>
              <w:snapToGrid w:val="0"/>
              <w:spacing w:line="360" w:lineRule="exact"/>
              <w:jc w:val="center"/>
              <w:rPr>
                <w:rFonts w:hint="eastAsia" w:ascii="宋体" w:hAnsi="宋体"/>
                <w:color w:val="auto"/>
                <w:sz w:val="24"/>
                <w:highlight w:val="none"/>
              </w:rPr>
            </w:pPr>
            <w:r>
              <w:rPr>
                <w:rFonts w:hint="eastAsia" w:ascii="宋体" w:hAnsi="宋体"/>
                <w:color w:val="auto"/>
                <w:sz w:val="21"/>
                <w:szCs w:val="21"/>
                <w:highlight w:val="none"/>
              </w:rPr>
              <w:t>建设“一中心、一基座、五平台、一体系”，即构建一个安全运营中心和一个人工智能安全基座，搭建数据安全监测平台、数据安全防护能力平台、政务云密码监管平台、政务外网终端零信任平台、溯源分析平台，建立健全安全运营服务</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具体详见招标文件第二章“采购需求”。</w:t>
            </w:r>
          </w:p>
        </w:tc>
        <w:tc>
          <w:tcPr>
            <w:tcW w:w="1260" w:type="dxa"/>
            <w:vAlign w:val="center"/>
          </w:tcPr>
          <w:p w14:paraId="300DD9D5">
            <w:pPr>
              <w:snapToGrid w:val="0"/>
              <w:spacing w:line="36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1</w:t>
            </w:r>
          </w:p>
        </w:tc>
        <w:tc>
          <w:tcPr>
            <w:tcW w:w="1260" w:type="dxa"/>
            <w:vAlign w:val="center"/>
          </w:tcPr>
          <w:p w14:paraId="091D0F15">
            <w:pPr>
              <w:snapToGrid w:val="0"/>
              <w:spacing w:line="36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项</w:t>
            </w:r>
          </w:p>
        </w:tc>
        <w:tc>
          <w:tcPr>
            <w:tcW w:w="1440" w:type="dxa"/>
            <w:vAlign w:val="center"/>
          </w:tcPr>
          <w:p w14:paraId="5CDDED53">
            <w:pPr>
              <w:snapToGrid w:val="0"/>
              <w:spacing w:line="360" w:lineRule="exact"/>
              <w:rPr>
                <w:rFonts w:hint="eastAsia" w:ascii="宋体" w:hAnsi="宋体"/>
                <w:color w:val="auto"/>
                <w:sz w:val="24"/>
                <w:highlight w:val="none"/>
              </w:rPr>
            </w:pPr>
          </w:p>
        </w:tc>
        <w:tc>
          <w:tcPr>
            <w:tcW w:w="1260" w:type="dxa"/>
            <w:vAlign w:val="center"/>
          </w:tcPr>
          <w:p w14:paraId="5870C443">
            <w:pPr>
              <w:snapToGrid w:val="0"/>
              <w:spacing w:line="360" w:lineRule="exact"/>
              <w:rPr>
                <w:rFonts w:hint="eastAsia" w:ascii="宋体" w:hAnsi="宋体"/>
                <w:color w:val="auto"/>
                <w:sz w:val="24"/>
                <w:highlight w:val="none"/>
              </w:rPr>
            </w:pPr>
          </w:p>
        </w:tc>
      </w:tr>
      <w:tr w14:paraId="218A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77A2171E">
            <w:pPr>
              <w:snapToGrid w:val="0"/>
              <w:spacing w:line="360" w:lineRule="exact"/>
              <w:rPr>
                <w:rFonts w:hint="eastAsia" w:ascii="宋体" w:hAnsi="宋体"/>
                <w:color w:val="auto"/>
                <w:sz w:val="24"/>
                <w:highlight w:val="none"/>
              </w:rPr>
            </w:pPr>
          </w:p>
        </w:tc>
        <w:tc>
          <w:tcPr>
            <w:tcW w:w="1620" w:type="dxa"/>
            <w:vAlign w:val="center"/>
          </w:tcPr>
          <w:p w14:paraId="7B277188">
            <w:pPr>
              <w:snapToGrid w:val="0"/>
              <w:spacing w:line="360" w:lineRule="exact"/>
              <w:rPr>
                <w:rFonts w:hint="eastAsia" w:ascii="宋体" w:hAnsi="宋体"/>
                <w:color w:val="auto"/>
                <w:sz w:val="24"/>
                <w:highlight w:val="none"/>
              </w:rPr>
            </w:pPr>
          </w:p>
        </w:tc>
        <w:tc>
          <w:tcPr>
            <w:tcW w:w="1800" w:type="dxa"/>
            <w:vAlign w:val="center"/>
          </w:tcPr>
          <w:p w14:paraId="5AEC9C04">
            <w:pPr>
              <w:snapToGrid w:val="0"/>
              <w:spacing w:line="360" w:lineRule="exact"/>
              <w:rPr>
                <w:rFonts w:hint="eastAsia" w:ascii="宋体" w:hAnsi="宋体"/>
                <w:color w:val="auto"/>
                <w:sz w:val="24"/>
                <w:highlight w:val="none"/>
              </w:rPr>
            </w:pPr>
          </w:p>
        </w:tc>
        <w:tc>
          <w:tcPr>
            <w:tcW w:w="1260" w:type="dxa"/>
          </w:tcPr>
          <w:p w14:paraId="7A2FCDAC">
            <w:pPr>
              <w:snapToGrid w:val="0"/>
              <w:spacing w:line="360" w:lineRule="exact"/>
              <w:rPr>
                <w:rFonts w:hint="eastAsia" w:ascii="宋体" w:hAnsi="宋体"/>
                <w:color w:val="auto"/>
                <w:sz w:val="24"/>
                <w:highlight w:val="none"/>
              </w:rPr>
            </w:pPr>
          </w:p>
        </w:tc>
        <w:tc>
          <w:tcPr>
            <w:tcW w:w="1260" w:type="dxa"/>
          </w:tcPr>
          <w:p w14:paraId="5C0D9E41">
            <w:pPr>
              <w:snapToGrid w:val="0"/>
              <w:spacing w:line="360" w:lineRule="exact"/>
              <w:rPr>
                <w:rFonts w:hint="eastAsia" w:ascii="宋体" w:hAnsi="宋体"/>
                <w:color w:val="auto"/>
                <w:sz w:val="24"/>
                <w:highlight w:val="none"/>
              </w:rPr>
            </w:pPr>
          </w:p>
        </w:tc>
        <w:tc>
          <w:tcPr>
            <w:tcW w:w="1440" w:type="dxa"/>
            <w:vAlign w:val="center"/>
          </w:tcPr>
          <w:p w14:paraId="006D7030">
            <w:pPr>
              <w:snapToGrid w:val="0"/>
              <w:spacing w:line="360" w:lineRule="exact"/>
              <w:rPr>
                <w:rFonts w:hint="eastAsia" w:ascii="宋体" w:hAnsi="宋体"/>
                <w:color w:val="auto"/>
                <w:sz w:val="24"/>
                <w:highlight w:val="none"/>
              </w:rPr>
            </w:pPr>
          </w:p>
        </w:tc>
        <w:tc>
          <w:tcPr>
            <w:tcW w:w="1260" w:type="dxa"/>
            <w:vAlign w:val="center"/>
          </w:tcPr>
          <w:p w14:paraId="6DEF48F3">
            <w:pPr>
              <w:snapToGrid w:val="0"/>
              <w:spacing w:line="360" w:lineRule="exact"/>
              <w:rPr>
                <w:rFonts w:hint="eastAsia" w:ascii="宋体" w:hAnsi="宋体"/>
                <w:color w:val="auto"/>
                <w:sz w:val="24"/>
                <w:highlight w:val="none"/>
              </w:rPr>
            </w:pPr>
          </w:p>
        </w:tc>
      </w:tr>
      <w:tr w14:paraId="6906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0C6D0ED9">
            <w:pPr>
              <w:snapToGrid w:val="0"/>
              <w:spacing w:line="360" w:lineRule="exact"/>
              <w:rPr>
                <w:rFonts w:hint="eastAsia" w:ascii="宋体" w:hAnsi="宋体"/>
                <w:color w:val="auto"/>
                <w:sz w:val="24"/>
                <w:highlight w:val="none"/>
              </w:rPr>
            </w:pPr>
            <w:r>
              <w:rPr>
                <w:rFonts w:hint="eastAsia" w:ascii="宋体" w:hAnsi="宋体"/>
                <w:color w:val="auto"/>
                <w:sz w:val="24"/>
                <w:highlight w:val="none"/>
              </w:rPr>
              <w:t xml:space="preserve">人民币合计金额（大写）                          （小写）                 </w:t>
            </w:r>
          </w:p>
        </w:tc>
      </w:tr>
    </w:tbl>
    <w:p w14:paraId="610CDAD5">
      <w:pPr>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二、项目内容及要求</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权利归属</w:t>
      </w:r>
    </w:p>
    <w:p w14:paraId="36EA217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1、甲、乙双方应将</w:t>
      </w:r>
      <w:r>
        <w:rPr>
          <w:rFonts w:hint="eastAsia" w:ascii="宋体" w:hAnsi="宋体"/>
          <w:color w:val="auto"/>
          <w:sz w:val="24"/>
          <w:highlight w:val="none"/>
          <w:lang w:val="en-US" w:eastAsia="zh-CN"/>
        </w:rPr>
        <w:t>招标</w:t>
      </w:r>
      <w:r>
        <w:rPr>
          <w:rFonts w:hint="eastAsia" w:ascii="宋体" w:hAnsi="宋体"/>
          <w:color w:val="auto"/>
          <w:sz w:val="24"/>
          <w:highlight w:val="none"/>
        </w:rPr>
        <w:t>文件、</w:t>
      </w:r>
      <w:r>
        <w:rPr>
          <w:rFonts w:hint="eastAsia" w:ascii="宋体" w:hAnsi="宋体"/>
          <w:color w:val="auto"/>
          <w:sz w:val="24"/>
          <w:highlight w:val="none"/>
          <w:lang w:val="en-US" w:eastAsia="zh-CN"/>
        </w:rPr>
        <w:t>投标</w:t>
      </w:r>
      <w:r>
        <w:rPr>
          <w:rFonts w:hint="eastAsia" w:ascii="宋体" w:hAnsi="宋体"/>
          <w:color w:val="auto"/>
          <w:sz w:val="24"/>
          <w:highlight w:val="none"/>
        </w:rPr>
        <w:t>文件项目内容等作为本</w:t>
      </w:r>
      <w:r>
        <w:rPr>
          <w:rFonts w:hint="eastAsia" w:ascii="宋体" w:hAnsi="宋体"/>
          <w:color w:val="auto"/>
          <w:sz w:val="24"/>
          <w:highlight w:val="none"/>
          <w:lang w:val="en-US" w:eastAsia="zh-CN"/>
        </w:rPr>
        <w:t>合同</w:t>
      </w:r>
      <w:r>
        <w:rPr>
          <w:rFonts w:hint="eastAsia" w:ascii="宋体" w:hAnsi="宋体"/>
          <w:color w:val="auto"/>
          <w:sz w:val="24"/>
          <w:highlight w:val="none"/>
        </w:rPr>
        <w:t>的</w:t>
      </w:r>
      <w:r>
        <w:rPr>
          <w:rFonts w:hint="eastAsia" w:ascii="宋体" w:hAnsi="宋体"/>
          <w:color w:val="auto"/>
          <w:sz w:val="24"/>
          <w:highlight w:val="none"/>
          <w:lang w:val="en-US" w:eastAsia="zh-CN"/>
        </w:rPr>
        <w:t>履行内容</w:t>
      </w:r>
      <w:r>
        <w:rPr>
          <w:rFonts w:hint="eastAsia" w:ascii="宋体" w:hAnsi="宋体"/>
          <w:color w:val="auto"/>
          <w:sz w:val="24"/>
          <w:highlight w:val="none"/>
        </w:rPr>
        <w:t>。</w:t>
      </w:r>
    </w:p>
    <w:p w14:paraId="4E0E07A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2、乙方作为承担本项目的服务商，应按</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文件承诺的内容开展本项目相关业务。</w:t>
      </w:r>
    </w:p>
    <w:p w14:paraId="588D911B">
      <w:pPr>
        <w:pStyle w:val="74"/>
        <w:keepNext w:val="0"/>
        <w:keepLines w:val="0"/>
        <w:pageBreakBefore w:val="0"/>
        <w:widowControl w:val="0"/>
        <w:numPr>
          <w:ilvl w:val="0"/>
          <w:numId w:val="0"/>
        </w:numPr>
        <w:tabs>
          <w:tab w:val="left" w:pos="1309"/>
          <w:tab w:val="left" w:pos="3150"/>
        </w:tabs>
        <w:kinsoku/>
        <w:wordWrap/>
        <w:overflowPunct/>
        <w:topLinePunct w:val="0"/>
        <w:autoSpaceDE/>
        <w:autoSpaceDN/>
        <w:bidi w:val="0"/>
        <w:adjustRightInd/>
        <w:spacing w:before="14" w:line="360" w:lineRule="auto"/>
        <w:ind w:right="115"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3、乙方依本合同约定向甲方交付货物、提供服务内容后，甲方即对上述货物、服务内容享有充分、完整和排他的全部知识产权、所有权和其他合法权益。</w:t>
      </w:r>
    </w:p>
    <w:p w14:paraId="1FC2E8E1">
      <w:pPr>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olor w:val="auto"/>
          <w:sz w:val="24"/>
          <w:highlight w:val="none"/>
        </w:rPr>
        <w:t>三、合同</w:t>
      </w:r>
      <w:r>
        <w:rPr>
          <w:rFonts w:hint="eastAsia" w:ascii="宋体" w:hAnsi="宋体"/>
          <w:color w:val="auto"/>
          <w:sz w:val="24"/>
          <w:highlight w:val="none"/>
          <w:lang w:val="en-US" w:eastAsia="zh-CN"/>
        </w:rPr>
        <w:t>总</w:t>
      </w:r>
      <w:r>
        <w:rPr>
          <w:rFonts w:hint="eastAsia" w:ascii="宋体" w:hAnsi="宋体"/>
          <w:color w:val="auto"/>
          <w:sz w:val="24"/>
          <w:highlight w:val="none"/>
        </w:rPr>
        <w:t>金额：</w:t>
      </w:r>
      <w:r>
        <w:rPr>
          <w:rFonts w:hint="eastAsia" w:ascii="宋体" w:hAnsi="宋体"/>
          <w:color w:val="auto"/>
          <w:sz w:val="24"/>
          <w:highlight w:val="none"/>
          <w:u w:val="single"/>
          <w:lang w:val="en-US" w:eastAsia="zh-CN"/>
        </w:rPr>
        <w:t xml:space="preserve">       </w:t>
      </w:r>
      <w:r>
        <w:rPr>
          <w:rFonts w:hint="eastAsia" w:ascii="宋体" w:hAnsi="宋体" w:eastAsia="宋体" w:cs="宋体"/>
          <w:b w:val="0"/>
          <w:bCs w:val="0"/>
          <w:color w:val="auto"/>
          <w:sz w:val="24"/>
          <w:szCs w:val="24"/>
          <w:highlight w:val="none"/>
        </w:rPr>
        <w:t>（大写）（￥</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）人民币。</w:t>
      </w:r>
      <w:r>
        <w:rPr>
          <w:rFonts w:hint="eastAsia" w:ascii="宋体" w:hAnsi="宋体" w:eastAsia="宋体" w:cs="宋体"/>
          <w:b w:val="0"/>
          <w:bCs w:val="0"/>
          <w:color w:val="auto"/>
          <w:sz w:val="24"/>
          <w:szCs w:val="24"/>
          <w:highlight w:val="none"/>
          <w:lang w:val="en-US" w:eastAsia="zh-CN"/>
        </w:rPr>
        <w:t>合同总金额包含：</w:t>
      </w:r>
      <w:r>
        <w:rPr>
          <w:rFonts w:hint="eastAsia" w:ascii="宋体" w:hAnsi="宋体" w:eastAsia="宋体" w:cs="宋体"/>
          <w:b w:val="0"/>
          <w:bCs w:val="0"/>
          <w:color w:val="auto"/>
          <w:sz w:val="24"/>
          <w:szCs w:val="24"/>
          <w:highlight w:val="none"/>
        </w:rPr>
        <w:t>服务的价格</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保险费用和各项税金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其他如定制开发、运输、装卸、安装、调试、培训、技术支持、售后服务、更新升级等费用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与第三方系统对接所产生的所有商业费用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在服务期内</w:t>
      </w:r>
      <w:r>
        <w:rPr>
          <w:rFonts w:hint="eastAsia" w:ascii="宋体" w:hAnsi="宋体" w:eastAsia="宋体" w:cs="宋体"/>
          <w:b w:val="0"/>
          <w:bCs w:val="0"/>
          <w:color w:val="auto"/>
          <w:sz w:val="24"/>
          <w:szCs w:val="24"/>
          <w:highlight w:val="none"/>
          <w:lang w:val="en-US" w:eastAsia="zh-CN"/>
        </w:rPr>
        <w:t>每年</w:t>
      </w:r>
      <w:r>
        <w:rPr>
          <w:rFonts w:hint="eastAsia" w:ascii="宋体" w:hAnsi="宋体" w:eastAsia="宋体" w:cs="宋体"/>
          <w:b w:val="0"/>
          <w:bCs w:val="0"/>
          <w:color w:val="auto"/>
          <w:sz w:val="24"/>
          <w:szCs w:val="24"/>
          <w:highlight w:val="none"/>
        </w:rPr>
        <w:t>系统的本项目的等保测评、密评等</w:t>
      </w:r>
      <w:r>
        <w:rPr>
          <w:rFonts w:hint="eastAsia" w:ascii="宋体" w:hAnsi="宋体" w:eastAsia="宋体" w:cs="宋体"/>
          <w:b w:val="0"/>
          <w:bCs w:val="0"/>
          <w:color w:val="auto"/>
          <w:sz w:val="24"/>
          <w:szCs w:val="24"/>
          <w:highlight w:val="none"/>
          <w:lang w:val="en-US" w:eastAsia="zh-CN"/>
        </w:rPr>
        <w:t>费用，</w:t>
      </w:r>
      <w:r>
        <w:rPr>
          <w:rFonts w:hint="eastAsia" w:ascii="宋体" w:hAnsi="宋体" w:eastAsia="宋体" w:cs="宋体"/>
          <w:b w:val="0"/>
          <w:bCs w:val="0"/>
          <w:color w:val="auto"/>
          <w:sz w:val="24"/>
          <w:szCs w:val="24"/>
          <w:highlight w:val="none"/>
        </w:rPr>
        <w:t>人员工资、劳动保险、办公、交通、专家咨询/评审、资料印刷、附加培训、税金及其他所有</w:t>
      </w:r>
      <w:r>
        <w:rPr>
          <w:rFonts w:hint="eastAsia" w:ascii="宋体" w:hAnsi="宋体" w:eastAsia="宋体" w:cs="宋体"/>
          <w:b w:val="0"/>
          <w:bCs w:val="0"/>
          <w:color w:val="auto"/>
          <w:sz w:val="24"/>
          <w:szCs w:val="24"/>
          <w:highlight w:val="none"/>
          <w:lang w:val="en-US" w:eastAsia="zh-CN"/>
        </w:rPr>
        <w:t>乙方为履行本合同而发生或</w:t>
      </w:r>
      <w:r>
        <w:rPr>
          <w:rFonts w:hint="eastAsia" w:ascii="宋体" w:hAnsi="宋体" w:eastAsia="宋体" w:cs="宋体"/>
          <w:b w:val="0"/>
          <w:bCs w:val="0"/>
          <w:color w:val="auto"/>
          <w:sz w:val="24"/>
          <w:szCs w:val="24"/>
          <w:highlight w:val="none"/>
        </w:rPr>
        <w:t>可能发生的一切费用。</w:t>
      </w:r>
      <w:r>
        <w:rPr>
          <w:rFonts w:hint="eastAsia" w:ascii="宋体" w:hAnsi="宋体" w:eastAsia="宋体" w:cs="宋体"/>
          <w:b w:val="0"/>
          <w:bCs w:val="0"/>
          <w:color w:val="auto"/>
          <w:sz w:val="24"/>
          <w:szCs w:val="24"/>
          <w:highlight w:val="none"/>
          <w:lang w:val="en-US" w:eastAsia="zh-CN"/>
        </w:rPr>
        <w:t>除合同总金额外，甲方不再另行支付其他任何费用。</w:t>
      </w:r>
    </w:p>
    <w:p w14:paraId="78E46201">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val="en-US" w:eastAsia="zh-CN"/>
        </w:rPr>
        <w:t>建设及运营服务期限</w:t>
      </w:r>
      <w:r>
        <w:rPr>
          <w:rFonts w:hint="eastAsia" w:ascii="宋体" w:hAnsi="宋体"/>
          <w:color w:val="auto"/>
          <w:sz w:val="24"/>
          <w:highlight w:val="none"/>
        </w:rPr>
        <w:t>、地点：</w:t>
      </w:r>
    </w:p>
    <w:p w14:paraId="122A9A73">
      <w:pPr>
        <w:snapToGrid w:val="0"/>
        <w:spacing w:line="360" w:lineRule="auto"/>
        <w:ind w:firstLine="480" w:firstLineChars="200"/>
        <w:jc w:val="left"/>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1.建设期</w:t>
      </w:r>
    </w:p>
    <w:p w14:paraId="15E0D4AB">
      <w:pPr>
        <w:snapToGrid w:val="0"/>
        <w:spacing w:line="360" w:lineRule="auto"/>
        <w:ind w:firstLine="480" w:firstLineChars="200"/>
        <w:jc w:val="left"/>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中标人应在采购合同签订后16个月内交付全部货物（软硬件平台）并完成安装调试，并确保项目整体完工，并通过竣工验收。</w:t>
      </w:r>
    </w:p>
    <w:p w14:paraId="1C5C3241">
      <w:pPr>
        <w:snapToGrid w:val="0"/>
        <w:spacing w:line="360" w:lineRule="auto"/>
        <w:ind w:firstLine="480" w:firstLineChars="200"/>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地点：</w:t>
      </w:r>
      <w:r>
        <w:rPr>
          <w:rFonts w:hint="eastAsia" w:ascii="宋体" w:hAnsi="宋体" w:eastAsia="宋体" w:cs="宋体"/>
          <w:color w:val="auto"/>
          <w:kern w:val="2"/>
          <w:sz w:val="24"/>
          <w:szCs w:val="24"/>
          <w:highlight w:val="none"/>
          <w:lang w:val="en-US" w:eastAsia="zh-CN" w:bidi="ar-SA"/>
        </w:rPr>
        <w:t>广西南宁市（采购人指定地点）</w:t>
      </w:r>
      <w:r>
        <w:rPr>
          <w:rFonts w:hint="eastAsia" w:ascii="宋体" w:hAnsi="宋体" w:eastAsia="宋体" w:cs="宋体"/>
          <w:color w:val="auto"/>
          <w:sz w:val="24"/>
          <w:szCs w:val="24"/>
          <w:highlight w:val="none"/>
          <w:lang w:val="en-US" w:eastAsia="zh-CN" w:bidi="ar-SA"/>
        </w:rPr>
        <w:t>。</w:t>
      </w:r>
    </w:p>
    <w:p w14:paraId="64B316B9">
      <w:pPr>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2.运营服务期</w:t>
      </w:r>
    </w:p>
    <w:p w14:paraId="4E79A183">
      <w:pPr>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交付时间：</w:t>
      </w:r>
      <w:r>
        <w:rPr>
          <w:rFonts w:hint="default" w:ascii="宋体" w:hAnsi="宋体" w:eastAsia="宋体" w:cs="宋体"/>
          <w:color w:val="auto"/>
          <w:kern w:val="2"/>
          <w:sz w:val="24"/>
          <w:szCs w:val="24"/>
          <w:highlight w:val="none"/>
          <w:lang w:val="en-US" w:eastAsia="zh-CN" w:bidi="ar-SA"/>
        </w:rPr>
        <w:t>项目整体完工且</w:t>
      </w:r>
      <w:r>
        <w:rPr>
          <w:rFonts w:hint="default" w:ascii="宋体" w:hAnsi="宋体" w:cs="宋体"/>
          <w:color w:val="auto"/>
          <w:kern w:val="2"/>
          <w:sz w:val="24"/>
          <w:szCs w:val="24"/>
          <w:highlight w:val="none"/>
          <w:lang w:val="en-US" w:eastAsia="zh-CN" w:bidi="ar-SA"/>
        </w:rPr>
        <w:t>通过竣工</w:t>
      </w:r>
      <w:r>
        <w:rPr>
          <w:rFonts w:hint="default" w:ascii="宋体" w:hAnsi="宋体" w:eastAsia="宋体" w:cs="宋体"/>
          <w:color w:val="auto"/>
          <w:kern w:val="2"/>
          <w:sz w:val="24"/>
          <w:szCs w:val="24"/>
          <w:highlight w:val="none"/>
          <w:lang w:val="en-US" w:eastAsia="zh-CN" w:bidi="ar-SA"/>
        </w:rPr>
        <w:t>验收之日起进入运营期，为期3年。</w:t>
      </w:r>
    </w:p>
    <w:p w14:paraId="354753BA">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bidi="ar-SA"/>
        </w:rPr>
        <w:t>交付地点：</w:t>
      </w:r>
      <w:r>
        <w:rPr>
          <w:rFonts w:hint="eastAsia" w:ascii="宋体" w:hAnsi="宋体" w:eastAsia="宋体" w:cs="宋体"/>
          <w:color w:val="auto"/>
          <w:kern w:val="2"/>
          <w:sz w:val="24"/>
          <w:szCs w:val="24"/>
          <w:highlight w:val="none"/>
          <w:lang w:val="en-US" w:eastAsia="zh-CN" w:bidi="ar-SA"/>
        </w:rPr>
        <w:t>广西南宁市（采购人指定地点）</w:t>
      </w:r>
      <w:r>
        <w:rPr>
          <w:rFonts w:hint="eastAsia" w:ascii="宋体" w:hAnsi="宋体" w:eastAsia="宋体" w:cs="宋体"/>
          <w:color w:val="auto"/>
          <w:sz w:val="24"/>
          <w:szCs w:val="24"/>
          <w:highlight w:val="none"/>
          <w:lang w:val="en-US" w:eastAsia="zh-CN" w:bidi="ar-SA"/>
        </w:rPr>
        <w:t>。</w:t>
      </w:r>
    </w:p>
    <w:p w14:paraId="7C504CD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五、付款方式</w:t>
      </w:r>
    </w:p>
    <w:p w14:paraId="1397D15F">
      <w:pPr>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1、资金性质：</w:t>
      </w:r>
      <w:r>
        <w:rPr>
          <w:rFonts w:hint="eastAsia" w:ascii="宋体" w:hAnsi="宋体"/>
          <w:color w:val="auto"/>
          <w:sz w:val="24"/>
          <w:highlight w:val="none"/>
          <w:u w:val="single"/>
        </w:rPr>
        <w:t xml:space="preserve">        。</w:t>
      </w:r>
    </w:p>
    <w:p w14:paraId="6E0BCDB4">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2、付款</w:t>
      </w:r>
      <w:r>
        <w:rPr>
          <w:rFonts w:hint="eastAsia" w:ascii="宋体" w:hAnsi="宋体" w:cs="宋体"/>
          <w:color w:val="000000"/>
          <w:sz w:val="24"/>
          <w:highlight w:val="none"/>
          <w:lang w:val="en-US" w:eastAsia="zh-CN"/>
        </w:rPr>
        <w:t>条件</w:t>
      </w:r>
      <w:r>
        <w:rPr>
          <w:rFonts w:hint="eastAsia" w:ascii="宋体" w:hAnsi="宋体" w:cs="宋体"/>
          <w:color w:val="000000"/>
          <w:sz w:val="24"/>
          <w:highlight w:val="none"/>
        </w:rPr>
        <w:t>：</w:t>
      </w:r>
    </w:p>
    <w:p w14:paraId="73E9ABE4">
      <w:pPr>
        <w:spacing w:line="360" w:lineRule="auto"/>
        <w:ind w:firstLine="480" w:firstLineChars="200"/>
        <w:rPr>
          <w:rFonts w:hint="eastAsia" w:ascii="宋体" w:hAnsi="宋体" w:cs="宋体"/>
          <w:color w:val="000000"/>
          <w:kern w:val="2"/>
          <w:sz w:val="24"/>
          <w:highlight w:val="none"/>
        </w:rPr>
      </w:pPr>
      <w:r>
        <w:rPr>
          <w:rFonts w:hint="eastAsia" w:ascii="宋体" w:hAnsi="宋体" w:cs="宋体"/>
          <w:color w:val="000000"/>
          <w:sz w:val="24"/>
          <w:highlight w:val="none"/>
        </w:rPr>
        <w:t>（1</w:t>
      </w:r>
      <w:r>
        <w:rPr>
          <w:rFonts w:hint="eastAsia" w:ascii="宋体" w:hAnsi="宋体" w:cs="宋体"/>
          <w:color w:val="000000"/>
          <w:kern w:val="2"/>
          <w:sz w:val="24"/>
          <w:highlight w:val="none"/>
        </w:rPr>
        <w:t>）第一笔合同款：合同签订且</w:t>
      </w:r>
      <w:r>
        <w:rPr>
          <w:rFonts w:hint="eastAsia" w:ascii="宋体" w:hAnsi="宋体" w:cs="宋体"/>
          <w:color w:val="000000"/>
          <w:kern w:val="2"/>
          <w:sz w:val="24"/>
          <w:highlight w:val="none"/>
          <w:lang w:val="en-US" w:eastAsia="zh-CN"/>
        </w:rPr>
        <w:t>甲方</w:t>
      </w:r>
      <w:r>
        <w:rPr>
          <w:rFonts w:hint="eastAsia" w:ascii="宋体" w:hAnsi="宋体" w:cs="宋体"/>
          <w:color w:val="000000"/>
          <w:kern w:val="2"/>
          <w:sz w:val="24"/>
          <w:highlight w:val="none"/>
        </w:rPr>
        <w:t>收到</w:t>
      </w:r>
      <w:r>
        <w:rPr>
          <w:rFonts w:hint="eastAsia" w:ascii="宋体" w:hAnsi="宋体" w:cs="宋体"/>
          <w:color w:val="000000"/>
          <w:kern w:val="2"/>
          <w:sz w:val="24"/>
          <w:highlight w:val="none"/>
          <w:lang w:val="en-US" w:eastAsia="zh-CN"/>
        </w:rPr>
        <w:t>乙方</w:t>
      </w:r>
      <w:r>
        <w:rPr>
          <w:rFonts w:hint="eastAsia" w:ascii="宋体" w:hAnsi="宋体" w:cs="宋体"/>
          <w:color w:val="000000"/>
          <w:kern w:val="2"/>
          <w:sz w:val="24"/>
          <w:highlight w:val="none"/>
        </w:rPr>
        <w:t>提供的等额合法有效发票之日起15个工作日内，</w:t>
      </w:r>
      <w:r>
        <w:rPr>
          <w:rFonts w:hint="eastAsia" w:ascii="宋体" w:hAnsi="宋体" w:cs="宋体"/>
          <w:color w:val="000000"/>
          <w:kern w:val="2"/>
          <w:sz w:val="24"/>
          <w:highlight w:val="none"/>
          <w:lang w:val="en-US" w:eastAsia="zh-CN"/>
        </w:rPr>
        <w:t>甲方</w:t>
      </w:r>
      <w:r>
        <w:rPr>
          <w:rFonts w:hint="eastAsia" w:ascii="宋体" w:hAnsi="宋体" w:cs="宋体"/>
          <w:color w:val="000000"/>
          <w:kern w:val="2"/>
          <w:sz w:val="24"/>
          <w:highlight w:val="none"/>
        </w:rPr>
        <w:t>向</w:t>
      </w:r>
      <w:r>
        <w:rPr>
          <w:rFonts w:hint="eastAsia" w:ascii="宋体" w:hAnsi="宋体" w:cs="宋体"/>
          <w:color w:val="000000"/>
          <w:kern w:val="2"/>
          <w:sz w:val="24"/>
          <w:highlight w:val="none"/>
          <w:lang w:val="en-US" w:eastAsia="zh-CN"/>
        </w:rPr>
        <w:t>乙方</w:t>
      </w:r>
      <w:r>
        <w:rPr>
          <w:rFonts w:hint="eastAsia" w:ascii="宋体" w:hAnsi="宋体" w:cs="宋体"/>
          <w:color w:val="000000"/>
          <w:kern w:val="2"/>
          <w:sz w:val="24"/>
          <w:highlight w:val="none"/>
        </w:rPr>
        <w:t>支付合同总金额的50%。</w:t>
      </w:r>
    </w:p>
    <w:p w14:paraId="0F0C2CDB">
      <w:pPr>
        <w:spacing w:line="360" w:lineRule="auto"/>
        <w:ind w:firstLine="480" w:firstLineChars="200"/>
        <w:rPr>
          <w:rFonts w:hint="eastAsia" w:ascii="宋体" w:hAnsi="宋体" w:cs="宋体"/>
          <w:color w:val="000000"/>
          <w:kern w:val="2"/>
          <w:sz w:val="24"/>
          <w:highlight w:val="none"/>
        </w:rPr>
      </w:pPr>
      <w:r>
        <w:rPr>
          <w:rFonts w:hint="eastAsia" w:ascii="宋体" w:hAnsi="宋体" w:cs="宋体"/>
          <w:color w:val="000000"/>
          <w:kern w:val="2"/>
          <w:sz w:val="24"/>
          <w:highlight w:val="none"/>
        </w:rPr>
        <w:t>（2）第二笔合同款：</w:t>
      </w:r>
      <w:r>
        <w:rPr>
          <w:rFonts w:hint="eastAsia" w:ascii="宋体" w:hAnsi="宋体" w:cs="宋体"/>
          <w:color w:val="000000"/>
          <w:kern w:val="2"/>
          <w:sz w:val="24"/>
          <w:highlight w:val="none"/>
          <w:lang w:val="en-US" w:eastAsia="zh-CN"/>
        </w:rPr>
        <w:t>乙方</w:t>
      </w:r>
      <w:r>
        <w:rPr>
          <w:rFonts w:hint="eastAsia" w:ascii="宋体" w:hAnsi="宋体" w:cs="宋体"/>
          <w:color w:val="000000"/>
          <w:kern w:val="2"/>
          <w:sz w:val="24"/>
          <w:highlight w:val="none"/>
        </w:rPr>
        <w:t>完成项目深化设计方案</w:t>
      </w:r>
      <w:r>
        <w:rPr>
          <w:rFonts w:hint="eastAsia" w:ascii="宋体" w:hAnsi="宋体" w:cs="宋体"/>
          <w:color w:val="000000"/>
          <w:kern w:val="2"/>
          <w:sz w:val="24"/>
          <w:highlight w:val="none"/>
          <w:lang w:val="en-US" w:eastAsia="zh-CN"/>
        </w:rPr>
        <w:t>和</w:t>
      </w:r>
      <w:r>
        <w:rPr>
          <w:rFonts w:hint="eastAsia" w:ascii="宋体" w:hAnsi="宋体" w:cs="宋体"/>
          <w:color w:val="000000"/>
          <w:kern w:val="2"/>
          <w:sz w:val="24"/>
          <w:highlight w:val="none"/>
        </w:rPr>
        <w:t>组建完成实施团队</w:t>
      </w:r>
      <w:r>
        <w:rPr>
          <w:rFonts w:hint="eastAsia" w:ascii="宋体" w:hAnsi="宋体" w:cs="宋体"/>
          <w:color w:val="000000"/>
          <w:kern w:val="2"/>
          <w:sz w:val="24"/>
          <w:highlight w:val="none"/>
          <w:lang w:eastAsia="zh-CN"/>
        </w:rPr>
        <w:t>，</w:t>
      </w:r>
      <w:r>
        <w:rPr>
          <w:rFonts w:hint="eastAsia" w:ascii="宋体" w:hAnsi="宋体" w:cs="宋体"/>
          <w:color w:val="000000"/>
          <w:kern w:val="2"/>
          <w:sz w:val="24"/>
          <w:highlight w:val="none"/>
        </w:rPr>
        <w:t>经</w:t>
      </w:r>
      <w:r>
        <w:rPr>
          <w:rFonts w:hint="eastAsia" w:ascii="宋体" w:hAnsi="宋体" w:cs="宋体"/>
          <w:color w:val="000000"/>
          <w:kern w:val="2"/>
          <w:sz w:val="24"/>
          <w:highlight w:val="none"/>
          <w:lang w:val="en-US" w:eastAsia="zh-CN"/>
        </w:rPr>
        <w:t>甲方</w:t>
      </w:r>
      <w:r>
        <w:rPr>
          <w:rFonts w:hint="eastAsia" w:ascii="宋体" w:hAnsi="宋体" w:cs="宋体"/>
          <w:color w:val="000000"/>
          <w:kern w:val="2"/>
          <w:sz w:val="24"/>
          <w:highlight w:val="none"/>
        </w:rPr>
        <w:t>审核通过且</w:t>
      </w:r>
      <w:r>
        <w:rPr>
          <w:rFonts w:hint="eastAsia" w:ascii="宋体" w:hAnsi="宋体" w:cs="宋体"/>
          <w:color w:val="000000"/>
          <w:kern w:val="2"/>
          <w:sz w:val="24"/>
          <w:highlight w:val="none"/>
          <w:lang w:val="en-US" w:eastAsia="zh-CN"/>
        </w:rPr>
        <w:t>甲方</w:t>
      </w:r>
      <w:r>
        <w:rPr>
          <w:rFonts w:hint="eastAsia" w:ascii="宋体" w:hAnsi="宋体" w:cs="宋体"/>
          <w:color w:val="000000"/>
          <w:kern w:val="2"/>
          <w:sz w:val="24"/>
          <w:highlight w:val="none"/>
        </w:rPr>
        <w:t>收到</w:t>
      </w:r>
      <w:r>
        <w:rPr>
          <w:rFonts w:hint="eastAsia" w:ascii="宋体" w:hAnsi="宋体" w:cs="宋体"/>
          <w:color w:val="000000"/>
          <w:kern w:val="2"/>
          <w:sz w:val="24"/>
          <w:highlight w:val="none"/>
          <w:lang w:val="en-US" w:eastAsia="zh-CN"/>
        </w:rPr>
        <w:t>乙方</w:t>
      </w:r>
      <w:r>
        <w:rPr>
          <w:rFonts w:hint="eastAsia" w:ascii="宋体" w:hAnsi="宋体" w:cs="宋体"/>
          <w:color w:val="000000"/>
          <w:kern w:val="2"/>
          <w:sz w:val="24"/>
          <w:highlight w:val="none"/>
        </w:rPr>
        <w:t>提供的等额合法有效发票后15个工作日内，</w:t>
      </w:r>
      <w:r>
        <w:rPr>
          <w:rFonts w:hint="eastAsia" w:ascii="宋体" w:hAnsi="宋体" w:cs="宋体"/>
          <w:color w:val="000000"/>
          <w:kern w:val="2"/>
          <w:sz w:val="24"/>
          <w:highlight w:val="none"/>
          <w:lang w:val="en-US" w:eastAsia="zh-CN"/>
        </w:rPr>
        <w:t>甲方向乙方</w:t>
      </w:r>
      <w:r>
        <w:rPr>
          <w:rFonts w:hint="eastAsia" w:ascii="宋体" w:hAnsi="宋体" w:cs="宋体"/>
          <w:color w:val="000000"/>
          <w:kern w:val="2"/>
          <w:sz w:val="24"/>
          <w:highlight w:val="none"/>
        </w:rPr>
        <w:t>支付合同总金额的20%。</w:t>
      </w:r>
    </w:p>
    <w:p w14:paraId="2B711AD7">
      <w:pPr>
        <w:snapToGrid w:val="0"/>
        <w:spacing w:line="360" w:lineRule="auto"/>
        <w:ind w:firstLine="480" w:firstLineChars="200"/>
        <w:jc w:val="left"/>
        <w:rPr>
          <w:rFonts w:hint="eastAsia" w:ascii="宋体" w:hAnsi="宋体" w:cs="宋体"/>
          <w:color w:val="000000"/>
          <w:kern w:val="2"/>
          <w:sz w:val="24"/>
          <w:szCs w:val="24"/>
          <w:highlight w:val="none"/>
        </w:rPr>
      </w:pPr>
      <w:r>
        <w:rPr>
          <w:rFonts w:hint="eastAsia" w:ascii="宋体" w:hAnsi="宋体" w:cs="宋体"/>
          <w:color w:val="000000"/>
          <w:sz w:val="24"/>
          <w:szCs w:val="24"/>
          <w:highlight w:val="none"/>
        </w:rPr>
        <w:t>（3）第三、四、五笔合同款：在项目整体完工并</w:t>
      </w:r>
      <w:r>
        <w:rPr>
          <w:rFonts w:hint="eastAsia" w:ascii="宋体" w:hAnsi="宋体" w:cs="宋体"/>
          <w:color w:val="000000"/>
          <w:sz w:val="24"/>
          <w:szCs w:val="24"/>
          <w:highlight w:val="none"/>
          <w:lang w:val="en-US" w:eastAsia="zh-CN"/>
        </w:rPr>
        <w:t>通过</w:t>
      </w:r>
      <w:r>
        <w:rPr>
          <w:rFonts w:hint="eastAsia" w:ascii="宋体" w:hAnsi="宋体" w:cs="宋体"/>
          <w:color w:val="000000"/>
          <w:sz w:val="24"/>
          <w:szCs w:val="24"/>
          <w:highlight w:val="none"/>
        </w:rPr>
        <w:t>竣工验收</w:t>
      </w:r>
      <w:r>
        <w:rPr>
          <w:rFonts w:hint="eastAsia" w:ascii="宋体" w:hAnsi="宋体" w:cs="宋体"/>
          <w:color w:val="000000"/>
          <w:sz w:val="24"/>
          <w:szCs w:val="24"/>
          <w:highlight w:val="none"/>
          <w:lang w:val="en-US" w:eastAsia="zh-CN"/>
        </w:rPr>
        <w:t>之日起</w:t>
      </w:r>
      <w:r>
        <w:rPr>
          <w:rFonts w:hint="eastAsia" w:ascii="宋体" w:hAnsi="宋体" w:cs="宋体"/>
          <w:color w:val="000000"/>
          <w:sz w:val="24"/>
          <w:szCs w:val="24"/>
          <w:highlight w:val="none"/>
        </w:rPr>
        <w:t>进入3年运营服务期</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每年运营服务期</w:t>
      </w:r>
      <w:r>
        <w:rPr>
          <w:rFonts w:hint="eastAsia" w:ascii="宋体" w:hAnsi="宋体" w:cs="宋体"/>
          <w:color w:val="000000"/>
          <w:sz w:val="24"/>
          <w:szCs w:val="24"/>
          <w:highlight w:val="none"/>
          <w:lang w:val="en-US" w:eastAsia="zh-CN"/>
        </w:rPr>
        <w:t>开始时</w:t>
      </w:r>
      <w:r>
        <w:rPr>
          <w:rFonts w:hint="eastAsia" w:ascii="宋体" w:hAnsi="宋体" w:cs="宋体"/>
          <w:color w:val="000000"/>
          <w:sz w:val="24"/>
          <w:szCs w:val="24"/>
          <w:highlight w:val="none"/>
        </w:rPr>
        <w:t>且</w:t>
      </w:r>
      <w:r>
        <w:rPr>
          <w:rFonts w:hint="eastAsia" w:ascii="宋体" w:hAnsi="宋体" w:cs="宋体"/>
          <w:color w:val="000000"/>
          <w:sz w:val="24"/>
          <w:szCs w:val="24"/>
          <w:highlight w:val="none"/>
          <w:lang w:val="en-US" w:eastAsia="zh-CN"/>
        </w:rPr>
        <w:t>甲方</w:t>
      </w:r>
      <w:r>
        <w:rPr>
          <w:rFonts w:hint="eastAsia" w:ascii="宋体" w:hAnsi="宋体" w:cs="宋体"/>
          <w:color w:val="000000"/>
          <w:sz w:val="24"/>
          <w:szCs w:val="24"/>
          <w:highlight w:val="none"/>
        </w:rPr>
        <w:t>收到</w:t>
      </w:r>
      <w:r>
        <w:rPr>
          <w:rFonts w:hint="eastAsia" w:ascii="宋体" w:hAnsi="宋体" w:cs="宋体"/>
          <w:color w:val="000000"/>
          <w:sz w:val="24"/>
          <w:szCs w:val="24"/>
          <w:highlight w:val="none"/>
          <w:lang w:val="en-US" w:eastAsia="zh-CN"/>
        </w:rPr>
        <w:t>乙方</w:t>
      </w:r>
      <w:r>
        <w:rPr>
          <w:rFonts w:hint="eastAsia" w:ascii="宋体" w:hAnsi="宋体" w:cs="宋体"/>
          <w:color w:val="000000"/>
          <w:sz w:val="24"/>
          <w:szCs w:val="24"/>
          <w:highlight w:val="none"/>
        </w:rPr>
        <w:t>提供的等额合法有效发票后15个工作日内</w:t>
      </w:r>
      <w:r>
        <w:rPr>
          <w:rFonts w:hint="eastAsia" w:ascii="宋体" w:hAnsi="宋体" w:cs="宋体"/>
          <w:color w:val="000000"/>
          <w:kern w:val="2"/>
          <w:sz w:val="24"/>
          <w:szCs w:val="24"/>
          <w:highlight w:val="none"/>
          <w:lang w:eastAsia="zh-CN"/>
        </w:rPr>
        <w:t>，</w:t>
      </w:r>
      <w:r>
        <w:rPr>
          <w:rFonts w:hint="eastAsia" w:ascii="宋体" w:hAnsi="宋体" w:cs="宋体"/>
          <w:color w:val="000000"/>
          <w:kern w:val="2"/>
          <w:sz w:val="24"/>
          <w:szCs w:val="24"/>
          <w:highlight w:val="none"/>
          <w:lang w:val="en-US" w:eastAsia="zh-CN"/>
        </w:rPr>
        <w:t>甲方</w:t>
      </w:r>
      <w:r>
        <w:rPr>
          <w:rFonts w:hint="eastAsia" w:ascii="宋体" w:hAnsi="宋体" w:cs="宋体"/>
          <w:color w:val="000000"/>
          <w:kern w:val="2"/>
          <w:sz w:val="24"/>
          <w:szCs w:val="24"/>
          <w:highlight w:val="none"/>
        </w:rPr>
        <w:t>向</w:t>
      </w:r>
      <w:r>
        <w:rPr>
          <w:rFonts w:hint="eastAsia" w:ascii="宋体" w:hAnsi="宋体" w:cs="宋体"/>
          <w:color w:val="000000"/>
          <w:kern w:val="2"/>
          <w:sz w:val="24"/>
          <w:szCs w:val="24"/>
          <w:highlight w:val="none"/>
          <w:lang w:val="en-US" w:eastAsia="zh-CN"/>
        </w:rPr>
        <w:t>乙方</w:t>
      </w:r>
      <w:r>
        <w:rPr>
          <w:rFonts w:hint="eastAsia" w:ascii="宋体" w:hAnsi="宋体" w:cs="宋体"/>
          <w:color w:val="000000"/>
          <w:kern w:val="2"/>
          <w:sz w:val="24"/>
          <w:szCs w:val="24"/>
          <w:highlight w:val="none"/>
        </w:rPr>
        <w:t>支付合同总金额的5%</w:t>
      </w:r>
      <w:r>
        <w:rPr>
          <w:rFonts w:hint="eastAsia" w:ascii="宋体" w:hAnsi="宋体" w:cs="宋体"/>
          <w:color w:val="000000"/>
          <w:kern w:val="2"/>
          <w:sz w:val="24"/>
          <w:szCs w:val="24"/>
          <w:highlight w:val="none"/>
          <w:lang w:eastAsia="zh-CN"/>
        </w:rPr>
        <w:t>；</w:t>
      </w:r>
      <w:r>
        <w:rPr>
          <w:rFonts w:hint="eastAsia" w:ascii="宋体" w:hAnsi="宋体" w:cs="宋体"/>
          <w:color w:val="000000"/>
          <w:kern w:val="2"/>
          <w:sz w:val="24"/>
          <w:szCs w:val="24"/>
          <w:highlight w:val="none"/>
        </w:rPr>
        <w:t>每年运营服务期结束后，</w:t>
      </w:r>
      <w:r>
        <w:rPr>
          <w:rFonts w:hint="eastAsia" w:ascii="宋体" w:hAnsi="宋体" w:cs="宋体"/>
          <w:color w:val="000000"/>
          <w:kern w:val="2"/>
          <w:sz w:val="24"/>
          <w:szCs w:val="24"/>
          <w:highlight w:val="none"/>
          <w:lang w:val="en-US" w:eastAsia="zh-CN"/>
        </w:rPr>
        <w:t>甲方</w:t>
      </w:r>
      <w:r>
        <w:rPr>
          <w:rFonts w:hint="eastAsia" w:ascii="宋体" w:hAnsi="宋体" w:cs="宋体"/>
          <w:color w:val="000000"/>
          <w:kern w:val="2"/>
          <w:sz w:val="24"/>
          <w:szCs w:val="24"/>
          <w:highlight w:val="none"/>
        </w:rPr>
        <w:t>依据服务考核指标要求对</w:t>
      </w:r>
      <w:r>
        <w:rPr>
          <w:rFonts w:hint="eastAsia" w:ascii="宋体" w:hAnsi="宋体" w:cs="宋体"/>
          <w:color w:val="000000"/>
          <w:kern w:val="2"/>
          <w:sz w:val="24"/>
          <w:szCs w:val="24"/>
          <w:highlight w:val="none"/>
          <w:lang w:val="en-US" w:eastAsia="zh-CN"/>
        </w:rPr>
        <w:t>乙方</w:t>
      </w:r>
      <w:r>
        <w:rPr>
          <w:rFonts w:hint="eastAsia" w:ascii="宋体" w:hAnsi="宋体" w:cs="宋体"/>
          <w:color w:val="000000"/>
          <w:kern w:val="2"/>
          <w:sz w:val="24"/>
          <w:szCs w:val="24"/>
          <w:highlight w:val="none"/>
        </w:rPr>
        <w:t>进行</w:t>
      </w:r>
      <w:r>
        <w:rPr>
          <w:rFonts w:hint="eastAsia" w:ascii="宋体" w:hAnsi="宋体" w:cs="宋体"/>
          <w:color w:val="000000"/>
          <w:kern w:val="2"/>
          <w:sz w:val="24"/>
          <w:szCs w:val="24"/>
          <w:highlight w:val="none"/>
          <w:lang w:val="en-US" w:eastAsia="zh-CN"/>
        </w:rPr>
        <w:t>年度最终</w:t>
      </w:r>
      <w:r>
        <w:rPr>
          <w:rFonts w:hint="eastAsia" w:ascii="宋体" w:hAnsi="宋体" w:cs="宋体"/>
          <w:color w:val="000000"/>
          <w:kern w:val="2"/>
          <w:sz w:val="24"/>
          <w:szCs w:val="24"/>
          <w:highlight w:val="none"/>
        </w:rPr>
        <w:t>考核，根据</w:t>
      </w:r>
      <w:r>
        <w:rPr>
          <w:rFonts w:hint="eastAsia" w:ascii="宋体" w:hAnsi="宋体" w:cs="宋体"/>
          <w:color w:val="000000"/>
          <w:kern w:val="2"/>
          <w:sz w:val="24"/>
          <w:szCs w:val="24"/>
          <w:highlight w:val="none"/>
          <w:lang w:val="en-US" w:eastAsia="zh-CN"/>
        </w:rPr>
        <w:t>年度最终</w:t>
      </w:r>
      <w:r>
        <w:rPr>
          <w:rFonts w:hint="eastAsia" w:ascii="宋体" w:hAnsi="宋体" w:cs="宋体"/>
          <w:color w:val="000000"/>
          <w:kern w:val="2"/>
          <w:sz w:val="24"/>
          <w:szCs w:val="24"/>
          <w:highlight w:val="none"/>
        </w:rPr>
        <w:t>考核结果等级</w:t>
      </w:r>
      <w:r>
        <w:rPr>
          <w:rFonts w:hint="eastAsia" w:ascii="宋体" w:hAnsi="宋体" w:cs="宋体"/>
          <w:color w:val="000000"/>
          <w:sz w:val="24"/>
          <w:szCs w:val="24"/>
          <w:highlight w:val="none"/>
        </w:rPr>
        <w:t>且</w:t>
      </w:r>
      <w:r>
        <w:rPr>
          <w:rFonts w:hint="eastAsia" w:ascii="宋体" w:hAnsi="宋体" w:cs="宋体"/>
          <w:color w:val="000000"/>
          <w:sz w:val="24"/>
          <w:szCs w:val="24"/>
          <w:highlight w:val="none"/>
          <w:lang w:val="en-US" w:eastAsia="zh-CN"/>
        </w:rPr>
        <w:t>甲方</w:t>
      </w:r>
      <w:r>
        <w:rPr>
          <w:rFonts w:hint="eastAsia" w:ascii="宋体" w:hAnsi="宋体" w:cs="宋体"/>
          <w:color w:val="000000"/>
          <w:sz w:val="24"/>
          <w:szCs w:val="24"/>
          <w:highlight w:val="none"/>
        </w:rPr>
        <w:t>收到</w:t>
      </w:r>
      <w:r>
        <w:rPr>
          <w:rFonts w:hint="eastAsia" w:ascii="宋体" w:hAnsi="宋体" w:cs="宋体"/>
          <w:color w:val="000000"/>
          <w:sz w:val="24"/>
          <w:szCs w:val="24"/>
          <w:highlight w:val="none"/>
          <w:lang w:val="en-US" w:eastAsia="zh-CN"/>
        </w:rPr>
        <w:t>乙方</w:t>
      </w:r>
      <w:r>
        <w:rPr>
          <w:rFonts w:hint="eastAsia" w:ascii="宋体" w:hAnsi="宋体" w:cs="宋体"/>
          <w:color w:val="000000"/>
          <w:sz w:val="24"/>
          <w:szCs w:val="24"/>
          <w:highlight w:val="none"/>
        </w:rPr>
        <w:t>提供的等额合法有效发票后15个工作日内</w:t>
      </w:r>
      <w:r>
        <w:rPr>
          <w:rFonts w:hint="eastAsia" w:ascii="宋体" w:hAnsi="宋体" w:cs="宋体"/>
          <w:color w:val="000000"/>
          <w:kern w:val="2"/>
          <w:sz w:val="24"/>
          <w:szCs w:val="24"/>
          <w:highlight w:val="none"/>
          <w:lang w:eastAsia="zh-CN"/>
        </w:rPr>
        <w:t>，</w:t>
      </w:r>
      <w:r>
        <w:rPr>
          <w:rFonts w:hint="eastAsia" w:ascii="宋体" w:hAnsi="宋体" w:cs="宋体"/>
          <w:color w:val="000000"/>
          <w:kern w:val="2"/>
          <w:sz w:val="24"/>
          <w:szCs w:val="24"/>
          <w:highlight w:val="none"/>
          <w:lang w:val="en-US" w:eastAsia="zh-CN"/>
        </w:rPr>
        <w:t>甲方</w:t>
      </w:r>
      <w:r>
        <w:rPr>
          <w:rFonts w:hint="eastAsia" w:ascii="宋体" w:hAnsi="宋体" w:cs="宋体"/>
          <w:color w:val="000000"/>
          <w:kern w:val="2"/>
          <w:sz w:val="24"/>
          <w:szCs w:val="24"/>
          <w:highlight w:val="none"/>
        </w:rPr>
        <w:t>向</w:t>
      </w:r>
      <w:r>
        <w:rPr>
          <w:rFonts w:hint="eastAsia" w:ascii="宋体" w:hAnsi="宋体" w:cs="宋体"/>
          <w:color w:val="000000"/>
          <w:kern w:val="2"/>
          <w:sz w:val="24"/>
          <w:szCs w:val="24"/>
          <w:highlight w:val="none"/>
          <w:lang w:val="en-US" w:eastAsia="zh-CN"/>
        </w:rPr>
        <w:t>乙方</w:t>
      </w:r>
      <w:r>
        <w:rPr>
          <w:rFonts w:hint="eastAsia" w:ascii="宋体" w:hAnsi="宋体" w:cs="宋体"/>
          <w:color w:val="000000"/>
          <w:kern w:val="2"/>
          <w:sz w:val="24"/>
          <w:szCs w:val="24"/>
          <w:highlight w:val="none"/>
        </w:rPr>
        <w:t>支付</w:t>
      </w:r>
      <w:r>
        <w:rPr>
          <w:rFonts w:hint="eastAsia" w:ascii="宋体" w:hAnsi="宋体" w:cs="宋体"/>
          <w:color w:val="000000"/>
          <w:kern w:val="2"/>
          <w:sz w:val="24"/>
          <w:szCs w:val="24"/>
          <w:highlight w:val="none"/>
          <w:lang w:val="en-US" w:eastAsia="zh-CN"/>
        </w:rPr>
        <w:t>相应进度</w:t>
      </w:r>
      <w:r>
        <w:rPr>
          <w:rFonts w:hint="eastAsia" w:ascii="宋体" w:hAnsi="宋体" w:cs="宋体"/>
          <w:color w:val="000000"/>
          <w:kern w:val="2"/>
          <w:sz w:val="24"/>
          <w:szCs w:val="24"/>
          <w:highlight w:val="none"/>
        </w:rPr>
        <w:t>款，每年</w:t>
      </w:r>
      <w:r>
        <w:rPr>
          <w:rFonts w:hint="eastAsia" w:ascii="宋体" w:hAnsi="宋体" w:cs="宋体"/>
          <w:color w:val="000000"/>
          <w:kern w:val="2"/>
          <w:sz w:val="24"/>
          <w:szCs w:val="24"/>
          <w:highlight w:val="none"/>
          <w:lang w:val="en-US" w:eastAsia="zh-CN"/>
        </w:rPr>
        <w:t>考核结束后</w:t>
      </w:r>
      <w:r>
        <w:rPr>
          <w:rFonts w:hint="eastAsia" w:ascii="宋体" w:hAnsi="宋体" w:cs="宋体"/>
          <w:color w:val="000000"/>
          <w:kern w:val="2"/>
          <w:sz w:val="24"/>
          <w:szCs w:val="24"/>
          <w:highlight w:val="none"/>
        </w:rPr>
        <w:t>最高支付合同总金额的</w:t>
      </w:r>
      <w:r>
        <w:rPr>
          <w:rFonts w:hint="eastAsia" w:ascii="宋体" w:hAnsi="宋体" w:cs="宋体"/>
          <w:color w:val="000000"/>
          <w:kern w:val="2"/>
          <w:sz w:val="24"/>
          <w:szCs w:val="24"/>
          <w:highlight w:val="none"/>
          <w:lang w:val="en-US" w:eastAsia="zh-CN"/>
        </w:rPr>
        <w:t>5</w:t>
      </w:r>
      <w:r>
        <w:rPr>
          <w:rFonts w:hint="eastAsia" w:ascii="宋体" w:hAnsi="宋体" w:cs="宋体"/>
          <w:color w:val="000000"/>
          <w:kern w:val="2"/>
          <w:sz w:val="24"/>
          <w:szCs w:val="24"/>
          <w:highlight w:val="none"/>
        </w:rPr>
        <w:t>%。</w:t>
      </w:r>
    </w:p>
    <w:p w14:paraId="3812F4D0">
      <w:pPr>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kern w:val="2"/>
          <w:sz w:val="24"/>
          <w:highlight w:val="none"/>
          <w:lang w:eastAsia="zh-CN"/>
        </w:rPr>
        <w:t>（</w:t>
      </w:r>
      <w:r>
        <w:rPr>
          <w:rFonts w:hint="eastAsia" w:ascii="宋体" w:hAnsi="宋体" w:cs="宋体"/>
          <w:color w:val="000000"/>
          <w:kern w:val="2"/>
          <w:sz w:val="24"/>
          <w:highlight w:val="none"/>
          <w:lang w:val="en-US" w:eastAsia="zh-CN"/>
        </w:rPr>
        <w:t>4</w:t>
      </w:r>
      <w:r>
        <w:rPr>
          <w:rFonts w:hint="eastAsia" w:ascii="宋体" w:hAnsi="宋体" w:cs="宋体"/>
          <w:color w:val="000000"/>
          <w:kern w:val="2"/>
          <w:sz w:val="24"/>
          <w:highlight w:val="none"/>
          <w:lang w:eastAsia="zh-CN"/>
        </w:rPr>
        <w:t>）</w:t>
      </w:r>
      <w:r>
        <w:rPr>
          <w:rFonts w:hint="eastAsia" w:ascii="宋体" w:hAnsi="宋体" w:cs="宋体"/>
          <w:color w:val="000000"/>
          <w:kern w:val="2"/>
          <w:sz w:val="24"/>
          <w:highlight w:val="none"/>
          <w:lang w:val="en-US" w:eastAsia="zh-CN"/>
        </w:rPr>
        <w:t>乙方</w:t>
      </w:r>
      <w:r>
        <w:rPr>
          <w:rFonts w:hint="eastAsia" w:ascii="宋体" w:hAnsi="宋体" w:cs="宋体"/>
          <w:color w:val="000000"/>
          <w:kern w:val="2"/>
          <w:sz w:val="24"/>
          <w:highlight w:val="none"/>
        </w:rPr>
        <w:t>应在</w:t>
      </w:r>
      <w:r>
        <w:rPr>
          <w:rFonts w:hint="eastAsia" w:ascii="宋体" w:hAnsi="宋体" w:cs="宋体"/>
          <w:color w:val="000000"/>
          <w:kern w:val="2"/>
          <w:sz w:val="24"/>
          <w:highlight w:val="none"/>
          <w:lang w:val="en-US" w:eastAsia="zh-CN"/>
        </w:rPr>
        <w:t>甲方</w:t>
      </w:r>
      <w:r>
        <w:rPr>
          <w:rFonts w:hint="eastAsia" w:ascii="宋体" w:hAnsi="宋体" w:cs="宋体"/>
          <w:color w:val="000000"/>
          <w:kern w:val="2"/>
          <w:sz w:val="24"/>
          <w:highlight w:val="none"/>
        </w:rPr>
        <w:t>付款前向</w:t>
      </w:r>
      <w:r>
        <w:rPr>
          <w:rFonts w:hint="eastAsia" w:ascii="宋体" w:hAnsi="宋体" w:cs="宋体"/>
          <w:color w:val="000000"/>
          <w:kern w:val="2"/>
          <w:sz w:val="24"/>
          <w:highlight w:val="none"/>
          <w:lang w:val="en-US" w:eastAsia="zh-CN"/>
        </w:rPr>
        <w:t>甲方</w:t>
      </w:r>
      <w:r>
        <w:rPr>
          <w:rFonts w:hint="eastAsia" w:ascii="宋体" w:hAnsi="宋体" w:cs="宋体"/>
          <w:color w:val="000000"/>
          <w:kern w:val="2"/>
          <w:sz w:val="24"/>
          <w:highlight w:val="none"/>
        </w:rPr>
        <w:t>提供等额的合法有效发票，</w:t>
      </w:r>
      <w:r>
        <w:rPr>
          <w:rFonts w:hint="eastAsia" w:ascii="宋体" w:hAnsi="宋体" w:cs="宋体"/>
          <w:color w:val="000000"/>
          <w:kern w:val="2"/>
          <w:sz w:val="24"/>
          <w:highlight w:val="none"/>
          <w:lang w:val="en-US" w:eastAsia="zh-CN"/>
        </w:rPr>
        <w:t>乙方</w:t>
      </w:r>
      <w:r>
        <w:rPr>
          <w:rFonts w:hint="eastAsia" w:ascii="宋体" w:hAnsi="宋体" w:cs="宋体"/>
          <w:color w:val="000000"/>
          <w:kern w:val="2"/>
          <w:sz w:val="24"/>
          <w:highlight w:val="none"/>
        </w:rPr>
        <w:t>未及时向</w:t>
      </w:r>
      <w:r>
        <w:rPr>
          <w:rFonts w:hint="eastAsia" w:ascii="宋体" w:hAnsi="宋体" w:cs="宋体"/>
          <w:color w:val="000000"/>
          <w:kern w:val="2"/>
          <w:sz w:val="24"/>
          <w:highlight w:val="none"/>
          <w:lang w:val="en-US" w:eastAsia="zh-CN"/>
        </w:rPr>
        <w:t>甲方</w:t>
      </w:r>
      <w:r>
        <w:rPr>
          <w:rFonts w:hint="eastAsia" w:ascii="宋体" w:hAnsi="宋体" w:cs="宋体"/>
          <w:color w:val="000000"/>
          <w:kern w:val="2"/>
          <w:sz w:val="24"/>
          <w:highlight w:val="none"/>
        </w:rPr>
        <w:t>开具发票的，</w:t>
      </w:r>
      <w:r>
        <w:rPr>
          <w:rFonts w:hint="eastAsia" w:ascii="宋体" w:hAnsi="宋体" w:cs="宋体"/>
          <w:color w:val="000000"/>
          <w:kern w:val="2"/>
          <w:sz w:val="24"/>
          <w:highlight w:val="none"/>
          <w:lang w:val="en-US" w:eastAsia="zh-CN"/>
        </w:rPr>
        <w:t>甲方</w:t>
      </w:r>
      <w:r>
        <w:rPr>
          <w:rFonts w:hint="eastAsia" w:ascii="宋体" w:hAnsi="宋体" w:cs="宋体"/>
          <w:color w:val="000000"/>
          <w:kern w:val="2"/>
          <w:sz w:val="24"/>
          <w:highlight w:val="none"/>
        </w:rPr>
        <w:t>有权顺延付款时间，且不承担任何逾期付款违约责任。</w:t>
      </w:r>
    </w:p>
    <w:p w14:paraId="17724D17">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六、税费</w:t>
      </w:r>
    </w:p>
    <w:p w14:paraId="52FBA365">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本合同执行中相关的一切税费均由乙方负担。</w:t>
      </w:r>
    </w:p>
    <w:p w14:paraId="66C53C8E">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七、违约责任</w:t>
      </w:r>
    </w:p>
    <w:p w14:paraId="4A134B89">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color w:val="000000"/>
          <w:sz w:val="24"/>
          <w:szCs w:val="24"/>
          <w:highlight w:val="none"/>
        </w:rPr>
        <w:t>乙方所提供的</w:t>
      </w:r>
      <w:r>
        <w:rPr>
          <w:rFonts w:hint="eastAsia" w:ascii="宋体" w:hAnsi="宋体" w:eastAsia="宋体" w:cs="宋体"/>
          <w:color w:val="000000"/>
          <w:sz w:val="24"/>
          <w:szCs w:val="24"/>
          <w:highlight w:val="none"/>
          <w:lang w:val="en-US" w:eastAsia="zh-CN"/>
        </w:rPr>
        <w:t>货物或</w:t>
      </w:r>
      <w:r>
        <w:rPr>
          <w:rFonts w:hint="eastAsia" w:ascii="宋体" w:hAnsi="宋体" w:eastAsia="宋体" w:cs="宋体"/>
          <w:color w:val="000000"/>
          <w:sz w:val="24"/>
          <w:szCs w:val="24"/>
          <w:highlight w:val="none"/>
        </w:rPr>
        <w:t>服务质量不合格或不符合甲方要求的，应在甲方要求期限内按甲方要求采取更换、整改等解决措施，未在甲方要求期限内按甲方要求解决的，按乙方逾期</w:t>
      </w:r>
      <w:r>
        <w:rPr>
          <w:rFonts w:hint="eastAsia" w:ascii="宋体" w:hAnsi="宋体" w:eastAsia="宋体" w:cs="宋体"/>
          <w:color w:val="000000"/>
          <w:sz w:val="24"/>
          <w:szCs w:val="24"/>
          <w:highlight w:val="none"/>
          <w:lang w:val="en-US" w:eastAsia="zh-CN"/>
        </w:rPr>
        <w:t>交付货物、</w:t>
      </w:r>
      <w:r>
        <w:rPr>
          <w:rFonts w:hint="eastAsia" w:ascii="宋体" w:hAnsi="宋体" w:eastAsia="宋体" w:cs="宋体"/>
          <w:color w:val="000000"/>
          <w:sz w:val="24"/>
          <w:szCs w:val="24"/>
          <w:highlight w:val="none"/>
        </w:rPr>
        <w:t>提供服务</w:t>
      </w:r>
      <w:r>
        <w:rPr>
          <w:rFonts w:hint="eastAsia" w:ascii="宋体" w:hAnsi="宋体" w:eastAsia="宋体" w:cs="宋体"/>
          <w:color w:val="000000"/>
          <w:sz w:val="24"/>
          <w:szCs w:val="24"/>
          <w:highlight w:val="none"/>
          <w:lang w:val="en-US" w:eastAsia="zh-CN"/>
        </w:rPr>
        <w:t>处理</w:t>
      </w:r>
      <w:r>
        <w:rPr>
          <w:rFonts w:hint="eastAsia" w:ascii="宋体" w:hAnsi="宋体" w:eastAsia="宋体" w:cs="宋体"/>
          <w:color w:val="000000"/>
          <w:sz w:val="24"/>
          <w:szCs w:val="24"/>
          <w:highlight w:val="none"/>
        </w:rPr>
        <w:t>；因质量问题甲方不同意接收的或特殊情况甲方同意接收的，乙方应向甲方支付合同总金额</w:t>
      </w:r>
      <w:r>
        <w:rPr>
          <w:rFonts w:hint="eastAsia" w:ascii="宋体" w:hAnsi="宋体" w:eastAsia="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10</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rPr>
        <w:t>%违约金并赔偿甲方</w:t>
      </w:r>
      <w:r>
        <w:rPr>
          <w:rFonts w:hint="eastAsia" w:ascii="宋体" w:hAnsi="宋体" w:eastAsia="宋体" w:cs="宋体"/>
          <w:color w:val="000000"/>
          <w:sz w:val="24"/>
          <w:szCs w:val="24"/>
          <w:highlight w:val="none"/>
          <w:lang w:val="en-US" w:eastAsia="zh-CN"/>
        </w:rPr>
        <w:t>由此产生的全部</w:t>
      </w:r>
      <w:r>
        <w:rPr>
          <w:rFonts w:hint="eastAsia" w:ascii="宋体" w:hAnsi="宋体" w:eastAsia="宋体" w:cs="宋体"/>
          <w:color w:val="000000"/>
          <w:sz w:val="24"/>
          <w:szCs w:val="24"/>
          <w:highlight w:val="none"/>
        </w:rPr>
        <w:t xml:space="preserve">损失。 </w:t>
      </w:r>
    </w:p>
    <w:p w14:paraId="4E66B6A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除不可抗力原因外，乙方没有按照合同规定的时间</w:t>
      </w:r>
      <w:r>
        <w:rPr>
          <w:rFonts w:hint="eastAsia" w:ascii="宋体" w:hAnsi="宋体" w:eastAsia="宋体" w:cs="宋体"/>
          <w:sz w:val="24"/>
          <w:szCs w:val="24"/>
          <w:highlight w:val="none"/>
          <w:lang w:val="en-US" w:eastAsia="zh-CN"/>
        </w:rPr>
        <w:t>交付货物、完成安装调试、完成改造实施及交付、</w:t>
      </w:r>
      <w:r>
        <w:rPr>
          <w:rFonts w:hint="eastAsia" w:ascii="宋体" w:hAnsi="宋体" w:eastAsia="宋体" w:cs="宋体"/>
          <w:sz w:val="24"/>
          <w:szCs w:val="24"/>
          <w:highlight w:val="none"/>
        </w:rPr>
        <w:t>提供服务</w:t>
      </w:r>
      <w:r>
        <w:rPr>
          <w:rFonts w:hint="eastAsia" w:ascii="宋体" w:hAnsi="宋体" w:eastAsia="宋体" w:cs="宋体"/>
          <w:sz w:val="24"/>
          <w:szCs w:val="24"/>
          <w:highlight w:val="none"/>
          <w:lang w:val="en-US" w:eastAsia="zh-CN"/>
        </w:rPr>
        <w:t>或申请验收</w:t>
      </w:r>
      <w:r>
        <w:rPr>
          <w:rFonts w:hint="eastAsia" w:ascii="宋体" w:hAnsi="宋体" w:eastAsia="宋体" w:cs="宋体"/>
          <w:sz w:val="24"/>
          <w:szCs w:val="24"/>
          <w:highlight w:val="none"/>
        </w:rPr>
        <w:t>的，甲方</w:t>
      </w:r>
      <w:r>
        <w:rPr>
          <w:rFonts w:hint="eastAsia" w:ascii="宋体" w:hAnsi="宋体" w:eastAsia="宋体" w:cs="宋体"/>
          <w:sz w:val="24"/>
          <w:szCs w:val="24"/>
          <w:highlight w:val="none"/>
          <w:lang w:val="en-US" w:eastAsia="zh-CN"/>
        </w:rPr>
        <w:t>有权</w:t>
      </w:r>
      <w:r>
        <w:rPr>
          <w:rFonts w:hint="eastAsia" w:ascii="宋体" w:hAnsi="宋体" w:eastAsia="宋体" w:cs="宋体"/>
          <w:sz w:val="24"/>
          <w:szCs w:val="24"/>
          <w:highlight w:val="none"/>
        </w:rPr>
        <w:t>要求乙方支付违约金。每推迟一天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乙方应</w:t>
      </w:r>
      <w:r>
        <w:rPr>
          <w:rFonts w:hint="eastAsia" w:ascii="宋体" w:hAnsi="宋体" w:eastAsia="宋体" w:cs="宋体"/>
          <w:sz w:val="24"/>
          <w:szCs w:val="24"/>
          <w:highlight w:val="none"/>
        </w:rPr>
        <w:t>按合同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金额的</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lang w:val="en-US" w:eastAsia="zh-CN"/>
        </w:rPr>
        <w:t>】向甲方</w:t>
      </w:r>
      <w:r>
        <w:rPr>
          <w:rFonts w:hint="eastAsia" w:ascii="宋体" w:hAnsi="宋体" w:eastAsia="宋体" w:cs="宋体"/>
          <w:sz w:val="24"/>
          <w:szCs w:val="24"/>
          <w:highlight w:val="none"/>
        </w:rPr>
        <w:t>支付违约金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推迟达【</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日</w:t>
      </w:r>
      <w:r>
        <w:rPr>
          <w:rFonts w:hint="eastAsia" w:ascii="宋体" w:hAnsi="宋体" w:eastAsia="宋体" w:cs="宋体"/>
          <w:sz w:val="24"/>
          <w:szCs w:val="24"/>
          <w:highlight w:val="none"/>
          <w:lang w:val="en-US" w:eastAsia="zh-CN"/>
        </w:rPr>
        <w:t>，甲方有权解除合同，</w:t>
      </w:r>
      <w:r>
        <w:rPr>
          <w:rFonts w:hint="eastAsia" w:ascii="宋体" w:hAnsi="宋体" w:eastAsia="宋体" w:cs="宋体"/>
          <w:color w:val="000000"/>
          <w:sz w:val="24"/>
          <w:szCs w:val="24"/>
          <w:highlight w:val="none"/>
        </w:rPr>
        <w:t>除上述责任外，乙方还应自收到甲方解除合同通知之日起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日内退还甲方已经支付的全部款项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向甲方支付【合同总金额</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%】的违约金并赔偿甲方由此产生的全部损失</w:t>
      </w:r>
      <w:r>
        <w:rPr>
          <w:rFonts w:hint="eastAsia" w:ascii="宋体" w:hAnsi="宋体" w:eastAsia="宋体" w:cs="宋体"/>
          <w:sz w:val="24"/>
          <w:szCs w:val="24"/>
          <w:highlight w:val="none"/>
        </w:rPr>
        <w:t xml:space="preserve">。                                  </w:t>
      </w:r>
    </w:p>
    <w:p w14:paraId="20010BE6">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color w:val="000000"/>
          <w:sz w:val="24"/>
          <w:szCs w:val="24"/>
          <w:highlight w:val="none"/>
        </w:rPr>
        <w:t>乙方未按本合同和投标文件中规定的服务承诺提供</w:t>
      </w:r>
      <w:r>
        <w:rPr>
          <w:rFonts w:hint="eastAsia" w:ascii="宋体" w:hAnsi="宋体" w:eastAsia="宋体" w:cs="宋体"/>
          <w:color w:val="000000"/>
          <w:sz w:val="24"/>
          <w:szCs w:val="24"/>
          <w:highlight w:val="none"/>
          <w:lang w:val="en-US" w:eastAsia="zh-CN"/>
        </w:rPr>
        <w:t>质量保证或</w:t>
      </w:r>
      <w:r>
        <w:rPr>
          <w:rFonts w:hint="eastAsia" w:ascii="宋体" w:hAnsi="宋体" w:eastAsia="宋体" w:cs="宋体"/>
          <w:color w:val="000000"/>
          <w:sz w:val="24"/>
          <w:szCs w:val="24"/>
          <w:highlight w:val="none"/>
        </w:rPr>
        <w:t>售后服务的，乙方应按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合同</w:t>
      </w:r>
      <w:r>
        <w:rPr>
          <w:rFonts w:hint="eastAsia" w:ascii="宋体" w:hAnsi="宋体" w:eastAsia="宋体" w:cs="宋体"/>
          <w:color w:val="000000"/>
          <w:sz w:val="24"/>
          <w:szCs w:val="24"/>
          <w:highlight w:val="none"/>
          <w:lang w:val="en-US" w:eastAsia="zh-CN"/>
        </w:rPr>
        <w:t>总</w:t>
      </w:r>
      <w:r>
        <w:rPr>
          <w:rFonts w:hint="eastAsia" w:ascii="宋体" w:hAnsi="宋体" w:eastAsia="宋体" w:cs="宋体"/>
          <w:color w:val="000000"/>
          <w:sz w:val="24"/>
          <w:szCs w:val="24"/>
          <w:highlight w:val="none"/>
        </w:rPr>
        <w:t>金额</w:t>
      </w:r>
      <w:r>
        <w:rPr>
          <w:rFonts w:hint="eastAsia" w:ascii="宋体" w:hAnsi="宋体" w:eastAsia="宋体" w:cs="宋体"/>
          <w:color w:val="000000"/>
          <w:sz w:val="24"/>
          <w:szCs w:val="24"/>
          <w:highlight w:val="none"/>
          <w:lang w:val="en-US" w:eastAsia="zh-CN"/>
        </w:rPr>
        <w:t>的</w:t>
      </w:r>
      <w:r>
        <w:rPr>
          <w:rFonts w:hint="eastAsia" w:ascii="宋体" w:hAnsi="宋体" w:cs="宋体"/>
          <w:color w:val="000000"/>
          <w:sz w:val="24"/>
          <w:szCs w:val="24"/>
          <w:highlight w:val="none"/>
          <w:u w:val="none"/>
          <w:lang w:val="en-US" w:eastAsia="zh-CN"/>
        </w:rPr>
        <w:t>10</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rPr>
        <w:t>向甲方支付违约金。</w:t>
      </w:r>
    </w:p>
    <w:p w14:paraId="79B1185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乙方提供的</w:t>
      </w:r>
      <w:r>
        <w:rPr>
          <w:rFonts w:hint="eastAsia" w:ascii="宋体" w:hAnsi="宋体" w:eastAsia="宋体" w:cs="宋体"/>
          <w:sz w:val="24"/>
          <w:szCs w:val="24"/>
          <w:highlight w:val="none"/>
          <w:lang w:val="en-US" w:eastAsia="zh-CN"/>
        </w:rPr>
        <w:t>货物或</w:t>
      </w:r>
      <w:r>
        <w:rPr>
          <w:rFonts w:hint="eastAsia" w:ascii="宋体" w:hAnsi="宋体" w:eastAsia="宋体" w:cs="宋体"/>
          <w:sz w:val="24"/>
          <w:szCs w:val="24"/>
          <w:highlight w:val="none"/>
        </w:rPr>
        <w:t>服务如侵犯了第三方合法权益而引发的任何纠纷或者诉讼，均由乙方负责交涉并承担全部责任</w:t>
      </w:r>
      <w:r>
        <w:rPr>
          <w:rFonts w:hint="eastAsia" w:ascii="宋体" w:hAnsi="宋体" w:eastAsia="宋体" w:cs="宋体"/>
          <w:color w:val="000000"/>
          <w:sz w:val="24"/>
          <w:szCs w:val="24"/>
          <w:highlight w:val="none"/>
        </w:rPr>
        <w:t>，同时乙方应当赔偿因此给甲方造成的全部损失（包括但不限于行政罚款、诉讼费、侵权赔偿、律师费、差旅费等）</w:t>
      </w:r>
      <w:r>
        <w:rPr>
          <w:rFonts w:hint="eastAsia" w:ascii="宋体" w:hAnsi="宋体" w:eastAsia="宋体" w:cs="宋体"/>
          <w:sz w:val="24"/>
          <w:szCs w:val="24"/>
          <w:highlight w:val="none"/>
        </w:rPr>
        <w:t>。</w:t>
      </w:r>
    </w:p>
    <w:p w14:paraId="13888B64">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color w:val="000000"/>
          <w:sz w:val="24"/>
          <w:szCs w:val="24"/>
          <w:highlight w:val="none"/>
        </w:rPr>
        <w:t>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7FF99F29">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乙方支付的违约金不足以弥补甲方损失的，还应承担赔偿责任，甲方有权继续追索。</w:t>
      </w:r>
      <w:r>
        <w:rPr>
          <w:rFonts w:hint="eastAsia" w:ascii="宋体" w:hAnsi="宋体" w:eastAsia="宋体" w:cs="宋体"/>
          <w:color w:val="000000"/>
          <w:sz w:val="24"/>
          <w:szCs w:val="24"/>
          <w:highlight w:val="none"/>
          <w:lang w:val="en-US" w:eastAsia="zh-CN"/>
        </w:rPr>
        <w:t>本合同约定</w:t>
      </w:r>
      <w:r>
        <w:rPr>
          <w:rFonts w:hint="eastAsia" w:ascii="宋体" w:hAnsi="宋体" w:eastAsia="宋体" w:cs="宋体"/>
          <w:color w:val="000000"/>
          <w:sz w:val="24"/>
          <w:szCs w:val="24"/>
          <w:highlight w:val="none"/>
        </w:rPr>
        <w:t>乙方</w:t>
      </w:r>
      <w:r>
        <w:rPr>
          <w:rFonts w:hint="eastAsia" w:ascii="宋体" w:hAnsi="宋体" w:eastAsia="宋体" w:cs="宋体"/>
          <w:color w:val="000000"/>
          <w:kern w:val="21"/>
          <w:sz w:val="24"/>
          <w:szCs w:val="24"/>
          <w:highlight w:val="none"/>
        </w:rPr>
        <w:t>应承担的赔偿金、违约金等款项，甲方可从应付款项中直接扣除，不足部分甲方有权继续追索</w:t>
      </w:r>
      <w:r>
        <w:rPr>
          <w:rFonts w:hint="eastAsia" w:ascii="宋体" w:hAnsi="宋体" w:eastAsia="宋体" w:cs="宋体"/>
          <w:color w:val="000000"/>
          <w:sz w:val="24"/>
          <w:szCs w:val="24"/>
          <w:highlight w:val="none"/>
        </w:rPr>
        <w:t>。</w:t>
      </w:r>
    </w:p>
    <w:p w14:paraId="740E338B">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除承担相应违约责任外，违约方还应承担守约方为实现债权和担保权利而支付的全部费用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包括但不限于：诉讼费用、律师费用、财产保全费用、财产保全保险担保费用、调查取证费用、公证费用、</w:t>
      </w:r>
      <w:r>
        <w:rPr>
          <w:rFonts w:hint="eastAsia" w:ascii="宋体" w:hAnsi="宋体" w:eastAsia="宋体" w:cs="宋体"/>
          <w:color w:val="000000"/>
          <w:sz w:val="24"/>
          <w:szCs w:val="24"/>
          <w:highlight w:val="none"/>
          <w:lang w:val="en-US" w:eastAsia="zh-CN"/>
        </w:rPr>
        <w:t>公告费用、鉴定费用、</w:t>
      </w:r>
      <w:r>
        <w:rPr>
          <w:rFonts w:hint="eastAsia" w:ascii="宋体" w:hAnsi="宋体" w:eastAsia="宋体" w:cs="宋体"/>
          <w:color w:val="000000"/>
          <w:sz w:val="24"/>
          <w:szCs w:val="24"/>
          <w:highlight w:val="none"/>
        </w:rPr>
        <w:t>差旅费用等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14:paraId="29D52BF2">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八、不可抗力事件处理</w:t>
      </w:r>
    </w:p>
    <w:p w14:paraId="3E0C1E8E">
      <w:pPr>
        <w:snapToGrid w:val="0"/>
        <w:spacing w:before="120"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1、在合同有效期内，任何一方因不可抗力事件导致不能履行合同，则合同履行期可延长，其延长期与不可抗力影响期相同。</w:t>
      </w:r>
    </w:p>
    <w:p w14:paraId="774D5E44">
      <w:pPr>
        <w:snapToGrid w:val="0"/>
        <w:spacing w:before="120"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2、不可抗力事件发生后，应立即通知对方，并寄送有关权威机构出具的证明。</w:t>
      </w:r>
    </w:p>
    <w:p w14:paraId="6B5A55A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szCs w:val="24"/>
          <w:highlight w:val="none"/>
        </w:rPr>
        <w:t>不可抗力事件延续120天以上，双方应通过友好协商，确定是否继续履行合同。</w:t>
      </w:r>
      <w:r>
        <w:rPr>
          <w:rFonts w:hint="eastAsia" w:ascii="宋体" w:hAnsi="宋体" w:eastAsia="宋体" w:cs="宋体"/>
          <w:sz w:val="24"/>
          <w:szCs w:val="24"/>
          <w:highlight w:val="none"/>
          <w:lang w:val="en-US" w:eastAsia="zh-CN"/>
        </w:rPr>
        <w:t>经</w:t>
      </w:r>
      <w:r>
        <w:rPr>
          <w:rFonts w:hint="eastAsia" w:ascii="宋体" w:hAnsi="宋体" w:eastAsia="宋体" w:cs="宋体"/>
          <w:color w:val="000000"/>
          <w:sz w:val="24"/>
          <w:szCs w:val="24"/>
          <w:highlight w:val="none"/>
        </w:rPr>
        <w:t>双方协商一致决定终止本合同的，有关费用以实际履行部分进行结算。</w:t>
      </w:r>
    </w:p>
    <w:p w14:paraId="148E0AF1">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九、合同争议解决</w:t>
      </w:r>
    </w:p>
    <w:p w14:paraId="319A0C2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1、因</w:t>
      </w:r>
      <w:r>
        <w:rPr>
          <w:rFonts w:hint="eastAsia" w:ascii="宋体" w:hAnsi="宋体"/>
          <w:color w:val="auto"/>
          <w:sz w:val="24"/>
          <w:highlight w:val="none"/>
          <w:lang w:val="en-US" w:eastAsia="zh-CN"/>
        </w:rPr>
        <w:t>货物或</w:t>
      </w:r>
      <w:r>
        <w:rPr>
          <w:rFonts w:hint="eastAsia" w:ascii="宋体" w:hAnsi="宋体"/>
          <w:color w:val="auto"/>
          <w:sz w:val="24"/>
          <w:highlight w:val="none"/>
        </w:rPr>
        <w:t>服务</w:t>
      </w:r>
      <w:r>
        <w:rPr>
          <w:rFonts w:hint="eastAsia" w:ascii="宋体" w:hAnsi="宋体"/>
          <w:color w:val="auto"/>
          <w:sz w:val="24"/>
          <w:highlight w:val="none"/>
          <w:lang w:val="en-US" w:eastAsia="zh-CN"/>
        </w:rPr>
        <w:t>质量</w:t>
      </w:r>
      <w:r>
        <w:rPr>
          <w:rFonts w:hint="eastAsia" w:ascii="宋体" w:hAnsi="宋体"/>
          <w:color w:val="auto"/>
          <w:sz w:val="24"/>
          <w:highlight w:val="none"/>
        </w:rPr>
        <w:t>问题发生争议的，</w:t>
      </w:r>
      <w:r>
        <w:rPr>
          <w:rFonts w:hint="eastAsia" w:ascii="宋体" w:hAnsi="宋体"/>
          <w:color w:val="auto"/>
          <w:sz w:val="24"/>
          <w:highlight w:val="none"/>
          <w:lang w:val="en-US" w:eastAsia="zh-CN"/>
        </w:rPr>
        <w:t>由甲乙双方共同</w:t>
      </w:r>
      <w:r>
        <w:rPr>
          <w:rFonts w:hint="eastAsia" w:ascii="宋体" w:hAnsi="宋体"/>
          <w:color w:val="auto"/>
          <w:sz w:val="24"/>
          <w:highlight w:val="none"/>
        </w:rPr>
        <w:t>邀请国家认可的质量检测机构对</w:t>
      </w:r>
      <w:r>
        <w:rPr>
          <w:rFonts w:hint="eastAsia" w:ascii="宋体" w:hAnsi="宋体"/>
          <w:color w:val="auto"/>
          <w:sz w:val="24"/>
          <w:highlight w:val="none"/>
          <w:lang w:val="en-US" w:eastAsia="zh-CN"/>
        </w:rPr>
        <w:t>货物或</w:t>
      </w:r>
      <w:r>
        <w:rPr>
          <w:rFonts w:hint="eastAsia" w:ascii="宋体" w:hAnsi="宋体"/>
          <w:color w:val="auto"/>
          <w:sz w:val="24"/>
          <w:highlight w:val="none"/>
        </w:rPr>
        <w:t>服务质量进行鉴定。</w:t>
      </w:r>
      <w:r>
        <w:rPr>
          <w:rFonts w:hint="eastAsia" w:ascii="宋体" w:hAnsi="宋体"/>
          <w:color w:val="auto"/>
          <w:sz w:val="24"/>
          <w:szCs w:val="24"/>
          <w:highlight w:val="none"/>
          <w:lang w:val="en-US" w:eastAsia="zh-CN"/>
        </w:rPr>
        <w:t>鉴定结果为货物或</w:t>
      </w:r>
      <w:r>
        <w:rPr>
          <w:rFonts w:hint="eastAsia" w:ascii="宋体" w:hAnsi="宋体"/>
          <w:color w:val="auto"/>
          <w:sz w:val="24"/>
          <w:szCs w:val="24"/>
          <w:highlight w:val="none"/>
        </w:rPr>
        <w:t>服务</w:t>
      </w:r>
      <w:r>
        <w:rPr>
          <w:rFonts w:hint="eastAsia" w:ascii="宋体" w:hAnsi="宋体"/>
          <w:color w:val="auto"/>
          <w:sz w:val="24"/>
          <w:szCs w:val="24"/>
          <w:highlight w:val="none"/>
          <w:lang w:val="en-US" w:eastAsia="zh-CN"/>
        </w:rPr>
        <w:t>质量</w:t>
      </w:r>
      <w:r>
        <w:rPr>
          <w:rFonts w:hint="eastAsia" w:ascii="宋体" w:hAnsi="宋体"/>
          <w:color w:val="auto"/>
          <w:sz w:val="24"/>
          <w:szCs w:val="24"/>
          <w:highlight w:val="none"/>
        </w:rPr>
        <w:t>符合</w:t>
      </w:r>
      <w:r>
        <w:rPr>
          <w:rFonts w:hint="eastAsia" w:ascii="宋体" w:hAnsi="宋体"/>
          <w:color w:val="auto"/>
          <w:sz w:val="24"/>
          <w:szCs w:val="24"/>
          <w:highlight w:val="none"/>
          <w:lang w:val="en-US" w:eastAsia="zh-CN"/>
        </w:rPr>
        <w:t>合同约定</w:t>
      </w:r>
      <w:r>
        <w:rPr>
          <w:rFonts w:hint="eastAsia" w:ascii="宋体" w:hAnsi="宋体"/>
          <w:color w:val="auto"/>
          <w:sz w:val="24"/>
          <w:szCs w:val="24"/>
          <w:highlight w:val="none"/>
        </w:rPr>
        <w:t>标准的，鉴定费由甲方承担；</w:t>
      </w:r>
      <w:r>
        <w:rPr>
          <w:rFonts w:hint="eastAsia" w:ascii="宋体" w:hAnsi="宋体"/>
          <w:color w:val="auto"/>
          <w:sz w:val="24"/>
          <w:szCs w:val="24"/>
          <w:highlight w:val="none"/>
          <w:lang w:val="en-US" w:eastAsia="zh-CN"/>
        </w:rPr>
        <w:t>鉴定结果为货物或</w:t>
      </w:r>
      <w:r>
        <w:rPr>
          <w:rFonts w:hint="eastAsia" w:ascii="宋体" w:hAnsi="宋体"/>
          <w:color w:val="auto"/>
          <w:sz w:val="24"/>
          <w:szCs w:val="24"/>
          <w:highlight w:val="none"/>
        </w:rPr>
        <w:t>服务</w:t>
      </w:r>
      <w:r>
        <w:rPr>
          <w:rFonts w:hint="eastAsia" w:ascii="宋体" w:hAnsi="宋体"/>
          <w:color w:val="auto"/>
          <w:sz w:val="24"/>
          <w:szCs w:val="24"/>
          <w:highlight w:val="none"/>
          <w:lang w:val="en-US" w:eastAsia="zh-CN"/>
        </w:rPr>
        <w:t>质量</w:t>
      </w:r>
      <w:r>
        <w:rPr>
          <w:rFonts w:hint="eastAsia" w:ascii="宋体" w:hAnsi="宋体"/>
          <w:color w:val="auto"/>
          <w:sz w:val="24"/>
          <w:szCs w:val="24"/>
          <w:highlight w:val="none"/>
        </w:rPr>
        <w:t>不符合</w:t>
      </w:r>
      <w:r>
        <w:rPr>
          <w:rFonts w:hint="eastAsia" w:ascii="宋体" w:hAnsi="宋体"/>
          <w:color w:val="auto"/>
          <w:sz w:val="24"/>
          <w:szCs w:val="24"/>
          <w:highlight w:val="none"/>
          <w:lang w:val="en-US" w:eastAsia="zh-CN"/>
        </w:rPr>
        <w:t>合同约定</w:t>
      </w:r>
      <w:r>
        <w:rPr>
          <w:rFonts w:hint="eastAsia" w:ascii="宋体" w:hAnsi="宋体"/>
          <w:color w:val="auto"/>
          <w:sz w:val="24"/>
          <w:szCs w:val="24"/>
          <w:highlight w:val="none"/>
        </w:rPr>
        <w:t>标准的，鉴定费由乙方承担。</w:t>
      </w:r>
      <w:r>
        <w:rPr>
          <w:rFonts w:hint="eastAsia" w:ascii="宋体" w:hAnsi="宋体" w:eastAsia="宋体" w:cs="宋体"/>
          <w:kern w:val="21"/>
          <w:sz w:val="24"/>
          <w:szCs w:val="24"/>
          <w:highlight w:val="none"/>
        </w:rPr>
        <w:t>一方对货物质量有争议</w:t>
      </w:r>
      <w:r>
        <w:rPr>
          <w:rFonts w:hint="eastAsia" w:ascii="宋体" w:hAnsi="宋体" w:eastAsia="宋体" w:cs="宋体"/>
          <w:kern w:val="21"/>
          <w:sz w:val="24"/>
          <w:szCs w:val="24"/>
          <w:highlight w:val="none"/>
          <w:lang w:val="en-US" w:eastAsia="zh-CN"/>
        </w:rPr>
        <w:t>或异议</w:t>
      </w:r>
      <w:r>
        <w:rPr>
          <w:rFonts w:hint="eastAsia" w:ascii="宋体" w:hAnsi="宋体" w:eastAsia="宋体" w:cs="宋体"/>
          <w:kern w:val="21"/>
          <w:sz w:val="24"/>
          <w:szCs w:val="24"/>
          <w:highlight w:val="none"/>
        </w:rPr>
        <w:t>，但另一方不配合进行检测的，对货物质量有争议的一方有权自行选择有相应检测资质的检测部门进行质量确认，并按前述约定确定检测费承担主体。</w:t>
      </w:r>
    </w:p>
    <w:p w14:paraId="306C7302">
      <w:pPr>
        <w:snapToGrid w:val="0"/>
        <w:spacing w:before="120"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2、因履行本合同引起的或与本合同有关的争议，甲乙双方应首先通过友好协商解决，如果协商不能解决，可向甲方所在地</w:t>
      </w:r>
      <w:r>
        <w:rPr>
          <w:rFonts w:hint="eastAsia" w:ascii="宋体" w:hAnsi="宋体"/>
          <w:color w:val="auto"/>
          <w:sz w:val="24"/>
          <w:highlight w:val="none"/>
          <w:lang w:val="en-US" w:eastAsia="zh-CN"/>
        </w:rPr>
        <w:t>有管辖权的</w:t>
      </w:r>
      <w:r>
        <w:rPr>
          <w:rFonts w:hint="eastAsia" w:ascii="宋体" w:hAnsi="宋体"/>
          <w:color w:val="auto"/>
          <w:sz w:val="24"/>
          <w:highlight w:val="none"/>
        </w:rPr>
        <w:t>人民法院提起诉讼。</w:t>
      </w:r>
    </w:p>
    <w:p w14:paraId="2F4572A8">
      <w:pPr>
        <w:snapToGrid w:val="0"/>
        <w:spacing w:before="120"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3、诉讼期间，</w:t>
      </w:r>
      <w:r>
        <w:rPr>
          <w:rFonts w:hint="eastAsia" w:ascii="宋体" w:hAnsi="宋体"/>
          <w:color w:val="auto"/>
          <w:sz w:val="24"/>
          <w:highlight w:val="none"/>
          <w:lang w:val="en-US" w:eastAsia="zh-CN"/>
        </w:rPr>
        <w:t>除涉诉条款外</w:t>
      </w:r>
      <w:r>
        <w:rPr>
          <w:rFonts w:hint="eastAsia" w:ascii="宋体" w:hAnsi="宋体"/>
          <w:color w:val="auto"/>
          <w:sz w:val="24"/>
          <w:highlight w:val="none"/>
        </w:rPr>
        <w:t>本合同继续履行。</w:t>
      </w:r>
    </w:p>
    <w:p w14:paraId="6AA8E65E">
      <w:pPr>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highlight w:val="none"/>
        </w:rPr>
        <w:t>十、</w:t>
      </w:r>
      <w:r>
        <w:rPr>
          <w:rFonts w:hint="eastAsia" w:ascii="宋体" w:hAnsi="宋体"/>
          <w:color w:val="auto"/>
          <w:sz w:val="24"/>
          <w:szCs w:val="24"/>
          <w:highlight w:val="none"/>
          <w:lang w:val="en-US" w:eastAsia="zh-CN"/>
        </w:rPr>
        <w:t>通知与送达</w:t>
      </w:r>
    </w:p>
    <w:p w14:paraId="7EC767AB">
      <w:pPr>
        <w:snapToGrid w:val="0"/>
        <w:spacing w:line="360" w:lineRule="auto"/>
        <w:ind w:firstLine="480" w:firstLineChars="200"/>
        <w:rPr>
          <w:rFonts w:hint="eastAsia" w:ascii="宋体" w:hAnsi="宋体"/>
          <w:color w:val="auto"/>
          <w:sz w:val="24"/>
          <w:highlight w:val="none"/>
        </w:rPr>
      </w:pPr>
      <w:r>
        <w:rPr>
          <w:rFonts w:hint="eastAsia" w:ascii="宋体" w:hAnsi="宋体" w:eastAsia="宋体" w:cs="宋体"/>
          <w:color w:val="000000"/>
          <w:sz w:val="24"/>
          <w:szCs w:val="24"/>
          <w:highlight w:val="none"/>
        </w:rPr>
        <w:t>甲乙双方因履行本合同或解决本合同争议而相互发出或提供的所有通知、文件、资料、相关法律文书等，均以本合同所列明的地址送达。若一方变更本合同约定的地址的，应提前5日书面通知对方，否则对方按原地址发送的通知仍视为有效送达，由此产生的责任由变更方自行承担。上述通知、回复、法律文书及其他各类文件，如由专人送达的，交付当日视为已送达；以邮寄送达的，</w:t>
      </w:r>
      <w:r>
        <w:rPr>
          <w:rFonts w:hint="eastAsia" w:ascii="宋体" w:hAnsi="宋体"/>
          <w:sz w:val="24"/>
          <w:szCs w:val="24"/>
          <w:highlight w:val="none"/>
        </w:rPr>
        <w:t>快递查询结果显示的投递日期或回执单日期</w:t>
      </w:r>
      <w:r>
        <w:rPr>
          <w:rFonts w:hint="eastAsia" w:ascii="宋体" w:hAnsi="宋体" w:eastAsia="宋体" w:cs="宋体"/>
          <w:color w:val="000000"/>
          <w:sz w:val="24"/>
          <w:szCs w:val="24"/>
          <w:highlight w:val="none"/>
        </w:rPr>
        <w:t>视为已送达。</w:t>
      </w:r>
      <w:r>
        <w:rPr>
          <w:rFonts w:hint="eastAsia" w:ascii="宋体" w:hAnsi="宋体" w:eastAsia="宋体" w:cs="宋体"/>
          <w:sz w:val="24"/>
          <w:szCs w:val="24"/>
          <w:highlight w:val="none"/>
        </w:rPr>
        <w:t>因提供或者确认的地址不准确、地址变更后未及时依程序告知对方或受送达方拒绝签收等原因，导致文书未能被实际接收的，邮寄送达的，以文书退回之日视为送达之日。</w:t>
      </w:r>
      <w:r>
        <w:rPr>
          <w:rFonts w:hint="eastAsia" w:ascii="宋体" w:hAnsi="宋体" w:eastAsia="宋体" w:cs="宋体"/>
          <w:color w:val="000000"/>
          <w:sz w:val="24"/>
          <w:szCs w:val="24"/>
          <w:highlight w:val="none"/>
        </w:rPr>
        <w:t>本合同各方一致同意，如因本合同争议进入包括一审、二审、再审、执行在内的诉讼程序，相关法律文书均按照本合同所载明的地址进行送达。</w:t>
      </w:r>
    </w:p>
    <w:p w14:paraId="3EC0AC26">
      <w:pPr>
        <w:snapToGrid w:val="0"/>
        <w:spacing w:before="120" w:after="120" w:line="360" w:lineRule="auto"/>
        <w:ind w:left="561" w:leftChars="267"/>
        <w:rPr>
          <w:rFonts w:hint="eastAsia" w:ascii="宋体" w:hAnsi="宋体"/>
          <w:color w:val="auto"/>
          <w:sz w:val="24"/>
          <w:highlight w:val="none"/>
        </w:rPr>
      </w:pPr>
      <w:r>
        <w:rPr>
          <w:rFonts w:hint="eastAsia" w:ascii="宋体" w:hAnsi="宋体"/>
          <w:color w:val="auto"/>
          <w:sz w:val="24"/>
          <w:highlight w:val="none"/>
        </w:rPr>
        <w:t>十一、合同生效及其它</w:t>
      </w:r>
    </w:p>
    <w:p w14:paraId="471F590F">
      <w:pPr>
        <w:snapToGrid w:val="0"/>
        <w:spacing w:before="120" w:after="120" w:line="360" w:lineRule="auto"/>
        <w:ind w:left="561" w:leftChars="267"/>
        <w:rPr>
          <w:rFonts w:hint="eastAsia" w:ascii="宋体" w:hAnsi="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本</w:t>
      </w:r>
      <w:r>
        <w:rPr>
          <w:rFonts w:hint="eastAsia" w:ascii="宋体" w:hAnsi="宋体"/>
          <w:color w:val="auto"/>
          <w:sz w:val="24"/>
          <w:highlight w:val="none"/>
        </w:rPr>
        <w:t>合同经双方法定代表人或授权代表签字并加盖单位公章后生效。</w:t>
      </w:r>
      <w:r>
        <w:rPr>
          <w:rFonts w:hint="eastAsia" w:ascii="宋体" w:hAnsi="宋体"/>
          <w:color w:val="auto"/>
          <w:sz w:val="24"/>
          <w:highlight w:val="none"/>
          <w:lang w:val="en-US" w:eastAsia="zh-CN"/>
        </w:rPr>
        <w:t>合同附件（如有）</w:t>
      </w:r>
    </w:p>
    <w:p w14:paraId="00165455">
      <w:pPr>
        <w:pStyle w:val="2"/>
        <w:spacing w:line="360" w:lineRule="auto"/>
        <w:rPr>
          <w:rFonts w:hint="default"/>
          <w:highlight w:val="none"/>
          <w:lang w:val="en-US" w:eastAsia="zh-CN"/>
        </w:rPr>
      </w:pPr>
      <w:r>
        <w:rPr>
          <w:rFonts w:hint="eastAsia" w:ascii="宋体" w:hAnsi="宋体"/>
          <w:color w:val="auto"/>
          <w:sz w:val="24"/>
          <w:highlight w:val="none"/>
          <w:lang w:val="en-US" w:eastAsia="zh-CN"/>
        </w:rPr>
        <w:t>作为本合同的有效组成部分，与合同正文具有同等法律效力。</w:t>
      </w:r>
    </w:p>
    <w:p w14:paraId="1BF117D1">
      <w:pPr>
        <w:snapToGrid w:val="0"/>
        <w:spacing w:before="120" w:after="120" w:line="360" w:lineRule="auto"/>
        <w:ind w:left="561" w:leftChars="267"/>
        <w:rPr>
          <w:rFonts w:hint="eastAsia" w:ascii="宋体" w:hAnsi="宋体"/>
          <w:color w:val="auto"/>
          <w:sz w:val="24"/>
          <w:highlight w:val="none"/>
        </w:rPr>
      </w:pPr>
      <w:r>
        <w:rPr>
          <w:rFonts w:hint="eastAsia" w:ascii="宋体" w:hAnsi="宋体"/>
          <w:color w:val="auto"/>
          <w:sz w:val="24"/>
          <w:highlight w:val="none"/>
        </w:rPr>
        <w:t>2、本合同未尽事宜，遵照</w:t>
      </w:r>
      <w:r>
        <w:rPr>
          <w:rFonts w:hint="eastAsia" w:ascii="宋体" w:hAnsi="宋体"/>
          <w:color w:val="auto"/>
          <w:sz w:val="24"/>
          <w:szCs w:val="20"/>
          <w:highlight w:val="none"/>
        </w:rPr>
        <w:t>《中华人民共和国民法典》</w:t>
      </w:r>
      <w:r>
        <w:rPr>
          <w:rFonts w:hint="eastAsia" w:ascii="宋体" w:hAnsi="宋体"/>
          <w:color w:val="auto"/>
          <w:sz w:val="24"/>
          <w:highlight w:val="none"/>
        </w:rPr>
        <w:t>有关</w:t>
      </w:r>
      <w:r>
        <w:rPr>
          <w:rFonts w:hint="eastAsia" w:ascii="宋体" w:hAnsi="宋体"/>
          <w:color w:val="auto"/>
          <w:sz w:val="24"/>
          <w:highlight w:val="none"/>
          <w:lang w:val="en-US" w:eastAsia="zh-CN"/>
        </w:rPr>
        <w:t>规定</w:t>
      </w:r>
      <w:r>
        <w:rPr>
          <w:rFonts w:hint="eastAsia" w:ascii="宋体" w:hAnsi="宋体"/>
          <w:color w:val="auto"/>
          <w:sz w:val="24"/>
          <w:highlight w:val="none"/>
        </w:rPr>
        <w:t>执行。</w:t>
      </w:r>
    </w:p>
    <w:p w14:paraId="74E6EFC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十二、合同的变更、终止与转让</w:t>
      </w:r>
    </w:p>
    <w:p w14:paraId="6367F54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1、除《中华人民共和国政府采购法》第50条规定的情形外，本合同一经签订，甲乙双方不得擅自变更、中止或终止。</w:t>
      </w:r>
    </w:p>
    <w:p w14:paraId="53BC4784">
      <w:pPr>
        <w:snapToGrid w:val="0"/>
        <w:spacing w:before="120" w:after="120"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2、乙方不得擅自转让其应履行的合同义务。</w:t>
      </w:r>
    </w:p>
    <w:p w14:paraId="7CC82D55">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十三、签订本合同依据</w:t>
      </w:r>
    </w:p>
    <w:p w14:paraId="0E5A7D06">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招</w:t>
      </w:r>
      <w:r>
        <w:rPr>
          <w:rFonts w:hint="eastAsia" w:ascii="宋体" w:hAnsi="宋体"/>
          <w:color w:val="auto"/>
          <w:sz w:val="24"/>
          <w:szCs w:val="24"/>
          <w:highlight w:val="none"/>
          <w:lang w:val="en-US" w:eastAsia="zh-CN"/>
        </w:rPr>
        <w:t>标</w:t>
      </w:r>
      <w:r>
        <w:rPr>
          <w:rFonts w:hint="eastAsia" w:ascii="宋体" w:hAnsi="宋体"/>
          <w:color w:val="auto"/>
          <w:sz w:val="24"/>
          <w:szCs w:val="24"/>
          <w:highlight w:val="none"/>
        </w:rPr>
        <w:t>文件；</w:t>
      </w:r>
    </w:p>
    <w:p w14:paraId="6A3DCE7E">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2、乙方提供的投标文件；</w:t>
      </w:r>
    </w:p>
    <w:p w14:paraId="5882BB34">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3、投标承诺书；</w:t>
      </w:r>
    </w:p>
    <w:p w14:paraId="1B885930">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4、中标或成交通知书。</w:t>
      </w:r>
    </w:p>
    <w:p w14:paraId="4AFED2D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上述合同文件互相补充和解释。如果合同文件之间存在矛盾或者不一致之处，以上述文件的排列顺序在先者为准。</w:t>
      </w:r>
    </w:p>
    <w:p w14:paraId="0B6C314E">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十四、本合同一式5份，具有同等法律效力，</w:t>
      </w:r>
      <w:r>
        <w:rPr>
          <w:rFonts w:hint="eastAsia" w:ascii="宋体" w:hAnsi="宋体"/>
          <w:color w:val="auto"/>
          <w:sz w:val="24"/>
          <w:highlight w:val="none"/>
          <w:lang w:val="en-US" w:eastAsia="zh-CN"/>
        </w:rPr>
        <w:t>招标</w:t>
      </w:r>
      <w:r>
        <w:rPr>
          <w:rFonts w:hint="eastAsia" w:ascii="宋体" w:hAnsi="宋体"/>
          <w:color w:val="auto"/>
          <w:sz w:val="24"/>
          <w:highlight w:val="none"/>
        </w:rPr>
        <w:t>代理机构一份，甲乙双方各两份（可根据需要另增加）。</w:t>
      </w:r>
    </w:p>
    <w:p w14:paraId="5E3C292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szCs w:val="24"/>
          <w:highlight w:val="none"/>
        </w:rPr>
        <w:t>自</w:t>
      </w:r>
      <w:r>
        <w:rPr>
          <w:rFonts w:hint="eastAsia" w:ascii="宋体" w:hAnsi="宋体"/>
          <w:color w:val="auto"/>
          <w:sz w:val="24"/>
          <w:szCs w:val="24"/>
          <w:highlight w:val="none"/>
          <w:lang w:val="en-US" w:eastAsia="zh-CN"/>
        </w:rPr>
        <w:t>本合同</w:t>
      </w:r>
      <w:r>
        <w:rPr>
          <w:rFonts w:hint="eastAsia" w:ascii="宋体" w:hAnsi="宋体"/>
          <w:color w:val="auto"/>
          <w:sz w:val="24"/>
          <w:szCs w:val="24"/>
          <w:highlight w:val="none"/>
        </w:rPr>
        <w:t>签订之日起两个工作日内，</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或</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代理机构应当将合同</w:t>
      </w:r>
      <w:r>
        <w:rPr>
          <w:rFonts w:hint="eastAsia" w:ascii="宋体" w:hAnsi="宋体"/>
          <w:color w:val="auto"/>
          <w:sz w:val="24"/>
          <w:szCs w:val="24"/>
          <w:highlight w:val="none"/>
          <w:lang w:val="en-US" w:eastAsia="zh-CN"/>
        </w:rPr>
        <w:t>在</w:t>
      </w:r>
      <w:r>
        <w:rPr>
          <w:rFonts w:hint="eastAsia" w:ascii="宋体" w:hAnsi="宋体" w:eastAsia="宋体" w:cs="宋体"/>
          <w:sz w:val="24"/>
          <w:szCs w:val="24"/>
          <w:highlight w:val="none"/>
        </w:rPr>
        <w:t>广西壮族自治区财政厅指定的媒体上</w:t>
      </w:r>
      <w:r>
        <w:rPr>
          <w:rFonts w:hint="eastAsia" w:ascii="宋体" w:hAnsi="宋体"/>
          <w:color w:val="auto"/>
          <w:sz w:val="24"/>
          <w:szCs w:val="24"/>
          <w:highlight w:val="none"/>
          <w:lang w:val="en-US" w:eastAsia="zh-CN"/>
        </w:rPr>
        <w:t>公告</w:t>
      </w:r>
      <w:r>
        <w:rPr>
          <w:rFonts w:hint="eastAsia" w:ascii="宋体" w:hAnsi="宋体"/>
          <w:color w:val="auto"/>
          <w:sz w:val="24"/>
          <w:szCs w:val="24"/>
          <w:highlight w:val="none"/>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A74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5B667C5A">
            <w:pPr>
              <w:snapToGrid w:val="0"/>
              <w:spacing w:line="400" w:lineRule="exact"/>
              <w:rPr>
                <w:rFonts w:hint="eastAsia" w:ascii="宋体" w:hAnsi="宋体"/>
                <w:color w:val="auto"/>
                <w:sz w:val="24"/>
                <w:highlight w:val="none"/>
              </w:rPr>
            </w:pPr>
            <w:r>
              <w:rPr>
                <w:rFonts w:hint="eastAsia" w:ascii="宋体" w:hAnsi="宋体"/>
                <w:color w:val="auto"/>
                <w:sz w:val="24"/>
                <w:highlight w:val="none"/>
              </w:rPr>
              <w:t xml:space="preserve">甲方（章）           </w:t>
            </w:r>
          </w:p>
          <w:p w14:paraId="28F9F6DE">
            <w:pPr>
              <w:snapToGrid w:val="0"/>
              <w:spacing w:line="400" w:lineRule="exact"/>
              <w:rPr>
                <w:rFonts w:hint="eastAsia" w:ascii="宋体" w:hAnsi="宋体"/>
                <w:color w:val="auto"/>
                <w:sz w:val="24"/>
                <w:highlight w:val="none"/>
              </w:rPr>
            </w:pPr>
          </w:p>
          <w:p w14:paraId="15F69390">
            <w:pPr>
              <w:snapToGrid w:val="0"/>
              <w:spacing w:line="400" w:lineRule="exact"/>
              <w:ind w:firstLine="1080" w:firstLineChars="450"/>
              <w:jc w:val="right"/>
              <w:rPr>
                <w:rFonts w:hint="eastAsia" w:ascii="宋体" w:hAnsi="宋体"/>
                <w:color w:val="auto"/>
                <w:sz w:val="24"/>
                <w:highlight w:val="none"/>
              </w:rPr>
            </w:pPr>
            <w:r>
              <w:rPr>
                <w:rFonts w:hint="eastAsia" w:ascii="宋体" w:hAnsi="宋体"/>
                <w:color w:val="auto"/>
                <w:sz w:val="24"/>
                <w:highlight w:val="none"/>
              </w:rPr>
              <w:t>年   月   日</w:t>
            </w:r>
          </w:p>
        </w:tc>
        <w:tc>
          <w:tcPr>
            <w:tcW w:w="4517" w:type="dxa"/>
            <w:vAlign w:val="center"/>
          </w:tcPr>
          <w:p w14:paraId="551FB20A">
            <w:pPr>
              <w:snapToGrid w:val="0"/>
              <w:spacing w:line="400" w:lineRule="exact"/>
              <w:rPr>
                <w:rFonts w:hint="eastAsia" w:ascii="宋体" w:hAnsi="宋体"/>
                <w:color w:val="auto"/>
                <w:sz w:val="24"/>
                <w:highlight w:val="none"/>
              </w:rPr>
            </w:pPr>
            <w:r>
              <w:rPr>
                <w:rFonts w:hint="eastAsia" w:ascii="宋体" w:hAnsi="宋体"/>
                <w:color w:val="auto"/>
                <w:sz w:val="24"/>
                <w:highlight w:val="none"/>
              </w:rPr>
              <w:t xml:space="preserve">乙方（章）              </w:t>
            </w:r>
          </w:p>
          <w:p w14:paraId="1D56AA34">
            <w:pPr>
              <w:snapToGrid w:val="0"/>
              <w:spacing w:line="400" w:lineRule="exact"/>
              <w:rPr>
                <w:rFonts w:hint="eastAsia" w:ascii="宋体" w:hAnsi="宋体"/>
                <w:color w:val="auto"/>
                <w:sz w:val="24"/>
                <w:highlight w:val="none"/>
              </w:rPr>
            </w:pPr>
          </w:p>
          <w:p w14:paraId="16B97206">
            <w:pPr>
              <w:snapToGrid w:val="0"/>
              <w:spacing w:line="400" w:lineRule="exact"/>
              <w:jc w:val="right"/>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110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611E2DEB">
            <w:pPr>
              <w:snapToGrid w:val="0"/>
              <w:spacing w:line="400" w:lineRule="exact"/>
              <w:rPr>
                <w:rFonts w:hint="eastAsia" w:ascii="宋体" w:hAnsi="宋体"/>
                <w:color w:val="auto"/>
                <w:sz w:val="24"/>
                <w:highlight w:val="none"/>
              </w:rPr>
            </w:pPr>
            <w:r>
              <w:rPr>
                <w:rFonts w:hint="eastAsia" w:ascii="宋体" w:hAnsi="宋体"/>
                <w:color w:val="auto"/>
                <w:sz w:val="24"/>
                <w:highlight w:val="none"/>
              </w:rPr>
              <w:t>单位地址：</w:t>
            </w:r>
          </w:p>
        </w:tc>
        <w:tc>
          <w:tcPr>
            <w:tcW w:w="4517" w:type="dxa"/>
            <w:vAlign w:val="center"/>
          </w:tcPr>
          <w:p w14:paraId="4C0A0072">
            <w:pPr>
              <w:snapToGrid w:val="0"/>
              <w:spacing w:line="400" w:lineRule="exact"/>
              <w:rPr>
                <w:rFonts w:hint="eastAsia" w:ascii="宋体" w:hAnsi="宋体"/>
                <w:color w:val="auto"/>
                <w:sz w:val="24"/>
                <w:highlight w:val="none"/>
              </w:rPr>
            </w:pPr>
            <w:r>
              <w:rPr>
                <w:rFonts w:hint="eastAsia" w:ascii="宋体" w:hAnsi="宋体"/>
                <w:color w:val="auto"/>
                <w:sz w:val="24"/>
                <w:highlight w:val="none"/>
              </w:rPr>
              <w:t>单位地址：</w:t>
            </w:r>
          </w:p>
        </w:tc>
      </w:tr>
      <w:tr w14:paraId="4231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705388F5">
            <w:pPr>
              <w:snapToGrid w:val="0"/>
              <w:spacing w:line="400" w:lineRule="exact"/>
              <w:rPr>
                <w:rFonts w:hint="eastAsia" w:ascii="宋体" w:hAnsi="宋体"/>
                <w:color w:val="auto"/>
                <w:sz w:val="24"/>
                <w:highlight w:val="none"/>
              </w:rPr>
            </w:pPr>
            <w:r>
              <w:rPr>
                <w:rFonts w:hint="eastAsia" w:ascii="宋体" w:hAnsi="宋体"/>
                <w:color w:val="auto"/>
                <w:sz w:val="24"/>
                <w:highlight w:val="none"/>
              </w:rPr>
              <w:t>法定代表人：</w:t>
            </w:r>
          </w:p>
        </w:tc>
        <w:tc>
          <w:tcPr>
            <w:tcW w:w="4517" w:type="dxa"/>
            <w:vAlign w:val="center"/>
          </w:tcPr>
          <w:p w14:paraId="6AA80EDC">
            <w:pPr>
              <w:snapToGrid w:val="0"/>
              <w:spacing w:line="400" w:lineRule="exact"/>
              <w:rPr>
                <w:rFonts w:hint="eastAsia" w:ascii="宋体" w:hAnsi="宋体"/>
                <w:color w:val="auto"/>
                <w:sz w:val="24"/>
                <w:highlight w:val="none"/>
              </w:rPr>
            </w:pPr>
            <w:r>
              <w:rPr>
                <w:rFonts w:hint="eastAsia" w:ascii="宋体" w:hAnsi="宋体"/>
                <w:color w:val="auto"/>
                <w:sz w:val="24"/>
                <w:highlight w:val="none"/>
              </w:rPr>
              <w:t>法定代表人：</w:t>
            </w:r>
          </w:p>
        </w:tc>
      </w:tr>
      <w:tr w14:paraId="03B4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0536A697">
            <w:pPr>
              <w:snapToGrid w:val="0"/>
              <w:spacing w:line="400" w:lineRule="exact"/>
              <w:rPr>
                <w:rFonts w:hint="eastAsia" w:ascii="宋体" w:hAnsi="宋体"/>
                <w:color w:val="auto"/>
                <w:sz w:val="24"/>
                <w:highlight w:val="none"/>
              </w:rPr>
            </w:pPr>
            <w:r>
              <w:rPr>
                <w:rFonts w:hint="eastAsia" w:ascii="宋体" w:hAnsi="宋体"/>
                <w:color w:val="auto"/>
                <w:sz w:val="24"/>
                <w:highlight w:val="none"/>
              </w:rPr>
              <w:t>授权代表：</w:t>
            </w:r>
          </w:p>
        </w:tc>
        <w:tc>
          <w:tcPr>
            <w:tcW w:w="4517" w:type="dxa"/>
            <w:vAlign w:val="center"/>
          </w:tcPr>
          <w:p w14:paraId="2EA707ED">
            <w:pPr>
              <w:snapToGrid w:val="0"/>
              <w:spacing w:line="400" w:lineRule="exact"/>
              <w:rPr>
                <w:rFonts w:hint="eastAsia" w:ascii="宋体" w:hAnsi="宋体"/>
                <w:color w:val="auto"/>
                <w:sz w:val="24"/>
                <w:highlight w:val="none"/>
              </w:rPr>
            </w:pPr>
            <w:r>
              <w:rPr>
                <w:rFonts w:hint="eastAsia" w:ascii="宋体" w:hAnsi="宋体"/>
                <w:color w:val="auto"/>
                <w:sz w:val="24"/>
                <w:highlight w:val="none"/>
              </w:rPr>
              <w:t>授权代表</w:t>
            </w:r>
          </w:p>
        </w:tc>
      </w:tr>
      <w:tr w14:paraId="0E4C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11114770">
            <w:pPr>
              <w:snapToGrid w:val="0"/>
              <w:spacing w:line="400" w:lineRule="exact"/>
              <w:rPr>
                <w:rFonts w:hint="eastAsia" w:ascii="宋体" w:hAnsi="宋体"/>
                <w:color w:val="auto"/>
                <w:sz w:val="24"/>
                <w:highlight w:val="none"/>
              </w:rPr>
            </w:pPr>
            <w:r>
              <w:rPr>
                <w:rFonts w:hint="eastAsia" w:ascii="宋体" w:hAnsi="宋体"/>
                <w:color w:val="auto"/>
                <w:sz w:val="24"/>
                <w:highlight w:val="none"/>
              </w:rPr>
              <w:t>电话：</w:t>
            </w:r>
          </w:p>
        </w:tc>
        <w:tc>
          <w:tcPr>
            <w:tcW w:w="4517" w:type="dxa"/>
            <w:vAlign w:val="center"/>
          </w:tcPr>
          <w:p w14:paraId="1A480C3F">
            <w:pPr>
              <w:snapToGrid w:val="0"/>
              <w:spacing w:line="400" w:lineRule="exact"/>
              <w:rPr>
                <w:rFonts w:hint="eastAsia" w:ascii="宋体" w:hAnsi="宋体"/>
                <w:color w:val="auto"/>
                <w:sz w:val="24"/>
                <w:highlight w:val="none"/>
              </w:rPr>
            </w:pPr>
            <w:r>
              <w:rPr>
                <w:rFonts w:hint="eastAsia" w:ascii="宋体" w:hAnsi="宋体"/>
                <w:color w:val="auto"/>
                <w:sz w:val="24"/>
                <w:highlight w:val="none"/>
              </w:rPr>
              <w:t>电话：</w:t>
            </w:r>
          </w:p>
        </w:tc>
      </w:tr>
      <w:tr w14:paraId="6D9F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1B6E2442">
            <w:pPr>
              <w:snapToGrid w:val="0"/>
              <w:spacing w:line="400" w:lineRule="exact"/>
              <w:rPr>
                <w:rFonts w:hint="eastAsia" w:ascii="宋体" w:hAnsi="宋体"/>
                <w:color w:val="auto"/>
                <w:sz w:val="24"/>
                <w:highlight w:val="none"/>
              </w:rPr>
            </w:pPr>
            <w:r>
              <w:rPr>
                <w:rFonts w:hint="eastAsia" w:ascii="宋体" w:hAnsi="宋体"/>
                <w:color w:val="auto"/>
                <w:sz w:val="24"/>
                <w:highlight w:val="none"/>
              </w:rPr>
              <w:t>电子邮箱：</w:t>
            </w:r>
          </w:p>
        </w:tc>
        <w:tc>
          <w:tcPr>
            <w:tcW w:w="4517" w:type="dxa"/>
            <w:vAlign w:val="center"/>
          </w:tcPr>
          <w:p w14:paraId="68A5A893">
            <w:pPr>
              <w:snapToGrid w:val="0"/>
              <w:spacing w:line="400" w:lineRule="exact"/>
              <w:rPr>
                <w:rFonts w:hint="eastAsia" w:ascii="宋体" w:hAnsi="宋体"/>
                <w:color w:val="auto"/>
                <w:sz w:val="24"/>
                <w:highlight w:val="none"/>
              </w:rPr>
            </w:pPr>
            <w:r>
              <w:rPr>
                <w:rFonts w:hint="eastAsia" w:ascii="宋体" w:hAnsi="宋体"/>
                <w:color w:val="auto"/>
                <w:sz w:val="24"/>
                <w:highlight w:val="none"/>
              </w:rPr>
              <w:t>电子邮箱：</w:t>
            </w:r>
          </w:p>
        </w:tc>
      </w:tr>
      <w:tr w14:paraId="5E10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4D19EDAF">
            <w:pPr>
              <w:snapToGrid w:val="0"/>
              <w:spacing w:line="400" w:lineRule="exact"/>
              <w:rPr>
                <w:rFonts w:hint="eastAsia" w:ascii="宋体" w:hAnsi="宋体"/>
                <w:color w:val="auto"/>
                <w:sz w:val="24"/>
                <w:highlight w:val="none"/>
              </w:rPr>
            </w:pPr>
            <w:r>
              <w:rPr>
                <w:rFonts w:hint="eastAsia" w:ascii="宋体" w:hAnsi="宋体"/>
                <w:color w:val="auto"/>
                <w:sz w:val="24"/>
                <w:highlight w:val="none"/>
              </w:rPr>
              <w:t>开户银行：</w:t>
            </w:r>
          </w:p>
        </w:tc>
        <w:tc>
          <w:tcPr>
            <w:tcW w:w="4517" w:type="dxa"/>
            <w:vAlign w:val="center"/>
          </w:tcPr>
          <w:p w14:paraId="739A8B8B">
            <w:pPr>
              <w:snapToGrid w:val="0"/>
              <w:spacing w:line="400" w:lineRule="exact"/>
              <w:rPr>
                <w:rFonts w:hint="eastAsia" w:ascii="宋体" w:hAnsi="宋体"/>
                <w:color w:val="auto"/>
                <w:sz w:val="24"/>
                <w:highlight w:val="none"/>
              </w:rPr>
            </w:pPr>
            <w:r>
              <w:rPr>
                <w:rFonts w:hint="eastAsia" w:ascii="宋体" w:hAnsi="宋体"/>
                <w:color w:val="auto"/>
                <w:sz w:val="24"/>
                <w:highlight w:val="none"/>
              </w:rPr>
              <w:t>开户银行：</w:t>
            </w:r>
          </w:p>
        </w:tc>
      </w:tr>
      <w:tr w14:paraId="1B6C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349D139A">
            <w:pPr>
              <w:snapToGrid w:val="0"/>
              <w:spacing w:line="400" w:lineRule="exact"/>
              <w:rPr>
                <w:rFonts w:hint="eastAsia" w:ascii="宋体" w:hAnsi="宋体"/>
                <w:color w:val="auto"/>
                <w:sz w:val="24"/>
                <w:highlight w:val="none"/>
              </w:rPr>
            </w:pPr>
            <w:r>
              <w:rPr>
                <w:rFonts w:hint="eastAsia" w:ascii="宋体" w:hAnsi="宋体"/>
                <w:color w:val="auto"/>
                <w:sz w:val="24"/>
                <w:highlight w:val="none"/>
              </w:rPr>
              <w:t>账号：</w:t>
            </w:r>
          </w:p>
        </w:tc>
        <w:tc>
          <w:tcPr>
            <w:tcW w:w="4517" w:type="dxa"/>
            <w:vAlign w:val="center"/>
          </w:tcPr>
          <w:p w14:paraId="67EF28EE">
            <w:pPr>
              <w:snapToGrid w:val="0"/>
              <w:spacing w:line="400" w:lineRule="exact"/>
              <w:rPr>
                <w:rFonts w:hint="eastAsia" w:ascii="宋体" w:hAnsi="宋体"/>
                <w:color w:val="auto"/>
                <w:sz w:val="24"/>
                <w:highlight w:val="none"/>
              </w:rPr>
            </w:pPr>
            <w:r>
              <w:rPr>
                <w:rFonts w:hint="eastAsia" w:ascii="宋体" w:hAnsi="宋体"/>
                <w:color w:val="auto"/>
                <w:sz w:val="24"/>
                <w:highlight w:val="none"/>
              </w:rPr>
              <w:t>账号：</w:t>
            </w:r>
          </w:p>
        </w:tc>
      </w:tr>
      <w:tr w14:paraId="0EB8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5228DC67">
            <w:pPr>
              <w:snapToGrid w:val="0"/>
              <w:spacing w:line="400" w:lineRule="exact"/>
              <w:rPr>
                <w:rFonts w:hint="eastAsia" w:ascii="宋体" w:hAnsi="宋体"/>
                <w:color w:val="auto"/>
                <w:sz w:val="24"/>
                <w:highlight w:val="none"/>
              </w:rPr>
            </w:pPr>
            <w:r>
              <w:rPr>
                <w:rFonts w:hint="eastAsia" w:ascii="宋体" w:hAnsi="宋体"/>
                <w:color w:val="auto"/>
                <w:sz w:val="24"/>
                <w:highlight w:val="none"/>
              </w:rPr>
              <w:t>邮政编码：</w:t>
            </w:r>
          </w:p>
        </w:tc>
        <w:tc>
          <w:tcPr>
            <w:tcW w:w="4517" w:type="dxa"/>
            <w:vAlign w:val="center"/>
          </w:tcPr>
          <w:p w14:paraId="4C00BE9A">
            <w:pPr>
              <w:snapToGrid w:val="0"/>
              <w:spacing w:line="400" w:lineRule="exact"/>
              <w:rPr>
                <w:rFonts w:hint="eastAsia" w:ascii="宋体" w:hAnsi="宋体"/>
                <w:color w:val="auto"/>
                <w:sz w:val="24"/>
                <w:highlight w:val="none"/>
              </w:rPr>
            </w:pPr>
            <w:r>
              <w:rPr>
                <w:rFonts w:hint="eastAsia" w:ascii="宋体" w:hAnsi="宋体"/>
                <w:color w:val="auto"/>
                <w:sz w:val="24"/>
                <w:highlight w:val="none"/>
              </w:rPr>
              <w:t>邮政编码：</w:t>
            </w:r>
          </w:p>
        </w:tc>
      </w:tr>
      <w:tr w14:paraId="6A75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33" w:type="dxa"/>
            <w:gridSpan w:val="2"/>
          </w:tcPr>
          <w:p w14:paraId="73655BE8">
            <w:pPr>
              <w:wordWrap w:val="0"/>
              <w:snapToGrid w:val="0"/>
              <w:spacing w:line="400" w:lineRule="exact"/>
              <w:ind w:right="240"/>
              <w:jc w:val="right"/>
              <w:rPr>
                <w:rFonts w:hint="eastAsia" w:ascii="宋体" w:hAnsi="宋体"/>
                <w:color w:val="auto"/>
                <w:sz w:val="24"/>
                <w:highlight w:val="none"/>
              </w:rPr>
            </w:pPr>
            <w:r>
              <w:rPr>
                <w:rFonts w:hint="eastAsia" w:ascii="宋体" w:hAnsi="宋体"/>
                <w:color w:val="auto"/>
                <w:sz w:val="24"/>
                <w:highlight w:val="none"/>
              </w:rPr>
              <w:t>经办人：                                                 年    月    日</w:t>
            </w:r>
          </w:p>
        </w:tc>
      </w:tr>
    </w:tbl>
    <w:p w14:paraId="7851F0DC">
      <w:pPr>
        <w:snapToGrid w:val="0"/>
        <w:ind w:left="480" w:hanging="480" w:hangingChars="200"/>
        <w:rPr>
          <w:rFonts w:hint="eastAsia" w:ascii="宋体" w:hAnsi="宋体"/>
          <w:color w:val="auto"/>
          <w:sz w:val="24"/>
          <w:highlight w:val="none"/>
        </w:rPr>
      </w:pPr>
    </w:p>
    <w:p w14:paraId="33D1729B">
      <w:pPr>
        <w:snapToGrid w:val="0"/>
        <w:spacing w:line="360" w:lineRule="auto"/>
        <w:jc w:val="center"/>
        <w:rPr>
          <w:rFonts w:hint="eastAsia" w:ascii="宋体" w:hAnsi="宋体"/>
          <w:b/>
          <w:color w:val="auto"/>
          <w:sz w:val="24"/>
          <w:highlight w:val="none"/>
        </w:rPr>
      </w:pPr>
    </w:p>
    <w:p w14:paraId="47FC8940">
      <w:pPr>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合 同 附 件</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860"/>
      </w:tblGrid>
      <w:tr w14:paraId="44F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11B12867">
            <w:pPr>
              <w:snapToGrid w:val="0"/>
              <w:ind w:firstLine="482"/>
              <w:rPr>
                <w:rFonts w:hint="eastAsia" w:ascii="宋体" w:hAnsi="宋体"/>
                <w:color w:val="auto"/>
                <w:sz w:val="24"/>
                <w:highlight w:val="none"/>
              </w:rPr>
            </w:pPr>
            <w:r>
              <w:rPr>
                <w:rFonts w:hint="eastAsia" w:ascii="宋体" w:hAnsi="宋体"/>
                <w:color w:val="auto"/>
                <w:sz w:val="24"/>
                <w:highlight w:val="none"/>
              </w:rPr>
              <w:t>1.供应商承诺具体事项：</w:t>
            </w:r>
          </w:p>
        </w:tc>
      </w:tr>
      <w:tr w14:paraId="4FD8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8" w:type="dxa"/>
            <w:gridSpan w:val="2"/>
            <w:tcBorders>
              <w:left w:val="single" w:color="auto" w:sz="4" w:space="0"/>
              <w:right w:val="single" w:color="auto" w:sz="4" w:space="0"/>
            </w:tcBorders>
            <w:vAlign w:val="center"/>
          </w:tcPr>
          <w:p w14:paraId="5C6C2DB2">
            <w:pPr>
              <w:snapToGrid w:val="0"/>
              <w:ind w:firstLine="482"/>
              <w:rPr>
                <w:rFonts w:hint="eastAsia" w:ascii="宋体" w:hAnsi="宋体"/>
                <w:color w:val="auto"/>
                <w:sz w:val="24"/>
                <w:highlight w:val="none"/>
              </w:rPr>
            </w:pPr>
          </w:p>
        </w:tc>
      </w:tr>
      <w:tr w14:paraId="7101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25205A1E">
            <w:pPr>
              <w:snapToGrid w:val="0"/>
              <w:ind w:firstLine="482"/>
              <w:rPr>
                <w:rFonts w:hint="eastAsia" w:ascii="宋体" w:hAnsi="宋体"/>
                <w:color w:val="auto"/>
                <w:sz w:val="24"/>
                <w:highlight w:val="none"/>
              </w:rPr>
            </w:pPr>
            <w:r>
              <w:rPr>
                <w:rFonts w:hint="eastAsia" w:ascii="宋体" w:hAnsi="宋体"/>
                <w:color w:val="auto"/>
                <w:sz w:val="24"/>
                <w:highlight w:val="none"/>
              </w:rPr>
              <w:t>2.售后服务具体事项：</w:t>
            </w:r>
          </w:p>
        </w:tc>
      </w:tr>
      <w:tr w14:paraId="74A5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8" w:type="dxa"/>
            <w:gridSpan w:val="2"/>
            <w:tcBorders>
              <w:left w:val="single" w:color="auto" w:sz="4" w:space="0"/>
              <w:bottom w:val="single" w:color="auto" w:sz="4" w:space="0"/>
              <w:right w:val="single" w:color="auto" w:sz="4" w:space="0"/>
            </w:tcBorders>
            <w:vAlign w:val="center"/>
          </w:tcPr>
          <w:p w14:paraId="5D127563">
            <w:pPr>
              <w:snapToGrid w:val="0"/>
              <w:ind w:firstLine="482"/>
              <w:rPr>
                <w:rFonts w:hint="eastAsia" w:ascii="宋体" w:hAnsi="宋体"/>
                <w:color w:val="auto"/>
                <w:sz w:val="24"/>
                <w:highlight w:val="none"/>
              </w:rPr>
            </w:pPr>
          </w:p>
        </w:tc>
      </w:tr>
      <w:tr w14:paraId="2942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6AA4B71D">
            <w:pPr>
              <w:snapToGrid w:val="0"/>
              <w:ind w:firstLine="482"/>
              <w:rPr>
                <w:rFonts w:hint="eastAsia" w:ascii="宋体" w:hAnsi="宋体"/>
                <w:color w:val="auto"/>
                <w:sz w:val="24"/>
                <w:highlight w:val="none"/>
              </w:rPr>
            </w:pPr>
            <w:r>
              <w:rPr>
                <w:rFonts w:hint="eastAsia" w:ascii="宋体" w:hAnsi="宋体"/>
                <w:color w:val="auto"/>
                <w:sz w:val="24"/>
                <w:highlight w:val="none"/>
              </w:rPr>
              <w:t>3.其他具体事项：</w:t>
            </w:r>
          </w:p>
        </w:tc>
      </w:tr>
      <w:tr w14:paraId="2D85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08" w:type="dxa"/>
            <w:gridSpan w:val="2"/>
            <w:tcBorders>
              <w:left w:val="single" w:color="auto" w:sz="4" w:space="0"/>
              <w:right w:val="single" w:color="auto" w:sz="4" w:space="0"/>
            </w:tcBorders>
            <w:vAlign w:val="center"/>
          </w:tcPr>
          <w:p w14:paraId="07EF3D68">
            <w:pPr>
              <w:snapToGrid w:val="0"/>
              <w:ind w:firstLine="482"/>
              <w:rPr>
                <w:rFonts w:hint="eastAsia" w:ascii="宋体" w:hAnsi="宋体"/>
                <w:color w:val="auto"/>
                <w:sz w:val="24"/>
                <w:highlight w:val="none"/>
              </w:rPr>
            </w:pPr>
          </w:p>
        </w:tc>
      </w:tr>
      <w:tr w14:paraId="4AD0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4248" w:type="dxa"/>
            <w:tcBorders>
              <w:top w:val="single" w:color="auto" w:sz="4" w:space="0"/>
              <w:left w:val="single" w:color="auto" w:sz="4" w:space="0"/>
              <w:bottom w:val="single" w:color="auto" w:sz="4" w:space="0"/>
              <w:right w:val="single" w:color="auto" w:sz="4" w:space="0"/>
            </w:tcBorders>
            <w:vAlign w:val="center"/>
          </w:tcPr>
          <w:p w14:paraId="53030F3B">
            <w:pPr>
              <w:snapToGrid w:val="0"/>
              <w:ind w:firstLine="482"/>
              <w:rPr>
                <w:rFonts w:hint="eastAsia" w:ascii="宋体" w:hAnsi="宋体"/>
                <w:color w:val="auto"/>
                <w:sz w:val="24"/>
                <w:highlight w:val="none"/>
              </w:rPr>
            </w:pPr>
            <w:r>
              <w:rPr>
                <w:rFonts w:hint="eastAsia" w:ascii="宋体" w:hAnsi="宋体"/>
                <w:color w:val="auto"/>
                <w:sz w:val="24"/>
                <w:highlight w:val="none"/>
              </w:rPr>
              <w:t>甲方（章）</w:t>
            </w:r>
          </w:p>
          <w:p w14:paraId="54970A2C">
            <w:pPr>
              <w:snapToGrid w:val="0"/>
              <w:ind w:firstLine="482"/>
              <w:rPr>
                <w:rFonts w:hint="eastAsia" w:ascii="宋体" w:hAnsi="宋体"/>
                <w:color w:val="auto"/>
                <w:sz w:val="24"/>
                <w:highlight w:val="none"/>
              </w:rPr>
            </w:pPr>
          </w:p>
          <w:p w14:paraId="4D25ABA3">
            <w:pPr>
              <w:snapToGrid w:val="0"/>
              <w:ind w:firstLine="482"/>
              <w:rPr>
                <w:rFonts w:hint="eastAsia" w:ascii="宋体" w:hAnsi="宋体"/>
                <w:color w:val="auto"/>
                <w:sz w:val="24"/>
                <w:highlight w:val="none"/>
              </w:rPr>
            </w:pPr>
          </w:p>
          <w:p w14:paraId="1FBE1BFB">
            <w:pPr>
              <w:snapToGrid w:val="0"/>
              <w:ind w:firstLine="482"/>
              <w:rPr>
                <w:rFonts w:hint="eastAsia" w:ascii="宋体" w:hAnsi="宋体"/>
                <w:color w:val="auto"/>
                <w:sz w:val="24"/>
                <w:highlight w:val="none"/>
              </w:rPr>
            </w:pPr>
          </w:p>
          <w:p w14:paraId="077D4210">
            <w:pPr>
              <w:snapToGrid w:val="0"/>
              <w:ind w:firstLine="482"/>
              <w:rPr>
                <w:rFonts w:hint="eastAsia" w:ascii="宋体" w:hAnsi="宋体"/>
                <w:color w:val="auto"/>
                <w:sz w:val="24"/>
                <w:highlight w:val="none"/>
              </w:rPr>
            </w:pPr>
          </w:p>
          <w:p w14:paraId="72BDC4BC">
            <w:pPr>
              <w:snapToGrid w:val="0"/>
              <w:ind w:firstLine="482"/>
              <w:rPr>
                <w:rFonts w:hint="eastAsia" w:ascii="宋体" w:hAnsi="宋体"/>
                <w:color w:val="auto"/>
                <w:sz w:val="24"/>
                <w:highlight w:val="none"/>
              </w:rPr>
            </w:pPr>
          </w:p>
          <w:p w14:paraId="3FDB58FF">
            <w:pPr>
              <w:snapToGrid w:val="0"/>
              <w:ind w:firstLine="482"/>
              <w:rPr>
                <w:rFonts w:hint="eastAsia" w:ascii="宋体" w:hAnsi="宋体"/>
                <w:color w:val="auto"/>
                <w:sz w:val="24"/>
                <w:highlight w:val="none"/>
              </w:rPr>
            </w:pPr>
            <w:r>
              <w:rPr>
                <w:rFonts w:hint="eastAsia" w:ascii="宋体" w:hAnsi="宋体"/>
                <w:color w:val="auto"/>
                <w:sz w:val="24"/>
                <w:highlight w:val="none"/>
              </w:rPr>
              <w:t xml:space="preserve">                 年   月   日 </w:t>
            </w:r>
          </w:p>
        </w:tc>
        <w:tc>
          <w:tcPr>
            <w:tcW w:w="4860" w:type="dxa"/>
            <w:tcBorders>
              <w:top w:val="single" w:color="auto" w:sz="4" w:space="0"/>
              <w:left w:val="single" w:color="auto" w:sz="4" w:space="0"/>
              <w:bottom w:val="single" w:color="auto" w:sz="4" w:space="0"/>
              <w:right w:val="single" w:color="auto" w:sz="4" w:space="0"/>
            </w:tcBorders>
            <w:vAlign w:val="center"/>
          </w:tcPr>
          <w:p w14:paraId="0A1E3182">
            <w:pPr>
              <w:snapToGrid w:val="0"/>
              <w:ind w:firstLine="482"/>
              <w:rPr>
                <w:rFonts w:hint="eastAsia" w:ascii="宋体" w:hAnsi="宋体"/>
                <w:color w:val="auto"/>
                <w:sz w:val="24"/>
                <w:highlight w:val="none"/>
              </w:rPr>
            </w:pPr>
            <w:r>
              <w:rPr>
                <w:rFonts w:hint="eastAsia" w:ascii="宋体" w:hAnsi="宋体"/>
                <w:color w:val="auto"/>
                <w:sz w:val="24"/>
                <w:highlight w:val="none"/>
              </w:rPr>
              <w:t>乙方（章）</w:t>
            </w:r>
          </w:p>
          <w:p w14:paraId="23601108">
            <w:pPr>
              <w:snapToGrid w:val="0"/>
              <w:ind w:firstLine="482"/>
              <w:rPr>
                <w:rFonts w:hint="eastAsia" w:ascii="宋体" w:hAnsi="宋体"/>
                <w:color w:val="auto"/>
                <w:sz w:val="24"/>
                <w:highlight w:val="none"/>
              </w:rPr>
            </w:pPr>
          </w:p>
          <w:p w14:paraId="02F9CFBD">
            <w:pPr>
              <w:snapToGrid w:val="0"/>
              <w:ind w:firstLine="482"/>
              <w:rPr>
                <w:rFonts w:hint="eastAsia" w:ascii="宋体" w:hAnsi="宋体"/>
                <w:color w:val="auto"/>
                <w:sz w:val="24"/>
                <w:highlight w:val="none"/>
              </w:rPr>
            </w:pPr>
          </w:p>
          <w:p w14:paraId="44C4AD71">
            <w:pPr>
              <w:snapToGrid w:val="0"/>
              <w:ind w:firstLine="482"/>
              <w:rPr>
                <w:rFonts w:hint="eastAsia" w:ascii="宋体" w:hAnsi="宋体"/>
                <w:color w:val="auto"/>
                <w:sz w:val="24"/>
                <w:highlight w:val="none"/>
              </w:rPr>
            </w:pPr>
          </w:p>
          <w:p w14:paraId="60E47442">
            <w:pPr>
              <w:snapToGrid w:val="0"/>
              <w:ind w:firstLine="482"/>
              <w:rPr>
                <w:rFonts w:hint="eastAsia" w:ascii="宋体" w:hAnsi="宋体"/>
                <w:color w:val="auto"/>
                <w:sz w:val="24"/>
                <w:highlight w:val="none"/>
              </w:rPr>
            </w:pPr>
          </w:p>
          <w:p w14:paraId="44D22857">
            <w:pPr>
              <w:snapToGrid w:val="0"/>
              <w:ind w:firstLine="482"/>
              <w:rPr>
                <w:rFonts w:hint="eastAsia" w:ascii="宋体" w:hAnsi="宋体"/>
                <w:color w:val="auto"/>
                <w:sz w:val="24"/>
                <w:highlight w:val="none"/>
              </w:rPr>
            </w:pPr>
          </w:p>
          <w:p w14:paraId="346D4B87">
            <w:pPr>
              <w:snapToGrid w:val="0"/>
              <w:ind w:firstLine="482"/>
              <w:rPr>
                <w:rFonts w:hint="eastAsia" w:ascii="宋体" w:hAnsi="宋体"/>
                <w:color w:val="auto"/>
                <w:sz w:val="24"/>
                <w:highlight w:val="none"/>
              </w:rPr>
            </w:pPr>
            <w:r>
              <w:rPr>
                <w:rFonts w:hint="eastAsia" w:ascii="宋体" w:hAnsi="宋体"/>
                <w:color w:val="auto"/>
                <w:sz w:val="24"/>
                <w:highlight w:val="none"/>
              </w:rPr>
              <w:t xml:space="preserve">                年   月   日</w:t>
            </w:r>
          </w:p>
        </w:tc>
      </w:tr>
    </w:tbl>
    <w:p w14:paraId="22114B9B">
      <w:pPr>
        <w:snapToGrid w:val="0"/>
        <w:rPr>
          <w:rFonts w:hint="eastAsia" w:ascii="宋体" w:hAnsi="宋体"/>
          <w:color w:val="auto"/>
          <w:sz w:val="24"/>
          <w:highlight w:val="none"/>
        </w:rPr>
      </w:pPr>
      <w:r>
        <w:rPr>
          <w:rFonts w:hint="eastAsia" w:ascii="宋体" w:hAnsi="宋体"/>
          <w:color w:val="auto"/>
          <w:sz w:val="24"/>
          <w:highlight w:val="none"/>
        </w:rPr>
        <w:t xml:space="preserve">  注：售后服务事项填不下时可另加附页</w:t>
      </w:r>
    </w:p>
    <w:p w14:paraId="13412FD4">
      <w:pPr>
        <w:snapToGrid w:val="0"/>
        <w:jc w:val="center"/>
        <w:rPr>
          <w:rFonts w:hint="eastAsia" w:ascii="宋体" w:hAnsi="宋体"/>
          <w:bCs/>
          <w:color w:val="auto"/>
          <w:sz w:val="32"/>
          <w:szCs w:val="32"/>
          <w:highlight w:val="none"/>
        </w:rPr>
      </w:pPr>
      <w:r>
        <w:rPr>
          <w:rFonts w:ascii="宋体" w:hAnsi="宋体"/>
          <w:b/>
          <w:color w:val="auto"/>
          <w:sz w:val="32"/>
          <w:szCs w:val="32"/>
          <w:highlight w:val="none"/>
        </w:rPr>
        <w:br w:type="page"/>
      </w:r>
    </w:p>
    <w:bookmarkEnd w:id="149"/>
    <w:p w14:paraId="0214A9AA">
      <w:pPr>
        <w:snapToGrid w:val="0"/>
        <w:spacing w:line="480" w:lineRule="auto"/>
        <w:rPr>
          <w:rFonts w:hint="eastAsia" w:ascii="宋体" w:hAnsi="宋体"/>
          <w:bCs/>
          <w:color w:val="auto"/>
          <w:sz w:val="32"/>
          <w:szCs w:val="32"/>
          <w:highlight w:val="none"/>
        </w:rPr>
      </w:pPr>
    </w:p>
    <w:p w14:paraId="6D9A99EF">
      <w:pPr>
        <w:snapToGrid w:val="0"/>
        <w:jc w:val="center"/>
        <w:rPr>
          <w:rFonts w:hint="eastAsia" w:ascii="宋体" w:hAnsi="宋体"/>
          <w:bCs/>
          <w:color w:val="auto"/>
          <w:sz w:val="32"/>
          <w:szCs w:val="32"/>
          <w:highlight w:val="none"/>
        </w:rPr>
      </w:pPr>
    </w:p>
    <w:p w14:paraId="119AABFD">
      <w:pPr>
        <w:snapToGrid w:val="0"/>
        <w:jc w:val="center"/>
        <w:rPr>
          <w:rFonts w:hint="eastAsia" w:ascii="宋体" w:hAnsi="宋体"/>
          <w:bCs/>
          <w:color w:val="auto"/>
          <w:sz w:val="32"/>
          <w:szCs w:val="32"/>
          <w:highlight w:val="none"/>
        </w:rPr>
      </w:pPr>
    </w:p>
    <w:p w14:paraId="1DE18009">
      <w:pPr>
        <w:snapToGrid w:val="0"/>
        <w:jc w:val="center"/>
        <w:rPr>
          <w:rFonts w:hint="eastAsia" w:ascii="宋体" w:hAnsi="宋体"/>
          <w:bCs/>
          <w:color w:val="auto"/>
          <w:sz w:val="32"/>
          <w:szCs w:val="32"/>
          <w:highlight w:val="none"/>
        </w:rPr>
      </w:pPr>
    </w:p>
    <w:p w14:paraId="61CB83D3">
      <w:pPr>
        <w:snapToGrid w:val="0"/>
        <w:jc w:val="center"/>
        <w:rPr>
          <w:rFonts w:hint="eastAsia" w:ascii="宋体" w:hAnsi="宋体"/>
          <w:bCs/>
          <w:color w:val="auto"/>
          <w:sz w:val="32"/>
          <w:szCs w:val="32"/>
          <w:highlight w:val="none"/>
        </w:rPr>
      </w:pPr>
    </w:p>
    <w:p w14:paraId="6CC23629">
      <w:pPr>
        <w:snapToGrid w:val="0"/>
        <w:jc w:val="center"/>
        <w:rPr>
          <w:rFonts w:hint="eastAsia" w:ascii="宋体" w:hAnsi="宋体"/>
          <w:bCs/>
          <w:color w:val="auto"/>
          <w:sz w:val="32"/>
          <w:szCs w:val="32"/>
          <w:highlight w:val="none"/>
        </w:rPr>
      </w:pPr>
    </w:p>
    <w:p w14:paraId="4468E65B">
      <w:pPr>
        <w:snapToGrid w:val="0"/>
        <w:jc w:val="center"/>
        <w:rPr>
          <w:rFonts w:hint="eastAsia" w:ascii="宋体" w:hAnsi="宋体"/>
          <w:bCs/>
          <w:color w:val="auto"/>
          <w:sz w:val="32"/>
          <w:szCs w:val="32"/>
          <w:highlight w:val="none"/>
        </w:rPr>
      </w:pPr>
    </w:p>
    <w:p w14:paraId="43CD7C57">
      <w:pPr>
        <w:snapToGrid w:val="0"/>
        <w:jc w:val="center"/>
        <w:rPr>
          <w:rFonts w:hint="eastAsia" w:ascii="宋体" w:hAnsi="宋体"/>
          <w:bCs/>
          <w:color w:val="auto"/>
          <w:sz w:val="32"/>
          <w:szCs w:val="32"/>
          <w:highlight w:val="none"/>
        </w:rPr>
      </w:pPr>
    </w:p>
    <w:p w14:paraId="6214035F">
      <w:pPr>
        <w:snapToGrid w:val="0"/>
        <w:jc w:val="center"/>
        <w:rPr>
          <w:rFonts w:hint="eastAsia" w:ascii="宋体" w:hAnsi="宋体"/>
          <w:bCs/>
          <w:color w:val="auto"/>
          <w:sz w:val="32"/>
          <w:szCs w:val="32"/>
          <w:highlight w:val="none"/>
        </w:rPr>
      </w:pPr>
    </w:p>
    <w:p w14:paraId="582ABEF7">
      <w:pPr>
        <w:snapToGrid w:val="0"/>
        <w:jc w:val="center"/>
        <w:rPr>
          <w:rFonts w:hint="eastAsia" w:ascii="宋体" w:hAnsi="宋体"/>
          <w:bCs/>
          <w:color w:val="auto"/>
          <w:sz w:val="32"/>
          <w:szCs w:val="32"/>
          <w:highlight w:val="none"/>
        </w:rPr>
      </w:pPr>
    </w:p>
    <w:p w14:paraId="357CEDFF">
      <w:pPr>
        <w:snapToGrid w:val="0"/>
        <w:jc w:val="center"/>
        <w:rPr>
          <w:rFonts w:hint="eastAsia" w:ascii="宋体" w:hAnsi="宋体"/>
          <w:bCs/>
          <w:color w:val="auto"/>
          <w:sz w:val="32"/>
          <w:szCs w:val="32"/>
          <w:highlight w:val="none"/>
        </w:rPr>
      </w:pPr>
    </w:p>
    <w:p w14:paraId="17141ACA">
      <w:pPr>
        <w:snapToGrid w:val="0"/>
        <w:jc w:val="center"/>
        <w:rPr>
          <w:rFonts w:hint="eastAsia" w:ascii="宋体" w:hAnsi="宋体"/>
          <w:bCs/>
          <w:color w:val="auto"/>
          <w:sz w:val="32"/>
          <w:szCs w:val="32"/>
          <w:highlight w:val="none"/>
        </w:rPr>
      </w:pPr>
    </w:p>
    <w:p w14:paraId="10FE68B8">
      <w:pPr>
        <w:pStyle w:val="3"/>
        <w:jc w:val="center"/>
        <w:rPr>
          <w:rFonts w:hint="eastAsia" w:ascii="宋体" w:hAnsi="宋体" w:eastAsia="宋体"/>
          <w:color w:val="auto"/>
          <w:highlight w:val="none"/>
        </w:rPr>
      </w:pPr>
      <w:bookmarkStart w:id="150" w:name="_Toc18213"/>
      <w:r>
        <w:rPr>
          <w:rFonts w:hint="eastAsia" w:ascii="宋体" w:hAnsi="宋体" w:eastAsia="宋体"/>
          <w:color w:val="auto"/>
          <w:highlight w:val="none"/>
        </w:rPr>
        <w:t>第六章　投标文件格式</w:t>
      </w:r>
      <w:bookmarkEnd w:id="150"/>
    </w:p>
    <w:p w14:paraId="247843FE">
      <w:pPr>
        <w:snapToGrid w:val="0"/>
        <w:spacing w:before="50" w:after="50"/>
        <w:outlineLvl w:val="1"/>
        <w:rPr>
          <w:rFonts w:hint="eastAsia" w:ascii="宋体" w:hAnsi="宋体"/>
          <w:color w:val="auto"/>
          <w:sz w:val="32"/>
          <w:szCs w:val="20"/>
          <w:highlight w:val="none"/>
        </w:rPr>
      </w:pPr>
    </w:p>
    <w:p w14:paraId="5880E2DE">
      <w:pPr>
        <w:snapToGrid w:val="0"/>
        <w:spacing w:before="50" w:after="50"/>
        <w:outlineLvl w:val="1"/>
        <w:rPr>
          <w:rFonts w:hint="eastAsia" w:ascii="宋体" w:hAnsi="宋体"/>
          <w:color w:val="auto"/>
          <w:sz w:val="32"/>
          <w:szCs w:val="20"/>
          <w:highlight w:val="none"/>
        </w:rPr>
      </w:pPr>
    </w:p>
    <w:p w14:paraId="2C988838">
      <w:pPr>
        <w:snapToGrid w:val="0"/>
        <w:spacing w:before="50" w:after="50"/>
        <w:outlineLvl w:val="1"/>
        <w:rPr>
          <w:rFonts w:hint="eastAsia" w:ascii="宋体" w:hAnsi="宋体"/>
          <w:color w:val="auto"/>
          <w:sz w:val="32"/>
          <w:szCs w:val="20"/>
          <w:highlight w:val="none"/>
        </w:rPr>
      </w:pPr>
    </w:p>
    <w:p w14:paraId="70EB364B">
      <w:pPr>
        <w:snapToGrid w:val="0"/>
        <w:spacing w:before="50" w:after="50"/>
        <w:outlineLvl w:val="1"/>
        <w:rPr>
          <w:rFonts w:hint="eastAsia" w:ascii="宋体" w:hAnsi="宋体"/>
          <w:color w:val="auto"/>
          <w:sz w:val="32"/>
          <w:szCs w:val="20"/>
          <w:highlight w:val="none"/>
        </w:rPr>
      </w:pPr>
    </w:p>
    <w:p w14:paraId="7377AEBB">
      <w:pPr>
        <w:snapToGrid w:val="0"/>
        <w:spacing w:before="50" w:after="50"/>
        <w:outlineLvl w:val="1"/>
        <w:rPr>
          <w:rFonts w:hint="eastAsia" w:ascii="宋体" w:hAnsi="宋体"/>
          <w:color w:val="auto"/>
          <w:sz w:val="32"/>
          <w:szCs w:val="20"/>
          <w:highlight w:val="none"/>
        </w:rPr>
      </w:pPr>
    </w:p>
    <w:p w14:paraId="5C3AFAFC">
      <w:pPr>
        <w:snapToGrid w:val="0"/>
        <w:spacing w:before="50" w:after="50"/>
        <w:outlineLvl w:val="1"/>
        <w:rPr>
          <w:rFonts w:hint="eastAsia" w:ascii="宋体" w:hAnsi="宋体"/>
          <w:color w:val="auto"/>
          <w:sz w:val="32"/>
          <w:szCs w:val="20"/>
          <w:highlight w:val="none"/>
        </w:rPr>
      </w:pPr>
    </w:p>
    <w:p w14:paraId="558EA9B9">
      <w:pPr>
        <w:snapToGrid w:val="0"/>
        <w:spacing w:before="50" w:after="50"/>
        <w:outlineLvl w:val="1"/>
        <w:rPr>
          <w:rFonts w:hint="eastAsia" w:ascii="宋体" w:hAnsi="宋体"/>
          <w:color w:val="auto"/>
          <w:sz w:val="32"/>
          <w:szCs w:val="20"/>
          <w:highlight w:val="none"/>
        </w:rPr>
      </w:pPr>
    </w:p>
    <w:p w14:paraId="6F73EAB4">
      <w:pPr>
        <w:snapToGrid w:val="0"/>
        <w:spacing w:before="50" w:after="50"/>
        <w:outlineLvl w:val="1"/>
        <w:rPr>
          <w:rFonts w:hint="eastAsia" w:ascii="宋体" w:hAnsi="宋体"/>
          <w:color w:val="auto"/>
          <w:sz w:val="32"/>
          <w:szCs w:val="20"/>
          <w:highlight w:val="none"/>
        </w:rPr>
      </w:pPr>
    </w:p>
    <w:p w14:paraId="188AFFB8">
      <w:pPr>
        <w:snapToGrid w:val="0"/>
        <w:spacing w:before="50" w:after="50"/>
        <w:outlineLvl w:val="1"/>
        <w:rPr>
          <w:rFonts w:hint="eastAsia" w:ascii="宋体" w:hAnsi="宋体"/>
          <w:color w:val="auto"/>
          <w:sz w:val="32"/>
          <w:szCs w:val="20"/>
          <w:highlight w:val="none"/>
        </w:rPr>
      </w:pPr>
    </w:p>
    <w:p w14:paraId="7E32BF19">
      <w:pPr>
        <w:snapToGrid w:val="0"/>
        <w:spacing w:before="50" w:after="50"/>
        <w:outlineLvl w:val="1"/>
        <w:rPr>
          <w:rFonts w:hint="eastAsia" w:ascii="宋体" w:hAnsi="宋体"/>
          <w:color w:val="auto"/>
          <w:sz w:val="32"/>
          <w:szCs w:val="20"/>
          <w:highlight w:val="none"/>
        </w:rPr>
      </w:pPr>
    </w:p>
    <w:p w14:paraId="66BD5B40">
      <w:pPr>
        <w:snapToGrid w:val="0"/>
        <w:spacing w:before="50" w:after="50"/>
        <w:outlineLvl w:val="1"/>
        <w:rPr>
          <w:rFonts w:hint="eastAsia" w:ascii="宋体" w:hAnsi="宋体"/>
          <w:color w:val="auto"/>
          <w:sz w:val="32"/>
          <w:szCs w:val="20"/>
          <w:highlight w:val="none"/>
        </w:rPr>
      </w:pPr>
    </w:p>
    <w:p w14:paraId="47D7805D">
      <w:pPr>
        <w:snapToGrid w:val="0"/>
        <w:spacing w:before="120" w:beforeLines="50" w:after="50"/>
        <w:jc w:val="center"/>
        <w:outlineLvl w:val="1"/>
        <w:rPr>
          <w:rFonts w:hint="eastAsia" w:ascii="宋体" w:hAnsi="宋体"/>
          <w:color w:val="auto"/>
          <w:highlight w:val="none"/>
        </w:rPr>
      </w:pPr>
    </w:p>
    <w:p w14:paraId="0075039B">
      <w:pPr>
        <w:rPr>
          <w:rFonts w:hint="eastAsia" w:ascii="宋体" w:hAnsi="宋体"/>
          <w:b/>
          <w:color w:val="auto"/>
          <w:sz w:val="28"/>
          <w:szCs w:val="28"/>
          <w:highlight w:val="none"/>
        </w:rPr>
      </w:pPr>
      <w:bookmarkStart w:id="151" w:name="_Toc19686836"/>
      <w:bookmarkStart w:id="152" w:name="_Toc254970557"/>
      <w:bookmarkStart w:id="153" w:name="_Toc254970698"/>
      <w:r>
        <w:rPr>
          <w:rFonts w:ascii="宋体" w:hAnsi="宋体"/>
          <w:b/>
          <w:color w:val="auto"/>
          <w:sz w:val="28"/>
          <w:szCs w:val="28"/>
          <w:highlight w:val="none"/>
        </w:rPr>
        <w:br w:type="page"/>
      </w:r>
      <w:r>
        <w:rPr>
          <w:rFonts w:hint="eastAsia" w:ascii="宋体" w:hAnsi="宋体"/>
          <w:b/>
          <w:color w:val="auto"/>
          <w:sz w:val="28"/>
          <w:szCs w:val="28"/>
          <w:highlight w:val="none"/>
        </w:rPr>
        <w:t>一、报价文件格式</w:t>
      </w:r>
      <w:bookmarkEnd w:id="151"/>
    </w:p>
    <w:p w14:paraId="7782CA54">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20F6E098">
      <w:pPr>
        <w:snapToGrid w:val="0"/>
        <w:spacing w:before="120" w:beforeLines="50" w:after="50" w:line="400" w:lineRule="exact"/>
        <w:rPr>
          <w:rFonts w:hint="eastAsia" w:ascii="宋体" w:hAnsi="宋体"/>
          <w:bCs/>
          <w:color w:val="auto"/>
          <w:sz w:val="32"/>
          <w:szCs w:val="20"/>
          <w:highlight w:val="none"/>
        </w:rPr>
      </w:pPr>
    </w:p>
    <w:p w14:paraId="5934506F">
      <w:pPr>
        <w:snapToGrid w:val="0"/>
        <w:spacing w:before="120" w:beforeLines="50" w:after="50" w:line="400" w:lineRule="exact"/>
        <w:jc w:val="center"/>
        <w:rPr>
          <w:rFonts w:hint="eastAsia" w:ascii="宋体" w:hAnsi="宋体"/>
          <w:bCs/>
          <w:color w:val="auto"/>
          <w:sz w:val="24"/>
          <w:szCs w:val="20"/>
          <w:highlight w:val="none"/>
        </w:rPr>
      </w:pPr>
    </w:p>
    <w:p w14:paraId="195836F7">
      <w:pPr>
        <w:snapToGrid w:val="0"/>
        <w:spacing w:before="120" w:beforeLines="50" w:after="50"/>
        <w:jc w:val="center"/>
        <w:rPr>
          <w:rFonts w:hint="eastAsia"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09D00906">
      <w:pPr>
        <w:snapToGrid w:val="0"/>
        <w:spacing w:before="120" w:beforeLines="50" w:after="50" w:line="400" w:lineRule="exact"/>
        <w:jc w:val="center"/>
        <w:rPr>
          <w:rFonts w:hint="eastAsia" w:ascii="宋体" w:hAnsi="宋体"/>
          <w:bCs/>
          <w:color w:val="auto"/>
          <w:sz w:val="32"/>
          <w:szCs w:val="32"/>
          <w:highlight w:val="none"/>
        </w:rPr>
      </w:pPr>
    </w:p>
    <w:p w14:paraId="641CBD89">
      <w:pPr>
        <w:snapToGrid w:val="0"/>
        <w:spacing w:before="120" w:beforeLines="50" w:after="50" w:line="400" w:lineRule="exact"/>
        <w:jc w:val="center"/>
        <w:rPr>
          <w:rFonts w:hint="eastAsia" w:ascii="宋体" w:hAnsi="宋体" w:cs="方正小标宋简体"/>
          <w:color w:val="auto"/>
          <w:sz w:val="32"/>
          <w:szCs w:val="32"/>
          <w:highlight w:val="none"/>
        </w:rPr>
      </w:pPr>
      <w:r>
        <w:rPr>
          <w:rFonts w:hint="eastAsia" w:ascii="宋体" w:hAnsi="宋体" w:cs="方正小标宋简体"/>
          <w:color w:val="auto"/>
          <w:sz w:val="32"/>
          <w:szCs w:val="32"/>
          <w:highlight w:val="none"/>
        </w:rPr>
        <w:t>报  价  文  件</w:t>
      </w:r>
    </w:p>
    <w:p w14:paraId="66FD0729">
      <w:pPr>
        <w:snapToGrid w:val="0"/>
        <w:spacing w:before="120" w:beforeLines="50" w:after="50" w:line="400" w:lineRule="exact"/>
        <w:rPr>
          <w:rFonts w:hint="eastAsia" w:ascii="宋体" w:hAnsi="宋体"/>
          <w:bCs/>
          <w:color w:val="auto"/>
          <w:sz w:val="24"/>
          <w:szCs w:val="20"/>
          <w:highlight w:val="none"/>
        </w:rPr>
      </w:pPr>
    </w:p>
    <w:p w14:paraId="35D10AED">
      <w:pPr>
        <w:snapToGrid w:val="0"/>
        <w:spacing w:before="120" w:beforeLines="50" w:after="50" w:line="400" w:lineRule="exact"/>
        <w:rPr>
          <w:rFonts w:hint="eastAsia" w:ascii="宋体" w:hAnsi="宋体"/>
          <w:bCs/>
          <w:color w:val="auto"/>
          <w:sz w:val="24"/>
          <w:szCs w:val="20"/>
          <w:highlight w:val="none"/>
        </w:rPr>
      </w:pPr>
    </w:p>
    <w:p w14:paraId="45797245">
      <w:pPr>
        <w:snapToGrid w:val="0"/>
        <w:spacing w:before="120" w:beforeLines="50" w:after="50" w:line="400" w:lineRule="exact"/>
        <w:rPr>
          <w:rFonts w:hint="eastAsia" w:ascii="宋体" w:hAnsi="宋体"/>
          <w:bCs/>
          <w:color w:val="auto"/>
          <w:sz w:val="24"/>
          <w:szCs w:val="20"/>
          <w:highlight w:val="none"/>
        </w:rPr>
      </w:pPr>
    </w:p>
    <w:p w14:paraId="320CF4B0">
      <w:pPr>
        <w:snapToGrid w:val="0"/>
        <w:spacing w:before="120" w:beforeLines="50" w:after="50" w:line="400" w:lineRule="exact"/>
        <w:rPr>
          <w:rFonts w:hint="eastAsia" w:ascii="宋体" w:hAnsi="宋体"/>
          <w:bCs/>
          <w:color w:val="auto"/>
          <w:sz w:val="24"/>
          <w:szCs w:val="20"/>
          <w:highlight w:val="none"/>
        </w:rPr>
      </w:pPr>
    </w:p>
    <w:p w14:paraId="0F837610">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6D12759B">
      <w:pPr>
        <w:snapToGrid w:val="0"/>
        <w:spacing w:before="120" w:beforeLines="50" w:after="50" w:line="400" w:lineRule="exact"/>
        <w:ind w:firstLine="360" w:firstLineChars="150"/>
        <w:rPr>
          <w:rFonts w:hint="eastAsia" w:ascii="宋体" w:hAnsi="宋体"/>
          <w:bCs/>
          <w:color w:val="auto"/>
          <w:sz w:val="24"/>
          <w:highlight w:val="none"/>
        </w:rPr>
      </w:pPr>
    </w:p>
    <w:p w14:paraId="6896969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6A9E4207">
      <w:pPr>
        <w:snapToGrid w:val="0"/>
        <w:spacing w:before="120" w:beforeLines="50" w:after="50" w:line="400" w:lineRule="exact"/>
        <w:ind w:firstLine="360" w:firstLineChars="150"/>
        <w:rPr>
          <w:rFonts w:hint="eastAsia" w:ascii="宋体" w:hAnsi="宋体"/>
          <w:bCs/>
          <w:color w:val="auto"/>
          <w:sz w:val="24"/>
          <w:highlight w:val="none"/>
        </w:rPr>
      </w:pPr>
    </w:p>
    <w:p w14:paraId="2370DE6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198B8532">
      <w:pPr>
        <w:snapToGrid w:val="0"/>
        <w:spacing w:before="120" w:beforeLines="50" w:after="50" w:line="400" w:lineRule="exact"/>
        <w:ind w:firstLine="360" w:firstLineChars="150"/>
        <w:rPr>
          <w:rFonts w:hint="eastAsia" w:ascii="宋体" w:hAnsi="宋体"/>
          <w:bCs/>
          <w:color w:val="auto"/>
          <w:sz w:val="24"/>
          <w:highlight w:val="none"/>
        </w:rPr>
      </w:pPr>
    </w:p>
    <w:p w14:paraId="3D1F0CD2">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BC42F7F">
      <w:pPr>
        <w:snapToGrid w:val="0"/>
        <w:spacing w:before="120" w:beforeLines="50" w:after="50" w:line="400" w:lineRule="exact"/>
        <w:ind w:firstLine="360" w:firstLineChars="150"/>
        <w:rPr>
          <w:rFonts w:hint="eastAsia" w:ascii="宋体" w:hAnsi="宋体"/>
          <w:bCs/>
          <w:color w:val="auto"/>
          <w:sz w:val="24"/>
          <w:highlight w:val="none"/>
        </w:rPr>
      </w:pPr>
    </w:p>
    <w:p w14:paraId="5D223CF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410E662D">
      <w:pPr>
        <w:pStyle w:val="15"/>
        <w:snapToGrid w:val="0"/>
        <w:spacing w:before="50" w:after="50" w:line="400" w:lineRule="exact"/>
        <w:ind w:firstLine="960" w:firstLineChars="400"/>
        <w:rPr>
          <w:rFonts w:hint="eastAsia" w:ascii="宋体" w:hAnsi="宋体"/>
          <w:bCs/>
          <w:color w:val="auto"/>
          <w:sz w:val="24"/>
          <w:szCs w:val="24"/>
          <w:highlight w:val="none"/>
        </w:rPr>
      </w:pPr>
    </w:p>
    <w:p w14:paraId="4189B7D9">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67D35C38">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40A88099">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5ADC0401">
      <w:pPr>
        <w:snapToGrid w:val="0"/>
        <w:spacing w:before="120" w:beforeLines="50" w:after="50"/>
        <w:rPr>
          <w:rFonts w:hint="eastAsia" w:ascii="宋体" w:hAnsi="宋体"/>
          <w:b/>
          <w:color w:val="auto"/>
          <w:sz w:val="24"/>
          <w:highlight w:val="none"/>
        </w:rPr>
      </w:pPr>
    </w:p>
    <w:p w14:paraId="6C30DB52">
      <w:pPr>
        <w:snapToGrid w:val="0"/>
        <w:spacing w:before="120" w:beforeLines="50" w:after="50"/>
        <w:rPr>
          <w:rFonts w:hint="eastAsia" w:ascii="宋体" w:hAnsi="宋体"/>
          <w:b/>
          <w:color w:val="auto"/>
          <w:sz w:val="24"/>
          <w:highlight w:val="none"/>
        </w:rPr>
      </w:pPr>
    </w:p>
    <w:p w14:paraId="1A9A17A5">
      <w:pPr>
        <w:snapToGrid w:val="0"/>
        <w:spacing w:before="120" w:beforeLines="50" w:after="50"/>
        <w:rPr>
          <w:rFonts w:hint="eastAsia" w:ascii="宋体" w:hAnsi="宋体"/>
          <w:b/>
          <w:color w:val="auto"/>
          <w:sz w:val="24"/>
          <w:highlight w:val="none"/>
        </w:rPr>
      </w:pPr>
    </w:p>
    <w:p w14:paraId="2D89AB52">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2F857996">
      <w:pPr>
        <w:snapToGrid w:val="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58C3B428">
      <w:pPr>
        <w:spacing w:line="44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572250FE">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（项目编号：）的招标公告，签字代表______（姓名）经正式授权并代表投标人（投标人名称）提交投标文件。</w:t>
      </w:r>
    </w:p>
    <w:p w14:paraId="3B4E36B8">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7050BF00">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E6B5404">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4909E98C">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3.本投标有效期自投标截止之日起日。</w:t>
      </w:r>
    </w:p>
    <w:p w14:paraId="67CA668A">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6457D0AD">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3C4B372">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387D47CF">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4248CC9E">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624DC00D">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1AAC98F4">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68823D3B">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7C9A824C">
      <w:pPr>
        <w:spacing w:line="44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地址：邮编：</w:t>
      </w:r>
    </w:p>
    <w:p w14:paraId="0DE8D435">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电话：传真：</w:t>
      </w:r>
    </w:p>
    <w:p w14:paraId="0BAFD654">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p>
    <w:p w14:paraId="227777CF">
      <w:pPr>
        <w:spacing w:line="44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   银行账号：</w:t>
      </w:r>
    </w:p>
    <w:p w14:paraId="2B336FBC">
      <w:pPr>
        <w:spacing w:line="44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76CFD7F9">
      <w:pPr>
        <w:pStyle w:val="26"/>
        <w:spacing w:line="440" w:lineRule="exact"/>
        <w:contextualSpacing/>
        <w:jc w:val="center"/>
        <w:rPr>
          <w:rFonts w:hint="eastAsia" w:hAnsi="宋体"/>
          <w:color w:val="auto"/>
          <w:sz w:val="24"/>
          <w:szCs w:val="24"/>
          <w:highlight w:val="none"/>
          <w:u w:val="single"/>
        </w:rPr>
      </w:pPr>
      <w:r>
        <w:rPr>
          <w:rFonts w:hint="eastAsia" w:hAnsi="宋体"/>
          <w:color w:val="auto"/>
          <w:sz w:val="24"/>
          <w:highlight w:val="none"/>
        </w:rPr>
        <w:t>投标人（盖公章）：</w:t>
      </w:r>
    </w:p>
    <w:p w14:paraId="2D4350CE">
      <w:pPr>
        <w:pStyle w:val="26"/>
        <w:spacing w:line="440" w:lineRule="exact"/>
        <w:contextualSpacing/>
        <w:rPr>
          <w:rFonts w:hint="eastAsia" w:hAnsi="宋体"/>
          <w:color w:val="auto"/>
          <w:sz w:val="24"/>
          <w:highlight w:val="none"/>
        </w:rPr>
      </w:pPr>
      <w:r>
        <w:rPr>
          <w:rFonts w:hint="eastAsia" w:hAnsi="宋体"/>
          <w:color w:val="auto"/>
          <w:sz w:val="24"/>
          <w:szCs w:val="24"/>
          <w:highlight w:val="none"/>
        </w:rPr>
        <w:t>年月日</w:t>
      </w:r>
    </w:p>
    <w:p w14:paraId="381A10EB">
      <w:pPr>
        <w:snapToGrid w:val="0"/>
        <w:spacing w:before="120" w:beforeLines="50" w:after="50" w:line="440" w:lineRule="exact"/>
        <w:jc w:val="left"/>
        <w:rPr>
          <w:rFonts w:hint="eastAsia"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w:t>
      </w:r>
    </w:p>
    <w:p w14:paraId="27897A61">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1AEB1FA1">
      <w:pPr>
        <w:snapToGrid w:val="0"/>
        <w:spacing w:before="50" w:after="50"/>
        <w:jc w:val="center"/>
        <w:rPr>
          <w:rFonts w:hint="eastAsia" w:ascii="宋体" w:hAnsi="宋体"/>
          <w:b/>
          <w:color w:val="auto"/>
          <w:sz w:val="30"/>
          <w:szCs w:val="20"/>
          <w:highlight w:val="none"/>
        </w:rPr>
      </w:pPr>
    </w:p>
    <w:p w14:paraId="3E95CEE8">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 xml:space="preserve">项目名称：      项目编号：        </w:t>
      </w:r>
    </w:p>
    <w:p w14:paraId="726D4EB6">
      <w:pPr>
        <w:snapToGrid w:val="0"/>
        <w:spacing w:before="50" w:after="50" w:line="360" w:lineRule="auto"/>
        <w:rPr>
          <w:rFonts w:hint="eastAsia" w:ascii="宋体" w:hAnsi="宋体" w:cs="仿宋_GB2312"/>
          <w:color w:val="auto"/>
          <w:sz w:val="24"/>
          <w:highlight w:val="none"/>
        </w:rPr>
      </w:pPr>
      <w:r>
        <w:rPr>
          <w:rFonts w:hint="eastAsia" w:ascii="宋体" w:hAnsi="宋体"/>
          <w:color w:val="auto"/>
          <w:sz w:val="24"/>
          <w:highlight w:val="none"/>
        </w:rPr>
        <w:t>投标人名称：                       单位：元</w:t>
      </w:r>
    </w:p>
    <w:p w14:paraId="5B4BB351">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 xml:space="preserve">分标：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47"/>
        <w:gridCol w:w="1521"/>
        <w:gridCol w:w="1418"/>
        <w:gridCol w:w="1673"/>
        <w:gridCol w:w="1184"/>
      </w:tblGrid>
      <w:tr w14:paraId="4CE5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18B70FE">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2BEE52D">
            <w:pPr>
              <w:spacing w:line="360" w:lineRule="auto"/>
              <w:jc w:val="center"/>
              <w:rPr>
                <w:rFonts w:hint="eastAsia"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7C068554">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05176DAD">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14E92750">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01FC7FB8">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5F30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8BDDDED">
            <w:pPr>
              <w:spacing w:line="360" w:lineRule="auto"/>
              <w:jc w:val="center"/>
              <w:rPr>
                <w:rFonts w:hint="eastAsia"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41892231">
            <w:pPr>
              <w:spacing w:line="360" w:lineRule="auto"/>
              <w:jc w:val="center"/>
              <w:rPr>
                <w:rFonts w:hint="eastAsia"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2C68307F">
            <w:pPr>
              <w:spacing w:line="360" w:lineRule="auto"/>
              <w:jc w:val="center"/>
              <w:rPr>
                <w:rFonts w:hint="eastAsia"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9176F10">
            <w:pPr>
              <w:spacing w:line="360" w:lineRule="auto"/>
              <w:rPr>
                <w:rFonts w:hint="eastAsia"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17D76DAF">
            <w:pPr>
              <w:spacing w:line="360" w:lineRule="auto"/>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9F56910">
            <w:pPr>
              <w:spacing w:line="360" w:lineRule="auto"/>
              <w:rPr>
                <w:rFonts w:hint="eastAsia" w:ascii="宋体" w:hAnsi="宋体" w:cs="仿宋_GB2312"/>
                <w:color w:val="auto"/>
                <w:sz w:val="24"/>
                <w:highlight w:val="none"/>
              </w:rPr>
            </w:pPr>
          </w:p>
        </w:tc>
      </w:tr>
      <w:tr w14:paraId="4935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ABEC64E">
            <w:pPr>
              <w:spacing w:line="360" w:lineRule="auto"/>
              <w:jc w:val="center"/>
              <w:rPr>
                <w:rFonts w:hint="eastAsia"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575DD9EE">
            <w:pPr>
              <w:spacing w:line="360" w:lineRule="auto"/>
              <w:jc w:val="center"/>
              <w:rPr>
                <w:rFonts w:hint="eastAsia"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73816FA9">
            <w:pPr>
              <w:spacing w:line="360" w:lineRule="auto"/>
              <w:jc w:val="center"/>
              <w:rPr>
                <w:rFonts w:hint="eastAsia"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8CAD311">
            <w:pPr>
              <w:spacing w:line="360" w:lineRule="auto"/>
              <w:rPr>
                <w:rFonts w:hint="eastAsia"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27B12234">
            <w:pPr>
              <w:spacing w:line="360" w:lineRule="auto"/>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5473EB21">
            <w:pPr>
              <w:spacing w:line="360" w:lineRule="auto"/>
              <w:rPr>
                <w:rFonts w:hint="eastAsia" w:ascii="宋体" w:hAnsi="宋体" w:cs="仿宋_GB2312"/>
                <w:color w:val="auto"/>
                <w:sz w:val="24"/>
                <w:highlight w:val="none"/>
              </w:rPr>
            </w:pPr>
          </w:p>
        </w:tc>
      </w:tr>
      <w:tr w14:paraId="7BF0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CB4C8ED">
            <w:pPr>
              <w:spacing w:line="360" w:lineRule="auto"/>
              <w:jc w:val="center"/>
              <w:rPr>
                <w:rFonts w:hint="eastAsia" w:ascii="宋体" w:hAnsi="宋体" w:cs="仿宋_GB2312"/>
                <w:color w:val="auto"/>
                <w:sz w:val="24"/>
                <w:highlight w:val="none"/>
              </w:rPr>
            </w:pPr>
            <w:r>
              <w:rPr>
                <w:rFonts w:hint="eastAsia" w:ascii="宋体" w:hAnsi="宋体"/>
                <w:b/>
                <w:color w:val="auto"/>
                <w:sz w:val="24"/>
                <w:highlight w:val="none"/>
              </w:rPr>
              <w:t>……</w:t>
            </w:r>
          </w:p>
        </w:tc>
        <w:tc>
          <w:tcPr>
            <w:tcW w:w="2947" w:type="dxa"/>
            <w:tcBorders>
              <w:top w:val="single" w:color="auto" w:sz="4" w:space="0"/>
              <w:left w:val="single" w:color="auto" w:sz="4" w:space="0"/>
              <w:bottom w:val="single" w:color="auto" w:sz="4" w:space="0"/>
              <w:right w:val="single" w:color="auto" w:sz="4" w:space="0"/>
            </w:tcBorders>
            <w:vAlign w:val="center"/>
          </w:tcPr>
          <w:p w14:paraId="16AC9481">
            <w:pPr>
              <w:spacing w:line="360" w:lineRule="auto"/>
              <w:jc w:val="center"/>
              <w:rPr>
                <w:rFonts w:hint="eastAsia" w:ascii="宋体" w:hAnsi="宋体" w:cs="仿宋_GB2312"/>
                <w:color w:val="auto"/>
                <w:sz w:val="24"/>
                <w:highlight w:val="none"/>
              </w:rPr>
            </w:pPr>
            <w:r>
              <w:rPr>
                <w:rFonts w:hint="eastAsia" w:ascii="宋体" w:hAnsi="宋体"/>
                <w:b/>
                <w:color w:val="auto"/>
                <w:sz w:val="24"/>
                <w:highlight w:val="none"/>
              </w:rPr>
              <w:t>……</w:t>
            </w:r>
          </w:p>
        </w:tc>
        <w:tc>
          <w:tcPr>
            <w:tcW w:w="1521" w:type="dxa"/>
            <w:tcBorders>
              <w:top w:val="single" w:color="auto" w:sz="4" w:space="0"/>
              <w:left w:val="single" w:color="auto" w:sz="4" w:space="0"/>
              <w:bottom w:val="single" w:color="auto" w:sz="4" w:space="0"/>
              <w:right w:val="single" w:color="auto" w:sz="4" w:space="0"/>
            </w:tcBorders>
            <w:vAlign w:val="center"/>
          </w:tcPr>
          <w:p w14:paraId="77BACAD0">
            <w:pPr>
              <w:spacing w:line="360" w:lineRule="auto"/>
              <w:rPr>
                <w:rFonts w:hint="eastAsia"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211CFE1">
            <w:pPr>
              <w:spacing w:line="360" w:lineRule="auto"/>
              <w:rPr>
                <w:rFonts w:hint="eastAsia"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488005C3">
            <w:pPr>
              <w:spacing w:line="360" w:lineRule="auto"/>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EC449BF">
            <w:pPr>
              <w:spacing w:line="360" w:lineRule="auto"/>
              <w:rPr>
                <w:rFonts w:hint="eastAsia" w:ascii="宋体" w:hAnsi="宋体" w:cs="仿宋_GB2312"/>
                <w:color w:val="auto"/>
                <w:sz w:val="24"/>
                <w:highlight w:val="none"/>
              </w:rPr>
            </w:pPr>
          </w:p>
        </w:tc>
      </w:tr>
      <w:tr w14:paraId="1A80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3BFBB122">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p>
        </w:tc>
      </w:tr>
      <w:tr w14:paraId="7AB4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242A12AA">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合同履行期限：</w:t>
            </w:r>
          </w:p>
        </w:tc>
      </w:tr>
    </w:tbl>
    <w:p w14:paraId="79310535">
      <w:pPr>
        <w:snapToGrid w:val="0"/>
        <w:spacing w:before="50" w:after="50"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0B30ED47">
      <w:pPr>
        <w:snapToGrid w:val="0"/>
        <w:spacing w:before="50" w:after="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0BC43813">
      <w:pPr>
        <w:snapToGrid w:val="0"/>
        <w:spacing w:before="50" w:after="50"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5BB1DCCD">
      <w:pPr>
        <w:snapToGrid w:val="0"/>
        <w:spacing w:before="50" w:after="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1EE6D60F">
      <w:pPr>
        <w:snapToGrid w:val="0"/>
        <w:spacing w:before="50" w:after="50"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7889E7D2">
      <w:pPr>
        <w:snapToGrid w:val="0"/>
        <w:spacing w:before="50" w:after="50"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2EB67C9B">
      <w:pPr>
        <w:snapToGrid w:val="0"/>
        <w:spacing w:before="50" w:after="50" w:line="360" w:lineRule="auto"/>
        <w:ind w:firstLine="482" w:firstLineChars="200"/>
        <w:rPr>
          <w:rFonts w:hint="eastAsia" w:ascii="宋体" w:hAnsi="宋体"/>
          <w:b/>
          <w:color w:val="auto"/>
          <w:sz w:val="24"/>
          <w:highlight w:val="none"/>
        </w:rPr>
      </w:pPr>
    </w:p>
    <w:p w14:paraId="090D819E">
      <w:pPr>
        <w:snapToGrid w:val="0"/>
        <w:spacing w:before="50" w:after="50"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301A720E">
      <w:pPr>
        <w:snapToGrid w:val="0"/>
        <w:spacing w:before="50" w:after="50"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投标人（盖公章）：                                 日期：    年   月   日</w:t>
      </w:r>
    </w:p>
    <w:p w14:paraId="3272078A">
      <w:pPr>
        <w:snapToGrid w:val="0"/>
        <w:spacing w:before="50" w:after="50" w:line="360" w:lineRule="auto"/>
        <w:ind w:left="-6" w:leftChars="-15" w:right="-817" w:rightChars="-389" w:hanging="25" w:hangingChars="12"/>
        <w:rPr>
          <w:rFonts w:hint="eastAsia" w:ascii="宋体" w:hAnsi="宋体"/>
          <w:color w:val="auto"/>
          <w:szCs w:val="21"/>
          <w:highlight w:val="none"/>
        </w:rPr>
      </w:pPr>
    </w:p>
    <w:p w14:paraId="5285A8E7">
      <w:pPr>
        <w:rPr>
          <w:rFonts w:hint="eastAsia" w:ascii="宋体" w:hAnsi="宋体"/>
          <w:b/>
          <w:color w:val="auto"/>
          <w:sz w:val="28"/>
          <w:szCs w:val="28"/>
          <w:highlight w:val="none"/>
        </w:rPr>
      </w:pPr>
      <w:bookmarkStart w:id="154" w:name="_Toc19686837"/>
    </w:p>
    <w:p w14:paraId="0B23F2B6">
      <w:pPr>
        <w:pStyle w:val="2"/>
        <w:rPr>
          <w:rFonts w:hint="eastAsia" w:ascii="宋体" w:hAnsi="宋体"/>
          <w:b/>
          <w:color w:val="auto"/>
          <w:sz w:val="28"/>
          <w:szCs w:val="28"/>
          <w:highlight w:val="none"/>
        </w:rPr>
      </w:pPr>
    </w:p>
    <w:p w14:paraId="07F16E88">
      <w:pPr>
        <w:rPr>
          <w:rFonts w:hint="eastAsia" w:ascii="宋体" w:hAnsi="宋体"/>
          <w:b/>
          <w:color w:val="auto"/>
          <w:sz w:val="28"/>
          <w:szCs w:val="28"/>
          <w:highlight w:val="none"/>
        </w:rPr>
      </w:pPr>
    </w:p>
    <w:p w14:paraId="427C6125">
      <w:pPr>
        <w:pStyle w:val="2"/>
        <w:rPr>
          <w:rFonts w:hint="eastAsia" w:ascii="宋体" w:hAnsi="宋体"/>
          <w:b/>
          <w:color w:val="auto"/>
          <w:sz w:val="28"/>
          <w:szCs w:val="28"/>
          <w:highlight w:val="none"/>
        </w:rPr>
      </w:pPr>
    </w:p>
    <w:p w14:paraId="20CF1AAF">
      <w:pPr>
        <w:rPr>
          <w:rFonts w:hint="eastAsia" w:ascii="宋体" w:hAnsi="宋体"/>
          <w:b/>
          <w:color w:val="auto"/>
          <w:sz w:val="28"/>
          <w:szCs w:val="28"/>
          <w:highlight w:val="none"/>
        </w:rPr>
      </w:pPr>
    </w:p>
    <w:p w14:paraId="6396116A">
      <w:pPr>
        <w:widowControl/>
        <w:shd w:val="clear" w:color="auto" w:fill="FFFFFF"/>
        <w:spacing w:before="0" w:beforeAutospacing="0" w:after="0" w:afterAutospacing="0"/>
        <w:ind w:firstLine="562"/>
        <w:jc w:val="center"/>
        <w:rPr>
          <w:rStyle w:val="53"/>
          <w:rFonts w:hint="eastAsia" w:ascii="Times New Roman" w:hAnsi="Times New Roman" w:eastAsia="宋体" w:cs="Times New Roman"/>
          <w:color w:val="333333"/>
          <w:kern w:val="2"/>
          <w:sz w:val="28"/>
          <w:szCs w:val="28"/>
          <w:highlight w:val="none"/>
          <w:lang w:val="en-US" w:eastAsia="zh-CN" w:bidi="ar-SA"/>
        </w:rPr>
      </w:pPr>
    </w:p>
    <w:p w14:paraId="0DFD010B">
      <w:pPr>
        <w:widowControl/>
        <w:shd w:val="clear" w:color="auto" w:fill="FFFFFF"/>
        <w:spacing w:before="0" w:beforeAutospacing="0" w:after="0" w:afterAutospacing="0"/>
        <w:ind w:firstLine="562"/>
        <w:jc w:val="center"/>
        <w:rPr>
          <w:rFonts w:ascii="宋体" w:hAnsi="宋体" w:eastAsia="宋体" w:cs="宋体"/>
          <w:color w:val="333333"/>
          <w:kern w:val="0"/>
          <w:sz w:val="28"/>
          <w:szCs w:val="28"/>
          <w:highlight w:val="none"/>
          <w:lang w:val="en-US" w:eastAsia="zh-CN" w:bidi="ar-SA"/>
        </w:rPr>
      </w:pPr>
      <w:r>
        <w:rPr>
          <w:rStyle w:val="53"/>
          <w:rFonts w:hint="eastAsia" w:ascii="Times New Roman" w:hAnsi="Times New Roman" w:eastAsia="宋体" w:cs="Times New Roman"/>
          <w:color w:val="333333"/>
          <w:kern w:val="2"/>
          <w:sz w:val="28"/>
          <w:szCs w:val="28"/>
          <w:highlight w:val="none"/>
          <w:lang w:val="en-US" w:eastAsia="zh-CN" w:bidi="ar-SA"/>
        </w:rPr>
        <w:t>关于符合本国产品标准的声明函</w:t>
      </w:r>
    </w:p>
    <w:p w14:paraId="0DABEB43">
      <w:pPr>
        <w:widowControl/>
        <w:shd w:val="clear" w:color="auto" w:fill="FFFFFF"/>
        <w:spacing w:before="24" w:beforeAutospacing="0" w:after="24" w:afterAutospacing="0" w:line="360" w:lineRule="auto"/>
        <w:ind w:firstLine="480"/>
        <w:jc w:val="left"/>
        <w:rPr>
          <w:rFonts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3F3457A">
      <w:pPr>
        <w:widowControl/>
        <w:shd w:val="clear" w:color="auto" w:fill="FFFFFF"/>
        <w:spacing w:before="24" w:beforeAutospacing="0" w:after="24" w:afterAutospacing="0" w:line="360" w:lineRule="auto"/>
        <w:ind w:firstLine="480"/>
        <w:jc w:val="left"/>
        <w:rPr>
          <w:rFonts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szCs w:val="24"/>
          <w:highlight w:val="none"/>
          <w:lang w:val="en-US" w:eastAsia="zh-CN" w:bidi="ar-SA"/>
        </w:rPr>
        <w:t>1.</w:t>
      </w:r>
      <w:r>
        <w:rPr>
          <w:rStyle w:val="52"/>
          <w:rFonts w:hint="eastAsia" w:ascii="宋体" w:hAnsi="宋体" w:eastAsia="宋体" w:cs="宋体"/>
          <w:color w:val="333333"/>
          <w:kern w:val="0"/>
          <w:sz w:val="24"/>
          <w:szCs w:val="24"/>
          <w:highlight w:val="none"/>
          <w:lang w:val="en-US" w:eastAsia="zh-CN" w:bidi="ar-SA"/>
        </w:rPr>
        <w:t>（产品名称1）</w:t>
      </w:r>
      <w:r>
        <w:rPr>
          <w:rStyle w:val="52"/>
          <w:rFonts w:hint="eastAsia" w:ascii="宋体" w:hAnsi="宋体" w:eastAsia="宋体" w:cs="宋体"/>
          <w:color w:val="333333"/>
          <w:kern w:val="0"/>
          <w:sz w:val="24"/>
          <w:szCs w:val="24"/>
          <w:highlight w:val="none"/>
          <w:vertAlign w:val="baseline"/>
          <w:lang w:val="en-US" w:eastAsia="zh-CN" w:bidi="ar-SA"/>
        </w:rPr>
        <w:t>1</w:t>
      </w:r>
      <w:r>
        <w:rPr>
          <w:rFonts w:hint="eastAsia" w:ascii="宋体" w:hAnsi="宋体" w:eastAsia="宋体" w:cs="宋体"/>
          <w:color w:val="333333"/>
          <w:kern w:val="0"/>
          <w:sz w:val="24"/>
          <w:szCs w:val="24"/>
          <w:highlight w:val="none"/>
          <w:lang w:val="en-US" w:eastAsia="zh-CN" w:bidi="ar-SA"/>
        </w:rPr>
        <w:t>，生产厂为</w:t>
      </w:r>
      <w:r>
        <w:rPr>
          <w:rStyle w:val="52"/>
          <w:rFonts w:hint="eastAsia" w:ascii="宋体" w:hAnsi="宋体" w:eastAsia="宋体" w:cs="宋体"/>
          <w:color w:val="333333"/>
          <w:kern w:val="0"/>
          <w:sz w:val="24"/>
          <w:szCs w:val="24"/>
          <w:highlight w:val="none"/>
          <w:lang w:val="en-US" w:eastAsia="zh-CN" w:bidi="ar-SA"/>
        </w:rPr>
        <w:t>（厂名）</w:t>
      </w:r>
      <w:r>
        <w:rPr>
          <w:rStyle w:val="52"/>
          <w:rFonts w:hint="eastAsia" w:ascii="宋体" w:hAnsi="宋体" w:eastAsia="宋体" w:cs="宋体"/>
          <w:color w:val="333333"/>
          <w:kern w:val="0"/>
          <w:sz w:val="24"/>
          <w:szCs w:val="24"/>
          <w:highlight w:val="none"/>
          <w:vertAlign w:val="baseline"/>
          <w:lang w:val="en-US" w:eastAsia="zh-CN" w:bidi="ar-SA"/>
        </w:rPr>
        <w:t>2</w:t>
      </w:r>
      <w:r>
        <w:rPr>
          <w:rFonts w:hint="eastAsia" w:ascii="宋体" w:hAnsi="宋体" w:eastAsia="宋体" w:cs="宋体"/>
          <w:color w:val="333333"/>
          <w:kern w:val="0"/>
          <w:sz w:val="24"/>
          <w:szCs w:val="24"/>
          <w:highlight w:val="none"/>
          <w:lang w:val="en-US" w:eastAsia="zh-CN" w:bidi="ar-SA"/>
        </w:rPr>
        <w:t>，厂址为</w:t>
      </w:r>
      <w:r>
        <w:rPr>
          <w:rStyle w:val="52"/>
          <w:rFonts w:hint="eastAsia" w:ascii="宋体" w:hAnsi="宋体" w:eastAsia="宋体" w:cs="宋体"/>
          <w:color w:val="333333"/>
          <w:kern w:val="0"/>
          <w:sz w:val="24"/>
          <w:szCs w:val="24"/>
          <w:highlight w:val="none"/>
          <w:lang w:val="en-US" w:eastAsia="zh-CN" w:bidi="ar-SA"/>
        </w:rPr>
        <w:t>（生产厂址）</w:t>
      </w:r>
      <w:r>
        <w:rPr>
          <w:rFonts w:hint="eastAsia" w:ascii="宋体" w:hAnsi="宋体" w:eastAsia="宋体" w:cs="宋体"/>
          <w:color w:val="333333"/>
          <w:kern w:val="0"/>
          <w:sz w:val="24"/>
          <w:szCs w:val="24"/>
          <w:highlight w:val="none"/>
          <w:lang w:val="en-US" w:eastAsia="zh-CN" w:bidi="ar-SA"/>
        </w:rPr>
        <w:t>。</w:t>
      </w:r>
      <w:r>
        <w:rPr>
          <w:rStyle w:val="52"/>
          <w:rFonts w:hint="eastAsia" w:ascii="宋体" w:hAnsi="宋体" w:eastAsia="宋体" w:cs="宋体"/>
          <w:color w:val="333333"/>
          <w:kern w:val="0"/>
          <w:sz w:val="24"/>
          <w:szCs w:val="24"/>
          <w:highlight w:val="none"/>
          <w:lang w:val="en-US" w:eastAsia="zh-CN" w:bidi="ar-SA"/>
        </w:rPr>
        <w:t>（产品名称1）</w:t>
      </w:r>
      <w:r>
        <w:rPr>
          <w:rFonts w:hint="eastAsia" w:ascii="宋体" w:hAnsi="宋体" w:eastAsia="宋体" w:cs="宋体"/>
          <w:color w:val="333333"/>
          <w:kern w:val="0"/>
          <w:sz w:val="24"/>
          <w:szCs w:val="24"/>
          <w:highlight w:val="none"/>
          <w:lang w:val="en-US" w:eastAsia="zh-CN" w:bidi="ar-SA"/>
        </w:rPr>
        <w:t>的中国境内生产的组件成本占比≥</w:t>
      </w:r>
      <w:r>
        <w:rPr>
          <w:rStyle w:val="52"/>
          <w:rFonts w:hint="eastAsia" w:ascii="宋体" w:hAnsi="宋体" w:eastAsia="宋体" w:cs="宋体"/>
          <w:color w:val="333333"/>
          <w:kern w:val="0"/>
          <w:sz w:val="24"/>
          <w:szCs w:val="24"/>
          <w:highlight w:val="none"/>
          <w:lang w:val="en-US" w:eastAsia="zh-CN" w:bidi="ar-SA"/>
        </w:rPr>
        <w:t>（规定比例）</w:t>
      </w:r>
      <w:r>
        <w:rPr>
          <w:rStyle w:val="52"/>
          <w:rFonts w:hint="eastAsia" w:ascii="宋体" w:hAnsi="宋体" w:eastAsia="宋体" w:cs="宋体"/>
          <w:color w:val="333333"/>
          <w:kern w:val="0"/>
          <w:sz w:val="24"/>
          <w:szCs w:val="24"/>
          <w:highlight w:val="none"/>
          <w:vertAlign w:val="baseline"/>
          <w:lang w:val="en-US" w:eastAsia="zh-CN" w:bidi="ar-SA"/>
        </w:rPr>
        <w:t>3</w:t>
      </w:r>
      <w:r>
        <w:rPr>
          <w:rFonts w:hint="eastAsia" w:ascii="宋体" w:hAnsi="宋体" w:eastAsia="宋体" w:cs="宋体"/>
          <w:color w:val="333333"/>
          <w:kern w:val="0"/>
          <w:sz w:val="24"/>
          <w:szCs w:val="24"/>
          <w:highlight w:val="none"/>
          <w:lang w:val="en-US" w:eastAsia="zh-CN" w:bidi="ar-SA"/>
        </w:rPr>
        <w:t>。</w:t>
      </w:r>
      <w:r>
        <w:rPr>
          <w:rStyle w:val="52"/>
          <w:rFonts w:hint="eastAsia" w:ascii="宋体" w:hAnsi="宋体" w:eastAsia="宋体" w:cs="宋体"/>
          <w:color w:val="333333"/>
          <w:kern w:val="0"/>
          <w:sz w:val="24"/>
          <w:szCs w:val="24"/>
          <w:highlight w:val="none"/>
          <w:lang w:val="en-US" w:eastAsia="zh-CN" w:bidi="ar-SA"/>
        </w:rPr>
        <w:t>（产品名称1）</w:t>
      </w:r>
      <w:r>
        <w:rPr>
          <w:rFonts w:hint="eastAsia" w:ascii="宋体" w:hAnsi="宋体" w:eastAsia="宋体" w:cs="宋体"/>
          <w:color w:val="333333"/>
          <w:kern w:val="0"/>
          <w:sz w:val="24"/>
          <w:szCs w:val="24"/>
          <w:highlight w:val="none"/>
          <w:lang w:val="en-US" w:eastAsia="zh-CN" w:bidi="ar-SA"/>
        </w:rPr>
        <w:t>的</w:t>
      </w:r>
      <w:r>
        <w:rPr>
          <w:rStyle w:val="52"/>
          <w:rFonts w:hint="eastAsia" w:ascii="宋体" w:hAnsi="宋体" w:eastAsia="宋体" w:cs="宋体"/>
          <w:color w:val="333333"/>
          <w:kern w:val="0"/>
          <w:sz w:val="24"/>
          <w:szCs w:val="24"/>
          <w:highlight w:val="none"/>
          <w:lang w:val="en-US" w:eastAsia="zh-CN" w:bidi="ar-SA"/>
        </w:rPr>
        <w:t>（关键组件）</w:t>
      </w:r>
      <w:r>
        <w:rPr>
          <w:rStyle w:val="52"/>
          <w:rFonts w:hint="eastAsia" w:ascii="宋体" w:hAnsi="宋体" w:eastAsia="宋体" w:cs="宋体"/>
          <w:color w:val="333333"/>
          <w:kern w:val="0"/>
          <w:sz w:val="24"/>
          <w:szCs w:val="24"/>
          <w:highlight w:val="none"/>
          <w:vertAlign w:val="baseline"/>
          <w:lang w:val="en-US" w:eastAsia="zh-CN" w:bidi="ar-SA"/>
        </w:rPr>
        <w:t>4</w:t>
      </w:r>
      <w:r>
        <w:rPr>
          <w:rFonts w:hint="eastAsia" w:ascii="宋体" w:hAnsi="宋体" w:eastAsia="宋体" w:cs="宋体"/>
          <w:color w:val="333333"/>
          <w:kern w:val="0"/>
          <w:sz w:val="24"/>
          <w:szCs w:val="24"/>
          <w:highlight w:val="none"/>
          <w:lang w:val="en-US" w:eastAsia="zh-CN" w:bidi="ar-SA"/>
        </w:rPr>
        <w:t>在中国境内生产。</w:t>
      </w:r>
      <w:r>
        <w:rPr>
          <w:rStyle w:val="52"/>
          <w:rFonts w:hint="eastAsia" w:ascii="宋体" w:hAnsi="宋体" w:eastAsia="宋体" w:cs="宋体"/>
          <w:color w:val="333333"/>
          <w:kern w:val="0"/>
          <w:sz w:val="24"/>
          <w:szCs w:val="24"/>
          <w:highlight w:val="none"/>
          <w:lang w:val="en-US" w:eastAsia="zh-CN" w:bidi="ar-SA"/>
        </w:rPr>
        <w:t>（产品名称1）</w:t>
      </w:r>
      <w:r>
        <w:rPr>
          <w:rFonts w:hint="eastAsia" w:ascii="宋体" w:hAnsi="宋体" w:eastAsia="宋体" w:cs="宋体"/>
          <w:color w:val="333333"/>
          <w:kern w:val="0"/>
          <w:sz w:val="24"/>
          <w:szCs w:val="24"/>
          <w:highlight w:val="none"/>
          <w:lang w:val="en-US" w:eastAsia="zh-CN" w:bidi="ar-SA"/>
        </w:rPr>
        <w:t>的</w:t>
      </w:r>
      <w:r>
        <w:rPr>
          <w:rStyle w:val="52"/>
          <w:rFonts w:hint="eastAsia" w:ascii="宋体" w:hAnsi="宋体" w:eastAsia="宋体" w:cs="宋体"/>
          <w:color w:val="333333"/>
          <w:kern w:val="0"/>
          <w:sz w:val="24"/>
          <w:szCs w:val="24"/>
          <w:highlight w:val="none"/>
          <w:lang w:val="en-US" w:eastAsia="zh-CN" w:bidi="ar-SA"/>
        </w:rPr>
        <w:t>（关键工序）</w:t>
      </w:r>
      <w:r>
        <w:rPr>
          <w:rStyle w:val="52"/>
          <w:rFonts w:hint="eastAsia" w:ascii="宋体" w:hAnsi="宋体" w:eastAsia="宋体" w:cs="宋体"/>
          <w:color w:val="333333"/>
          <w:kern w:val="0"/>
          <w:sz w:val="24"/>
          <w:szCs w:val="24"/>
          <w:highlight w:val="none"/>
          <w:vertAlign w:val="baseline"/>
          <w:lang w:val="en-US" w:eastAsia="zh-CN" w:bidi="ar-SA"/>
        </w:rPr>
        <w:t>5</w:t>
      </w:r>
      <w:r>
        <w:rPr>
          <w:rFonts w:hint="eastAsia" w:ascii="宋体" w:hAnsi="宋体" w:eastAsia="宋体" w:cs="宋体"/>
          <w:color w:val="333333"/>
          <w:kern w:val="0"/>
          <w:sz w:val="24"/>
          <w:szCs w:val="24"/>
          <w:highlight w:val="none"/>
          <w:lang w:val="en-US" w:eastAsia="zh-CN" w:bidi="ar-SA"/>
        </w:rPr>
        <w:t>在中国境内完成。</w:t>
      </w:r>
    </w:p>
    <w:p w14:paraId="24E1E019">
      <w:pPr>
        <w:widowControl/>
        <w:shd w:val="clear" w:color="auto" w:fill="FFFFFF"/>
        <w:spacing w:before="24" w:beforeAutospacing="0" w:after="24" w:afterAutospacing="0" w:line="360" w:lineRule="auto"/>
        <w:ind w:firstLine="480"/>
        <w:jc w:val="left"/>
        <w:rPr>
          <w:rFonts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szCs w:val="24"/>
          <w:highlight w:val="none"/>
          <w:lang w:val="en-US" w:eastAsia="zh-CN" w:bidi="ar-SA"/>
        </w:rPr>
        <w:t>2.</w:t>
      </w:r>
      <w:r>
        <w:rPr>
          <w:rStyle w:val="52"/>
          <w:rFonts w:hint="eastAsia" w:ascii="宋体" w:hAnsi="宋体" w:eastAsia="宋体" w:cs="宋体"/>
          <w:color w:val="333333"/>
          <w:kern w:val="0"/>
          <w:sz w:val="24"/>
          <w:szCs w:val="24"/>
          <w:highlight w:val="none"/>
          <w:lang w:val="en-US" w:eastAsia="zh-CN" w:bidi="ar-SA"/>
        </w:rPr>
        <w:t>（产品名称2）</w:t>
      </w:r>
      <w:r>
        <w:rPr>
          <w:rFonts w:hint="eastAsia" w:ascii="宋体" w:hAnsi="宋体" w:eastAsia="宋体" w:cs="宋体"/>
          <w:color w:val="333333"/>
          <w:kern w:val="0"/>
          <w:sz w:val="24"/>
          <w:szCs w:val="24"/>
          <w:highlight w:val="none"/>
          <w:lang w:val="en-US" w:eastAsia="zh-CN" w:bidi="ar-SA"/>
        </w:rPr>
        <w:t>，生产厂为</w:t>
      </w:r>
      <w:r>
        <w:rPr>
          <w:rStyle w:val="52"/>
          <w:rFonts w:hint="eastAsia" w:ascii="宋体" w:hAnsi="宋体" w:eastAsia="宋体" w:cs="宋体"/>
          <w:color w:val="333333"/>
          <w:kern w:val="0"/>
          <w:sz w:val="24"/>
          <w:szCs w:val="24"/>
          <w:highlight w:val="none"/>
          <w:lang w:val="en-US" w:eastAsia="zh-CN" w:bidi="ar-SA"/>
        </w:rPr>
        <w:t>（厂名）</w:t>
      </w:r>
      <w:r>
        <w:rPr>
          <w:rFonts w:hint="eastAsia" w:ascii="宋体" w:hAnsi="宋体" w:eastAsia="宋体" w:cs="宋体"/>
          <w:color w:val="333333"/>
          <w:kern w:val="0"/>
          <w:sz w:val="24"/>
          <w:szCs w:val="24"/>
          <w:highlight w:val="none"/>
          <w:lang w:val="en-US" w:eastAsia="zh-CN" w:bidi="ar-SA"/>
        </w:rPr>
        <w:t>，厂址为</w:t>
      </w:r>
      <w:r>
        <w:rPr>
          <w:rStyle w:val="52"/>
          <w:rFonts w:hint="eastAsia" w:ascii="宋体" w:hAnsi="宋体" w:eastAsia="宋体" w:cs="宋体"/>
          <w:color w:val="333333"/>
          <w:kern w:val="0"/>
          <w:sz w:val="24"/>
          <w:szCs w:val="24"/>
          <w:highlight w:val="none"/>
          <w:lang w:val="en-US" w:eastAsia="zh-CN" w:bidi="ar-SA"/>
        </w:rPr>
        <w:t>（生产厂址）</w:t>
      </w:r>
      <w:r>
        <w:rPr>
          <w:rFonts w:hint="eastAsia" w:ascii="宋体" w:hAnsi="宋体" w:eastAsia="宋体" w:cs="宋体"/>
          <w:color w:val="333333"/>
          <w:kern w:val="0"/>
          <w:sz w:val="24"/>
          <w:szCs w:val="24"/>
          <w:highlight w:val="none"/>
          <w:lang w:val="en-US" w:eastAsia="zh-CN" w:bidi="ar-SA"/>
        </w:rPr>
        <w:t>。</w:t>
      </w:r>
      <w:r>
        <w:rPr>
          <w:rStyle w:val="52"/>
          <w:rFonts w:hint="eastAsia" w:ascii="宋体" w:hAnsi="宋体" w:eastAsia="宋体" w:cs="宋体"/>
          <w:color w:val="333333"/>
          <w:kern w:val="0"/>
          <w:sz w:val="24"/>
          <w:szCs w:val="24"/>
          <w:highlight w:val="none"/>
          <w:lang w:val="en-US" w:eastAsia="zh-CN" w:bidi="ar-SA"/>
        </w:rPr>
        <w:t>（产品名称2）</w:t>
      </w:r>
      <w:r>
        <w:rPr>
          <w:rFonts w:hint="eastAsia" w:ascii="宋体" w:hAnsi="宋体" w:eastAsia="宋体" w:cs="宋体"/>
          <w:color w:val="333333"/>
          <w:kern w:val="0"/>
          <w:sz w:val="24"/>
          <w:szCs w:val="24"/>
          <w:highlight w:val="none"/>
          <w:lang w:val="en-US" w:eastAsia="zh-CN" w:bidi="ar-SA"/>
        </w:rPr>
        <w:t>的中国境内生产的组件成本占比≥</w:t>
      </w:r>
      <w:r>
        <w:rPr>
          <w:rStyle w:val="52"/>
          <w:rFonts w:hint="eastAsia" w:ascii="宋体" w:hAnsi="宋体" w:eastAsia="宋体" w:cs="宋体"/>
          <w:color w:val="333333"/>
          <w:kern w:val="0"/>
          <w:sz w:val="24"/>
          <w:szCs w:val="24"/>
          <w:highlight w:val="none"/>
          <w:lang w:val="en-US" w:eastAsia="zh-CN" w:bidi="ar-SA"/>
        </w:rPr>
        <w:t>（规定比例）</w:t>
      </w:r>
      <w:r>
        <w:rPr>
          <w:rFonts w:hint="eastAsia" w:ascii="宋体" w:hAnsi="宋体" w:eastAsia="宋体" w:cs="宋体"/>
          <w:color w:val="333333"/>
          <w:kern w:val="0"/>
          <w:sz w:val="24"/>
          <w:szCs w:val="24"/>
          <w:highlight w:val="none"/>
          <w:lang w:val="en-US" w:eastAsia="zh-CN" w:bidi="ar-SA"/>
        </w:rPr>
        <w:t>。</w:t>
      </w:r>
      <w:r>
        <w:rPr>
          <w:rStyle w:val="52"/>
          <w:rFonts w:hint="eastAsia" w:ascii="宋体" w:hAnsi="宋体" w:eastAsia="宋体" w:cs="宋体"/>
          <w:color w:val="333333"/>
          <w:kern w:val="0"/>
          <w:sz w:val="24"/>
          <w:szCs w:val="24"/>
          <w:highlight w:val="none"/>
          <w:lang w:val="en-US" w:eastAsia="zh-CN" w:bidi="ar-SA"/>
        </w:rPr>
        <w:t>（产品名称2）</w:t>
      </w:r>
      <w:r>
        <w:rPr>
          <w:rFonts w:hint="eastAsia" w:ascii="宋体" w:hAnsi="宋体" w:eastAsia="宋体" w:cs="宋体"/>
          <w:color w:val="333333"/>
          <w:kern w:val="0"/>
          <w:sz w:val="24"/>
          <w:szCs w:val="24"/>
          <w:highlight w:val="none"/>
          <w:lang w:val="en-US" w:eastAsia="zh-CN" w:bidi="ar-SA"/>
        </w:rPr>
        <w:t>的</w:t>
      </w:r>
      <w:r>
        <w:rPr>
          <w:rStyle w:val="52"/>
          <w:rFonts w:hint="eastAsia" w:ascii="宋体" w:hAnsi="宋体" w:eastAsia="宋体" w:cs="宋体"/>
          <w:color w:val="333333"/>
          <w:kern w:val="0"/>
          <w:sz w:val="24"/>
          <w:szCs w:val="24"/>
          <w:highlight w:val="none"/>
          <w:lang w:val="en-US" w:eastAsia="zh-CN" w:bidi="ar-SA"/>
        </w:rPr>
        <w:t>（关键组件）</w:t>
      </w:r>
      <w:r>
        <w:rPr>
          <w:rFonts w:hint="eastAsia" w:ascii="宋体" w:hAnsi="宋体" w:eastAsia="宋体" w:cs="宋体"/>
          <w:color w:val="333333"/>
          <w:kern w:val="0"/>
          <w:sz w:val="24"/>
          <w:szCs w:val="24"/>
          <w:highlight w:val="none"/>
          <w:lang w:val="en-US" w:eastAsia="zh-CN" w:bidi="ar-SA"/>
        </w:rPr>
        <w:t>在中国境内生产。</w:t>
      </w:r>
      <w:r>
        <w:rPr>
          <w:rStyle w:val="52"/>
          <w:rFonts w:hint="eastAsia" w:ascii="宋体" w:hAnsi="宋体" w:eastAsia="宋体" w:cs="宋体"/>
          <w:color w:val="333333"/>
          <w:kern w:val="0"/>
          <w:sz w:val="24"/>
          <w:szCs w:val="24"/>
          <w:highlight w:val="none"/>
          <w:lang w:val="en-US" w:eastAsia="zh-CN" w:bidi="ar-SA"/>
        </w:rPr>
        <w:t>（产品名称2）</w:t>
      </w:r>
      <w:r>
        <w:rPr>
          <w:rFonts w:hint="eastAsia" w:ascii="宋体" w:hAnsi="宋体" w:eastAsia="宋体" w:cs="宋体"/>
          <w:color w:val="333333"/>
          <w:kern w:val="0"/>
          <w:sz w:val="24"/>
          <w:szCs w:val="24"/>
          <w:highlight w:val="none"/>
          <w:lang w:val="en-US" w:eastAsia="zh-CN" w:bidi="ar-SA"/>
        </w:rPr>
        <w:t>的</w:t>
      </w:r>
      <w:r>
        <w:rPr>
          <w:rStyle w:val="52"/>
          <w:rFonts w:hint="eastAsia" w:ascii="宋体" w:hAnsi="宋体" w:eastAsia="宋体" w:cs="宋体"/>
          <w:color w:val="333333"/>
          <w:kern w:val="0"/>
          <w:sz w:val="24"/>
          <w:szCs w:val="24"/>
          <w:highlight w:val="none"/>
          <w:lang w:val="en-US" w:eastAsia="zh-CN" w:bidi="ar-SA"/>
        </w:rPr>
        <w:t>（关键工序）</w:t>
      </w:r>
      <w:r>
        <w:rPr>
          <w:rFonts w:hint="eastAsia" w:ascii="宋体" w:hAnsi="宋体" w:eastAsia="宋体" w:cs="宋体"/>
          <w:color w:val="333333"/>
          <w:kern w:val="0"/>
          <w:sz w:val="24"/>
          <w:szCs w:val="24"/>
          <w:highlight w:val="none"/>
          <w:lang w:val="en-US" w:eastAsia="zh-CN" w:bidi="ar-SA"/>
        </w:rPr>
        <w:t>在中国境内完成。</w:t>
      </w:r>
    </w:p>
    <w:p w14:paraId="0E7AAF9A">
      <w:pPr>
        <w:widowControl/>
        <w:shd w:val="clear" w:color="auto" w:fill="FFFFFF"/>
        <w:spacing w:before="24" w:beforeAutospacing="0" w:after="24" w:afterAutospacing="0" w:line="360" w:lineRule="auto"/>
        <w:ind w:firstLine="480"/>
        <w:jc w:val="left"/>
        <w:rPr>
          <w:rFonts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szCs w:val="24"/>
          <w:highlight w:val="none"/>
          <w:lang w:val="en-US" w:eastAsia="zh-CN" w:bidi="ar-SA"/>
        </w:rPr>
        <w:t>……</w:t>
      </w:r>
    </w:p>
    <w:p w14:paraId="207C6F6D">
      <w:pPr>
        <w:widowControl/>
        <w:shd w:val="clear" w:color="auto" w:fill="FFFFFF"/>
        <w:spacing w:before="24" w:beforeAutospacing="0" w:after="24" w:afterAutospacing="0" w:line="360" w:lineRule="auto"/>
        <w:ind w:firstLine="480"/>
        <w:jc w:val="left"/>
        <w:rPr>
          <w:rFonts w:hint="eastAsia"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szCs w:val="24"/>
          <w:highlight w:val="none"/>
          <w:lang w:val="en-US" w:eastAsia="zh-CN" w:bidi="ar-SA"/>
        </w:rPr>
        <w:t>本公司（单位）对上述声明内容的真实性负责。如有虚假，愿承担相应法律责任。</w:t>
      </w:r>
    </w:p>
    <w:p w14:paraId="46B0031F">
      <w:pPr>
        <w:pStyle w:val="2"/>
        <w:rPr>
          <w:highlight w:val="none"/>
          <w:lang w:val="en-US" w:eastAsia="zh-CN"/>
        </w:rPr>
      </w:pPr>
    </w:p>
    <w:p w14:paraId="0EF2CA1A">
      <w:pPr>
        <w:widowControl/>
        <w:shd w:val="clear" w:color="auto" w:fill="FFFFFF"/>
        <w:spacing w:before="24" w:beforeAutospacing="0" w:after="24" w:afterAutospacing="0" w:line="360" w:lineRule="auto"/>
        <w:ind w:firstLine="480"/>
        <w:jc w:val="right"/>
        <w:rPr>
          <w:rFonts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szCs w:val="24"/>
          <w:highlight w:val="none"/>
          <w:lang w:val="en-US" w:eastAsia="zh-CN" w:bidi="ar-SA"/>
        </w:rPr>
        <w:t>公司（单位）名称（盖章）：</w:t>
      </w:r>
    </w:p>
    <w:p w14:paraId="05F886FB">
      <w:pPr>
        <w:widowControl/>
        <w:shd w:val="clear" w:color="auto" w:fill="FFFFFF"/>
        <w:wordWrap w:val="0"/>
        <w:spacing w:before="24" w:after="24" w:line="360" w:lineRule="auto"/>
        <w:ind w:firstLine="480"/>
        <w:jc w:val="right"/>
        <w:rPr>
          <w:rFonts w:hint="default" w:ascii="宋体" w:hAnsi="宋体" w:cs="宋体"/>
          <w:color w:val="333333"/>
          <w:kern w:val="0"/>
          <w:sz w:val="24"/>
          <w:highlight w:val="none"/>
        </w:rPr>
      </w:pPr>
      <w:r>
        <w:rPr>
          <w:rFonts w:hint="eastAsia" w:ascii="宋体" w:hAnsi="宋体" w:eastAsia="宋体" w:cs="宋体"/>
          <w:color w:val="333333"/>
          <w:kern w:val="0"/>
          <w:sz w:val="24"/>
          <w:szCs w:val="24"/>
          <w:highlight w:val="none"/>
          <w:lang w:val="en-US" w:eastAsia="zh-CN" w:bidi="ar-SA"/>
        </w:rPr>
        <w:t>日期：</w:t>
      </w:r>
      <w:r>
        <w:rPr>
          <w:rFonts w:hint="eastAsia" w:ascii="宋体" w:hAnsi="宋体" w:cs="宋体"/>
          <w:color w:val="333333"/>
          <w:kern w:val="0"/>
          <w:sz w:val="24"/>
          <w:szCs w:val="24"/>
          <w:highlight w:val="none"/>
          <w:lang w:val="en-US" w:eastAsia="zh-CN" w:bidi="ar-SA"/>
        </w:rPr>
        <w:t xml:space="preserve">   </w:t>
      </w:r>
      <w:r>
        <w:rPr>
          <w:rFonts w:hint="eastAsia" w:ascii="宋体" w:hAnsi="宋体" w:eastAsia="宋体" w:cs="宋体"/>
          <w:color w:val="333333"/>
          <w:kern w:val="0"/>
          <w:sz w:val="24"/>
          <w:szCs w:val="24"/>
          <w:highlight w:val="none"/>
          <w:lang w:val="en-US" w:eastAsia="zh-CN" w:bidi="ar-SA"/>
        </w:rPr>
        <w:t>年</w:t>
      </w:r>
      <w:r>
        <w:rPr>
          <w:rFonts w:hint="eastAsia" w:ascii="宋体" w:hAnsi="宋体" w:cs="宋体"/>
          <w:color w:val="333333"/>
          <w:kern w:val="0"/>
          <w:sz w:val="24"/>
          <w:szCs w:val="24"/>
          <w:highlight w:val="none"/>
          <w:lang w:val="en-US" w:eastAsia="zh-CN" w:bidi="ar-SA"/>
        </w:rPr>
        <w:t xml:space="preserve">  </w:t>
      </w:r>
      <w:r>
        <w:rPr>
          <w:rFonts w:hint="eastAsia" w:ascii="宋体" w:hAnsi="宋体" w:eastAsia="宋体" w:cs="宋体"/>
          <w:color w:val="333333"/>
          <w:kern w:val="0"/>
          <w:sz w:val="24"/>
          <w:szCs w:val="24"/>
          <w:highlight w:val="none"/>
          <w:lang w:val="en-US" w:eastAsia="zh-CN" w:bidi="ar-SA"/>
        </w:rPr>
        <w:t>月</w:t>
      </w:r>
      <w:r>
        <w:rPr>
          <w:rFonts w:hint="eastAsia" w:ascii="宋体" w:hAnsi="宋体" w:cs="宋体"/>
          <w:color w:val="333333"/>
          <w:kern w:val="0"/>
          <w:sz w:val="24"/>
          <w:szCs w:val="24"/>
          <w:highlight w:val="none"/>
          <w:lang w:val="en-US" w:eastAsia="zh-CN" w:bidi="ar-SA"/>
        </w:rPr>
        <w:t xml:space="preserve">  </w:t>
      </w:r>
      <w:r>
        <w:rPr>
          <w:rFonts w:hint="eastAsia" w:ascii="宋体" w:hAnsi="宋体" w:eastAsia="宋体" w:cs="宋体"/>
          <w:color w:val="333333"/>
          <w:kern w:val="0"/>
          <w:sz w:val="24"/>
          <w:szCs w:val="24"/>
          <w:highlight w:val="none"/>
          <w:lang w:val="en-US" w:eastAsia="zh-CN" w:bidi="ar-SA"/>
        </w:rPr>
        <w:t>日</w:t>
      </w:r>
      <w:r>
        <w:rPr>
          <w:rFonts w:hint="eastAsia" w:ascii="宋体" w:hAnsi="宋体" w:cs="宋体"/>
          <w:color w:val="333333"/>
          <w:kern w:val="0"/>
          <w:sz w:val="24"/>
          <w:szCs w:val="24"/>
          <w:highlight w:val="none"/>
          <w:lang w:val="en-US" w:eastAsia="zh-CN" w:bidi="ar-SA"/>
        </w:rPr>
        <w:t xml:space="preserve">    </w:t>
      </w:r>
    </w:p>
    <w:p w14:paraId="6667CF84">
      <w:pPr>
        <w:pStyle w:val="2"/>
        <w:rPr>
          <w:rFonts w:hint="eastAsia"/>
          <w:highlight w:val="none"/>
        </w:rPr>
      </w:pPr>
    </w:p>
    <w:p w14:paraId="4214BC86">
      <w:pPr>
        <w:rPr>
          <w:rFonts w:hint="eastAsia"/>
          <w:highlight w:val="none"/>
        </w:rPr>
      </w:pPr>
    </w:p>
    <w:p w14:paraId="1822FB83">
      <w:pPr>
        <w:pStyle w:val="2"/>
        <w:rPr>
          <w:rFonts w:hint="eastAsia"/>
          <w:highlight w:val="none"/>
        </w:rPr>
      </w:pPr>
    </w:p>
    <w:p w14:paraId="5DFB42D5">
      <w:pPr>
        <w:rPr>
          <w:rFonts w:hint="eastAsia"/>
          <w:highlight w:val="none"/>
        </w:rPr>
      </w:pPr>
    </w:p>
    <w:p w14:paraId="62077BC2">
      <w:pPr>
        <w:pStyle w:val="2"/>
        <w:rPr>
          <w:rFonts w:hint="eastAsia"/>
          <w:highlight w:val="none"/>
        </w:rPr>
      </w:pPr>
    </w:p>
    <w:p w14:paraId="4446BFFF">
      <w:pPr>
        <w:rPr>
          <w:rFonts w:hint="eastAsia"/>
          <w:highlight w:val="none"/>
        </w:rPr>
      </w:pPr>
    </w:p>
    <w:p w14:paraId="58DB346D">
      <w:pPr>
        <w:pStyle w:val="2"/>
        <w:rPr>
          <w:rFonts w:hint="eastAsia"/>
          <w:highlight w:val="none"/>
        </w:rPr>
      </w:pPr>
    </w:p>
    <w:p w14:paraId="5DB63F81">
      <w:pPr>
        <w:rPr>
          <w:rFonts w:hint="eastAsia"/>
          <w:highlight w:val="none"/>
        </w:rPr>
      </w:pPr>
    </w:p>
    <w:p w14:paraId="7034C377">
      <w:pPr>
        <w:pStyle w:val="2"/>
        <w:rPr>
          <w:rFonts w:hint="eastAsia"/>
          <w:highlight w:val="none"/>
        </w:rPr>
      </w:pPr>
    </w:p>
    <w:p w14:paraId="76295D96">
      <w:pPr>
        <w:rPr>
          <w:rFonts w:hint="eastAsia"/>
          <w:highlight w:val="none"/>
        </w:rPr>
      </w:pPr>
    </w:p>
    <w:p w14:paraId="74239B03">
      <w:pPr>
        <w:pStyle w:val="2"/>
        <w:rPr>
          <w:rFonts w:hint="eastAsia"/>
          <w:highlight w:val="none"/>
        </w:rPr>
      </w:pPr>
    </w:p>
    <w:p w14:paraId="4DCE3E96">
      <w:pPr>
        <w:rPr>
          <w:rFonts w:hint="eastAsia"/>
          <w:highlight w:val="none"/>
        </w:rPr>
      </w:pPr>
    </w:p>
    <w:p w14:paraId="702C9AC3">
      <w:pPr>
        <w:pStyle w:val="2"/>
        <w:rPr>
          <w:rFonts w:hint="eastAsia"/>
          <w:highlight w:val="none"/>
        </w:rPr>
      </w:pPr>
    </w:p>
    <w:p w14:paraId="09F2D661">
      <w:pPr>
        <w:rPr>
          <w:rFonts w:hint="eastAsia"/>
          <w:highlight w:val="none"/>
        </w:rPr>
      </w:pPr>
    </w:p>
    <w:p w14:paraId="32B49060">
      <w:pPr>
        <w:rPr>
          <w:rFonts w:hint="eastAsia" w:ascii="宋体" w:hAnsi="宋体"/>
          <w:b/>
          <w:color w:val="auto"/>
          <w:sz w:val="28"/>
          <w:szCs w:val="28"/>
          <w:highlight w:val="none"/>
        </w:rPr>
      </w:pPr>
    </w:p>
    <w:p w14:paraId="12032B20">
      <w:pPr>
        <w:rPr>
          <w:rFonts w:hint="eastAsia" w:ascii="宋体" w:hAnsi="宋体"/>
          <w:b/>
          <w:color w:val="auto"/>
          <w:sz w:val="28"/>
          <w:szCs w:val="28"/>
          <w:highlight w:val="none"/>
        </w:rPr>
      </w:pPr>
    </w:p>
    <w:p w14:paraId="1BD346C2">
      <w:pPr>
        <w:rPr>
          <w:rFonts w:hint="eastAsia" w:ascii="宋体" w:hAnsi="宋体"/>
          <w:b/>
          <w:color w:val="auto"/>
          <w:sz w:val="28"/>
          <w:szCs w:val="28"/>
          <w:highlight w:val="none"/>
        </w:rPr>
      </w:pPr>
      <w:r>
        <w:rPr>
          <w:rFonts w:hint="eastAsia" w:ascii="宋体" w:hAnsi="宋体"/>
          <w:b/>
          <w:color w:val="auto"/>
          <w:sz w:val="28"/>
          <w:szCs w:val="28"/>
          <w:highlight w:val="none"/>
        </w:rPr>
        <w:t>二、资格证明文件格式</w:t>
      </w:r>
      <w:bookmarkEnd w:id="152"/>
      <w:bookmarkEnd w:id="153"/>
      <w:bookmarkEnd w:id="154"/>
    </w:p>
    <w:p w14:paraId="3E62ACE2">
      <w:pPr>
        <w:numPr>
          <w:ilvl w:val="2"/>
          <w:numId w:val="4"/>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6FF87108">
      <w:pPr>
        <w:snapToGrid w:val="0"/>
        <w:spacing w:before="120" w:beforeLines="50" w:after="50"/>
        <w:rPr>
          <w:rFonts w:hint="eastAsia" w:ascii="宋体" w:hAnsi="宋体"/>
          <w:bCs/>
          <w:color w:val="auto"/>
          <w:sz w:val="32"/>
          <w:szCs w:val="20"/>
          <w:highlight w:val="none"/>
        </w:rPr>
      </w:pPr>
    </w:p>
    <w:p w14:paraId="62F683C8">
      <w:pPr>
        <w:snapToGrid w:val="0"/>
        <w:spacing w:before="120" w:beforeLines="50" w:after="50"/>
        <w:rPr>
          <w:rFonts w:hint="eastAsia" w:ascii="宋体" w:hAnsi="宋体"/>
          <w:color w:val="auto"/>
          <w:sz w:val="24"/>
          <w:szCs w:val="20"/>
          <w:highlight w:val="none"/>
        </w:rPr>
      </w:pPr>
    </w:p>
    <w:p w14:paraId="3D7FC174">
      <w:pPr>
        <w:snapToGrid w:val="0"/>
        <w:spacing w:before="120" w:beforeLines="50" w:after="50"/>
        <w:rPr>
          <w:rFonts w:hint="eastAsia" w:ascii="宋体" w:hAnsi="宋体"/>
          <w:color w:val="auto"/>
          <w:sz w:val="24"/>
          <w:szCs w:val="20"/>
          <w:highlight w:val="none"/>
        </w:rPr>
      </w:pPr>
    </w:p>
    <w:p w14:paraId="0ECC278A">
      <w:pPr>
        <w:snapToGrid w:val="0"/>
        <w:spacing w:before="120" w:beforeLines="50" w:after="50"/>
        <w:jc w:val="center"/>
        <w:rPr>
          <w:rFonts w:hint="eastAsia"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59103338">
      <w:pPr>
        <w:snapToGrid w:val="0"/>
        <w:spacing w:before="120" w:beforeLines="50" w:after="50"/>
        <w:rPr>
          <w:rFonts w:hint="eastAsia" w:ascii="宋体" w:hAnsi="宋体"/>
          <w:color w:val="auto"/>
          <w:sz w:val="24"/>
          <w:szCs w:val="20"/>
          <w:highlight w:val="none"/>
        </w:rPr>
      </w:pPr>
    </w:p>
    <w:p w14:paraId="5858020B">
      <w:pPr>
        <w:snapToGrid w:val="0"/>
        <w:spacing w:before="120" w:beforeLines="50" w:after="50"/>
        <w:rPr>
          <w:rFonts w:hint="eastAsia" w:ascii="宋体" w:hAnsi="宋体"/>
          <w:color w:val="auto"/>
          <w:sz w:val="24"/>
          <w:szCs w:val="20"/>
          <w:highlight w:val="none"/>
        </w:rPr>
      </w:pPr>
    </w:p>
    <w:p w14:paraId="32F5F74D">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66CFCB17">
      <w:pPr>
        <w:snapToGrid w:val="0"/>
        <w:spacing w:before="120" w:beforeLines="50" w:after="50"/>
        <w:rPr>
          <w:rFonts w:hint="eastAsia" w:ascii="宋体" w:hAnsi="宋体"/>
          <w:bCs/>
          <w:color w:val="auto"/>
          <w:sz w:val="24"/>
          <w:szCs w:val="20"/>
          <w:highlight w:val="none"/>
        </w:rPr>
      </w:pPr>
    </w:p>
    <w:p w14:paraId="4D65EF75">
      <w:pPr>
        <w:snapToGrid w:val="0"/>
        <w:spacing w:before="120" w:beforeLines="50" w:after="50"/>
        <w:rPr>
          <w:rFonts w:hint="eastAsia" w:ascii="宋体" w:hAnsi="宋体"/>
          <w:bCs/>
          <w:color w:val="auto"/>
          <w:sz w:val="24"/>
          <w:szCs w:val="20"/>
          <w:highlight w:val="none"/>
        </w:rPr>
      </w:pPr>
    </w:p>
    <w:p w14:paraId="48557029">
      <w:pPr>
        <w:snapToGrid w:val="0"/>
        <w:spacing w:before="120" w:beforeLines="50" w:after="50"/>
        <w:rPr>
          <w:rFonts w:hint="eastAsia" w:ascii="宋体" w:hAnsi="宋体"/>
          <w:bCs/>
          <w:color w:val="auto"/>
          <w:sz w:val="24"/>
          <w:szCs w:val="20"/>
          <w:highlight w:val="none"/>
        </w:rPr>
      </w:pPr>
    </w:p>
    <w:p w14:paraId="37BD70B9">
      <w:pPr>
        <w:snapToGrid w:val="0"/>
        <w:spacing w:before="120" w:beforeLines="50" w:after="50"/>
        <w:rPr>
          <w:rFonts w:hint="eastAsia" w:ascii="宋体" w:hAnsi="宋体"/>
          <w:bCs/>
          <w:color w:val="auto"/>
          <w:sz w:val="24"/>
          <w:szCs w:val="20"/>
          <w:highlight w:val="none"/>
        </w:rPr>
      </w:pPr>
    </w:p>
    <w:p w14:paraId="416B2243">
      <w:pPr>
        <w:snapToGrid w:val="0"/>
        <w:spacing w:before="120" w:beforeLines="50" w:after="50"/>
        <w:rPr>
          <w:rFonts w:hint="eastAsia" w:ascii="宋体" w:hAnsi="宋体"/>
          <w:bCs/>
          <w:color w:val="auto"/>
          <w:sz w:val="24"/>
          <w:szCs w:val="20"/>
          <w:highlight w:val="none"/>
        </w:rPr>
      </w:pPr>
    </w:p>
    <w:p w14:paraId="47104F7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670B1B26">
      <w:pPr>
        <w:snapToGrid w:val="0"/>
        <w:spacing w:before="120" w:beforeLines="50" w:after="50"/>
        <w:ind w:firstLine="540" w:firstLineChars="225"/>
        <w:rPr>
          <w:rFonts w:hint="eastAsia" w:ascii="宋体" w:hAnsi="宋体"/>
          <w:bCs/>
          <w:color w:val="auto"/>
          <w:sz w:val="24"/>
          <w:szCs w:val="20"/>
          <w:highlight w:val="none"/>
        </w:rPr>
      </w:pPr>
    </w:p>
    <w:p w14:paraId="46A0330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E81E196">
      <w:pPr>
        <w:snapToGrid w:val="0"/>
        <w:spacing w:before="120" w:beforeLines="50" w:after="50"/>
        <w:ind w:firstLine="540" w:firstLineChars="225"/>
        <w:rPr>
          <w:rFonts w:hint="eastAsia" w:ascii="宋体" w:hAnsi="宋体"/>
          <w:bCs/>
          <w:color w:val="auto"/>
          <w:sz w:val="24"/>
          <w:szCs w:val="20"/>
          <w:highlight w:val="none"/>
        </w:rPr>
      </w:pPr>
    </w:p>
    <w:p w14:paraId="24EFA0B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60A5DAC5">
      <w:pPr>
        <w:pStyle w:val="15"/>
        <w:snapToGrid w:val="0"/>
        <w:spacing w:before="50" w:after="50"/>
        <w:ind w:firstLine="540" w:firstLineChars="225"/>
        <w:rPr>
          <w:rFonts w:hint="eastAsia" w:ascii="宋体" w:hAnsi="宋体"/>
          <w:bCs/>
          <w:color w:val="auto"/>
          <w:sz w:val="24"/>
          <w:szCs w:val="24"/>
          <w:highlight w:val="none"/>
        </w:rPr>
      </w:pPr>
    </w:p>
    <w:p w14:paraId="53281313">
      <w:pPr>
        <w:pStyle w:val="1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F2B0F33">
      <w:pPr>
        <w:pStyle w:val="15"/>
        <w:snapToGrid w:val="0"/>
        <w:spacing w:before="50" w:after="50"/>
        <w:ind w:firstLine="540" w:firstLineChars="225"/>
        <w:rPr>
          <w:rFonts w:hint="eastAsia" w:ascii="宋体" w:hAnsi="宋体"/>
          <w:bCs/>
          <w:color w:val="auto"/>
          <w:sz w:val="24"/>
          <w:szCs w:val="24"/>
          <w:highlight w:val="none"/>
        </w:rPr>
      </w:pPr>
    </w:p>
    <w:p w14:paraId="198010F2">
      <w:pPr>
        <w:pStyle w:val="15"/>
        <w:snapToGrid w:val="0"/>
        <w:spacing w:before="50" w:after="50"/>
        <w:ind w:firstLine="960" w:firstLineChars="400"/>
        <w:rPr>
          <w:rFonts w:hint="eastAsia" w:ascii="宋体" w:hAnsi="宋体"/>
          <w:bCs/>
          <w:color w:val="auto"/>
          <w:sz w:val="24"/>
          <w:szCs w:val="24"/>
          <w:highlight w:val="none"/>
        </w:rPr>
      </w:pPr>
    </w:p>
    <w:p w14:paraId="47FCE45F">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1B4BA9BC">
      <w:pPr>
        <w:snapToGrid w:val="0"/>
        <w:spacing w:before="120" w:beforeLines="50" w:after="50"/>
        <w:rPr>
          <w:rFonts w:hint="eastAsia" w:ascii="宋体" w:hAnsi="宋体"/>
          <w:color w:val="auto"/>
          <w:sz w:val="24"/>
          <w:szCs w:val="20"/>
          <w:highlight w:val="none"/>
        </w:rPr>
      </w:pPr>
    </w:p>
    <w:p w14:paraId="2F89C3BA">
      <w:pPr>
        <w:snapToGrid w:val="0"/>
        <w:spacing w:before="120" w:beforeLines="50" w:after="50"/>
        <w:rPr>
          <w:rFonts w:hint="eastAsia" w:ascii="宋体" w:hAnsi="宋体"/>
          <w:color w:val="auto"/>
          <w:sz w:val="24"/>
          <w:szCs w:val="20"/>
          <w:highlight w:val="none"/>
        </w:rPr>
      </w:pPr>
    </w:p>
    <w:p w14:paraId="1B6079FA">
      <w:pPr>
        <w:numPr>
          <w:ilvl w:val="2"/>
          <w:numId w:val="4"/>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2B65D5B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46E60BF">
      <w:pPr>
        <w:snapToGrid w:val="0"/>
        <w:spacing w:before="50" w:after="120" w:afterLines="50"/>
        <w:jc w:val="left"/>
        <w:rPr>
          <w:rFonts w:hint="eastAsia" w:ascii="宋体" w:hAnsi="宋体"/>
          <w:color w:val="auto"/>
          <w:sz w:val="24"/>
          <w:highlight w:val="none"/>
        </w:rPr>
      </w:pPr>
    </w:p>
    <w:p w14:paraId="79903E60">
      <w:pPr>
        <w:snapToGrid w:val="0"/>
        <w:spacing w:before="50" w:after="120" w:afterLines="50"/>
        <w:jc w:val="left"/>
        <w:rPr>
          <w:rFonts w:hint="eastAsia" w:ascii="宋体" w:hAnsi="宋体"/>
          <w:color w:val="auto"/>
          <w:sz w:val="24"/>
          <w:highlight w:val="none"/>
        </w:rPr>
      </w:pPr>
    </w:p>
    <w:p w14:paraId="10CFC055">
      <w:pPr>
        <w:numPr>
          <w:ilvl w:val="2"/>
          <w:numId w:val="4"/>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5A4D8B0E">
      <w:pPr>
        <w:snapToGrid w:val="0"/>
        <w:spacing w:before="50" w:after="120" w:afterLines="50"/>
        <w:jc w:val="center"/>
        <w:rPr>
          <w:rFonts w:hint="eastAsia" w:ascii="宋体" w:hAnsi="宋体"/>
          <w:b/>
          <w:color w:val="auto"/>
          <w:sz w:val="28"/>
          <w:szCs w:val="28"/>
          <w:highlight w:val="none"/>
        </w:rPr>
      </w:pPr>
    </w:p>
    <w:p w14:paraId="58B13DB1">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5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15A8625">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F75A5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29D7B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C512D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62BCE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62EC6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2D6F88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A84DE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F47D1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B5712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79EF02">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A7AD9">
            <w:pPr>
              <w:spacing w:line="360" w:lineRule="auto"/>
              <w:jc w:val="center"/>
              <w:rPr>
                <w:rFonts w:hint="eastAsia" w:ascii="宋体" w:hAnsi="宋体" w:cs="宋体"/>
                <w:color w:val="auto"/>
                <w:kern w:val="0"/>
                <w:sz w:val="24"/>
                <w:highlight w:val="none"/>
              </w:rPr>
            </w:pPr>
          </w:p>
        </w:tc>
      </w:tr>
      <w:tr w14:paraId="34A978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0E083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1F3602">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330B6F">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967B96">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98E417">
            <w:pPr>
              <w:spacing w:line="360" w:lineRule="auto"/>
              <w:jc w:val="center"/>
              <w:rPr>
                <w:rFonts w:hint="eastAsia" w:ascii="宋体" w:hAnsi="宋体" w:cs="宋体"/>
                <w:color w:val="auto"/>
                <w:kern w:val="0"/>
                <w:sz w:val="24"/>
                <w:highlight w:val="none"/>
              </w:rPr>
            </w:pPr>
          </w:p>
        </w:tc>
      </w:tr>
      <w:tr w14:paraId="22D3943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5728D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F1512">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F934CD">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A30114">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378B0">
            <w:pPr>
              <w:spacing w:line="360" w:lineRule="auto"/>
              <w:jc w:val="center"/>
              <w:rPr>
                <w:rFonts w:hint="eastAsia" w:ascii="宋体" w:hAnsi="宋体" w:cs="宋体"/>
                <w:color w:val="auto"/>
                <w:kern w:val="0"/>
                <w:sz w:val="24"/>
                <w:highlight w:val="none"/>
              </w:rPr>
            </w:pPr>
          </w:p>
        </w:tc>
      </w:tr>
      <w:tr w14:paraId="326D818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C3233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99AD69">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493EE5">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ADEB41">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2392B9">
            <w:pPr>
              <w:spacing w:line="360" w:lineRule="auto"/>
              <w:jc w:val="center"/>
              <w:rPr>
                <w:rFonts w:hint="eastAsia" w:ascii="宋体" w:hAnsi="宋体" w:cs="宋体"/>
                <w:color w:val="auto"/>
                <w:kern w:val="0"/>
                <w:sz w:val="24"/>
                <w:highlight w:val="none"/>
              </w:rPr>
            </w:pPr>
          </w:p>
        </w:tc>
      </w:tr>
    </w:tbl>
    <w:p w14:paraId="1AF4C4F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974AD3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A654C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FB6BDD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01B31825">
      <w:pPr>
        <w:snapToGrid w:val="0"/>
        <w:spacing w:line="360" w:lineRule="auto"/>
        <w:jc w:val="left"/>
        <w:rPr>
          <w:rFonts w:hint="eastAsia" w:ascii="宋体" w:hAnsi="宋体"/>
          <w:color w:val="auto"/>
          <w:sz w:val="24"/>
          <w:highlight w:val="none"/>
        </w:rPr>
      </w:pPr>
    </w:p>
    <w:p w14:paraId="11A3B0E2">
      <w:pPr>
        <w:snapToGrid w:val="0"/>
        <w:spacing w:line="360" w:lineRule="auto"/>
        <w:jc w:val="left"/>
        <w:rPr>
          <w:rFonts w:hint="eastAsia" w:ascii="宋体" w:hAnsi="宋体"/>
          <w:color w:val="auto"/>
          <w:sz w:val="24"/>
          <w:highlight w:val="none"/>
        </w:rPr>
      </w:pPr>
    </w:p>
    <w:p w14:paraId="13CB78F2">
      <w:pPr>
        <w:snapToGrid w:val="0"/>
        <w:spacing w:line="360" w:lineRule="auto"/>
        <w:jc w:val="left"/>
        <w:rPr>
          <w:rFonts w:hint="eastAsia" w:ascii="宋体" w:hAnsi="宋体"/>
          <w:color w:val="auto"/>
          <w:sz w:val="24"/>
          <w:highlight w:val="none"/>
        </w:rPr>
      </w:pPr>
    </w:p>
    <w:p w14:paraId="7F62EEA5">
      <w:pPr>
        <w:snapToGrid w:val="0"/>
        <w:spacing w:line="360" w:lineRule="auto"/>
        <w:jc w:val="left"/>
        <w:rPr>
          <w:rFonts w:hint="eastAsia" w:ascii="宋体" w:hAnsi="宋体"/>
          <w:color w:val="auto"/>
          <w:sz w:val="24"/>
          <w:highlight w:val="none"/>
        </w:rPr>
      </w:pPr>
    </w:p>
    <w:p w14:paraId="52BD2B88">
      <w:pPr>
        <w:snapToGrid w:val="0"/>
        <w:spacing w:line="360" w:lineRule="auto"/>
        <w:jc w:val="left"/>
        <w:rPr>
          <w:rFonts w:hint="eastAsia" w:ascii="宋体" w:hAnsi="宋体"/>
          <w:color w:val="auto"/>
          <w:sz w:val="24"/>
          <w:highlight w:val="none"/>
        </w:rPr>
      </w:pPr>
    </w:p>
    <w:p w14:paraId="167A3F6C">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p>
    <w:p w14:paraId="31971EEB">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p>
    <w:p w14:paraId="449F3482">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4781A8A9">
      <w:pPr>
        <w:snapToGrid w:val="0"/>
        <w:jc w:val="center"/>
        <w:rPr>
          <w:rFonts w:hint="eastAsia" w:ascii="宋体" w:hAnsi="宋体"/>
          <w:b/>
          <w:color w:val="auto"/>
          <w:sz w:val="28"/>
          <w:szCs w:val="28"/>
          <w:highlight w:val="none"/>
        </w:rPr>
      </w:pPr>
    </w:p>
    <w:p w14:paraId="3F84EF41">
      <w:pPr>
        <w:snapToGrid w:val="0"/>
        <w:spacing w:line="360" w:lineRule="auto"/>
        <w:jc w:val="center"/>
        <w:rPr>
          <w:rFonts w:hint="eastAsia"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50"/>
        <w:tblW w:w="0" w:type="auto"/>
        <w:tblInd w:w="0" w:type="dxa"/>
        <w:tblLayout w:type="fixed"/>
        <w:tblCellMar>
          <w:top w:w="0" w:type="dxa"/>
          <w:left w:w="0" w:type="dxa"/>
          <w:bottom w:w="0" w:type="dxa"/>
          <w:right w:w="0" w:type="dxa"/>
        </w:tblCellMar>
      </w:tblPr>
      <w:tblGrid>
        <w:gridCol w:w="1005"/>
        <w:gridCol w:w="2659"/>
        <w:gridCol w:w="3924"/>
        <w:gridCol w:w="2064"/>
      </w:tblGrid>
      <w:tr w14:paraId="11F3124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0B2A4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31B43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A9EF8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297E6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1C8B83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636B2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126A4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C96FD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5D85EB">
            <w:pPr>
              <w:spacing w:line="360" w:lineRule="auto"/>
              <w:jc w:val="center"/>
              <w:rPr>
                <w:rFonts w:hint="eastAsia" w:ascii="宋体" w:hAnsi="宋体" w:cs="宋体"/>
                <w:color w:val="auto"/>
                <w:kern w:val="0"/>
                <w:sz w:val="24"/>
                <w:highlight w:val="none"/>
              </w:rPr>
            </w:pPr>
          </w:p>
        </w:tc>
      </w:tr>
      <w:tr w14:paraId="128E68B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433A9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26EC27">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50F09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220E43">
            <w:pPr>
              <w:spacing w:line="360" w:lineRule="auto"/>
              <w:jc w:val="center"/>
              <w:rPr>
                <w:rFonts w:hint="eastAsia" w:ascii="宋体" w:hAnsi="宋体" w:cs="宋体"/>
                <w:color w:val="auto"/>
                <w:kern w:val="0"/>
                <w:sz w:val="24"/>
                <w:highlight w:val="none"/>
              </w:rPr>
            </w:pPr>
          </w:p>
        </w:tc>
      </w:tr>
      <w:tr w14:paraId="08308B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FB443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D92DB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66861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9F4049">
            <w:pPr>
              <w:spacing w:line="360" w:lineRule="auto"/>
              <w:jc w:val="center"/>
              <w:rPr>
                <w:rFonts w:hint="eastAsia" w:ascii="宋体" w:hAnsi="宋体" w:cs="宋体"/>
                <w:color w:val="auto"/>
                <w:kern w:val="0"/>
                <w:sz w:val="24"/>
                <w:highlight w:val="none"/>
              </w:rPr>
            </w:pPr>
          </w:p>
        </w:tc>
      </w:tr>
      <w:tr w14:paraId="24EA92D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63EA9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CEF0F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F193BE">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6D66C2">
            <w:pPr>
              <w:spacing w:line="360" w:lineRule="auto"/>
              <w:jc w:val="center"/>
              <w:rPr>
                <w:rFonts w:hint="eastAsia" w:ascii="宋体" w:hAnsi="宋体" w:cs="宋体"/>
                <w:color w:val="auto"/>
                <w:kern w:val="0"/>
                <w:sz w:val="24"/>
                <w:highlight w:val="none"/>
              </w:rPr>
            </w:pPr>
          </w:p>
        </w:tc>
      </w:tr>
    </w:tbl>
    <w:p w14:paraId="7C8743B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0586F5DA">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9440AD">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48C0DC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7AB9572B">
      <w:pPr>
        <w:snapToGrid w:val="0"/>
        <w:spacing w:line="360" w:lineRule="auto"/>
        <w:jc w:val="left"/>
        <w:rPr>
          <w:rFonts w:hint="eastAsia" w:ascii="宋体" w:hAnsi="宋体"/>
          <w:color w:val="auto"/>
          <w:sz w:val="24"/>
          <w:highlight w:val="none"/>
        </w:rPr>
      </w:pPr>
    </w:p>
    <w:p w14:paraId="421F01A3">
      <w:pPr>
        <w:snapToGrid w:val="0"/>
        <w:spacing w:line="360" w:lineRule="auto"/>
        <w:jc w:val="left"/>
        <w:rPr>
          <w:rFonts w:hint="eastAsia" w:ascii="宋体" w:hAnsi="宋体"/>
          <w:color w:val="auto"/>
          <w:sz w:val="24"/>
          <w:highlight w:val="none"/>
        </w:rPr>
      </w:pPr>
    </w:p>
    <w:p w14:paraId="2F9B80AB">
      <w:pPr>
        <w:snapToGrid w:val="0"/>
        <w:spacing w:line="360" w:lineRule="auto"/>
        <w:jc w:val="left"/>
        <w:rPr>
          <w:rFonts w:hint="eastAsia" w:ascii="宋体" w:hAnsi="宋体"/>
          <w:color w:val="auto"/>
          <w:sz w:val="24"/>
          <w:highlight w:val="none"/>
        </w:rPr>
      </w:pPr>
    </w:p>
    <w:p w14:paraId="768A322D">
      <w:pPr>
        <w:snapToGrid w:val="0"/>
        <w:spacing w:line="360" w:lineRule="auto"/>
        <w:jc w:val="left"/>
        <w:rPr>
          <w:rFonts w:hint="eastAsia" w:ascii="宋体" w:hAnsi="宋体"/>
          <w:color w:val="auto"/>
          <w:sz w:val="24"/>
          <w:highlight w:val="none"/>
        </w:rPr>
      </w:pPr>
    </w:p>
    <w:p w14:paraId="6D41BF9D">
      <w:pPr>
        <w:snapToGrid w:val="0"/>
        <w:spacing w:line="360" w:lineRule="auto"/>
        <w:jc w:val="left"/>
        <w:rPr>
          <w:rFonts w:hint="eastAsia" w:ascii="宋体" w:hAnsi="宋体"/>
          <w:color w:val="auto"/>
          <w:sz w:val="24"/>
          <w:highlight w:val="none"/>
        </w:rPr>
      </w:pPr>
    </w:p>
    <w:p w14:paraId="70D6140D">
      <w:pPr>
        <w:snapToGrid w:val="0"/>
        <w:spacing w:line="360" w:lineRule="auto"/>
        <w:jc w:val="left"/>
        <w:rPr>
          <w:rFonts w:hint="eastAsia" w:ascii="宋体" w:hAnsi="宋体"/>
          <w:color w:val="auto"/>
          <w:sz w:val="24"/>
          <w:highlight w:val="none"/>
        </w:rPr>
      </w:pPr>
    </w:p>
    <w:p w14:paraId="78560EBF">
      <w:pPr>
        <w:snapToGrid w:val="0"/>
        <w:spacing w:line="360" w:lineRule="auto"/>
        <w:jc w:val="left"/>
        <w:rPr>
          <w:rFonts w:hint="eastAsia" w:ascii="宋体" w:hAnsi="宋体"/>
          <w:color w:val="auto"/>
          <w:sz w:val="24"/>
          <w:highlight w:val="none"/>
        </w:rPr>
      </w:pPr>
    </w:p>
    <w:p w14:paraId="4642F97C">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p>
    <w:p w14:paraId="10D2A088">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p>
    <w:p w14:paraId="2B2490DF">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55B051A1">
      <w:pPr>
        <w:snapToGrid w:val="0"/>
        <w:spacing w:before="50" w:after="120" w:afterLines="50"/>
        <w:jc w:val="left"/>
        <w:rPr>
          <w:rFonts w:hint="eastAsia" w:ascii="宋体" w:hAnsi="宋体"/>
          <w:color w:val="auto"/>
          <w:szCs w:val="21"/>
          <w:highlight w:val="none"/>
        </w:rPr>
      </w:pPr>
    </w:p>
    <w:p w14:paraId="4C2200B6">
      <w:pPr>
        <w:snapToGrid w:val="0"/>
        <w:spacing w:before="120" w:beforeLines="50" w:after="50"/>
        <w:jc w:val="left"/>
        <w:rPr>
          <w:rFonts w:hint="eastAsia" w:ascii="宋体" w:hAnsi="宋体"/>
          <w:b/>
          <w:color w:val="auto"/>
          <w:sz w:val="24"/>
          <w:szCs w:val="20"/>
          <w:highlight w:val="none"/>
        </w:rPr>
      </w:pPr>
    </w:p>
    <w:p w14:paraId="21B52602">
      <w:pPr>
        <w:numPr>
          <w:ilvl w:val="2"/>
          <w:numId w:val="4"/>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54D5259B">
      <w:pPr>
        <w:snapToGrid w:val="0"/>
        <w:spacing w:before="50" w:after="120" w:afterLines="50"/>
        <w:jc w:val="left"/>
        <w:rPr>
          <w:rFonts w:hint="eastAsia" w:ascii="宋体" w:hAnsi="宋体"/>
          <w:color w:val="auto"/>
          <w:highlight w:val="none"/>
        </w:rPr>
      </w:pPr>
    </w:p>
    <w:p w14:paraId="1DAAAE3E">
      <w:pPr>
        <w:snapToGrid w:val="0"/>
        <w:spacing w:before="50" w:after="120" w:afterLines="5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3BBC926A">
      <w:pPr>
        <w:snapToGrid w:val="0"/>
        <w:spacing w:before="50" w:after="120" w:afterLines="50"/>
        <w:jc w:val="center"/>
        <w:rPr>
          <w:rFonts w:hint="eastAsia" w:ascii="宋体" w:hAnsi="宋体" w:cs="方正小标宋简体"/>
          <w:bCs/>
          <w:color w:val="auto"/>
          <w:sz w:val="44"/>
          <w:szCs w:val="44"/>
          <w:highlight w:val="none"/>
        </w:rPr>
      </w:pPr>
    </w:p>
    <w:p w14:paraId="44C7EB42">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（采购人名称）：</w:t>
      </w:r>
    </w:p>
    <w:p w14:paraId="4F80407F">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0F9781A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ECE793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997BC6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7C98EA3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6B2BFB4B">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246B25D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542C033A">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35B5C30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F9C5BB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32F7E3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7111A6B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7DEBD5B5">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0C4D9B1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p>
    <w:p w14:paraId="1A2DA897">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p>
    <w:p w14:paraId="0EABF5C7">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4D9E05A3">
      <w:pPr>
        <w:rPr>
          <w:rFonts w:hint="eastAsia" w:ascii="宋体" w:hAnsi="宋体"/>
          <w:b/>
          <w:color w:val="auto"/>
          <w:sz w:val="28"/>
          <w:szCs w:val="28"/>
          <w:highlight w:val="none"/>
        </w:rPr>
      </w:pPr>
      <w:bookmarkStart w:id="155" w:name="_Toc19686838"/>
      <w:r>
        <w:rPr>
          <w:rFonts w:ascii="宋体" w:hAnsi="宋体"/>
          <w:b/>
          <w:color w:val="auto"/>
          <w:sz w:val="28"/>
          <w:szCs w:val="28"/>
          <w:highlight w:val="none"/>
        </w:rPr>
        <w:br w:type="page"/>
      </w:r>
      <w:r>
        <w:rPr>
          <w:rFonts w:hint="eastAsia" w:ascii="宋体" w:hAnsi="宋体"/>
          <w:b/>
          <w:color w:val="auto"/>
          <w:sz w:val="28"/>
          <w:szCs w:val="28"/>
          <w:highlight w:val="none"/>
        </w:rPr>
        <w:t>三、商务文件格式</w:t>
      </w:r>
      <w:bookmarkEnd w:id="155"/>
    </w:p>
    <w:p w14:paraId="4B173CF8">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0E8186D2">
      <w:pPr>
        <w:snapToGrid w:val="0"/>
        <w:spacing w:before="120" w:beforeLines="50" w:after="50"/>
        <w:rPr>
          <w:rFonts w:hint="eastAsia" w:ascii="宋体" w:hAnsi="宋体"/>
          <w:bCs/>
          <w:color w:val="auto"/>
          <w:sz w:val="32"/>
          <w:szCs w:val="20"/>
          <w:highlight w:val="none"/>
        </w:rPr>
      </w:pPr>
    </w:p>
    <w:p w14:paraId="3489EA3F">
      <w:pPr>
        <w:snapToGrid w:val="0"/>
        <w:spacing w:before="120" w:beforeLines="50" w:after="50"/>
        <w:rPr>
          <w:rFonts w:hint="eastAsia" w:ascii="宋体" w:hAnsi="宋体"/>
          <w:color w:val="auto"/>
          <w:sz w:val="24"/>
          <w:szCs w:val="20"/>
          <w:highlight w:val="none"/>
        </w:rPr>
      </w:pPr>
    </w:p>
    <w:p w14:paraId="12F87954">
      <w:pPr>
        <w:snapToGrid w:val="0"/>
        <w:spacing w:before="120" w:beforeLines="50" w:after="50"/>
        <w:rPr>
          <w:rFonts w:hint="eastAsia" w:ascii="宋体" w:hAnsi="宋体"/>
          <w:color w:val="auto"/>
          <w:sz w:val="24"/>
          <w:szCs w:val="20"/>
          <w:highlight w:val="none"/>
        </w:rPr>
      </w:pPr>
    </w:p>
    <w:p w14:paraId="0C0E7928">
      <w:pPr>
        <w:snapToGrid w:val="0"/>
        <w:spacing w:before="120" w:beforeLines="50" w:after="50"/>
        <w:rPr>
          <w:rFonts w:hint="eastAsia" w:ascii="宋体" w:hAnsi="宋体"/>
          <w:color w:val="auto"/>
          <w:sz w:val="24"/>
          <w:szCs w:val="20"/>
          <w:highlight w:val="none"/>
        </w:rPr>
      </w:pPr>
    </w:p>
    <w:p w14:paraId="4679AE5A">
      <w:pPr>
        <w:snapToGrid w:val="0"/>
        <w:spacing w:before="120" w:beforeLines="50" w:after="50"/>
        <w:jc w:val="center"/>
        <w:rPr>
          <w:rFonts w:hint="eastAsia"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70C738E3">
      <w:pPr>
        <w:snapToGrid w:val="0"/>
        <w:spacing w:before="120" w:beforeLines="50" w:after="50"/>
        <w:rPr>
          <w:rFonts w:hint="eastAsia" w:ascii="宋体" w:hAnsi="宋体"/>
          <w:color w:val="auto"/>
          <w:sz w:val="24"/>
          <w:szCs w:val="20"/>
          <w:highlight w:val="none"/>
        </w:rPr>
      </w:pPr>
    </w:p>
    <w:p w14:paraId="31B49BD5">
      <w:pPr>
        <w:snapToGrid w:val="0"/>
        <w:spacing w:before="120" w:beforeLines="50" w:after="50"/>
        <w:rPr>
          <w:rFonts w:hint="eastAsia" w:ascii="宋体" w:hAnsi="宋体"/>
          <w:color w:val="auto"/>
          <w:sz w:val="24"/>
          <w:szCs w:val="20"/>
          <w:highlight w:val="none"/>
        </w:rPr>
      </w:pPr>
    </w:p>
    <w:p w14:paraId="5665DC63">
      <w:pPr>
        <w:snapToGrid w:val="0"/>
        <w:spacing w:before="120" w:beforeLines="50" w:after="50"/>
        <w:jc w:val="center"/>
        <w:rPr>
          <w:rFonts w:hint="eastAsia"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商  务  文  件</w:t>
      </w:r>
    </w:p>
    <w:p w14:paraId="00640FBD">
      <w:pPr>
        <w:snapToGrid w:val="0"/>
        <w:spacing w:before="120" w:beforeLines="50" w:after="50"/>
        <w:rPr>
          <w:rFonts w:hint="eastAsia" w:ascii="宋体" w:hAnsi="宋体"/>
          <w:bCs/>
          <w:color w:val="auto"/>
          <w:sz w:val="24"/>
          <w:szCs w:val="20"/>
          <w:highlight w:val="none"/>
        </w:rPr>
      </w:pPr>
    </w:p>
    <w:p w14:paraId="30E3C3D3">
      <w:pPr>
        <w:snapToGrid w:val="0"/>
        <w:spacing w:before="120" w:beforeLines="50" w:after="50"/>
        <w:ind w:firstLine="540" w:firstLineChars="225"/>
        <w:rPr>
          <w:rFonts w:hint="eastAsia" w:ascii="宋体" w:hAnsi="宋体"/>
          <w:bCs/>
          <w:color w:val="auto"/>
          <w:sz w:val="24"/>
          <w:highlight w:val="none"/>
        </w:rPr>
      </w:pPr>
    </w:p>
    <w:p w14:paraId="4C239381">
      <w:pPr>
        <w:snapToGrid w:val="0"/>
        <w:spacing w:before="120" w:beforeLines="50" w:after="50"/>
        <w:ind w:firstLine="540" w:firstLineChars="225"/>
        <w:rPr>
          <w:rFonts w:hint="eastAsia" w:ascii="宋体" w:hAnsi="宋体"/>
          <w:bCs/>
          <w:color w:val="auto"/>
          <w:sz w:val="24"/>
          <w:highlight w:val="none"/>
        </w:rPr>
      </w:pPr>
    </w:p>
    <w:p w14:paraId="09ACFF1C">
      <w:pPr>
        <w:snapToGrid w:val="0"/>
        <w:spacing w:before="120" w:beforeLines="50" w:after="50"/>
        <w:ind w:firstLine="540" w:firstLineChars="225"/>
        <w:rPr>
          <w:rFonts w:hint="eastAsia" w:ascii="宋体" w:hAnsi="宋体"/>
          <w:bCs/>
          <w:color w:val="auto"/>
          <w:sz w:val="24"/>
          <w:highlight w:val="none"/>
        </w:rPr>
      </w:pPr>
    </w:p>
    <w:p w14:paraId="51AAA7C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7281C10">
      <w:pPr>
        <w:snapToGrid w:val="0"/>
        <w:spacing w:before="120" w:beforeLines="50" w:after="50"/>
        <w:ind w:firstLine="540" w:firstLineChars="225"/>
        <w:rPr>
          <w:rFonts w:hint="eastAsia" w:ascii="宋体" w:hAnsi="宋体"/>
          <w:bCs/>
          <w:color w:val="auto"/>
          <w:sz w:val="24"/>
          <w:szCs w:val="20"/>
          <w:highlight w:val="none"/>
        </w:rPr>
      </w:pPr>
    </w:p>
    <w:p w14:paraId="2828CFF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55DB025">
      <w:pPr>
        <w:snapToGrid w:val="0"/>
        <w:spacing w:before="120" w:beforeLines="50" w:after="50"/>
        <w:ind w:firstLine="540" w:firstLineChars="225"/>
        <w:rPr>
          <w:rFonts w:hint="eastAsia" w:ascii="宋体" w:hAnsi="宋体"/>
          <w:bCs/>
          <w:color w:val="auto"/>
          <w:sz w:val="24"/>
          <w:szCs w:val="20"/>
          <w:highlight w:val="none"/>
        </w:rPr>
      </w:pPr>
    </w:p>
    <w:p w14:paraId="26DCEBA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49CCE95">
      <w:pPr>
        <w:snapToGrid w:val="0"/>
        <w:spacing w:before="120" w:beforeLines="50" w:after="50"/>
        <w:ind w:firstLine="540" w:firstLineChars="225"/>
        <w:rPr>
          <w:rFonts w:hint="eastAsia" w:ascii="宋体" w:hAnsi="宋体"/>
          <w:bCs/>
          <w:color w:val="auto"/>
          <w:sz w:val="24"/>
          <w:szCs w:val="20"/>
          <w:highlight w:val="none"/>
        </w:rPr>
      </w:pPr>
    </w:p>
    <w:p w14:paraId="44F507A6">
      <w:pPr>
        <w:pStyle w:val="1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7719E57">
      <w:pPr>
        <w:pStyle w:val="15"/>
        <w:snapToGrid w:val="0"/>
        <w:spacing w:before="50" w:after="50"/>
        <w:ind w:firstLine="540" w:firstLineChars="225"/>
        <w:rPr>
          <w:rFonts w:hint="eastAsia" w:ascii="宋体" w:hAnsi="宋体"/>
          <w:bCs/>
          <w:color w:val="auto"/>
          <w:sz w:val="24"/>
          <w:szCs w:val="24"/>
          <w:highlight w:val="none"/>
        </w:rPr>
      </w:pPr>
    </w:p>
    <w:p w14:paraId="2ADEA4EC">
      <w:pPr>
        <w:pStyle w:val="1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161153D9">
      <w:pPr>
        <w:pStyle w:val="15"/>
        <w:snapToGrid w:val="0"/>
        <w:spacing w:before="50" w:after="50"/>
        <w:ind w:firstLine="960" w:firstLineChars="400"/>
        <w:rPr>
          <w:rFonts w:hint="eastAsia" w:ascii="宋体" w:hAnsi="宋体"/>
          <w:bCs/>
          <w:color w:val="auto"/>
          <w:sz w:val="24"/>
          <w:szCs w:val="24"/>
          <w:highlight w:val="none"/>
        </w:rPr>
      </w:pPr>
    </w:p>
    <w:p w14:paraId="1933BBB8">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4C76F079">
      <w:pPr>
        <w:snapToGrid w:val="0"/>
        <w:spacing w:before="120" w:beforeLines="50" w:after="50"/>
        <w:rPr>
          <w:rFonts w:hint="eastAsia" w:ascii="宋体" w:hAnsi="宋体"/>
          <w:color w:val="auto"/>
          <w:sz w:val="24"/>
          <w:szCs w:val="20"/>
          <w:highlight w:val="none"/>
        </w:rPr>
      </w:pPr>
    </w:p>
    <w:p w14:paraId="6C46FCE4">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1325917D">
      <w:pPr>
        <w:snapToGrid w:val="0"/>
        <w:spacing w:before="50" w:after="120" w:afterLines="50" w:line="360" w:lineRule="auto"/>
        <w:ind w:firstLine="480" w:firstLineChars="200"/>
        <w:jc w:val="left"/>
        <w:rPr>
          <w:rFonts w:hint="eastAsia" w:ascii="宋体" w:hAnsi="宋体"/>
          <w:b/>
          <w:bCs/>
          <w:color w:val="auto"/>
          <w:sz w:val="32"/>
          <w:szCs w:val="32"/>
          <w:highlight w:val="none"/>
        </w:rPr>
      </w:pPr>
      <w:r>
        <w:rPr>
          <w:rFonts w:hint="eastAsia" w:ascii="宋体" w:hAnsi="宋体"/>
          <w:color w:val="auto"/>
          <w:sz w:val="24"/>
          <w:highlight w:val="none"/>
        </w:rPr>
        <w:t>根据招标文件规定及投标人提供的材料自行编写目录。</w:t>
      </w:r>
    </w:p>
    <w:p w14:paraId="1DB60AFB">
      <w:pPr>
        <w:snapToGrid w:val="0"/>
        <w:spacing w:before="50" w:after="120" w:afterLines="50"/>
        <w:jc w:val="left"/>
        <w:rPr>
          <w:rFonts w:hint="eastAsia" w:ascii="宋体" w:hAnsi="宋体"/>
          <w:color w:val="auto"/>
          <w:highlight w:val="none"/>
        </w:rPr>
      </w:pPr>
    </w:p>
    <w:p w14:paraId="2C8C19FD">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5415C741">
      <w:pPr>
        <w:snapToGrid w:val="0"/>
        <w:spacing w:before="120" w:beforeLines="50" w:after="50"/>
        <w:jc w:val="left"/>
        <w:rPr>
          <w:rFonts w:hint="eastAsia" w:ascii="宋体" w:hAnsi="宋体"/>
          <w:b/>
          <w:color w:val="auto"/>
          <w:sz w:val="24"/>
          <w:highlight w:val="none"/>
        </w:rPr>
      </w:pPr>
    </w:p>
    <w:p w14:paraId="4D1D8FB0">
      <w:pPr>
        <w:spacing w:line="360" w:lineRule="auto"/>
        <w:ind w:left="420"/>
        <w:contextualSpacing/>
        <w:jc w:val="center"/>
        <w:rPr>
          <w:rFonts w:hint="eastAsia"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6128BD28">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76F6687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74DF0A4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F89FB1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3097E4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72CCDFF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73F87FD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EA19C85">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CCDA56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1D796B3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3908605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20010EC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18B6732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DCBBBA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8186FF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240AC1B3">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73C00AB">
      <w:pPr>
        <w:pStyle w:val="26"/>
        <w:spacing w:line="440" w:lineRule="exact"/>
        <w:ind w:firstLine="6840" w:firstLineChars="2850"/>
        <w:contextualSpacing/>
        <w:rPr>
          <w:rFonts w:hint="eastAsia" w:hAnsi="宋体"/>
          <w:color w:val="auto"/>
          <w:sz w:val="24"/>
          <w:szCs w:val="24"/>
          <w:highlight w:val="none"/>
        </w:rPr>
      </w:pPr>
    </w:p>
    <w:p w14:paraId="6B95765A">
      <w:pPr>
        <w:pStyle w:val="26"/>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投标人名称（公章）</w:t>
      </w:r>
    </w:p>
    <w:p w14:paraId="266910F9">
      <w:pPr>
        <w:pStyle w:val="26"/>
        <w:spacing w:line="440" w:lineRule="exact"/>
        <w:contextualSpacing/>
        <w:rPr>
          <w:rFonts w:hint="eastAsia" w:hAnsi="宋体"/>
          <w:color w:val="auto"/>
          <w:sz w:val="24"/>
          <w:highlight w:val="none"/>
        </w:rPr>
      </w:pPr>
      <w:r>
        <w:rPr>
          <w:rFonts w:hint="eastAsia" w:hAnsi="宋体"/>
          <w:color w:val="auto"/>
          <w:sz w:val="24"/>
          <w:highlight w:val="none"/>
        </w:rPr>
        <w:t>年月日</w:t>
      </w:r>
    </w:p>
    <w:p w14:paraId="0A814677">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235DF0BE">
      <w:pPr>
        <w:spacing w:before="240" w:beforeLines="100" w:after="120" w:afterLines="50"/>
        <w:ind w:left="540"/>
        <w:jc w:val="center"/>
        <w:rPr>
          <w:rFonts w:hint="eastAsia" w:ascii="宋体" w:hAnsi="宋体"/>
          <w:b/>
          <w:color w:val="auto"/>
          <w:sz w:val="32"/>
          <w:szCs w:val="32"/>
          <w:highlight w:val="none"/>
        </w:rPr>
      </w:pPr>
    </w:p>
    <w:p w14:paraId="6B76D774">
      <w:pPr>
        <w:spacing w:before="240" w:beforeLines="100" w:after="120" w:afterLines="50"/>
        <w:ind w:left="540"/>
        <w:jc w:val="center"/>
        <w:rPr>
          <w:rFonts w:hint="eastAsia" w:ascii="宋体" w:hAnsi="宋体" w:cs="方正小标宋简体"/>
          <w:bCs/>
          <w:color w:val="auto"/>
          <w:sz w:val="44"/>
          <w:szCs w:val="44"/>
          <w:highlight w:val="none"/>
        </w:rPr>
      </w:pPr>
      <w:r>
        <w:rPr>
          <w:rFonts w:ascii="宋体" w:hAnsi="宋体" w:cs="方正小标宋简体"/>
          <w:bCs/>
          <w:color w:val="auto"/>
          <w:sz w:val="44"/>
          <w:szCs w:val="44"/>
          <w:highlight w:val="none"/>
        </w:rPr>
        <w:br w:type="page"/>
      </w:r>
      <w:r>
        <w:rPr>
          <w:rFonts w:hint="eastAsia" w:ascii="宋体" w:hAnsi="宋体" w:cs="方正小标宋简体"/>
          <w:bCs/>
          <w:color w:val="auto"/>
          <w:sz w:val="44"/>
          <w:szCs w:val="44"/>
          <w:highlight w:val="none"/>
        </w:rPr>
        <w:t>法定代表人身份证明</w:t>
      </w:r>
    </w:p>
    <w:p w14:paraId="30898572">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p>
    <w:p w14:paraId="7EB7CC16">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p>
    <w:p w14:paraId="22E6EB31">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名：性      别：</w:t>
      </w:r>
    </w:p>
    <w:p w14:paraId="67CAE039">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龄：职      务：</w:t>
      </w:r>
    </w:p>
    <w:p w14:paraId="1FCFC688">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身份证号码：</w:t>
      </w:r>
    </w:p>
    <w:p w14:paraId="691ADF6B">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046D8D2F">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780F238">
      <w:pPr>
        <w:spacing w:line="500" w:lineRule="exact"/>
        <w:ind w:left="540"/>
        <w:rPr>
          <w:rFonts w:hint="eastAsia" w:ascii="宋体" w:hAnsi="宋体"/>
          <w:color w:val="auto"/>
          <w:sz w:val="24"/>
          <w:highlight w:val="none"/>
        </w:rPr>
      </w:pPr>
    </w:p>
    <w:p w14:paraId="6559BF0C">
      <w:pPr>
        <w:spacing w:line="500" w:lineRule="exact"/>
        <w:ind w:left="540"/>
        <w:rPr>
          <w:rFonts w:hint="eastAsia" w:ascii="宋体" w:hAnsi="宋体"/>
          <w:color w:val="auto"/>
          <w:sz w:val="24"/>
          <w:highlight w:val="none"/>
        </w:rPr>
      </w:pPr>
    </w:p>
    <w:p w14:paraId="6D86628F">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0848CF3D">
      <w:pPr>
        <w:spacing w:line="500" w:lineRule="exact"/>
        <w:ind w:left="540"/>
        <w:rPr>
          <w:rFonts w:hint="eastAsia" w:ascii="宋体" w:hAnsi="宋体"/>
          <w:color w:val="auto"/>
          <w:sz w:val="24"/>
          <w:highlight w:val="none"/>
        </w:rPr>
      </w:pPr>
    </w:p>
    <w:p w14:paraId="2166DCF3">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6949AF71">
      <w:pPr>
        <w:spacing w:line="500" w:lineRule="exact"/>
        <w:ind w:left="540"/>
        <w:jc w:val="right"/>
        <w:rPr>
          <w:rFonts w:hint="eastAsia" w:ascii="宋体" w:hAnsi="宋体"/>
          <w:color w:val="auto"/>
          <w:sz w:val="24"/>
          <w:highlight w:val="none"/>
        </w:rPr>
      </w:pPr>
    </w:p>
    <w:p w14:paraId="47F5D0BB">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rPr>
        <w:t>年月日</w:t>
      </w:r>
    </w:p>
    <w:p w14:paraId="389A2BE2">
      <w:pPr>
        <w:snapToGrid w:val="0"/>
        <w:spacing w:before="120" w:beforeLines="50" w:after="50"/>
        <w:jc w:val="center"/>
        <w:rPr>
          <w:rFonts w:hint="eastAsia" w:ascii="宋体" w:hAnsi="宋体"/>
          <w:b/>
          <w:color w:val="auto"/>
          <w:sz w:val="24"/>
          <w:highlight w:val="none"/>
        </w:rPr>
      </w:pPr>
    </w:p>
    <w:p w14:paraId="07A66AF5">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169261EF">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4E83746C">
      <w:pPr>
        <w:snapToGrid w:val="0"/>
        <w:spacing w:before="120" w:beforeLines="50" w:after="50"/>
        <w:jc w:val="center"/>
        <w:rPr>
          <w:rFonts w:hint="eastAsia" w:ascii="宋体" w:hAnsi="宋体"/>
          <w:b/>
          <w:color w:val="auto"/>
          <w:sz w:val="44"/>
          <w:szCs w:val="44"/>
          <w:highlight w:val="none"/>
        </w:rPr>
      </w:pPr>
    </w:p>
    <w:p w14:paraId="43731F6A">
      <w:pPr>
        <w:spacing w:line="360" w:lineRule="auto"/>
        <w:contextualSpacing/>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35B0D902">
      <w:pPr>
        <w:spacing w:line="360" w:lineRule="auto"/>
        <w:contextualSpacing/>
        <w:jc w:val="center"/>
        <w:rPr>
          <w:rFonts w:hint="eastAsia"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（非联合体投标格式）</w:t>
      </w:r>
    </w:p>
    <w:p w14:paraId="722FA6F8">
      <w:pPr>
        <w:spacing w:line="360" w:lineRule="auto"/>
        <w:contextualSpacing/>
        <w:jc w:val="center"/>
        <w:rPr>
          <w:rFonts w:hint="eastAsia"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61226BD5">
      <w:pPr>
        <w:spacing w:line="440" w:lineRule="exact"/>
        <w:contextualSpacing/>
        <w:jc w:val="center"/>
        <w:rPr>
          <w:rFonts w:hint="eastAsia" w:ascii="宋体" w:hAnsi="宋体"/>
          <w:b/>
          <w:color w:val="auto"/>
          <w:sz w:val="24"/>
          <w:highlight w:val="none"/>
        </w:rPr>
      </w:pPr>
    </w:p>
    <w:p w14:paraId="11F80F55">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79ED89D">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我（姓名）系（投标人名称）的法定代表人，现授权委托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746D5FAC">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3F5B038E">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73E5E06">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F5C5DD8">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14790A25">
      <w:pPr>
        <w:spacing w:line="440" w:lineRule="exact"/>
        <w:contextualSpacing/>
        <w:rPr>
          <w:rFonts w:hint="eastAsia" w:ascii="宋体" w:hAnsi="宋体"/>
          <w:color w:val="auto"/>
          <w:sz w:val="24"/>
          <w:highlight w:val="none"/>
        </w:rPr>
      </w:pPr>
    </w:p>
    <w:p w14:paraId="210819EF">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            法定代表人（签字或者盖章）：</w:t>
      </w:r>
    </w:p>
    <w:p w14:paraId="3945AD80">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p>
    <w:p w14:paraId="73B6E4FB">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6061CD03">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3BA935DC">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6" w:name="_Hlk65851555"/>
      <w:bookmarkStart w:id="157" w:name="_Hlk65851620"/>
      <w:r>
        <w:rPr>
          <w:rFonts w:hint="eastAsia" w:ascii="宋体" w:hAnsi="宋体" w:cs="仿宋_GB2312"/>
          <w:color w:val="auto"/>
          <w:sz w:val="24"/>
          <w:highlight w:val="none"/>
        </w:rPr>
        <w:t>法定代表人必须在授权委托书上亲笔签字或者盖章，</w:t>
      </w:r>
      <w:bookmarkEnd w:id="156"/>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7"/>
    </w:p>
    <w:p w14:paraId="32049EA0">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58EA299">
      <w:pPr>
        <w:snapToGrid w:val="0"/>
        <w:spacing w:before="120" w:beforeLines="50" w:after="50"/>
        <w:ind w:firstLine="566" w:firstLineChars="236"/>
        <w:jc w:val="center"/>
        <w:rPr>
          <w:rFonts w:hint="eastAsia" w:ascii="宋体" w:hAnsi="宋体" w:cs="方正小标宋简体"/>
          <w:color w:val="auto"/>
          <w:sz w:val="44"/>
          <w:szCs w:val="44"/>
          <w:highlight w:val="none"/>
        </w:rPr>
      </w:pPr>
      <w:r>
        <w:rPr>
          <w:rFonts w:ascii="宋体" w:hAnsi="宋体"/>
          <w:color w:val="auto"/>
          <w:sz w:val="24"/>
          <w:highlight w:val="none"/>
        </w:rPr>
        <w:br w:type="page"/>
      </w:r>
      <w:r>
        <w:rPr>
          <w:rFonts w:hint="eastAsia" w:ascii="宋体" w:hAnsi="宋体" w:cs="方正小标宋简体"/>
          <w:color w:val="auto"/>
          <w:sz w:val="44"/>
          <w:szCs w:val="44"/>
          <w:highlight w:val="none"/>
        </w:rPr>
        <w:t>授权委托书</w:t>
      </w:r>
    </w:p>
    <w:p w14:paraId="6F6DA4BC">
      <w:pPr>
        <w:snapToGrid w:val="0"/>
        <w:spacing w:before="120" w:beforeLines="50" w:after="50"/>
        <w:ind w:firstLine="755" w:firstLineChars="236"/>
        <w:jc w:val="center"/>
        <w:rPr>
          <w:rFonts w:hint="eastAsia" w:ascii="宋体" w:hAnsi="宋体" w:cs="方正小标宋简体"/>
          <w:color w:val="auto"/>
          <w:sz w:val="32"/>
          <w:szCs w:val="32"/>
          <w:highlight w:val="none"/>
        </w:rPr>
      </w:pPr>
      <w:r>
        <w:rPr>
          <w:rFonts w:hint="eastAsia" w:ascii="宋体" w:hAnsi="宋体" w:cs="方正小标宋简体"/>
          <w:color w:val="auto"/>
          <w:sz w:val="32"/>
          <w:szCs w:val="32"/>
          <w:highlight w:val="none"/>
        </w:rPr>
        <w:t>（联合体投标格式）</w:t>
      </w:r>
    </w:p>
    <w:p w14:paraId="21469D53">
      <w:pPr>
        <w:snapToGrid w:val="0"/>
        <w:spacing w:before="120" w:beforeLines="50" w:after="50"/>
        <w:ind w:firstLine="755" w:firstLineChars="236"/>
        <w:jc w:val="center"/>
        <w:rPr>
          <w:rFonts w:hint="eastAsia" w:ascii="宋体" w:hAnsi="宋体" w:cs="方正小标宋简体"/>
          <w:color w:val="auto"/>
          <w:sz w:val="24"/>
          <w:highlight w:val="none"/>
        </w:rPr>
      </w:pPr>
      <w:r>
        <w:rPr>
          <w:rFonts w:hint="eastAsia" w:ascii="宋体" w:hAnsi="宋体" w:cs="方正小标宋简体"/>
          <w:color w:val="auto"/>
          <w:sz w:val="32"/>
          <w:szCs w:val="32"/>
          <w:highlight w:val="none"/>
        </w:rPr>
        <w:t>（如有委托时）</w:t>
      </w:r>
    </w:p>
    <w:p w14:paraId="16EEA6E0">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AFF05B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0272594D">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00B8680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720820B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1C658D10">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560E4ED0">
      <w:pPr>
        <w:spacing w:line="440" w:lineRule="exact"/>
        <w:ind w:firstLine="566" w:firstLineChars="236"/>
        <w:contextualSpacing/>
        <w:rPr>
          <w:rFonts w:hint="eastAsia" w:ascii="宋体" w:hAnsi="宋体"/>
          <w:color w:val="auto"/>
          <w:sz w:val="24"/>
          <w:highlight w:val="none"/>
        </w:rPr>
      </w:pPr>
    </w:p>
    <w:p w14:paraId="6D3EA26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232C7E02">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7785844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6233C559">
      <w:pPr>
        <w:spacing w:line="440" w:lineRule="exact"/>
        <w:ind w:firstLine="566" w:firstLineChars="236"/>
        <w:contextualSpacing/>
        <w:rPr>
          <w:rFonts w:hint="eastAsia" w:ascii="宋体" w:hAnsi="宋体"/>
          <w:color w:val="auto"/>
          <w:sz w:val="24"/>
          <w:highlight w:val="none"/>
        </w:rPr>
      </w:pPr>
    </w:p>
    <w:p w14:paraId="3BD0637D">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4FED16A9">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77D78511">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0B537019">
      <w:pPr>
        <w:spacing w:line="440" w:lineRule="exact"/>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4DB11901">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33E6B1E6">
      <w:pPr>
        <w:snapToGrid w:val="0"/>
        <w:spacing w:before="50" w:after="120" w:afterLines="50"/>
        <w:ind w:firstLine="480" w:firstLineChars="200"/>
        <w:jc w:val="left"/>
        <w:rPr>
          <w:rFonts w:hint="eastAsia" w:ascii="宋体" w:hAnsi="宋体"/>
          <w:color w:val="auto"/>
          <w:sz w:val="24"/>
          <w:highlight w:val="none"/>
        </w:rPr>
        <w:sectPr>
          <w:footerReference r:id="rId6" w:type="first"/>
          <w:headerReference r:id="rId3" w:type="default"/>
          <w:footerReference r:id="rId4" w:type="default"/>
          <w:footerReference r:id="rId5" w:type="even"/>
          <w:pgSz w:w="11906" w:h="16838"/>
          <w:pgMar w:top="1134" w:right="1134" w:bottom="1276" w:left="1134" w:header="851" w:footer="567" w:gutter="0"/>
          <w:cols w:space="720" w:num="1"/>
          <w:titlePg/>
          <w:docGrid w:linePitch="312" w:charSpace="0"/>
        </w:sectPr>
      </w:pPr>
    </w:p>
    <w:p w14:paraId="6635B967">
      <w:pPr>
        <w:rPr>
          <w:rFonts w:hint="eastAsia" w:ascii="宋体" w:hAnsi="宋体"/>
          <w:color w:val="auto"/>
          <w:sz w:val="24"/>
          <w:highlight w:val="none"/>
        </w:rPr>
      </w:pPr>
    </w:p>
    <w:p w14:paraId="7CA7BD2A">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7C8BF56E">
      <w:pPr>
        <w:snapToGrid w:val="0"/>
        <w:spacing w:before="50"/>
        <w:jc w:val="left"/>
        <w:rPr>
          <w:rFonts w:hint="eastAsia" w:ascii="宋体" w:hAnsi="宋体"/>
          <w:color w:val="auto"/>
          <w:sz w:val="24"/>
          <w:highlight w:val="none"/>
        </w:rPr>
      </w:pPr>
    </w:p>
    <w:p w14:paraId="78BA94D6">
      <w:pPr>
        <w:pStyle w:val="26"/>
        <w:rPr>
          <w:rFonts w:hint="eastAsia" w:hAnsi="宋体"/>
          <w:color w:val="auto"/>
          <w:sz w:val="24"/>
          <w:szCs w:val="24"/>
          <w:highlight w:val="none"/>
        </w:rPr>
      </w:pPr>
      <w:r>
        <w:rPr>
          <w:rFonts w:hint="eastAsia" w:hAnsi="宋体"/>
          <w:color w:val="auto"/>
          <w:sz w:val="24"/>
          <w:szCs w:val="24"/>
          <w:highlight w:val="none"/>
        </w:rPr>
        <w:t>所投分标：分标</w:t>
      </w:r>
    </w:p>
    <w:p w14:paraId="758CB71E">
      <w:pPr>
        <w:snapToGrid w:val="0"/>
        <w:spacing w:before="50"/>
        <w:jc w:val="left"/>
        <w:rPr>
          <w:rFonts w:hint="eastAsia" w:ascii="宋体" w:hAnsi="宋体"/>
          <w:color w:val="auto"/>
          <w:sz w:val="24"/>
          <w:highlight w:val="none"/>
          <w:u w:val="single"/>
        </w:rPr>
      </w:pPr>
    </w:p>
    <w:tbl>
      <w:tblPr>
        <w:tblStyle w:val="50"/>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97C9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547849DC">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40A7D53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3B923CC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44A0A973">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76685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3C86302B">
            <w:pPr>
              <w:jc w:val="center"/>
              <w:rPr>
                <w:rFonts w:hint="eastAsia" w:ascii="宋体" w:hAnsi="宋体"/>
                <w:color w:val="auto"/>
                <w:sz w:val="24"/>
                <w:highlight w:val="none"/>
              </w:rPr>
            </w:pPr>
            <w:r>
              <w:rPr>
                <w:rFonts w:hint="eastAsia" w:ascii="宋体" w:hAnsi="宋体"/>
                <w:color w:val="auto"/>
                <w:sz w:val="24"/>
                <w:highlight w:val="none"/>
              </w:rPr>
              <w:t>交付（实施）的时间（期限）和地点（范围）</w:t>
            </w:r>
          </w:p>
        </w:tc>
        <w:tc>
          <w:tcPr>
            <w:tcW w:w="3336" w:type="dxa"/>
            <w:tcBorders>
              <w:top w:val="single" w:color="auto" w:sz="4" w:space="0"/>
              <w:left w:val="single" w:color="auto" w:sz="4" w:space="0"/>
              <w:bottom w:val="single" w:color="auto" w:sz="4" w:space="0"/>
              <w:right w:val="single" w:color="auto" w:sz="4" w:space="0"/>
            </w:tcBorders>
          </w:tcPr>
          <w:p w14:paraId="4CA92D43">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5F4C374">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D5AE003">
            <w:pPr>
              <w:snapToGrid w:val="0"/>
              <w:spacing w:before="120" w:beforeLines="50"/>
              <w:jc w:val="center"/>
              <w:rPr>
                <w:rFonts w:hint="eastAsia" w:ascii="宋体" w:hAnsi="宋体"/>
                <w:color w:val="auto"/>
                <w:sz w:val="24"/>
                <w:highlight w:val="none"/>
              </w:rPr>
            </w:pPr>
          </w:p>
        </w:tc>
      </w:tr>
      <w:tr w14:paraId="0D33A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21CC7E60">
            <w:pPr>
              <w:jc w:val="center"/>
              <w:rPr>
                <w:rFonts w:hint="eastAsia" w:ascii="宋体" w:hAnsi="宋体"/>
                <w:color w:val="auto"/>
                <w:sz w:val="24"/>
                <w:highlight w:val="none"/>
              </w:rPr>
            </w:pPr>
            <w:r>
              <w:rPr>
                <w:rFonts w:hint="eastAsia" w:ascii="宋体" w:hAnsi="宋体"/>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38873366">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1C77B0D3">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2B143DE">
            <w:pPr>
              <w:snapToGrid w:val="0"/>
              <w:spacing w:before="120" w:beforeLines="50"/>
              <w:ind w:left="43"/>
              <w:jc w:val="center"/>
              <w:rPr>
                <w:rFonts w:hint="eastAsia" w:ascii="宋体" w:hAnsi="宋体"/>
                <w:color w:val="auto"/>
                <w:sz w:val="24"/>
                <w:highlight w:val="none"/>
              </w:rPr>
            </w:pPr>
          </w:p>
        </w:tc>
      </w:tr>
      <w:tr w14:paraId="12860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F67A80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62F0FF14">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3F0F7FA">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F54F3A9">
            <w:pPr>
              <w:snapToGrid w:val="0"/>
              <w:spacing w:before="120" w:beforeLines="50"/>
              <w:jc w:val="center"/>
              <w:rPr>
                <w:rFonts w:hint="eastAsia" w:ascii="宋体" w:hAnsi="宋体"/>
                <w:color w:val="auto"/>
                <w:sz w:val="24"/>
                <w:highlight w:val="none"/>
              </w:rPr>
            </w:pPr>
          </w:p>
        </w:tc>
      </w:tr>
    </w:tbl>
    <w:p w14:paraId="681D4918">
      <w:pPr>
        <w:pStyle w:val="19"/>
        <w:rPr>
          <w:rFonts w:hint="eastAsia" w:ascii="宋体" w:hAnsi="宋体"/>
          <w:color w:val="auto"/>
          <w:highlight w:val="none"/>
        </w:rPr>
      </w:pPr>
      <w:r>
        <w:rPr>
          <w:rFonts w:hint="eastAsia" w:ascii="宋体" w:hAnsi="宋体"/>
          <w:color w:val="auto"/>
          <w:highlight w:val="none"/>
        </w:rPr>
        <w:t>注：</w:t>
      </w:r>
    </w:p>
    <w:p w14:paraId="330D4553">
      <w:pPr>
        <w:pStyle w:val="21"/>
        <w:spacing w:line="520" w:lineRule="exact"/>
        <w:rPr>
          <w:rFonts w:hint="eastAsia" w:ascii="宋体" w:hAnsi="宋体" w:cs="仿宋_GB2312"/>
          <w:color w:val="auto"/>
          <w:szCs w:val="32"/>
          <w:highlight w:val="none"/>
        </w:rPr>
      </w:pPr>
      <w:r>
        <w:rPr>
          <w:rFonts w:hint="eastAsia" w:ascii="宋体" w:hAnsi="宋体"/>
          <w:color w:val="auto"/>
          <w:sz w:val="24"/>
          <w:highlight w:val="none"/>
        </w:rPr>
        <w:t>1.说明：应对照招标文件“第二章 采购需求”中的商务要求逐条作明确的投标响应，并作出偏离说明。</w:t>
      </w:r>
    </w:p>
    <w:p w14:paraId="0B048211">
      <w:pPr>
        <w:pStyle w:val="19"/>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3F2CD8C">
      <w:pPr>
        <w:snapToGrid w:val="0"/>
        <w:spacing w:before="50" w:after="50"/>
        <w:rPr>
          <w:rFonts w:hint="eastAsia" w:ascii="宋体" w:hAnsi="宋体"/>
          <w:color w:val="auto"/>
          <w:sz w:val="24"/>
          <w:highlight w:val="none"/>
        </w:rPr>
      </w:pPr>
    </w:p>
    <w:p w14:paraId="07869277">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C4F002B">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p>
    <w:p w14:paraId="372D654A">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p>
    <w:p w14:paraId="6B1852D7">
      <w:pPr>
        <w:snapToGrid w:val="0"/>
        <w:spacing w:before="120" w:beforeLines="50"/>
        <w:rPr>
          <w:rFonts w:hint="eastAsia" w:ascii="宋体" w:hAnsi="宋体"/>
          <w:color w:val="auto"/>
          <w:sz w:val="24"/>
          <w:szCs w:val="20"/>
          <w:highlight w:val="none"/>
        </w:rPr>
      </w:pPr>
    </w:p>
    <w:p w14:paraId="36B18046">
      <w:pPr>
        <w:snapToGrid w:val="0"/>
        <w:spacing w:before="120" w:beforeLines="50" w:after="50"/>
        <w:jc w:val="left"/>
        <w:rPr>
          <w:rFonts w:hint="eastAsia" w:ascii="宋体" w:hAnsi="宋体"/>
          <w:color w:val="auto"/>
          <w:sz w:val="24"/>
          <w:szCs w:val="20"/>
          <w:highlight w:val="none"/>
        </w:rPr>
      </w:pPr>
    </w:p>
    <w:p w14:paraId="45036531">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1139FB06">
      <w:pPr>
        <w:pStyle w:val="37"/>
        <w:snapToGrid w:val="0"/>
        <w:ind w:left="480" w:hanging="480"/>
        <w:rPr>
          <w:rFonts w:hint="eastAsia" w:ascii="宋体" w:hAnsi="宋体"/>
          <w:color w:val="auto"/>
          <w:sz w:val="24"/>
          <w:highlight w:val="none"/>
        </w:rPr>
      </w:pPr>
    </w:p>
    <w:p w14:paraId="290D2A4F">
      <w:pPr>
        <w:pStyle w:val="37"/>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5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93"/>
        <w:gridCol w:w="1987"/>
        <w:gridCol w:w="1987"/>
        <w:gridCol w:w="3204"/>
      </w:tblGrid>
      <w:tr w14:paraId="35C2B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D1D11D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5934CC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8D3D0A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092DCD3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082B60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7FF0EE4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3BB52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29523780">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0338586">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A247AF9">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D31A145">
            <w:pPr>
              <w:jc w:val="left"/>
              <w:rPr>
                <w:rFonts w:hint="eastAsia" w:ascii="宋体" w:hAnsi="宋体"/>
                <w:color w:val="auto"/>
                <w:sz w:val="24"/>
                <w:highlight w:val="none"/>
              </w:rPr>
            </w:pPr>
          </w:p>
        </w:tc>
      </w:tr>
      <w:tr w14:paraId="2D425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E60363E">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5CFBAB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E835699">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276EB0C">
            <w:pPr>
              <w:snapToGrid w:val="0"/>
              <w:spacing w:line="240" w:lineRule="exact"/>
              <w:jc w:val="left"/>
              <w:rPr>
                <w:rFonts w:hint="eastAsia" w:ascii="宋体" w:hAnsi="宋体"/>
                <w:color w:val="auto"/>
                <w:sz w:val="24"/>
                <w:highlight w:val="none"/>
              </w:rPr>
            </w:pPr>
          </w:p>
        </w:tc>
      </w:tr>
      <w:tr w14:paraId="17533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824079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650F8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F85783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C8D7BA1">
            <w:pPr>
              <w:snapToGrid w:val="0"/>
              <w:spacing w:before="50" w:after="120" w:afterLines="50" w:line="400" w:lineRule="exact"/>
              <w:jc w:val="left"/>
              <w:rPr>
                <w:rFonts w:hint="eastAsia" w:ascii="宋体" w:hAnsi="宋体"/>
                <w:color w:val="auto"/>
                <w:sz w:val="24"/>
                <w:highlight w:val="none"/>
              </w:rPr>
            </w:pPr>
          </w:p>
        </w:tc>
      </w:tr>
      <w:tr w14:paraId="49195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392B0315">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C9949D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89B453E">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E0B236E">
            <w:pPr>
              <w:snapToGrid w:val="0"/>
              <w:spacing w:before="50" w:after="120" w:afterLines="50" w:line="400" w:lineRule="exact"/>
              <w:jc w:val="left"/>
              <w:rPr>
                <w:rFonts w:hint="eastAsia" w:ascii="宋体" w:hAnsi="宋体"/>
                <w:color w:val="auto"/>
                <w:sz w:val="24"/>
                <w:highlight w:val="none"/>
              </w:rPr>
            </w:pPr>
          </w:p>
        </w:tc>
      </w:tr>
      <w:tr w14:paraId="52E85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CD6210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A60107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974873A">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2839431">
            <w:pPr>
              <w:snapToGrid w:val="0"/>
              <w:spacing w:before="50" w:after="120" w:afterLines="50" w:line="400" w:lineRule="exact"/>
              <w:jc w:val="left"/>
              <w:rPr>
                <w:rFonts w:hint="eastAsia" w:ascii="宋体" w:hAnsi="宋体"/>
                <w:color w:val="auto"/>
                <w:sz w:val="24"/>
                <w:highlight w:val="none"/>
              </w:rPr>
            </w:pPr>
          </w:p>
        </w:tc>
      </w:tr>
      <w:tr w14:paraId="792F2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48F88D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B3391B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93893AD">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48EBE29">
            <w:pPr>
              <w:snapToGrid w:val="0"/>
              <w:spacing w:before="50" w:after="120" w:afterLines="50" w:line="400" w:lineRule="exact"/>
              <w:jc w:val="left"/>
              <w:rPr>
                <w:rFonts w:hint="eastAsia" w:ascii="宋体" w:hAnsi="宋体"/>
                <w:color w:val="auto"/>
                <w:sz w:val="24"/>
                <w:highlight w:val="none"/>
              </w:rPr>
            </w:pPr>
          </w:p>
        </w:tc>
      </w:tr>
    </w:tbl>
    <w:p w14:paraId="53D8125B">
      <w:pPr>
        <w:pStyle w:val="16"/>
        <w:spacing w:before="0" w:after="0" w:line="360" w:lineRule="auto"/>
        <w:contextualSpacing/>
        <w:rPr>
          <w:rFonts w:hint="eastAsia" w:ascii="宋体" w:hAnsi="宋体" w:eastAsia="宋体"/>
          <w:color w:val="auto"/>
          <w:sz w:val="24"/>
          <w:szCs w:val="24"/>
          <w:highlight w:val="none"/>
        </w:rPr>
      </w:pPr>
    </w:p>
    <w:p w14:paraId="2719FF8A">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投标人根据评标标准具体要求附业绩证明材料。</w:t>
      </w:r>
    </w:p>
    <w:p w14:paraId="50683481">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2721F31F">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rPr>
        <w:t xml:space="preserve">                                                              年    月    日</w:t>
      </w:r>
    </w:p>
    <w:p w14:paraId="34D39204">
      <w:pPr>
        <w:snapToGrid w:val="0"/>
        <w:spacing w:before="50"/>
        <w:ind w:firstLine="480" w:firstLineChars="200"/>
        <w:jc w:val="left"/>
        <w:rPr>
          <w:rFonts w:hint="eastAsia" w:ascii="宋体" w:hAnsi="宋体"/>
          <w:color w:val="auto"/>
          <w:sz w:val="24"/>
          <w:szCs w:val="20"/>
          <w:highlight w:val="none"/>
        </w:rPr>
      </w:pPr>
    </w:p>
    <w:p w14:paraId="4ADB81DB">
      <w:pPr>
        <w:snapToGrid w:val="0"/>
        <w:spacing w:before="50"/>
        <w:jc w:val="left"/>
        <w:rPr>
          <w:rFonts w:hint="eastAsia" w:ascii="宋体" w:hAnsi="宋体"/>
          <w:color w:val="auto"/>
          <w:sz w:val="24"/>
          <w:highlight w:val="none"/>
        </w:rPr>
      </w:pPr>
    </w:p>
    <w:p w14:paraId="045A484D">
      <w:pPr>
        <w:snapToGrid w:val="0"/>
        <w:spacing w:before="120" w:beforeLines="50"/>
        <w:rPr>
          <w:rFonts w:hint="eastAsia" w:ascii="宋体" w:hAnsi="宋体"/>
          <w:color w:val="auto"/>
          <w:sz w:val="24"/>
          <w:szCs w:val="20"/>
          <w:highlight w:val="none"/>
        </w:rPr>
        <w:sectPr>
          <w:pgSz w:w="11906" w:h="16838"/>
          <w:pgMar w:top="1440" w:right="1133" w:bottom="1440" w:left="1418" w:header="851" w:footer="992" w:gutter="0"/>
          <w:cols w:space="720" w:num="1"/>
          <w:docGrid w:linePitch="312" w:charSpace="0"/>
        </w:sectPr>
      </w:pPr>
    </w:p>
    <w:p w14:paraId="1071E0D3">
      <w:pPr>
        <w:rPr>
          <w:rFonts w:hint="eastAsia" w:ascii="宋体" w:hAnsi="宋体"/>
          <w:b/>
          <w:color w:val="auto"/>
          <w:sz w:val="28"/>
          <w:szCs w:val="28"/>
          <w:highlight w:val="none"/>
        </w:rPr>
      </w:pPr>
      <w:r>
        <w:rPr>
          <w:rFonts w:hint="eastAsia" w:ascii="宋体" w:hAnsi="宋体"/>
          <w:b/>
          <w:color w:val="auto"/>
          <w:sz w:val="28"/>
          <w:szCs w:val="28"/>
          <w:highlight w:val="none"/>
        </w:rPr>
        <w:t>四、技术文件格式</w:t>
      </w:r>
    </w:p>
    <w:p w14:paraId="58FB5D83">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76975E7A">
      <w:pPr>
        <w:snapToGrid w:val="0"/>
        <w:spacing w:before="120" w:beforeLines="50" w:after="50"/>
        <w:rPr>
          <w:rFonts w:hint="eastAsia" w:ascii="宋体" w:hAnsi="宋体"/>
          <w:b/>
          <w:bCs/>
          <w:color w:val="auto"/>
          <w:sz w:val="32"/>
          <w:szCs w:val="20"/>
          <w:highlight w:val="none"/>
        </w:rPr>
      </w:pPr>
    </w:p>
    <w:p w14:paraId="0F4B3EEB">
      <w:pPr>
        <w:snapToGrid w:val="0"/>
        <w:spacing w:before="120" w:beforeLines="50" w:after="50"/>
        <w:rPr>
          <w:rFonts w:hint="eastAsia" w:ascii="宋体" w:hAnsi="宋体"/>
          <w:color w:val="auto"/>
          <w:sz w:val="24"/>
          <w:szCs w:val="20"/>
          <w:highlight w:val="none"/>
        </w:rPr>
      </w:pPr>
    </w:p>
    <w:p w14:paraId="650885EC">
      <w:pPr>
        <w:snapToGrid w:val="0"/>
        <w:spacing w:before="120" w:beforeLines="50" w:after="50"/>
        <w:rPr>
          <w:rFonts w:hint="eastAsia" w:ascii="宋体" w:hAnsi="宋体"/>
          <w:color w:val="auto"/>
          <w:sz w:val="24"/>
          <w:szCs w:val="20"/>
          <w:highlight w:val="none"/>
        </w:rPr>
      </w:pPr>
    </w:p>
    <w:p w14:paraId="19F976ED">
      <w:pPr>
        <w:snapToGrid w:val="0"/>
        <w:spacing w:before="120" w:beforeLines="50" w:after="50"/>
        <w:jc w:val="center"/>
        <w:rPr>
          <w:rFonts w:hint="eastAsia"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0E4E8DF2">
      <w:pPr>
        <w:snapToGrid w:val="0"/>
        <w:spacing w:before="120" w:beforeLines="50" w:after="50"/>
        <w:rPr>
          <w:rFonts w:hint="eastAsia" w:ascii="宋体" w:hAnsi="宋体"/>
          <w:color w:val="auto"/>
          <w:sz w:val="24"/>
          <w:szCs w:val="20"/>
          <w:highlight w:val="none"/>
        </w:rPr>
      </w:pPr>
    </w:p>
    <w:p w14:paraId="48E5F35A">
      <w:pPr>
        <w:snapToGrid w:val="0"/>
        <w:spacing w:before="120" w:beforeLines="50" w:after="50"/>
        <w:rPr>
          <w:rFonts w:hint="eastAsia" w:ascii="宋体" w:hAnsi="宋体"/>
          <w:color w:val="auto"/>
          <w:sz w:val="24"/>
          <w:szCs w:val="20"/>
          <w:highlight w:val="none"/>
        </w:rPr>
      </w:pPr>
    </w:p>
    <w:p w14:paraId="0E67426A">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7B3BE101">
      <w:pPr>
        <w:snapToGrid w:val="0"/>
        <w:spacing w:before="120" w:beforeLines="50" w:after="50"/>
        <w:rPr>
          <w:rFonts w:hint="eastAsia" w:ascii="宋体" w:hAnsi="宋体"/>
          <w:bCs/>
          <w:color w:val="auto"/>
          <w:sz w:val="24"/>
          <w:szCs w:val="20"/>
          <w:highlight w:val="none"/>
        </w:rPr>
      </w:pPr>
    </w:p>
    <w:p w14:paraId="07ED38F3">
      <w:pPr>
        <w:snapToGrid w:val="0"/>
        <w:spacing w:before="120" w:beforeLines="50" w:after="50"/>
        <w:rPr>
          <w:rFonts w:hint="eastAsia" w:ascii="宋体" w:hAnsi="宋体"/>
          <w:bCs/>
          <w:color w:val="auto"/>
          <w:sz w:val="24"/>
          <w:szCs w:val="20"/>
          <w:highlight w:val="none"/>
        </w:rPr>
      </w:pPr>
    </w:p>
    <w:p w14:paraId="09D551E8">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6F3782E1">
      <w:pPr>
        <w:snapToGrid w:val="0"/>
        <w:spacing w:before="120" w:beforeLines="50" w:after="50" w:line="400" w:lineRule="exact"/>
        <w:ind w:firstLine="360" w:firstLineChars="150"/>
        <w:rPr>
          <w:rFonts w:hint="eastAsia" w:ascii="宋体" w:hAnsi="宋体"/>
          <w:bCs/>
          <w:color w:val="auto"/>
          <w:sz w:val="24"/>
          <w:szCs w:val="20"/>
          <w:highlight w:val="none"/>
        </w:rPr>
      </w:pPr>
    </w:p>
    <w:p w14:paraId="60A2A9D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29E4FAA3">
      <w:pPr>
        <w:snapToGrid w:val="0"/>
        <w:spacing w:before="120" w:beforeLines="50" w:after="50" w:line="400" w:lineRule="exact"/>
        <w:ind w:firstLine="360" w:firstLineChars="150"/>
        <w:rPr>
          <w:rFonts w:hint="eastAsia" w:ascii="宋体" w:hAnsi="宋体"/>
          <w:bCs/>
          <w:color w:val="auto"/>
          <w:sz w:val="24"/>
          <w:highlight w:val="none"/>
        </w:rPr>
      </w:pPr>
    </w:p>
    <w:p w14:paraId="15B3945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1CCC80A7">
      <w:pPr>
        <w:snapToGrid w:val="0"/>
        <w:spacing w:before="120" w:beforeLines="50" w:after="50" w:line="400" w:lineRule="exact"/>
        <w:ind w:firstLine="360" w:firstLineChars="150"/>
        <w:rPr>
          <w:rFonts w:hint="eastAsia" w:ascii="宋体" w:hAnsi="宋体"/>
          <w:bCs/>
          <w:color w:val="auto"/>
          <w:sz w:val="24"/>
          <w:highlight w:val="none"/>
        </w:rPr>
      </w:pPr>
    </w:p>
    <w:p w14:paraId="417943E0">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6607023">
      <w:pPr>
        <w:snapToGrid w:val="0"/>
        <w:spacing w:before="120" w:beforeLines="50" w:after="50" w:line="400" w:lineRule="exact"/>
        <w:ind w:firstLine="360" w:firstLineChars="150"/>
        <w:rPr>
          <w:rFonts w:hint="eastAsia" w:ascii="宋体" w:hAnsi="宋体"/>
          <w:bCs/>
          <w:color w:val="auto"/>
          <w:sz w:val="24"/>
          <w:highlight w:val="none"/>
        </w:rPr>
      </w:pPr>
    </w:p>
    <w:p w14:paraId="1480EAE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DD4863F">
      <w:pPr>
        <w:snapToGrid w:val="0"/>
        <w:spacing w:before="120" w:beforeLines="50" w:after="50" w:line="400" w:lineRule="exact"/>
        <w:ind w:firstLine="360" w:firstLineChars="150"/>
        <w:rPr>
          <w:rFonts w:hint="eastAsia" w:ascii="宋体" w:hAnsi="宋体"/>
          <w:bCs/>
          <w:color w:val="auto"/>
          <w:sz w:val="24"/>
          <w:highlight w:val="none"/>
        </w:rPr>
      </w:pPr>
    </w:p>
    <w:p w14:paraId="1DFC55A3">
      <w:pPr>
        <w:snapToGrid w:val="0"/>
        <w:spacing w:before="120" w:beforeLines="50" w:after="50"/>
        <w:ind w:firstLine="645"/>
        <w:jc w:val="center"/>
        <w:rPr>
          <w:rFonts w:hint="eastAsia" w:ascii="宋体" w:hAnsi="宋体"/>
          <w:color w:val="auto"/>
          <w:sz w:val="24"/>
          <w:highlight w:val="none"/>
        </w:rPr>
      </w:pPr>
    </w:p>
    <w:p w14:paraId="7A71E78E">
      <w:pPr>
        <w:snapToGrid w:val="0"/>
        <w:spacing w:before="120" w:beforeLines="50" w:after="50"/>
        <w:ind w:firstLine="645"/>
        <w:jc w:val="center"/>
        <w:rPr>
          <w:rFonts w:hint="eastAsia" w:ascii="宋体" w:hAnsi="宋体"/>
          <w:color w:val="auto"/>
          <w:sz w:val="24"/>
          <w:highlight w:val="none"/>
        </w:rPr>
      </w:pPr>
    </w:p>
    <w:p w14:paraId="36B2FC39">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0A81906F">
      <w:pPr>
        <w:snapToGrid w:val="0"/>
        <w:spacing w:before="120" w:beforeLines="50" w:after="50"/>
        <w:ind w:firstLine="645"/>
        <w:jc w:val="center"/>
        <w:rPr>
          <w:rFonts w:hint="eastAsia" w:ascii="宋体" w:hAnsi="宋体"/>
          <w:color w:val="auto"/>
          <w:sz w:val="24"/>
          <w:szCs w:val="20"/>
          <w:highlight w:val="none"/>
        </w:rPr>
      </w:pPr>
    </w:p>
    <w:p w14:paraId="6534B0EB">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02FAEBD9">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25CBBFAF">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77299335">
      <w:pPr>
        <w:snapToGrid w:val="0"/>
        <w:spacing w:before="120" w:beforeLines="50" w:after="50"/>
        <w:ind w:left="142"/>
        <w:jc w:val="left"/>
        <w:rPr>
          <w:rFonts w:hint="eastAsia" w:ascii="宋体" w:hAnsi="宋体"/>
          <w:b/>
          <w:color w:val="auto"/>
          <w:sz w:val="24"/>
          <w:highlight w:val="none"/>
        </w:rPr>
      </w:pPr>
    </w:p>
    <w:p w14:paraId="26DE5254">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69220EE4">
      <w:pPr>
        <w:pStyle w:val="26"/>
        <w:rPr>
          <w:rFonts w:hint="eastAsia" w:hAnsi="宋体"/>
          <w:color w:val="auto"/>
          <w:sz w:val="24"/>
          <w:szCs w:val="24"/>
          <w:highlight w:val="none"/>
        </w:rPr>
      </w:pPr>
      <w:r>
        <w:rPr>
          <w:rFonts w:hint="eastAsia" w:hAnsi="宋体"/>
          <w:color w:val="auto"/>
          <w:sz w:val="24"/>
          <w:szCs w:val="24"/>
          <w:highlight w:val="none"/>
        </w:rPr>
        <w:t>所投分标：分标</w:t>
      </w:r>
    </w:p>
    <w:tbl>
      <w:tblPr>
        <w:tblStyle w:val="5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6CE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77179B8">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45C1C10F">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17DBBD9B">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014AACA6">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0252E227">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3F00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11632CC">
            <w:pPr>
              <w:pStyle w:val="26"/>
              <w:spacing w:line="600" w:lineRule="exact"/>
              <w:jc w:val="center"/>
              <w:rPr>
                <w:rFonts w:hint="eastAsia" w:hAnsi="宋体" w:cs="Courier New"/>
                <w:color w:val="auto"/>
                <w:kern w:val="2"/>
                <w:sz w:val="24"/>
                <w:szCs w:val="24"/>
                <w:highlight w:val="none"/>
              </w:rPr>
            </w:pPr>
          </w:p>
        </w:tc>
        <w:tc>
          <w:tcPr>
            <w:tcW w:w="2143" w:type="dxa"/>
            <w:vAlign w:val="center"/>
          </w:tcPr>
          <w:p w14:paraId="27DFB241">
            <w:pPr>
              <w:pStyle w:val="26"/>
              <w:spacing w:line="600" w:lineRule="exact"/>
              <w:jc w:val="center"/>
              <w:rPr>
                <w:rFonts w:hint="eastAsia" w:hAnsi="宋体" w:cs="Courier New"/>
                <w:color w:val="auto"/>
                <w:kern w:val="2"/>
                <w:sz w:val="24"/>
                <w:szCs w:val="24"/>
                <w:highlight w:val="none"/>
              </w:rPr>
            </w:pPr>
          </w:p>
        </w:tc>
        <w:tc>
          <w:tcPr>
            <w:tcW w:w="1834" w:type="dxa"/>
            <w:vAlign w:val="center"/>
          </w:tcPr>
          <w:p w14:paraId="581D674C">
            <w:pPr>
              <w:pStyle w:val="26"/>
              <w:spacing w:line="600" w:lineRule="exact"/>
              <w:jc w:val="center"/>
              <w:rPr>
                <w:rFonts w:hint="eastAsia" w:hAnsi="宋体" w:cs="Courier New"/>
                <w:color w:val="auto"/>
                <w:kern w:val="2"/>
                <w:sz w:val="24"/>
                <w:szCs w:val="24"/>
                <w:highlight w:val="none"/>
              </w:rPr>
            </w:pPr>
          </w:p>
        </w:tc>
        <w:tc>
          <w:tcPr>
            <w:tcW w:w="2181" w:type="dxa"/>
            <w:vAlign w:val="center"/>
          </w:tcPr>
          <w:p w14:paraId="0053540A">
            <w:pPr>
              <w:pStyle w:val="26"/>
              <w:spacing w:line="600" w:lineRule="exact"/>
              <w:jc w:val="center"/>
              <w:rPr>
                <w:rFonts w:hint="eastAsia" w:hAnsi="宋体" w:cs="Courier New"/>
                <w:color w:val="auto"/>
                <w:kern w:val="2"/>
                <w:sz w:val="24"/>
                <w:szCs w:val="24"/>
                <w:highlight w:val="none"/>
              </w:rPr>
            </w:pPr>
          </w:p>
        </w:tc>
        <w:tc>
          <w:tcPr>
            <w:tcW w:w="1934" w:type="dxa"/>
            <w:vAlign w:val="center"/>
          </w:tcPr>
          <w:p w14:paraId="40BBC4A6">
            <w:pPr>
              <w:pStyle w:val="26"/>
              <w:spacing w:line="600" w:lineRule="exact"/>
              <w:jc w:val="center"/>
              <w:rPr>
                <w:rFonts w:hint="eastAsia" w:hAnsi="宋体" w:cs="Courier New"/>
                <w:color w:val="auto"/>
                <w:kern w:val="2"/>
                <w:sz w:val="24"/>
                <w:szCs w:val="24"/>
                <w:highlight w:val="none"/>
              </w:rPr>
            </w:pPr>
          </w:p>
        </w:tc>
      </w:tr>
      <w:tr w14:paraId="5AB4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DBADABE">
            <w:pPr>
              <w:pStyle w:val="26"/>
              <w:spacing w:line="600" w:lineRule="exact"/>
              <w:rPr>
                <w:rFonts w:hint="eastAsia" w:hAnsi="宋体" w:cs="Courier New"/>
                <w:color w:val="auto"/>
                <w:kern w:val="2"/>
                <w:sz w:val="24"/>
                <w:szCs w:val="24"/>
                <w:highlight w:val="none"/>
              </w:rPr>
            </w:pPr>
          </w:p>
        </w:tc>
        <w:tc>
          <w:tcPr>
            <w:tcW w:w="2143" w:type="dxa"/>
          </w:tcPr>
          <w:p w14:paraId="1188479C">
            <w:pPr>
              <w:pStyle w:val="26"/>
              <w:spacing w:line="600" w:lineRule="exact"/>
              <w:rPr>
                <w:rFonts w:hint="eastAsia" w:hAnsi="宋体" w:cs="Courier New"/>
                <w:color w:val="auto"/>
                <w:kern w:val="2"/>
                <w:sz w:val="24"/>
                <w:szCs w:val="24"/>
                <w:highlight w:val="none"/>
              </w:rPr>
            </w:pPr>
          </w:p>
        </w:tc>
        <w:tc>
          <w:tcPr>
            <w:tcW w:w="1834" w:type="dxa"/>
          </w:tcPr>
          <w:p w14:paraId="5E4905A4">
            <w:pPr>
              <w:pStyle w:val="26"/>
              <w:spacing w:line="600" w:lineRule="exact"/>
              <w:rPr>
                <w:rFonts w:hint="eastAsia" w:hAnsi="宋体" w:cs="Courier New"/>
                <w:color w:val="auto"/>
                <w:kern w:val="2"/>
                <w:sz w:val="24"/>
                <w:szCs w:val="24"/>
                <w:highlight w:val="none"/>
              </w:rPr>
            </w:pPr>
          </w:p>
        </w:tc>
        <w:tc>
          <w:tcPr>
            <w:tcW w:w="2181" w:type="dxa"/>
          </w:tcPr>
          <w:p w14:paraId="4F2F538C">
            <w:pPr>
              <w:pStyle w:val="26"/>
              <w:spacing w:line="600" w:lineRule="exact"/>
              <w:rPr>
                <w:rFonts w:hint="eastAsia" w:hAnsi="宋体" w:cs="Courier New"/>
                <w:color w:val="auto"/>
                <w:kern w:val="2"/>
                <w:sz w:val="24"/>
                <w:szCs w:val="24"/>
                <w:highlight w:val="none"/>
              </w:rPr>
            </w:pPr>
          </w:p>
        </w:tc>
        <w:tc>
          <w:tcPr>
            <w:tcW w:w="1934" w:type="dxa"/>
          </w:tcPr>
          <w:p w14:paraId="4FE29B68">
            <w:pPr>
              <w:pStyle w:val="26"/>
              <w:spacing w:line="600" w:lineRule="exact"/>
              <w:rPr>
                <w:rFonts w:hint="eastAsia" w:hAnsi="宋体" w:cs="Courier New"/>
                <w:color w:val="auto"/>
                <w:kern w:val="2"/>
                <w:sz w:val="24"/>
                <w:szCs w:val="24"/>
                <w:highlight w:val="none"/>
              </w:rPr>
            </w:pPr>
          </w:p>
        </w:tc>
      </w:tr>
      <w:tr w14:paraId="00A1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A8D6ED7">
            <w:pPr>
              <w:pStyle w:val="26"/>
              <w:spacing w:line="600" w:lineRule="exact"/>
              <w:rPr>
                <w:rFonts w:hint="eastAsia" w:hAnsi="宋体" w:cs="Courier New"/>
                <w:color w:val="auto"/>
                <w:kern w:val="2"/>
                <w:sz w:val="24"/>
                <w:szCs w:val="24"/>
                <w:highlight w:val="none"/>
              </w:rPr>
            </w:pPr>
          </w:p>
        </w:tc>
        <w:tc>
          <w:tcPr>
            <w:tcW w:w="2143" w:type="dxa"/>
          </w:tcPr>
          <w:p w14:paraId="6C90A5B1">
            <w:pPr>
              <w:pStyle w:val="26"/>
              <w:spacing w:line="600" w:lineRule="exact"/>
              <w:rPr>
                <w:rFonts w:hint="eastAsia" w:hAnsi="宋体" w:cs="Courier New"/>
                <w:color w:val="auto"/>
                <w:kern w:val="2"/>
                <w:sz w:val="24"/>
                <w:szCs w:val="24"/>
                <w:highlight w:val="none"/>
              </w:rPr>
            </w:pPr>
          </w:p>
        </w:tc>
        <w:tc>
          <w:tcPr>
            <w:tcW w:w="1834" w:type="dxa"/>
          </w:tcPr>
          <w:p w14:paraId="36E9FC87">
            <w:pPr>
              <w:pStyle w:val="26"/>
              <w:spacing w:line="600" w:lineRule="exact"/>
              <w:rPr>
                <w:rFonts w:hint="eastAsia" w:hAnsi="宋体" w:cs="Courier New"/>
                <w:color w:val="auto"/>
                <w:kern w:val="2"/>
                <w:sz w:val="24"/>
                <w:szCs w:val="24"/>
                <w:highlight w:val="none"/>
              </w:rPr>
            </w:pPr>
          </w:p>
        </w:tc>
        <w:tc>
          <w:tcPr>
            <w:tcW w:w="2181" w:type="dxa"/>
          </w:tcPr>
          <w:p w14:paraId="78FD4748">
            <w:pPr>
              <w:pStyle w:val="26"/>
              <w:spacing w:line="600" w:lineRule="exact"/>
              <w:rPr>
                <w:rFonts w:hint="eastAsia" w:hAnsi="宋体" w:cs="Courier New"/>
                <w:color w:val="auto"/>
                <w:kern w:val="2"/>
                <w:sz w:val="24"/>
                <w:szCs w:val="24"/>
                <w:highlight w:val="none"/>
              </w:rPr>
            </w:pPr>
          </w:p>
        </w:tc>
        <w:tc>
          <w:tcPr>
            <w:tcW w:w="1934" w:type="dxa"/>
          </w:tcPr>
          <w:p w14:paraId="560FA13F">
            <w:pPr>
              <w:pStyle w:val="26"/>
              <w:spacing w:line="600" w:lineRule="exact"/>
              <w:rPr>
                <w:rFonts w:hint="eastAsia" w:hAnsi="宋体" w:cs="Courier New"/>
                <w:color w:val="auto"/>
                <w:kern w:val="2"/>
                <w:sz w:val="24"/>
                <w:szCs w:val="24"/>
                <w:highlight w:val="none"/>
              </w:rPr>
            </w:pPr>
          </w:p>
        </w:tc>
      </w:tr>
      <w:tr w14:paraId="2F6C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F380E4B">
            <w:pPr>
              <w:pStyle w:val="26"/>
              <w:spacing w:line="600" w:lineRule="exact"/>
              <w:rPr>
                <w:rFonts w:hint="eastAsia" w:hAnsi="宋体" w:cs="Courier New"/>
                <w:color w:val="auto"/>
                <w:kern w:val="2"/>
                <w:sz w:val="24"/>
                <w:szCs w:val="24"/>
                <w:highlight w:val="none"/>
              </w:rPr>
            </w:pPr>
          </w:p>
        </w:tc>
        <w:tc>
          <w:tcPr>
            <w:tcW w:w="2143" w:type="dxa"/>
          </w:tcPr>
          <w:p w14:paraId="08B5BB90">
            <w:pPr>
              <w:pStyle w:val="26"/>
              <w:spacing w:line="600" w:lineRule="exact"/>
              <w:rPr>
                <w:rFonts w:hint="eastAsia" w:hAnsi="宋体" w:cs="Courier New"/>
                <w:color w:val="auto"/>
                <w:kern w:val="2"/>
                <w:sz w:val="24"/>
                <w:szCs w:val="24"/>
                <w:highlight w:val="none"/>
              </w:rPr>
            </w:pPr>
          </w:p>
        </w:tc>
        <w:tc>
          <w:tcPr>
            <w:tcW w:w="1834" w:type="dxa"/>
          </w:tcPr>
          <w:p w14:paraId="6A501771">
            <w:pPr>
              <w:pStyle w:val="26"/>
              <w:spacing w:line="600" w:lineRule="exact"/>
              <w:rPr>
                <w:rFonts w:hint="eastAsia" w:hAnsi="宋体" w:cs="Courier New"/>
                <w:color w:val="auto"/>
                <w:kern w:val="2"/>
                <w:sz w:val="24"/>
                <w:szCs w:val="24"/>
                <w:highlight w:val="none"/>
              </w:rPr>
            </w:pPr>
          </w:p>
        </w:tc>
        <w:tc>
          <w:tcPr>
            <w:tcW w:w="2181" w:type="dxa"/>
          </w:tcPr>
          <w:p w14:paraId="1FA615EE">
            <w:pPr>
              <w:pStyle w:val="26"/>
              <w:spacing w:line="600" w:lineRule="exact"/>
              <w:rPr>
                <w:rFonts w:hint="eastAsia" w:hAnsi="宋体" w:cs="Courier New"/>
                <w:color w:val="auto"/>
                <w:kern w:val="2"/>
                <w:sz w:val="24"/>
                <w:szCs w:val="24"/>
                <w:highlight w:val="none"/>
              </w:rPr>
            </w:pPr>
          </w:p>
        </w:tc>
        <w:tc>
          <w:tcPr>
            <w:tcW w:w="1934" w:type="dxa"/>
          </w:tcPr>
          <w:p w14:paraId="4E087AE3">
            <w:pPr>
              <w:pStyle w:val="26"/>
              <w:spacing w:line="600" w:lineRule="exact"/>
              <w:rPr>
                <w:rFonts w:hint="eastAsia" w:hAnsi="宋体" w:cs="Courier New"/>
                <w:color w:val="auto"/>
                <w:kern w:val="2"/>
                <w:sz w:val="24"/>
                <w:szCs w:val="24"/>
                <w:highlight w:val="none"/>
              </w:rPr>
            </w:pPr>
          </w:p>
        </w:tc>
      </w:tr>
      <w:tr w14:paraId="0F16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CD1A5D9">
            <w:pPr>
              <w:pStyle w:val="26"/>
              <w:spacing w:line="600" w:lineRule="exact"/>
              <w:rPr>
                <w:rFonts w:hint="eastAsia" w:hAnsi="宋体" w:cs="Courier New"/>
                <w:color w:val="auto"/>
                <w:kern w:val="2"/>
                <w:sz w:val="24"/>
                <w:szCs w:val="24"/>
                <w:highlight w:val="none"/>
              </w:rPr>
            </w:pPr>
          </w:p>
        </w:tc>
        <w:tc>
          <w:tcPr>
            <w:tcW w:w="2143" w:type="dxa"/>
          </w:tcPr>
          <w:p w14:paraId="676BD77C">
            <w:pPr>
              <w:pStyle w:val="26"/>
              <w:spacing w:line="600" w:lineRule="exact"/>
              <w:rPr>
                <w:rFonts w:hint="eastAsia" w:hAnsi="宋体" w:cs="Courier New"/>
                <w:color w:val="auto"/>
                <w:kern w:val="2"/>
                <w:sz w:val="24"/>
                <w:szCs w:val="24"/>
                <w:highlight w:val="none"/>
              </w:rPr>
            </w:pPr>
          </w:p>
        </w:tc>
        <w:tc>
          <w:tcPr>
            <w:tcW w:w="1834" w:type="dxa"/>
          </w:tcPr>
          <w:p w14:paraId="115A7068">
            <w:pPr>
              <w:pStyle w:val="26"/>
              <w:spacing w:line="600" w:lineRule="exact"/>
              <w:rPr>
                <w:rFonts w:hint="eastAsia" w:hAnsi="宋体" w:cs="Courier New"/>
                <w:color w:val="auto"/>
                <w:kern w:val="2"/>
                <w:sz w:val="24"/>
                <w:szCs w:val="24"/>
                <w:highlight w:val="none"/>
              </w:rPr>
            </w:pPr>
          </w:p>
        </w:tc>
        <w:tc>
          <w:tcPr>
            <w:tcW w:w="2181" w:type="dxa"/>
          </w:tcPr>
          <w:p w14:paraId="14C7D5D7">
            <w:pPr>
              <w:pStyle w:val="26"/>
              <w:spacing w:line="600" w:lineRule="exact"/>
              <w:rPr>
                <w:rFonts w:hint="eastAsia" w:hAnsi="宋体" w:cs="Courier New"/>
                <w:color w:val="auto"/>
                <w:kern w:val="2"/>
                <w:sz w:val="24"/>
                <w:szCs w:val="24"/>
                <w:highlight w:val="none"/>
              </w:rPr>
            </w:pPr>
          </w:p>
        </w:tc>
        <w:tc>
          <w:tcPr>
            <w:tcW w:w="1934" w:type="dxa"/>
          </w:tcPr>
          <w:p w14:paraId="68577C71">
            <w:pPr>
              <w:pStyle w:val="26"/>
              <w:spacing w:line="600" w:lineRule="exact"/>
              <w:rPr>
                <w:rFonts w:hint="eastAsia" w:hAnsi="宋体" w:cs="Courier New"/>
                <w:color w:val="auto"/>
                <w:kern w:val="2"/>
                <w:sz w:val="24"/>
                <w:szCs w:val="24"/>
                <w:highlight w:val="none"/>
              </w:rPr>
            </w:pPr>
          </w:p>
        </w:tc>
      </w:tr>
      <w:tr w14:paraId="5EAB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6A14DC">
            <w:pPr>
              <w:pStyle w:val="26"/>
              <w:spacing w:line="600" w:lineRule="exact"/>
              <w:rPr>
                <w:rFonts w:hint="eastAsia" w:hAnsi="宋体" w:cs="Courier New"/>
                <w:color w:val="auto"/>
                <w:kern w:val="2"/>
                <w:sz w:val="24"/>
                <w:szCs w:val="24"/>
                <w:highlight w:val="none"/>
              </w:rPr>
            </w:pPr>
          </w:p>
        </w:tc>
        <w:tc>
          <w:tcPr>
            <w:tcW w:w="2143" w:type="dxa"/>
          </w:tcPr>
          <w:p w14:paraId="00FDEBDD">
            <w:pPr>
              <w:pStyle w:val="26"/>
              <w:spacing w:line="600" w:lineRule="exact"/>
              <w:rPr>
                <w:rFonts w:hint="eastAsia" w:hAnsi="宋体" w:cs="Courier New"/>
                <w:color w:val="auto"/>
                <w:kern w:val="2"/>
                <w:sz w:val="24"/>
                <w:szCs w:val="24"/>
                <w:highlight w:val="none"/>
              </w:rPr>
            </w:pPr>
          </w:p>
        </w:tc>
        <w:tc>
          <w:tcPr>
            <w:tcW w:w="1834" w:type="dxa"/>
          </w:tcPr>
          <w:p w14:paraId="1BBC45A6">
            <w:pPr>
              <w:pStyle w:val="26"/>
              <w:spacing w:line="600" w:lineRule="exact"/>
              <w:rPr>
                <w:rFonts w:hint="eastAsia" w:hAnsi="宋体" w:cs="Courier New"/>
                <w:color w:val="auto"/>
                <w:kern w:val="2"/>
                <w:sz w:val="24"/>
                <w:szCs w:val="24"/>
                <w:highlight w:val="none"/>
              </w:rPr>
            </w:pPr>
          </w:p>
        </w:tc>
        <w:tc>
          <w:tcPr>
            <w:tcW w:w="2181" w:type="dxa"/>
          </w:tcPr>
          <w:p w14:paraId="6D466321">
            <w:pPr>
              <w:pStyle w:val="26"/>
              <w:spacing w:line="600" w:lineRule="exact"/>
              <w:rPr>
                <w:rFonts w:hint="eastAsia" w:hAnsi="宋体" w:cs="Courier New"/>
                <w:color w:val="auto"/>
                <w:kern w:val="2"/>
                <w:sz w:val="24"/>
                <w:szCs w:val="24"/>
                <w:highlight w:val="none"/>
              </w:rPr>
            </w:pPr>
          </w:p>
        </w:tc>
        <w:tc>
          <w:tcPr>
            <w:tcW w:w="1934" w:type="dxa"/>
          </w:tcPr>
          <w:p w14:paraId="42A3454E">
            <w:pPr>
              <w:pStyle w:val="26"/>
              <w:spacing w:line="600" w:lineRule="exact"/>
              <w:rPr>
                <w:rFonts w:hint="eastAsia" w:hAnsi="宋体" w:cs="Courier New"/>
                <w:color w:val="auto"/>
                <w:kern w:val="2"/>
                <w:sz w:val="24"/>
                <w:szCs w:val="24"/>
                <w:highlight w:val="none"/>
              </w:rPr>
            </w:pPr>
          </w:p>
        </w:tc>
      </w:tr>
    </w:tbl>
    <w:p w14:paraId="148E5D82">
      <w:pPr>
        <w:pStyle w:val="19"/>
        <w:rPr>
          <w:rFonts w:hint="eastAsia" w:ascii="宋体" w:hAnsi="宋体"/>
          <w:color w:val="auto"/>
          <w:highlight w:val="none"/>
        </w:rPr>
      </w:pPr>
      <w:r>
        <w:rPr>
          <w:rFonts w:hint="eastAsia" w:ascii="宋体" w:hAnsi="宋体"/>
          <w:color w:val="auto"/>
          <w:highlight w:val="none"/>
        </w:rPr>
        <w:t>注：</w:t>
      </w:r>
    </w:p>
    <w:p w14:paraId="6EA24127">
      <w:pPr>
        <w:pStyle w:val="21"/>
        <w:spacing w:line="360" w:lineRule="auto"/>
        <w:contextualSpacing/>
        <w:rPr>
          <w:rFonts w:hint="eastAsia" w:ascii="宋体" w:hAnsi="宋体" w:cs="仿宋_GB2312"/>
          <w:color w:val="auto"/>
          <w:szCs w:val="32"/>
          <w:highlight w:val="none"/>
        </w:rPr>
      </w:pPr>
      <w:r>
        <w:rPr>
          <w:rFonts w:hint="eastAsia" w:ascii="宋体" w:hAnsi="宋体"/>
          <w:color w:val="auto"/>
          <w:sz w:val="24"/>
          <w:highlight w:val="none"/>
        </w:rPr>
        <w:t>1.说明：应对照招标文件“第二章 采购需求”中的“技术要求”逐条作明确的投标响应，并作出偏离说明。</w:t>
      </w:r>
    </w:p>
    <w:p w14:paraId="250FEFC7">
      <w:pPr>
        <w:pStyle w:val="19"/>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BE3D1CA">
      <w:pPr>
        <w:snapToGrid w:val="0"/>
        <w:spacing w:before="50" w:after="50" w:line="360" w:lineRule="auto"/>
        <w:rPr>
          <w:rFonts w:hint="eastAsia" w:ascii="宋体" w:hAnsi="宋体"/>
          <w:color w:val="auto"/>
          <w:sz w:val="24"/>
          <w:highlight w:val="none"/>
        </w:rPr>
      </w:pPr>
    </w:p>
    <w:p w14:paraId="475BF5D6">
      <w:pPr>
        <w:snapToGrid w:val="0"/>
        <w:spacing w:before="50" w:after="50" w:line="360" w:lineRule="auto"/>
        <w:rPr>
          <w:rFonts w:hint="eastAsia" w:ascii="宋体" w:hAnsi="宋体"/>
          <w:color w:val="auto"/>
          <w:sz w:val="24"/>
          <w:highlight w:val="none"/>
        </w:rPr>
      </w:pPr>
    </w:p>
    <w:p w14:paraId="15A8E623">
      <w:pPr>
        <w:snapToGrid w:val="0"/>
        <w:spacing w:before="50" w:after="50" w:line="360" w:lineRule="auto"/>
        <w:rPr>
          <w:rFonts w:hint="eastAsia" w:ascii="宋体" w:hAnsi="宋体"/>
          <w:color w:val="auto"/>
          <w:sz w:val="24"/>
          <w:highlight w:val="none"/>
        </w:rPr>
      </w:pPr>
    </w:p>
    <w:p w14:paraId="0BD1A104">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7266F5DA">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              日 期：</w:t>
      </w:r>
    </w:p>
    <w:p w14:paraId="542AC4ED">
      <w:pPr>
        <w:snapToGrid w:val="0"/>
        <w:spacing w:before="50" w:after="50" w:line="360" w:lineRule="auto"/>
        <w:rPr>
          <w:rFonts w:hint="eastAsia" w:ascii="宋体" w:hAnsi="宋体"/>
          <w:color w:val="auto"/>
          <w:sz w:val="24"/>
          <w:szCs w:val="20"/>
          <w:highlight w:val="none"/>
        </w:rPr>
      </w:pPr>
    </w:p>
    <w:p w14:paraId="458F5017">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3B161720">
      <w:pPr>
        <w:snapToGrid w:val="0"/>
        <w:spacing w:before="120" w:beforeLines="50" w:after="50"/>
        <w:ind w:left="142"/>
        <w:jc w:val="left"/>
        <w:rPr>
          <w:rFonts w:hint="eastAsia" w:ascii="宋体" w:hAnsi="宋体"/>
          <w:b/>
          <w:color w:val="auto"/>
          <w:sz w:val="24"/>
          <w:highlight w:val="none"/>
        </w:rPr>
      </w:pPr>
    </w:p>
    <w:p w14:paraId="5841CBFB">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3B8DFE33">
      <w:pPr>
        <w:pStyle w:val="26"/>
        <w:rPr>
          <w:rFonts w:hint="eastAsia" w:hAnsi="宋体"/>
          <w:color w:val="auto"/>
          <w:sz w:val="24"/>
          <w:szCs w:val="24"/>
          <w:highlight w:val="none"/>
        </w:rPr>
      </w:pPr>
      <w:r>
        <w:rPr>
          <w:rFonts w:hint="eastAsia" w:hAnsi="宋体"/>
          <w:color w:val="auto"/>
          <w:sz w:val="24"/>
          <w:szCs w:val="24"/>
          <w:highlight w:val="none"/>
        </w:rPr>
        <w:t>所投分标：分标</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B9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FD132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7C50019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6762BBA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27D8768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5F1EBD4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27A86CA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6FBACD81">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0F1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91203A">
            <w:pPr>
              <w:snapToGrid w:val="0"/>
              <w:spacing w:before="50" w:after="120" w:afterLines="50"/>
              <w:jc w:val="center"/>
              <w:rPr>
                <w:rFonts w:hint="eastAsia" w:ascii="宋体" w:hAnsi="宋体"/>
                <w:color w:val="auto"/>
                <w:sz w:val="24"/>
                <w:szCs w:val="20"/>
                <w:highlight w:val="none"/>
              </w:rPr>
            </w:pPr>
          </w:p>
        </w:tc>
        <w:tc>
          <w:tcPr>
            <w:tcW w:w="709" w:type="dxa"/>
            <w:vAlign w:val="center"/>
          </w:tcPr>
          <w:p w14:paraId="3E0D6BB5">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3282B6AC">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2E97B759">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17E0A1F2">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526AD7AE">
            <w:pPr>
              <w:snapToGrid w:val="0"/>
              <w:spacing w:before="50" w:after="120" w:afterLines="50"/>
              <w:jc w:val="center"/>
              <w:rPr>
                <w:rFonts w:hint="eastAsia" w:ascii="宋体" w:hAnsi="宋体"/>
                <w:color w:val="auto"/>
                <w:sz w:val="24"/>
                <w:szCs w:val="20"/>
                <w:highlight w:val="none"/>
              </w:rPr>
            </w:pPr>
          </w:p>
        </w:tc>
      </w:tr>
      <w:tr w14:paraId="7C22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7BAF9C">
            <w:pPr>
              <w:snapToGrid w:val="0"/>
              <w:spacing w:before="50" w:after="120" w:afterLines="50"/>
              <w:jc w:val="center"/>
              <w:rPr>
                <w:rFonts w:hint="eastAsia" w:ascii="宋体" w:hAnsi="宋体"/>
                <w:color w:val="auto"/>
                <w:sz w:val="24"/>
                <w:szCs w:val="20"/>
                <w:highlight w:val="none"/>
              </w:rPr>
            </w:pPr>
          </w:p>
        </w:tc>
        <w:tc>
          <w:tcPr>
            <w:tcW w:w="709" w:type="dxa"/>
            <w:vAlign w:val="center"/>
          </w:tcPr>
          <w:p w14:paraId="45329F7E">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7B0336B7">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18120A1D">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1BC297B">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37303B55">
            <w:pPr>
              <w:snapToGrid w:val="0"/>
              <w:spacing w:before="50" w:after="120" w:afterLines="50"/>
              <w:jc w:val="center"/>
              <w:rPr>
                <w:rFonts w:hint="eastAsia" w:ascii="宋体" w:hAnsi="宋体"/>
                <w:color w:val="auto"/>
                <w:sz w:val="24"/>
                <w:szCs w:val="20"/>
                <w:highlight w:val="none"/>
              </w:rPr>
            </w:pPr>
          </w:p>
        </w:tc>
      </w:tr>
      <w:tr w14:paraId="6F2A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204C5E">
            <w:pPr>
              <w:snapToGrid w:val="0"/>
              <w:spacing w:before="50" w:after="120" w:afterLines="50"/>
              <w:jc w:val="center"/>
              <w:rPr>
                <w:rFonts w:hint="eastAsia" w:ascii="宋体" w:hAnsi="宋体"/>
                <w:color w:val="auto"/>
                <w:sz w:val="24"/>
                <w:szCs w:val="20"/>
                <w:highlight w:val="none"/>
              </w:rPr>
            </w:pPr>
          </w:p>
        </w:tc>
        <w:tc>
          <w:tcPr>
            <w:tcW w:w="709" w:type="dxa"/>
            <w:vAlign w:val="center"/>
          </w:tcPr>
          <w:p w14:paraId="78400F88">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02E3D773">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74057EDC">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6D384C05">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75F91166">
            <w:pPr>
              <w:snapToGrid w:val="0"/>
              <w:spacing w:before="50" w:after="120" w:afterLines="50"/>
              <w:jc w:val="center"/>
              <w:rPr>
                <w:rFonts w:hint="eastAsia" w:ascii="宋体" w:hAnsi="宋体"/>
                <w:color w:val="auto"/>
                <w:sz w:val="24"/>
                <w:szCs w:val="20"/>
                <w:highlight w:val="none"/>
              </w:rPr>
            </w:pPr>
          </w:p>
        </w:tc>
      </w:tr>
    </w:tbl>
    <w:p w14:paraId="379046B0">
      <w:pPr>
        <w:snapToGrid w:val="0"/>
        <w:spacing w:before="50" w:after="120" w:afterLines="50"/>
        <w:jc w:val="left"/>
        <w:rPr>
          <w:rFonts w:hint="eastAsia" w:ascii="宋体" w:hAnsi="宋体"/>
          <w:color w:val="auto"/>
          <w:sz w:val="24"/>
          <w:szCs w:val="20"/>
          <w:highlight w:val="none"/>
        </w:rPr>
      </w:pPr>
    </w:p>
    <w:p w14:paraId="153AF4C8">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45500264">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5C3E3B3">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271CDFE9">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5DF1A54F">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              日 期：</w:t>
      </w:r>
    </w:p>
    <w:p w14:paraId="3A4828C8">
      <w:pPr>
        <w:snapToGrid w:val="0"/>
        <w:spacing w:before="50" w:after="120" w:afterLines="50"/>
        <w:jc w:val="left"/>
        <w:rPr>
          <w:rFonts w:hint="eastAsia" w:ascii="宋体" w:hAnsi="宋体"/>
          <w:color w:val="auto"/>
          <w:sz w:val="24"/>
          <w:szCs w:val="20"/>
          <w:highlight w:val="none"/>
        </w:rPr>
      </w:pPr>
    </w:p>
    <w:p w14:paraId="14DC38F9">
      <w:pPr>
        <w:snapToGrid w:val="0"/>
        <w:spacing w:before="120" w:beforeLines="50" w:after="50"/>
        <w:ind w:left="142"/>
        <w:jc w:val="left"/>
        <w:rPr>
          <w:rFonts w:hint="eastAsia" w:ascii="宋体" w:hAnsi="宋体"/>
          <w:b/>
          <w:color w:val="auto"/>
          <w:sz w:val="28"/>
          <w:szCs w:val="28"/>
          <w:highlight w:val="none"/>
        </w:rPr>
      </w:pPr>
      <w:r>
        <w:rPr>
          <w:rFonts w:ascii="宋体" w:hAnsi="宋体"/>
          <w:b/>
          <w:color w:val="auto"/>
          <w:sz w:val="24"/>
          <w:highlight w:val="none"/>
        </w:rPr>
        <w:br w:type="page"/>
      </w:r>
      <w:r>
        <w:rPr>
          <w:rFonts w:hint="eastAsia" w:ascii="宋体" w:hAnsi="宋体"/>
          <w:b/>
          <w:color w:val="auto"/>
          <w:sz w:val="28"/>
          <w:szCs w:val="28"/>
          <w:highlight w:val="none"/>
        </w:rPr>
        <w:t>五、其他文书、文件格式</w:t>
      </w:r>
    </w:p>
    <w:p w14:paraId="075307E4">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70833772">
      <w:pPr>
        <w:snapToGrid w:val="0"/>
        <w:spacing w:before="120" w:beforeLines="50" w:after="50"/>
        <w:ind w:left="142"/>
        <w:jc w:val="left"/>
        <w:rPr>
          <w:rFonts w:hint="eastAsia" w:ascii="宋体" w:hAnsi="宋体"/>
          <w:b/>
          <w:color w:val="auto"/>
          <w:spacing w:val="20"/>
          <w:sz w:val="24"/>
          <w:highlight w:val="none"/>
        </w:rPr>
      </w:pPr>
    </w:p>
    <w:p w14:paraId="10DFA286">
      <w:pPr>
        <w:pStyle w:val="15"/>
        <w:overflowPunct w:val="0"/>
        <w:ind w:firstLine="0"/>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联合体协议书</w:t>
      </w:r>
    </w:p>
    <w:p w14:paraId="6E199001">
      <w:pPr>
        <w:pStyle w:val="15"/>
        <w:overflowPunct w:val="0"/>
        <w:rPr>
          <w:rFonts w:hint="eastAsia" w:ascii="宋体" w:hAnsi="宋体"/>
          <w:color w:val="auto"/>
          <w:sz w:val="24"/>
          <w:highlight w:val="none"/>
        </w:rPr>
      </w:pPr>
    </w:p>
    <w:p w14:paraId="7446097C">
      <w:pPr>
        <w:pStyle w:val="15"/>
        <w:overflowPunct w:val="0"/>
        <w:spacing w:line="360" w:lineRule="auto"/>
        <w:contextualSpacing/>
        <w:rPr>
          <w:rFonts w:hint="eastAsia"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25C07652">
      <w:pPr>
        <w:pStyle w:val="15"/>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06AC7625">
      <w:pPr>
        <w:pStyle w:val="15"/>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4EBF5A61">
      <w:pPr>
        <w:pStyle w:val="15"/>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66EE4066">
      <w:pPr>
        <w:pStyle w:val="15"/>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ab/>
      </w:r>
      <w:r>
        <w:rPr>
          <w:rFonts w:hint="eastAsia" w:ascii="宋体" w:hAnsi="宋体"/>
          <w:color w:val="auto"/>
          <w:sz w:val="24"/>
          <w:highlight w:val="none"/>
        </w:rPr>
        <w:t>。</w:t>
      </w:r>
    </w:p>
    <w:p w14:paraId="4E0B6C04">
      <w:pPr>
        <w:pStyle w:val="15"/>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14974F76">
      <w:pPr>
        <w:pStyle w:val="15"/>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5132530B">
      <w:pPr>
        <w:pStyle w:val="15"/>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534F16A3">
      <w:pPr>
        <w:pStyle w:val="15"/>
        <w:overflowPunct w:val="0"/>
        <w:spacing w:line="360" w:lineRule="auto"/>
        <w:ind w:firstLineChars="175"/>
        <w:contextualSpacing/>
        <w:rPr>
          <w:rFonts w:hint="eastAsia" w:ascii="宋体" w:hAnsi="宋体"/>
          <w:color w:val="auto"/>
          <w:sz w:val="24"/>
          <w:highlight w:val="none"/>
        </w:rPr>
      </w:pPr>
    </w:p>
    <w:p w14:paraId="292F2180">
      <w:pPr>
        <w:pStyle w:val="15"/>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联合体牵头人名称（盖公章）：</w:t>
      </w:r>
    </w:p>
    <w:p w14:paraId="5AAEE6A9">
      <w:pPr>
        <w:pStyle w:val="15"/>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3F75F17F">
      <w:pPr>
        <w:pStyle w:val="15"/>
        <w:overflowPunct w:val="0"/>
        <w:spacing w:line="360" w:lineRule="auto"/>
        <w:ind w:firstLineChars="175"/>
        <w:contextualSpacing/>
        <w:rPr>
          <w:rFonts w:hint="eastAsia" w:ascii="宋体" w:hAnsi="宋体"/>
          <w:color w:val="auto"/>
          <w:sz w:val="24"/>
          <w:highlight w:val="none"/>
        </w:rPr>
      </w:pPr>
    </w:p>
    <w:p w14:paraId="61A1397E">
      <w:pPr>
        <w:pStyle w:val="15"/>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联合体成员名称（盖公章）：</w:t>
      </w:r>
    </w:p>
    <w:p w14:paraId="26CD7D48">
      <w:pPr>
        <w:pStyle w:val="15"/>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71EBBB39">
      <w:pPr>
        <w:pStyle w:val="15"/>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w:t>
      </w:r>
    </w:p>
    <w:p w14:paraId="1345747E">
      <w:pPr>
        <w:pStyle w:val="15"/>
        <w:overflowPunct w:val="0"/>
        <w:spacing w:line="360" w:lineRule="auto"/>
        <w:ind w:firstLineChars="175"/>
        <w:contextualSpacing/>
        <w:rPr>
          <w:rFonts w:hint="eastAsia" w:ascii="宋体" w:hAnsi="宋体"/>
          <w:color w:val="auto"/>
          <w:sz w:val="24"/>
          <w:highlight w:val="none"/>
        </w:rPr>
      </w:pPr>
    </w:p>
    <w:p w14:paraId="52B6040D">
      <w:pPr>
        <w:pStyle w:val="15"/>
        <w:overflowPunct w:val="0"/>
        <w:spacing w:line="360" w:lineRule="auto"/>
        <w:ind w:firstLineChars="175"/>
        <w:contextualSpacing/>
        <w:jc w:val="right"/>
        <w:rPr>
          <w:rFonts w:hint="eastAsia"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0AD03798">
      <w:pPr>
        <w:snapToGrid w:val="0"/>
        <w:spacing w:before="120" w:beforeLines="50" w:after="50"/>
        <w:jc w:val="left"/>
        <w:rPr>
          <w:rFonts w:hint="eastAsia" w:ascii="宋体" w:hAnsi="宋体"/>
          <w:color w:val="auto"/>
          <w:highlight w:val="none"/>
        </w:rPr>
      </w:pPr>
      <w:r>
        <w:rPr>
          <w:rFonts w:hint="eastAsia" w:ascii="宋体" w:hAnsi="宋体"/>
          <w:b/>
          <w:color w:val="auto"/>
          <w:sz w:val="24"/>
          <w:highlight w:val="none"/>
        </w:rPr>
        <w:t xml:space="preserve"> 2.中小企业声明函格式</w:t>
      </w:r>
    </w:p>
    <w:p w14:paraId="40E799E6">
      <w:pPr>
        <w:rPr>
          <w:rFonts w:hint="eastAsia" w:ascii="宋体" w:hAnsi="宋体"/>
          <w:color w:val="auto"/>
          <w:highlight w:val="none"/>
        </w:rPr>
      </w:pPr>
    </w:p>
    <w:p w14:paraId="45438DE0">
      <w:pPr>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中小企业声明函（服务）</w:t>
      </w:r>
    </w:p>
    <w:p w14:paraId="4051E3A5">
      <w:pPr>
        <w:spacing w:before="2" w:line="500" w:lineRule="exact"/>
        <w:rPr>
          <w:rFonts w:hint="eastAsia" w:ascii="宋体" w:hAnsi="宋体" w:cs="宋体"/>
          <w:b/>
          <w:bCs/>
          <w:color w:val="auto"/>
          <w:sz w:val="27"/>
          <w:szCs w:val="27"/>
          <w:highlight w:val="none"/>
        </w:rPr>
      </w:pPr>
    </w:p>
    <w:p w14:paraId="77667BB9">
      <w:pPr>
        <w:pStyle w:val="20"/>
        <w:spacing w:line="360" w:lineRule="auto"/>
        <w:ind w:left="-426" w:leftChars="-203" w:right="142" w:firstLine="420" w:firstLineChars="200"/>
        <w:contextualSpacing/>
        <w:rPr>
          <w:rFonts w:hint="eastAsia"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1294E3ED">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7C01C54E">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7CDBC5F0">
      <w:pPr>
        <w:pStyle w:val="20"/>
        <w:spacing w:line="360" w:lineRule="auto"/>
        <w:ind w:left="142" w:right="142"/>
        <w:contextualSpacing/>
        <w:rPr>
          <w:rFonts w:hint="eastAsia" w:ascii="宋体" w:hAnsi="宋体"/>
          <w:color w:val="auto"/>
          <w:kern w:val="24"/>
          <w:highlight w:val="none"/>
        </w:rPr>
      </w:pPr>
      <w:r>
        <w:rPr>
          <w:rFonts w:ascii="宋体" w:hAnsi="宋体"/>
          <w:color w:val="auto"/>
          <w:kern w:val="24"/>
          <w:highlight w:val="none"/>
        </w:rPr>
        <w:t xml:space="preserve">…… </w:t>
      </w:r>
    </w:p>
    <w:p w14:paraId="7EC261C4">
      <w:pPr>
        <w:pStyle w:val="20"/>
        <w:spacing w:line="360" w:lineRule="auto"/>
        <w:ind w:left="-405" w:leftChars="-193" w:right="142" w:firstLine="396" w:firstLineChars="189"/>
        <w:contextualSpacing/>
        <w:rPr>
          <w:rFonts w:hint="eastAsia"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0DF20738">
      <w:pPr>
        <w:pStyle w:val="20"/>
        <w:spacing w:line="360" w:lineRule="auto"/>
        <w:ind w:left="-426" w:right="142" w:firstLine="567"/>
        <w:contextualSpacing/>
        <w:rPr>
          <w:rFonts w:hint="eastAsia"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4A6DA62A">
      <w:pPr>
        <w:pStyle w:val="20"/>
        <w:spacing w:line="360" w:lineRule="auto"/>
        <w:ind w:left="3960" w:right="1808"/>
        <w:contextualSpacing/>
        <w:rPr>
          <w:rFonts w:hint="eastAsia" w:ascii="宋体" w:hAnsi="宋体"/>
          <w:color w:val="auto"/>
          <w:kern w:val="24"/>
          <w:highlight w:val="none"/>
        </w:rPr>
      </w:pPr>
    </w:p>
    <w:p w14:paraId="1196AF8A">
      <w:pPr>
        <w:pStyle w:val="20"/>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 xml:space="preserve">企业名称（章）： </w:t>
      </w:r>
    </w:p>
    <w:p w14:paraId="136A94E2">
      <w:pPr>
        <w:pStyle w:val="20"/>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日期：</w:t>
      </w:r>
    </w:p>
    <w:p w14:paraId="02CD2284">
      <w:pPr>
        <w:pStyle w:val="20"/>
        <w:spacing w:line="360" w:lineRule="auto"/>
        <w:ind w:left="3960" w:right="1808"/>
        <w:contextualSpacing/>
        <w:rPr>
          <w:rFonts w:hint="eastAsia" w:ascii="宋体" w:hAnsi="宋体"/>
          <w:color w:val="auto"/>
          <w:kern w:val="24"/>
          <w:highlight w:val="none"/>
        </w:rPr>
      </w:pPr>
    </w:p>
    <w:p w14:paraId="3E2A6811">
      <w:pPr>
        <w:pStyle w:val="20"/>
        <w:spacing w:line="360" w:lineRule="auto"/>
        <w:ind w:left="3960" w:right="1808"/>
        <w:contextualSpacing/>
        <w:rPr>
          <w:rFonts w:hint="eastAsia" w:ascii="宋体" w:hAnsi="宋体"/>
          <w:color w:val="auto"/>
          <w:kern w:val="24"/>
          <w:highlight w:val="none"/>
        </w:rPr>
      </w:pPr>
    </w:p>
    <w:p w14:paraId="0E1B3EC9">
      <w:pPr>
        <w:pStyle w:val="20"/>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4856B7F">
      <w:pPr>
        <w:snapToGrid w:val="0"/>
        <w:spacing w:before="120" w:beforeLines="50" w:after="50"/>
        <w:ind w:left="142"/>
        <w:jc w:val="left"/>
        <w:rPr>
          <w:rFonts w:hint="eastAsia" w:ascii="宋体" w:hAnsi="宋体"/>
          <w:b/>
          <w:color w:val="auto"/>
          <w:sz w:val="24"/>
          <w:highlight w:val="none"/>
        </w:rPr>
      </w:pPr>
    </w:p>
    <w:p w14:paraId="1648D3C1">
      <w:pPr>
        <w:pStyle w:val="26"/>
        <w:jc w:val="left"/>
        <w:rPr>
          <w:rFonts w:hint="eastAsia" w:hAnsi="宋体" w:cs="Arial Unicode MS"/>
          <w:color w:val="auto"/>
          <w:sz w:val="28"/>
          <w:szCs w:val="28"/>
          <w:highlight w:val="none"/>
        </w:rPr>
      </w:pPr>
      <w:r>
        <w:rPr>
          <w:rFonts w:hAnsi="宋体" w:cs="Arial Unicode MS"/>
          <w:color w:val="auto"/>
          <w:sz w:val="32"/>
          <w:szCs w:val="32"/>
          <w:highlight w:val="none"/>
        </w:rPr>
        <w:br w:type="page"/>
      </w:r>
      <w:r>
        <w:rPr>
          <w:rFonts w:hint="eastAsia" w:hAnsi="宋体" w:cs="Arial Unicode MS"/>
          <w:color w:val="auto"/>
          <w:sz w:val="28"/>
          <w:szCs w:val="28"/>
          <w:highlight w:val="none"/>
        </w:rPr>
        <w:t>附：</w:t>
      </w:r>
    </w:p>
    <w:p w14:paraId="2F620994">
      <w:pPr>
        <w:jc w:val="center"/>
        <w:rPr>
          <w:rFonts w:hint="eastAsia" w:ascii="宋体" w:hAnsi="宋体" w:cs="Arial Unicode MS"/>
          <w:color w:val="auto"/>
          <w:szCs w:val="21"/>
          <w:highlight w:val="none"/>
        </w:rPr>
      </w:pPr>
      <w:r>
        <w:rPr>
          <w:rFonts w:hint="eastAsia" w:ascii="宋体" w:hAnsi="宋体" w:cs="Arial Unicode MS"/>
          <w:color w:val="auto"/>
          <w:sz w:val="32"/>
          <w:szCs w:val="32"/>
          <w:highlight w:val="none"/>
        </w:rPr>
        <w:t>中小微企业划型标准</w:t>
      </w:r>
    </w:p>
    <w:tbl>
      <w:tblPr>
        <w:tblStyle w:val="50"/>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407695C1">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7E0E74BD">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4917B70D">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5D935EFA">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623FA022">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440" w:type="dxa"/>
            <w:tcBorders>
              <w:top w:val="single" w:color="auto" w:sz="4" w:space="0"/>
              <w:left w:val="nil"/>
              <w:bottom w:val="single" w:color="auto" w:sz="4" w:space="0"/>
              <w:right w:val="single" w:color="auto" w:sz="4" w:space="0"/>
            </w:tcBorders>
            <w:vAlign w:val="center"/>
          </w:tcPr>
          <w:p w14:paraId="5AB16362">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925" w:type="dxa"/>
            <w:tcBorders>
              <w:top w:val="single" w:color="auto" w:sz="4" w:space="0"/>
              <w:left w:val="nil"/>
              <w:bottom w:val="single" w:color="auto" w:sz="4" w:space="0"/>
              <w:right w:val="single" w:color="auto" w:sz="4" w:space="0"/>
            </w:tcBorders>
            <w:vAlign w:val="center"/>
          </w:tcPr>
          <w:p w14:paraId="1FC73BA7">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270EB41D">
        <w:trPr>
          <w:trHeight w:val="225" w:hRule="atLeast"/>
        </w:trPr>
        <w:tc>
          <w:tcPr>
            <w:tcW w:w="1701" w:type="dxa"/>
            <w:tcBorders>
              <w:top w:val="nil"/>
              <w:left w:val="single" w:color="auto" w:sz="4" w:space="0"/>
              <w:bottom w:val="single" w:color="auto" w:sz="4" w:space="0"/>
              <w:right w:val="single" w:color="auto" w:sz="4" w:space="0"/>
            </w:tcBorders>
            <w:vAlign w:val="bottom"/>
          </w:tcPr>
          <w:p w14:paraId="027F32B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4278B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C42D9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AE1CF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67291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5A146E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72CDD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2CFBB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79AF38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16759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88B08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5558B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94BD7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741DD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A076DD2">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8255C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D8055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E9F23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57DC93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693009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C66B96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C45235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1594A4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F906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B81ED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31FBB6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5C5FB7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9738F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EB02245">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71C9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CAE6A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A9DB7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7A6280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6AEEFD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E1AA98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B2F2CE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4285D4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B7CC1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AAD80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311615F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A397B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27A8E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FD553AD">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5C689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61AFA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AFDD3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0649D9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5D1F0F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9D999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82F9C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388778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F7892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0CA46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360BC1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11BF86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9BF7A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90A8996">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51CB3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8A3C3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2E3AF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35729C0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4D07E3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BC63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3ECAAA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4F9CE1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56091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34340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7AFAC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C448D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4E093C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9151173">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7E8BF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B12C3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68288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2827E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3D7DE4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3F7F86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BC42AB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7AFE12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185C6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1973E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4FA465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67EB09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D2BABE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E97C8B0">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05A02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5FF4F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54D29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253A05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CE217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607F2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56B4FD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5505EF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7713C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9715F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C3D08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6AB827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62951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423A248">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39B06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0C5C8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8B546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10CB49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5929B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6F47BF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0EF2E6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00D9BF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4832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877B2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E121B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5AC61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892CB2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F3FC6F6">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0F89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9E21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95796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3C188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8C4AD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123F0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FD43E6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BF4F6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89C36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0DD22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5344F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9F502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29748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271712">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C2F13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5629C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16E5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120D3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67544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B25AA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65717A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2E66A59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5603B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39B4F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3CCB9F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717A7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A45B950">
        <w:tblPrEx>
          <w:tblCellMar>
            <w:top w:w="0" w:type="dxa"/>
            <w:left w:w="108" w:type="dxa"/>
            <w:bottom w:w="0" w:type="dxa"/>
            <w:right w:w="108" w:type="dxa"/>
          </w:tblCellMar>
        </w:tblPrEx>
        <w:trPr>
          <w:trHeight w:val="409" w:hRule="atLeast"/>
        </w:trPr>
        <w:tc>
          <w:tcPr>
            <w:tcW w:w="1701" w:type="dxa"/>
            <w:vMerge w:val="continue"/>
            <w:tcBorders>
              <w:top w:val="nil"/>
              <w:left w:val="single" w:color="auto" w:sz="4" w:space="0"/>
              <w:bottom w:val="single" w:color="auto" w:sz="4" w:space="0"/>
              <w:right w:val="single" w:color="auto" w:sz="4" w:space="0"/>
            </w:tcBorders>
            <w:vAlign w:val="center"/>
          </w:tcPr>
          <w:p w14:paraId="49467EB1">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DFEFC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7A858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2E808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0F5B10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3F061A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F4D0E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B08532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72A0EB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9B331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F8EEE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1F197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F78E5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DB991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7601003">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A918D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FABB9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C173C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02F00E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16015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187123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215F18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BFE45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6ECAA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80862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591279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BC867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BFB49F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A7540C9">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81C5E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66038CF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86E8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4CA68F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032B75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B2FE48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B161DF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404264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0D9E6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A3E15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0F33B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3C8A24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828BA6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11B9FEA">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2DE5A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CB338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4EEBE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47B8B8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30DC8D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F4948B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314EC4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6BDC7E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41F48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0553E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F3623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1385B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9F3443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E220DF7">
            <w:pPr>
              <w:widowControl/>
              <w:jc w:val="left"/>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8F917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53F5D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BBEBD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4889D3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278134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21F729">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4090E8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10296A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811C5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72AE0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6F45D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00CCB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6E2EFAA">
      <w:pPr>
        <w:ind w:firstLine="525" w:firstLineChars="250"/>
        <w:rPr>
          <w:rFonts w:hint="eastAsia" w:ascii="宋体" w:hAnsi="宋体"/>
          <w:b/>
          <w:color w:val="auto"/>
          <w:sz w:val="24"/>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C69859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1EA45B1F">
      <w:pPr>
        <w:spacing w:line="588" w:lineRule="exact"/>
        <w:jc w:val="center"/>
        <w:rPr>
          <w:rFonts w:hint="eastAsia" w:ascii="宋体" w:hAnsi="宋体"/>
          <w:b/>
          <w:color w:val="auto"/>
          <w:spacing w:val="6"/>
          <w:sz w:val="32"/>
          <w:szCs w:val="32"/>
          <w:highlight w:val="none"/>
        </w:rPr>
      </w:pPr>
    </w:p>
    <w:p w14:paraId="5EF1DC5C">
      <w:pPr>
        <w:spacing w:line="588" w:lineRule="exact"/>
        <w:jc w:val="center"/>
        <w:rPr>
          <w:rFonts w:hint="eastAsia" w:ascii="宋体" w:hAnsi="宋体" w:cs="方正小标宋简体"/>
          <w:bCs/>
          <w:color w:val="auto"/>
          <w:spacing w:val="6"/>
          <w:sz w:val="44"/>
          <w:szCs w:val="44"/>
          <w:highlight w:val="none"/>
        </w:rPr>
      </w:pPr>
      <w:r>
        <w:rPr>
          <w:rFonts w:hint="eastAsia" w:ascii="宋体" w:hAnsi="宋体" w:cs="方正小标宋简体"/>
          <w:bCs/>
          <w:color w:val="auto"/>
          <w:spacing w:val="6"/>
          <w:sz w:val="44"/>
          <w:szCs w:val="44"/>
          <w:highlight w:val="none"/>
        </w:rPr>
        <w:t>残疾人福利性单位声明函</w:t>
      </w:r>
    </w:p>
    <w:p w14:paraId="03862F22">
      <w:pPr>
        <w:spacing w:line="360" w:lineRule="auto"/>
        <w:contextualSpacing/>
        <w:rPr>
          <w:rFonts w:hint="eastAsia" w:ascii="宋体" w:hAnsi="宋体"/>
          <w:bCs/>
          <w:color w:val="auto"/>
          <w:spacing w:val="6"/>
          <w:sz w:val="30"/>
          <w:szCs w:val="30"/>
          <w:highlight w:val="none"/>
        </w:rPr>
      </w:pPr>
    </w:p>
    <w:p w14:paraId="1B3EFEB8">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4990DFD6">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571B5E2">
      <w:pPr>
        <w:spacing w:line="360" w:lineRule="auto"/>
        <w:ind w:firstLine="504" w:firstLineChars="200"/>
        <w:contextualSpacing/>
        <w:rPr>
          <w:rFonts w:hint="eastAsia" w:ascii="宋体" w:hAnsi="宋体"/>
          <w:color w:val="auto"/>
          <w:spacing w:val="6"/>
          <w:sz w:val="24"/>
          <w:highlight w:val="none"/>
        </w:rPr>
      </w:pPr>
    </w:p>
    <w:p w14:paraId="73A07A26">
      <w:pPr>
        <w:spacing w:line="360" w:lineRule="auto"/>
        <w:ind w:firstLine="504" w:firstLineChars="200"/>
        <w:contextualSpacing/>
        <w:rPr>
          <w:rFonts w:hint="eastAsia" w:ascii="宋体" w:hAnsi="宋体"/>
          <w:color w:val="auto"/>
          <w:spacing w:val="6"/>
          <w:sz w:val="24"/>
          <w:highlight w:val="none"/>
        </w:rPr>
      </w:pPr>
    </w:p>
    <w:p w14:paraId="59A36BD9">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单位名称（盖公章）：</w:t>
      </w:r>
    </w:p>
    <w:p w14:paraId="0FAB5EA9">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5298F527">
      <w:pPr>
        <w:spacing w:line="360" w:lineRule="auto"/>
        <w:contextualSpacing/>
        <w:rPr>
          <w:rFonts w:hint="eastAsia" w:ascii="宋体" w:hAnsi="宋体"/>
          <w:color w:val="auto"/>
          <w:sz w:val="24"/>
          <w:highlight w:val="none"/>
        </w:rPr>
      </w:pPr>
    </w:p>
    <w:p w14:paraId="45140634">
      <w:pPr>
        <w:spacing w:line="360" w:lineRule="auto"/>
        <w:contextualSpacing/>
        <w:rPr>
          <w:rFonts w:hint="eastAsia" w:ascii="宋体" w:hAnsi="宋体"/>
          <w:color w:val="auto"/>
          <w:sz w:val="24"/>
          <w:highlight w:val="none"/>
        </w:rPr>
      </w:pPr>
    </w:p>
    <w:p w14:paraId="4AC053BD">
      <w:pPr>
        <w:spacing w:line="360" w:lineRule="auto"/>
        <w:contextualSpacing/>
        <w:rPr>
          <w:rFonts w:hint="eastAsia" w:ascii="宋体" w:hAnsi="宋体"/>
          <w:color w:val="auto"/>
          <w:sz w:val="24"/>
          <w:highlight w:val="none"/>
        </w:rPr>
      </w:pPr>
    </w:p>
    <w:p w14:paraId="30FD3293">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A60F539">
      <w:pPr>
        <w:spacing w:line="360" w:lineRule="auto"/>
        <w:jc w:val="left"/>
        <w:rPr>
          <w:rFonts w:hint="eastAsia"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18C36CB2">
      <w:pPr>
        <w:spacing w:line="360" w:lineRule="auto"/>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质疑函</w:t>
      </w:r>
    </w:p>
    <w:p w14:paraId="08321878">
      <w:pPr>
        <w:pStyle w:val="2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1A105ED8">
      <w:pPr>
        <w:pStyle w:val="2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581D7F23">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D1A6E4C">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0A6F95EE">
      <w:pPr>
        <w:pStyle w:val="2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p>
    <w:p w14:paraId="4EE37AB9">
      <w:pPr>
        <w:pStyle w:val="2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2AE91063">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EAAA835">
      <w:pPr>
        <w:pStyle w:val="2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6846AB3">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5646AD99">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36E61AE1">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p>
    <w:p w14:paraId="64DCEF0D">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1174E00F">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p>
    <w:p w14:paraId="1679279A">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173901F9">
      <w:pPr>
        <w:pStyle w:val="26"/>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1F203A93">
      <w:pPr>
        <w:pStyle w:val="2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5A3D52EC">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p>
    <w:p w14:paraId="080E0204">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p>
    <w:p w14:paraId="254BD886">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p>
    <w:p w14:paraId="635A0600">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70473AD0">
      <w:pPr>
        <w:pStyle w:val="26"/>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3178B502">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6C33E0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1FA268EF">
      <w:pPr>
        <w:pStyle w:val="26"/>
        <w:spacing w:line="360" w:lineRule="auto"/>
        <w:ind w:left="25" w:leftChars="12" w:firstLine="352" w:firstLineChars="147"/>
        <w:rPr>
          <w:rFonts w:hint="eastAsia" w:hAnsi="宋体"/>
          <w:color w:val="auto"/>
          <w:sz w:val="24"/>
          <w:szCs w:val="24"/>
          <w:highlight w:val="none"/>
        </w:rPr>
      </w:pPr>
    </w:p>
    <w:p w14:paraId="7451F609">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52947153">
      <w:pPr>
        <w:pStyle w:val="26"/>
        <w:spacing w:line="360" w:lineRule="auto"/>
        <w:ind w:left="25" w:leftChars="12" w:firstLine="352" w:firstLineChars="147"/>
        <w:rPr>
          <w:rFonts w:hint="eastAsia" w:hAnsi="宋体"/>
          <w:color w:val="auto"/>
          <w:sz w:val="24"/>
          <w:szCs w:val="24"/>
          <w:highlight w:val="none"/>
        </w:rPr>
      </w:pPr>
    </w:p>
    <w:p w14:paraId="6D4650F8">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12A04F97">
      <w:pPr>
        <w:pStyle w:val="26"/>
        <w:snapToGrid w:val="0"/>
        <w:spacing w:line="360" w:lineRule="auto"/>
        <w:rPr>
          <w:rFonts w:hint="eastAsia" w:hAnsi="宋体"/>
          <w:b/>
          <w:color w:val="auto"/>
          <w:sz w:val="24"/>
          <w:szCs w:val="24"/>
          <w:highlight w:val="none"/>
        </w:rPr>
      </w:pPr>
    </w:p>
    <w:p w14:paraId="271FB8AA">
      <w:pPr>
        <w:pStyle w:val="26"/>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3B24E56">
      <w:pPr>
        <w:pStyle w:val="26"/>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B1E562C">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75D7EB">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5096B74">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132DF2D6">
      <w:pPr>
        <w:pStyle w:val="26"/>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058E737">
      <w:pPr>
        <w:pStyle w:val="26"/>
        <w:snapToGrid w:val="0"/>
        <w:rPr>
          <w:rFonts w:hint="eastAsia" w:hAnsi="宋体"/>
          <w:b/>
          <w:color w:val="auto"/>
          <w:sz w:val="24"/>
          <w:szCs w:val="24"/>
          <w:highlight w:val="none"/>
        </w:rPr>
      </w:pPr>
    </w:p>
    <w:p w14:paraId="6F06DBFC">
      <w:pPr>
        <w:spacing w:line="360" w:lineRule="auto"/>
        <w:jc w:val="left"/>
        <w:rPr>
          <w:rFonts w:hint="eastAsia" w:ascii="宋体" w:hAnsi="宋体"/>
          <w:b/>
          <w:bCs/>
          <w:color w:val="auto"/>
          <w:sz w:val="32"/>
          <w:szCs w:val="32"/>
          <w:highlight w:val="none"/>
        </w:rPr>
      </w:pPr>
      <w:r>
        <w:rPr>
          <w:rFonts w:ascii="宋体" w:hAnsi="宋体"/>
          <w:color w:val="auto"/>
          <w:sz w:val="44"/>
          <w:highlight w:val="none"/>
        </w:rPr>
        <w:br w:type="page"/>
      </w:r>
      <w:r>
        <w:rPr>
          <w:rFonts w:hint="eastAsia" w:ascii="宋体" w:hAnsi="宋体"/>
          <w:b/>
          <w:color w:val="auto"/>
          <w:sz w:val="24"/>
          <w:highlight w:val="none"/>
        </w:rPr>
        <w:t>5.投诉书格式</w:t>
      </w:r>
    </w:p>
    <w:p w14:paraId="31029FE2">
      <w:pPr>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投诉书</w:t>
      </w:r>
    </w:p>
    <w:p w14:paraId="49CFFFD7">
      <w:pPr>
        <w:pStyle w:val="26"/>
        <w:snapToGrid w:val="0"/>
        <w:spacing w:line="440" w:lineRule="exact"/>
        <w:ind w:firstLine="482" w:firstLineChars="200"/>
        <w:rPr>
          <w:rFonts w:hint="eastAsia" w:hAnsi="宋体"/>
          <w:b/>
          <w:bCs/>
          <w:color w:val="auto"/>
          <w:sz w:val="24"/>
          <w:szCs w:val="24"/>
          <w:highlight w:val="none"/>
        </w:rPr>
      </w:pPr>
    </w:p>
    <w:p w14:paraId="51865D63">
      <w:pPr>
        <w:pStyle w:val="26"/>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5C2B7095">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p>
    <w:p w14:paraId="26210A76">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F307F78">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2F8E3CEA">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694427CA">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7172CEA6">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21A0E499">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265572F5">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6B8FB406">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p>
    <w:p w14:paraId="195AA285">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4C477CD8">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AB3608B">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1DA4D6C2">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409763D1">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5B1C1113">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22BF296">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A1F9045">
      <w:pPr>
        <w:pStyle w:val="26"/>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10255E28">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703F7BB7">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32B7399">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05EC8514">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5BA6B5A5">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11308AAF">
      <w:pPr>
        <w:pStyle w:val="26"/>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BB4E0A7">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08BD0061">
      <w:pPr>
        <w:pStyle w:val="26"/>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50DA6839">
      <w:pPr>
        <w:pStyle w:val="26"/>
        <w:spacing w:line="440" w:lineRule="exact"/>
        <w:ind w:firstLine="241"/>
        <w:rPr>
          <w:rFonts w:hint="eastAsia" w:hAnsi="宋体"/>
          <w:bCs/>
          <w:color w:val="auto"/>
          <w:sz w:val="24"/>
          <w:szCs w:val="24"/>
          <w:highlight w:val="none"/>
          <w:u w:val="single"/>
        </w:rPr>
      </w:pPr>
    </w:p>
    <w:p w14:paraId="409C1F06">
      <w:pPr>
        <w:pStyle w:val="26"/>
        <w:spacing w:line="440" w:lineRule="exact"/>
        <w:ind w:firstLine="241"/>
        <w:rPr>
          <w:rFonts w:hint="eastAsia" w:hAnsi="宋体"/>
          <w:bCs/>
          <w:color w:val="auto"/>
          <w:sz w:val="24"/>
          <w:szCs w:val="24"/>
          <w:highlight w:val="none"/>
          <w:u w:val="single"/>
        </w:rPr>
      </w:pPr>
    </w:p>
    <w:p w14:paraId="41BC92F3">
      <w:pPr>
        <w:pStyle w:val="26"/>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71C6D831">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C3F4174">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7EC42B77">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33D43464">
      <w:pPr>
        <w:pStyle w:val="26"/>
        <w:spacing w:line="440" w:lineRule="exact"/>
        <w:ind w:left="25" w:leftChars="12" w:firstLine="472" w:firstLineChars="197"/>
        <w:rPr>
          <w:rFonts w:hint="eastAsia" w:hAnsi="宋体"/>
          <w:color w:val="auto"/>
          <w:sz w:val="24"/>
          <w:szCs w:val="24"/>
          <w:highlight w:val="none"/>
        </w:rPr>
      </w:pPr>
    </w:p>
    <w:p w14:paraId="03136568">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48F12510">
      <w:pPr>
        <w:pStyle w:val="26"/>
        <w:spacing w:line="440" w:lineRule="exact"/>
        <w:ind w:left="25" w:leftChars="12" w:firstLine="352" w:firstLineChars="147"/>
        <w:rPr>
          <w:rFonts w:hint="eastAsia" w:hAnsi="宋体"/>
          <w:bCs/>
          <w:color w:val="auto"/>
          <w:sz w:val="24"/>
          <w:szCs w:val="24"/>
          <w:highlight w:val="none"/>
          <w:u w:val="single"/>
        </w:rPr>
      </w:pPr>
    </w:p>
    <w:p w14:paraId="474ADE12">
      <w:pPr>
        <w:pStyle w:val="26"/>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5A725471">
      <w:pPr>
        <w:pStyle w:val="26"/>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C1F2B4F">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7F057FE7">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6045AAD5">
      <w:pPr>
        <w:pStyle w:val="26"/>
        <w:spacing w:line="440" w:lineRule="exact"/>
        <w:ind w:left="25" w:leftChars="12" w:firstLine="352" w:firstLineChars="147"/>
        <w:rPr>
          <w:rFonts w:hint="eastAsia" w:hAnsi="宋体"/>
          <w:color w:val="auto"/>
          <w:sz w:val="24"/>
          <w:szCs w:val="24"/>
          <w:highlight w:val="none"/>
        </w:rPr>
      </w:pPr>
    </w:p>
    <w:p w14:paraId="363B565B">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C125A63">
      <w:pPr>
        <w:pStyle w:val="26"/>
        <w:spacing w:line="440" w:lineRule="exact"/>
        <w:ind w:left="25" w:leftChars="12" w:firstLine="352" w:firstLineChars="147"/>
        <w:rPr>
          <w:rFonts w:hint="eastAsia" w:hAnsi="宋体"/>
          <w:color w:val="auto"/>
          <w:sz w:val="24"/>
          <w:szCs w:val="24"/>
          <w:highlight w:val="none"/>
        </w:rPr>
      </w:pPr>
    </w:p>
    <w:p w14:paraId="77E80238">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ED20763">
      <w:pPr>
        <w:pStyle w:val="26"/>
        <w:spacing w:line="440" w:lineRule="exact"/>
        <w:ind w:left="25" w:leftChars="12" w:firstLine="472" w:firstLineChars="197"/>
        <w:rPr>
          <w:rFonts w:hint="eastAsia" w:hAnsi="宋体"/>
          <w:color w:val="auto"/>
          <w:sz w:val="24"/>
          <w:szCs w:val="24"/>
          <w:highlight w:val="none"/>
        </w:rPr>
      </w:pPr>
    </w:p>
    <w:p w14:paraId="36607D12">
      <w:pPr>
        <w:pStyle w:val="26"/>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3462D3E4">
      <w:pPr>
        <w:pStyle w:val="26"/>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75A33C1">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C554A1">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2E686ED">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9278DA2">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0BDA0B75">
      <w:pPr>
        <w:pStyle w:val="26"/>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31683EF1">
      <w:pPr>
        <w:rPr>
          <w:rFonts w:hint="eastAsia" w:ascii="宋体" w:hAnsi="宋体"/>
          <w:color w:val="auto"/>
          <w:highlight w:val="none"/>
        </w:rPr>
      </w:pP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Helvetica">
    <w:panose1 w:val="020B0604020202020204"/>
    <w:charset w:val="00"/>
    <w:family w:val="swiss"/>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4DFB">
    <w:pPr>
      <w:pStyle w:val="32"/>
      <w:jc w:val="center"/>
    </w:pPr>
    <w:r>
      <w:fldChar w:fldCharType="begin"/>
    </w:r>
    <w:r>
      <w:instrText xml:space="preserve"> PAGE   \* MERGEFORMAT </w:instrText>
    </w:r>
    <w:r>
      <w:fldChar w:fldCharType="separate"/>
    </w:r>
    <w:r>
      <w:rPr>
        <w:lang w:val="zh-CN"/>
      </w:rPr>
      <w:t>20</w:t>
    </w:r>
    <w:r>
      <w:rPr>
        <w:lang w:val="zh-CN"/>
      </w:rPr>
      <w:fldChar w:fldCharType="end"/>
    </w:r>
  </w:p>
  <w:p w14:paraId="53C1E2A3">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BEFF">
    <w:pPr>
      <w:pStyle w:val="32"/>
      <w:framePr w:wrap="around" w:vAnchor="text" w:hAnchor="margin" w:xAlign="center" w:y="1"/>
      <w:rPr>
        <w:rStyle w:val="55"/>
      </w:rPr>
    </w:pPr>
    <w:r>
      <w:fldChar w:fldCharType="begin"/>
    </w:r>
    <w:r>
      <w:rPr>
        <w:rStyle w:val="55"/>
      </w:rPr>
      <w:instrText xml:space="preserve">PAGE  </w:instrText>
    </w:r>
    <w:r>
      <w:fldChar w:fldCharType="end"/>
    </w:r>
  </w:p>
  <w:p w14:paraId="0CF3346B">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3"/>
    </w:sdtPr>
    <w:sdtContent>
      <w:p w14:paraId="6AF54AAA">
        <w:pPr>
          <w:pStyle w:val="32"/>
          <w:spacing w:after="120"/>
          <w:ind w:firstLine="480"/>
          <w:jc w:val="center"/>
        </w:pPr>
        <w:r>
          <w:fldChar w:fldCharType="begin"/>
        </w:r>
        <w:r>
          <w:instrText xml:space="preserve"> PAGE   \* MERGEFORMAT </w:instrText>
        </w:r>
        <w:r>
          <w:fldChar w:fldCharType="separate"/>
        </w:r>
        <w:r>
          <w:rPr>
            <w:lang w:val="zh-CN"/>
          </w:rPr>
          <w:t>15</w:t>
        </w:r>
        <w:r>
          <w:rPr>
            <w:lang w:val="zh-CN"/>
          </w:rPr>
          <w:fldChar w:fldCharType="end"/>
        </w:r>
      </w:p>
    </w:sdtContent>
  </w:sdt>
  <w:p w14:paraId="2D16B7C7">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C3BF">
    <w:pPr>
      <w:pStyle w:val="32"/>
      <w:jc w:val="center"/>
    </w:pPr>
    <w:r>
      <w:fldChar w:fldCharType="begin"/>
    </w:r>
    <w:r>
      <w:instrText xml:space="preserve"> PAGE   \* MERGEFORMAT </w:instrText>
    </w:r>
    <w:r>
      <w:fldChar w:fldCharType="separate"/>
    </w:r>
    <w:r>
      <w:rPr>
        <w:lang w:val="zh-CN"/>
      </w:rPr>
      <w:t>103</w:t>
    </w:r>
    <w:r>
      <w:rPr>
        <w:lang w:val="zh-CN"/>
      </w:rPr>
      <w:fldChar w:fldCharType="end"/>
    </w:r>
  </w:p>
  <w:p w14:paraId="01CAED9B">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B33FF">
    <w:pPr>
      <w:pStyle w:val="32"/>
      <w:framePr w:wrap="around" w:vAnchor="text" w:hAnchor="margin" w:xAlign="center" w:y="1"/>
      <w:rPr>
        <w:rStyle w:val="55"/>
      </w:rPr>
    </w:pPr>
    <w:r>
      <w:fldChar w:fldCharType="begin"/>
    </w:r>
    <w:r>
      <w:rPr>
        <w:rStyle w:val="55"/>
      </w:rPr>
      <w:instrText xml:space="preserve">PAGE  </w:instrText>
    </w:r>
    <w:r>
      <w:fldChar w:fldCharType="end"/>
    </w:r>
  </w:p>
  <w:p w14:paraId="350857A9">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8EB5">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A854">
    <w:pPr>
      <w:pStyle w:val="33"/>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0CF7">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
    <w15:presenceInfo w15:providerId="WPS Office" w15:userId="407470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ZjM1YTEwOGQ3MmQ1ZjEzODM2Y2YwNmU5YTA4M2EifQ=="/>
    <w:docVar w:name="KSO_WPS_MARK_KEY" w:val="063e8331-248f-40d5-abc2-b319a7cebc0e"/>
  </w:docVars>
  <w:rsids>
    <w:rsidRoot w:val="00172A27"/>
    <w:rsid w:val="00000AD4"/>
    <w:rsid w:val="00027C88"/>
    <w:rsid w:val="00033DD5"/>
    <w:rsid w:val="000355E4"/>
    <w:rsid w:val="000479CB"/>
    <w:rsid w:val="00051FD1"/>
    <w:rsid w:val="000579A5"/>
    <w:rsid w:val="0006522D"/>
    <w:rsid w:val="000B46C6"/>
    <w:rsid w:val="000B6D2D"/>
    <w:rsid w:val="000E43CD"/>
    <w:rsid w:val="000F73E0"/>
    <w:rsid w:val="00144998"/>
    <w:rsid w:val="0014745A"/>
    <w:rsid w:val="00160102"/>
    <w:rsid w:val="00162CED"/>
    <w:rsid w:val="0016543B"/>
    <w:rsid w:val="0017010C"/>
    <w:rsid w:val="00172A27"/>
    <w:rsid w:val="00175E65"/>
    <w:rsid w:val="00196C27"/>
    <w:rsid w:val="001A1E61"/>
    <w:rsid w:val="001B2860"/>
    <w:rsid w:val="001B693B"/>
    <w:rsid w:val="001D4F40"/>
    <w:rsid w:val="001F7147"/>
    <w:rsid w:val="00200A38"/>
    <w:rsid w:val="0020199D"/>
    <w:rsid w:val="00220D3E"/>
    <w:rsid w:val="0022681E"/>
    <w:rsid w:val="00233FC5"/>
    <w:rsid w:val="00246268"/>
    <w:rsid w:val="00250608"/>
    <w:rsid w:val="00260B83"/>
    <w:rsid w:val="002610B9"/>
    <w:rsid w:val="00264CFB"/>
    <w:rsid w:val="0026602A"/>
    <w:rsid w:val="002844DC"/>
    <w:rsid w:val="00296EA3"/>
    <w:rsid w:val="002A1DD7"/>
    <w:rsid w:val="002A4B60"/>
    <w:rsid w:val="002B0872"/>
    <w:rsid w:val="002B7C91"/>
    <w:rsid w:val="002C4140"/>
    <w:rsid w:val="002C4584"/>
    <w:rsid w:val="002C5892"/>
    <w:rsid w:val="00305137"/>
    <w:rsid w:val="003151B7"/>
    <w:rsid w:val="00325FEB"/>
    <w:rsid w:val="00347EDC"/>
    <w:rsid w:val="00354C0F"/>
    <w:rsid w:val="00370D0F"/>
    <w:rsid w:val="00373CFB"/>
    <w:rsid w:val="00382443"/>
    <w:rsid w:val="0038577A"/>
    <w:rsid w:val="00392F61"/>
    <w:rsid w:val="00395720"/>
    <w:rsid w:val="003A22F5"/>
    <w:rsid w:val="003A47CE"/>
    <w:rsid w:val="003D09CE"/>
    <w:rsid w:val="003F52DB"/>
    <w:rsid w:val="003F5486"/>
    <w:rsid w:val="00404B95"/>
    <w:rsid w:val="00405283"/>
    <w:rsid w:val="00407D87"/>
    <w:rsid w:val="00414F52"/>
    <w:rsid w:val="004357DC"/>
    <w:rsid w:val="00437EB1"/>
    <w:rsid w:val="00457F1A"/>
    <w:rsid w:val="004609F3"/>
    <w:rsid w:val="004631C9"/>
    <w:rsid w:val="00470361"/>
    <w:rsid w:val="00484C53"/>
    <w:rsid w:val="004A0D65"/>
    <w:rsid w:val="004A139C"/>
    <w:rsid w:val="004D64AC"/>
    <w:rsid w:val="004D7B8C"/>
    <w:rsid w:val="004E101F"/>
    <w:rsid w:val="004E27B7"/>
    <w:rsid w:val="00503F3C"/>
    <w:rsid w:val="00521E91"/>
    <w:rsid w:val="00582C0B"/>
    <w:rsid w:val="00584B6D"/>
    <w:rsid w:val="005940C2"/>
    <w:rsid w:val="005D4C54"/>
    <w:rsid w:val="005F1A64"/>
    <w:rsid w:val="005F2011"/>
    <w:rsid w:val="00610F81"/>
    <w:rsid w:val="0061131E"/>
    <w:rsid w:val="00644FD4"/>
    <w:rsid w:val="00647171"/>
    <w:rsid w:val="0065060F"/>
    <w:rsid w:val="006618CC"/>
    <w:rsid w:val="0067007B"/>
    <w:rsid w:val="0067565E"/>
    <w:rsid w:val="00682D35"/>
    <w:rsid w:val="006B5CEA"/>
    <w:rsid w:val="006B627A"/>
    <w:rsid w:val="006C172D"/>
    <w:rsid w:val="006F797B"/>
    <w:rsid w:val="00711348"/>
    <w:rsid w:val="0073177E"/>
    <w:rsid w:val="00732FA0"/>
    <w:rsid w:val="007433EC"/>
    <w:rsid w:val="007434DD"/>
    <w:rsid w:val="00753A2E"/>
    <w:rsid w:val="007627F8"/>
    <w:rsid w:val="007C0BED"/>
    <w:rsid w:val="007D7081"/>
    <w:rsid w:val="008009F9"/>
    <w:rsid w:val="00815C59"/>
    <w:rsid w:val="00827E14"/>
    <w:rsid w:val="008357E8"/>
    <w:rsid w:val="008526E3"/>
    <w:rsid w:val="00855ABA"/>
    <w:rsid w:val="0086182D"/>
    <w:rsid w:val="00880305"/>
    <w:rsid w:val="00885222"/>
    <w:rsid w:val="00891F41"/>
    <w:rsid w:val="008A35C6"/>
    <w:rsid w:val="008A7E4B"/>
    <w:rsid w:val="008B008F"/>
    <w:rsid w:val="008B0095"/>
    <w:rsid w:val="008C0727"/>
    <w:rsid w:val="008C1986"/>
    <w:rsid w:val="008C6A4A"/>
    <w:rsid w:val="008D2E64"/>
    <w:rsid w:val="008E1EED"/>
    <w:rsid w:val="008E7172"/>
    <w:rsid w:val="00905CFD"/>
    <w:rsid w:val="00906C5F"/>
    <w:rsid w:val="009259E4"/>
    <w:rsid w:val="00927F48"/>
    <w:rsid w:val="00934828"/>
    <w:rsid w:val="00967458"/>
    <w:rsid w:val="0099112D"/>
    <w:rsid w:val="009A1782"/>
    <w:rsid w:val="009A77C2"/>
    <w:rsid w:val="009B1965"/>
    <w:rsid w:val="009E1E7E"/>
    <w:rsid w:val="009F222D"/>
    <w:rsid w:val="009F628A"/>
    <w:rsid w:val="00A1307D"/>
    <w:rsid w:val="00A2454F"/>
    <w:rsid w:val="00A33384"/>
    <w:rsid w:val="00A51AD3"/>
    <w:rsid w:val="00A5320A"/>
    <w:rsid w:val="00A560DA"/>
    <w:rsid w:val="00A704ED"/>
    <w:rsid w:val="00AD1FB6"/>
    <w:rsid w:val="00AE2B5D"/>
    <w:rsid w:val="00AF54D4"/>
    <w:rsid w:val="00AF7E27"/>
    <w:rsid w:val="00B042B1"/>
    <w:rsid w:val="00B0686A"/>
    <w:rsid w:val="00B122BA"/>
    <w:rsid w:val="00B24BAD"/>
    <w:rsid w:val="00B26CFB"/>
    <w:rsid w:val="00B332D0"/>
    <w:rsid w:val="00B3468A"/>
    <w:rsid w:val="00B55F91"/>
    <w:rsid w:val="00B75DBB"/>
    <w:rsid w:val="00B86BBA"/>
    <w:rsid w:val="00BB4409"/>
    <w:rsid w:val="00BE1A13"/>
    <w:rsid w:val="00BE206E"/>
    <w:rsid w:val="00BF17A9"/>
    <w:rsid w:val="00C27831"/>
    <w:rsid w:val="00C37610"/>
    <w:rsid w:val="00C435CD"/>
    <w:rsid w:val="00C51C05"/>
    <w:rsid w:val="00C53BB1"/>
    <w:rsid w:val="00C71C11"/>
    <w:rsid w:val="00C904CA"/>
    <w:rsid w:val="00CA71AD"/>
    <w:rsid w:val="00CB088F"/>
    <w:rsid w:val="00CD4B6D"/>
    <w:rsid w:val="00CD51B7"/>
    <w:rsid w:val="00CD6C03"/>
    <w:rsid w:val="00CF7451"/>
    <w:rsid w:val="00D15C87"/>
    <w:rsid w:val="00D25AD1"/>
    <w:rsid w:val="00D27438"/>
    <w:rsid w:val="00D31C2B"/>
    <w:rsid w:val="00D36E08"/>
    <w:rsid w:val="00D84AF2"/>
    <w:rsid w:val="00D91EBF"/>
    <w:rsid w:val="00DA6ED6"/>
    <w:rsid w:val="00DB247C"/>
    <w:rsid w:val="00DB52D4"/>
    <w:rsid w:val="00DC0344"/>
    <w:rsid w:val="00DE5BA2"/>
    <w:rsid w:val="00DF2CB2"/>
    <w:rsid w:val="00DF3023"/>
    <w:rsid w:val="00DF7EEF"/>
    <w:rsid w:val="00E06752"/>
    <w:rsid w:val="00E11D8C"/>
    <w:rsid w:val="00E14571"/>
    <w:rsid w:val="00E17AA9"/>
    <w:rsid w:val="00E337B7"/>
    <w:rsid w:val="00E409C9"/>
    <w:rsid w:val="00E51C22"/>
    <w:rsid w:val="00E60553"/>
    <w:rsid w:val="00E6100B"/>
    <w:rsid w:val="00E664EA"/>
    <w:rsid w:val="00E82A8D"/>
    <w:rsid w:val="00E85055"/>
    <w:rsid w:val="00E9013B"/>
    <w:rsid w:val="00EA31F1"/>
    <w:rsid w:val="00EB5EB0"/>
    <w:rsid w:val="00ED4B9E"/>
    <w:rsid w:val="00EF0F1D"/>
    <w:rsid w:val="00EF128C"/>
    <w:rsid w:val="00EF7BE8"/>
    <w:rsid w:val="00F10628"/>
    <w:rsid w:val="00F20162"/>
    <w:rsid w:val="00F22726"/>
    <w:rsid w:val="00F23A70"/>
    <w:rsid w:val="00F36419"/>
    <w:rsid w:val="00F67944"/>
    <w:rsid w:val="00F70861"/>
    <w:rsid w:val="00F819F6"/>
    <w:rsid w:val="00F95EA6"/>
    <w:rsid w:val="00F96697"/>
    <w:rsid w:val="00FA7258"/>
    <w:rsid w:val="00FC51BA"/>
    <w:rsid w:val="00FE2FD2"/>
    <w:rsid w:val="00FE4CB2"/>
    <w:rsid w:val="00FF1937"/>
    <w:rsid w:val="00FF26BB"/>
    <w:rsid w:val="00FF7F3D"/>
    <w:rsid w:val="01715BC8"/>
    <w:rsid w:val="017D372F"/>
    <w:rsid w:val="02004737"/>
    <w:rsid w:val="020D0340"/>
    <w:rsid w:val="0233174D"/>
    <w:rsid w:val="02F44A52"/>
    <w:rsid w:val="03195B82"/>
    <w:rsid w:val="03352C15"/>
    <w:rsid w:val="03D314C2"/>
    <w:rsid w:val="045F4DED"/>
    <w:rsid w:val="052A751E"/>
    <w:rsid w:val="052C0E20"/>
    <w:rsid w:val="056D4BB1"/>
    <w:rsid w:val="05C17368"/>
    <w:rsid w:val="05DC0B78"/>
    <w:rsid w:val="05F953CF"/>
    <w:rsid w:val="067C1385"/>
    <w:rsid w:val="0775210D"/>
    <w:rsid w:val="0781571A"/>
    <w:rsid w:val="08023127"/>
    <w:rsid w:val="082C1588"/>
    <w:rsid w:val="08414C1E"/>
    <w:rsid w:val="085F1B57"/>
    <w:rsid w:val="08E470E5"/>
    <w:rsid w:val="08EC298B"/>
    <w:rsid w:val="09B13E7C"/>
    <w:rsid w:val="09CF031F"/>
    <w:rsid w:val="09D83EEA"/>
    <w:rsid w:val="0A2E1583"/>
    <w:rsid w:val="0A402FCB"/>
    <w:rsid w:val="0A6F53B9"/>
    <w:rsid w:val="0B154457"/>
    <w:rsid w:val="0BDA1226"/>
    <w:rsid w:val="0BF70D3F"/>
    <w:rsid w:val="0C85560D"/>
    <w:rsid w:val="0C8575F2"/>
    <w:rsid w:val="0D627CCD"/>
    <w:rsid w:val="0D982F0D"/>
    <w:rsid w:val="0DE158EE"/>
    <w:rsid w:val="0DFA535A"/>
    <w:rsid w:val="0E204E7C"/>
    <w:rsid w:val="0EDA4EAE"/>
    <w:rsid w:val="0EE818D0"/>
    <w:rsid w:val="0F0112D4"/>
    <w:rsid w:val="0F164219"/>
    <w:rsid w:val="0F3D6004"/>
    <w:rsid w:val="0FDF4450"/>
    <w:rsid w:val="102547F4"/>
    <w:rsid w:val="105C0BAF"/>
    <w:rsid w:val="109937A1"/>
    <w:rsid w:val="10DE6156"/>
    <w:rsid w:val="111B4AA2"/>
    <w:rsid w:val="118C50B2"/>
    <w:rsid w:val="119E0B93"/>
    <w:rsid w:val="11CB3386"/>
    <w:rsid w:val="11D31677"/>
    <w:rsid w:val="121B0F2F"/>
    <w:rsid w:val="12E020FC"/>
    <w:rsid w:val="131F372F"/>
    <w:rsid w:val="139C413D"/>
    <w:rsid w:val="13DB5DBF"/>
    <w:rsid w:val="145A2F80"/>
    <w:rsid w:val="14C50E0E"/>
    <w:rsid w:val="1517701E"/>
    <w:rsid w:val="15835531"/>
    <w:rsid w:val="15F65D36"/>
    <w:rsid w:val="163610C1"/>
    <w:rsid w:val="163C2BDD"/>
    <w:rsid w:val="168A6723"/>
    <w:rsid w:val="17B50682"/>
    <w:rsid w:val="17C07A70"/>
    <w:rsid w:val="18137F71"/>
    <w:rsid w:val="182932F0"/>
    <w:rsid w:val="18567E4D"/>
    <w:rsid w:val="189D4217"/>
    <w:rsid w:val="18E13CC5"/>
    <w:rsid w:val="191B15E6"/>
    <w:rsid w:val="19AC3B7F"/>
    <w:rsid w:val="1A1C5E8E"/>
    <w:rsid w:val="1A2220A7"/>
    <w:rsid w:val="1A7C5AEA"/>
    <w:rsid w:val="1A7D0545"/>
    <w:rsid w:val="1A822304"/>
    <w:rsid w:val="1A8E66F6"/>
    <w:rsid w:val="1AE11857"/>
    <w:rsid w:val="1B190A63"/>
    <w:rsid w:val="1BAD6C57"/>
    <w:rsid w:val="1BD229FD"/>
    <w:rsid w:val="1C846030"/>
    <w:rsid w:val="1DD80232"/>
    <w:rsid w:val="1DDD7480"/>
    <w:rsid w:val="1E601A36"/>
    <w:rsid w:val="1EBB253D"/>
    <w:rsid w:val="1F06043E"/>
    <w:rsid w:val="1F436E48"/>
    <w:rsid w:val="1F594C9B"/>
    <w:rsid w:val="1F7E7F2B"/>
    <w:rsid w:val="1F8B3B8B"/>
    <w:rsid w:val="1FE81E10"/>
    <w:rsid w:val="1FEA5A5B"/>
    <w:rsid w:val="20717379"/>
    <w:rsid w:val="20743577"/>
    <w:rsid w:val="21981C22"/>
    <w:rsid w:val="21AA3632"/>
    <w:rsid w:val="21DC7BE6"/>
    <w:rsid w:val="21E1618C"/>
    <w:rsid w:val="21F55D4A"/>
    <w:rsid w:val="21F93FE3"/>
    <w:rsid w:val="221D60B7"/>
    <w:rsid w:val="22780A6C"/>
    <w:rsid w:val="22AA14D2"/>
    <w:rsid w:val="231C7C5C"/>
    <w:rsid w:val="2334182E"/>
    <w:rsid w:val="23512A5C"/>
    <w:rsid w:val="239A2C32"/>
    <w:rsid w:val="23E26A49"/>
    <w:rsid w:val="24002AF4"/>
    <w:rsid w:val="24182B0C"/>
    <w:rsid w:val="25A6248E"/>
    <w:rsid w:val="25A70812"/>
    <w:rsid w:val="269B2CE1"/>
    <w:rsid w:val="26B10688"/>
    <w:rsid w:val="27C44DE4"/>
    <w:rsid w:val="28575026"/>
    <w:rsid w:val="28B018E3"/>
    <w:rsid w:val="28C80903"/>
    <w:rsid w:val="29127AAE"/>
    <w:rsid w:val="29DF65FD"/>
    <w:rsid w:val="2AAB2C02"/>
    <w:rsid w:val="2B267E7B"/>
    <w:rsid w:val="2BCB5549"/>
    <w:rsid w:val="2DA63FAC"/>
    <w:rsid w:val="2DB17BB8"/>
    <w:rsid w:val="2DDB7DBE"/>
    <w:rsid w:val="2E18751E"/>
    <w:rsid w:val="2ECE328C"/>
    <w:rsid w:val="30964C78"/>
    <w:rsid w:val="30ED7BD4"/>
    <w:rsid w:val="30F57DBC"/>
    <w:rsid w:val="31552F50"/>
    <w:rsid w:val="321404C3"/>
    <w:rsid w:val="322C5078"/>
    <w:rsid w:val="339B23F7"/>
    <w:rsid w:val="33DA4231"/>
    <w:rsid w:val="3441700E"/>
    <w:rsid w:val="34B83278"/>
    <w:rsid w:val="35131158"/>
    <w:rsid w:val="36395466"/>
    <w:rsid w:val="3684230E"/>
    <w:rsid w:val="37056C19"/>
    <w:rsid w:val="37131C77"/>
    <w:rsid w:val="371350FE"/>
    <w:rsid w:val="3769300D"/>
    <w:rsid w:val="37AA3E95"/>
    <w:rsid w:val="383C6417"/>
    <w:rsid w:val="390A686E"/>
    <w:rsid w:val="39726F0D"/>
    <w:rsid w:val="39A20CFD"/>
    <w:rsid w:val="3A26548A"/>
    <w:rsid w:val="3A4A0D44"/>
    <w:rsid w:val="3A9D5D1F"/>
    <w:rsid w:val="3AFD6F0B"/>
    <w:rsid w:val="3B0354E2"/>
    <w:rsid w:val="3B947AC9"/>
    <w:rsid w:val="3BDB76A9"/>
    <w:rsid w:val="3C28107C"/>
    <w:rsid w:val="3C905F92"/>
    <w:rsid w:val="3CBA549F"/>
    <w:rsid w:val="3CBE2236"/>
    <w:rsid w:val="3D3E0322"/>
    <w:rsid w:val="3D3E1B20"/>
    <w:rsid w:val="3D817CF0"/>
    <w:rsid w:val="3D832651"/>
    <w:rsid w:val="3D9F78AC"/>
    <w:rsid w:val="3DC30043"/>
    <w:rsid w:val="3DCE0312"/>
    <w:rsid w:val="3DEA662F"/>
    <w:rsid w:val="3E007384"/>
    <w:rsid w:val="3E571A27"/>
    <w:rsid w:val="3EEB7BAC"/>
    <w:rsid w:val="3F201B0C"/>
    <w:rsid w:val="3F36616F"/>
    <w:rsid w:val="3F451057"/>
    <w:rsid w:val="3FC512A1"/>
    <w:rsid w:val="3FF403FA"/>
    <w:rsid w:val="3FF72FC6"/>
    <w:rsid w:val="40D130A4"/>
    <w:rsid w:val="4129187B"/>
    <w:rsid w:val="425C2C62"/>
    <w:rsid w:val="42A453ED"/>
    <w:rsid w:val="42D617B7"/>
    <w:rsid w:val="4390340C"/>
    <w:rsid w:val="43FF1225"/>
    <w:rsid w:val="44C36742"/>
    <w:rsid w:val="45463A4F"/>
    <w:rsid w:val="45DE6A8C"/>
    <w:rsid w:val="46172618"/>
    <w:rsid w:val="466840BE"/>
    <w:rsid w:val="4677006A"/>
    <w:rsid w:val="47566AAD"/>
    <w:rsid w:val="47EA5D49"/>
    <w:rsid w:val="47FE7A46"/>
    <w:rsid w:val="486812E2"/>
    <w:rsid w:val="4877302A"/>
    <w:rsid w:val="496369C1"/>
    <w:rsid w:val="498F4DFA"/>
    <w:rsid w:val="4A4221E8"/>
    <w:rsid w:val="4A77226F"/>
    <w:rsid w:val="4AC40D81"/>
    <w:rsid w:val="4AEB64F8"/>
    <w:rsid w:val="4B131E3F"/>
    <w:rsid w:val="4B2B231D"/>
    <w:rsid w:val="4C030A03"/>
    <w:rsid w:val="4C115F9A"/>
    <w:rsid w:val="4C43486D"/>
    <w:rsid w:val="4C55732C"/>
    <w:rsid w:val="4C844B4B"/>
    <w:rsid w:val="4D0E75A0"/>
    <w:rsid w:val="4D470D2F"/>
    <w:rsid w:val="4D581F35"/>
    <w:rsid w:val="4E180D60"/>
    <w:rsid w:val="4E693207"/>
    <w:rsid w:val="4E8C1827"/>
    <w:rsid w:val="4E933436"/>
    <w:rsid w:val="4F2770E7"/>
    <w:rsid w:val="4F73245D"/>
    <w:rsid w:val="4F8942AD"/>
    <w:rsid w:val="4FCE7CFE"/>
    <w:rsid w:val="502A01A1"/>
    <w:rsid w:val="505B3C87"/>
    <w:rsid w:val="5076546B"/>
    <w:rsid w:val="509A5EB4"/>
    <w:rsid w:val="513469F1"/>
    <w:rsid w:val="5173649F"/>
    <w:rsid w:val="51932EE3"/>
    <w:rsid w:val="52490D42"/>
    <w:rsid w:val="529D4185"/>
    <w:rsid w:val="52DE68A7"/>
    <w:rsid w:val="530D3BB1"/>
    <w:rsid w:val="53DF3563"/>
    <w:rsid w:val="5435659E"/>
    <w:rsid w:val="54973DD2"/>
    <w:rsid w:val="54A72E74"/>
    <w:rsid w:val="54F04DD1"/>
    <w:rsid w:val="552C0E7B"/>
    <w:rsid w:val="55583216"/>
    <w:rsid w:val="56301712"/>
    <w:rsid w:val="567B0193"/>
    <w:rsid w:val="572D02F3"/>
    <w:rsid w:val="57376248"/>
    <w:rsid w:val="579E429B"/>
    <w:rsid w:val="57DE2ADC"/>
    <w:rsid w:val="583A1FD3"/>
    <w:rsid w:val="587F6039"/>
    <w:rsid w:val="59013540"/>
    <w:rsid w:val="599C5665"/>
    <w:rsid w:val="59E21999"/>
    <w:rsid w:val="5A056A12"/>
    <w:rsid w:val="5A0A08DA"/>
    <w:rsid w:val="5A6E074C"/>
    <w:rsid w:val="5A6E4BE7"/>
    <w:rsid w:val="5B4C05C1"/>
    <w:rsid w:val="5BFC41DC"/>
    <w:rsid w:val="5C266934"/>
    <w:rsid w:val="5C3569DD"/>
    <w:rsid w:val="5C9619A4"/>
    <w:rsid w:val="5CE509E3"/>
    <w:rsid w:val="5CF948F6"/>
    <w:rsid w:val="5D107BA8"/>
    <w:rsid w:val="5D3F4519"/>
    <w:rsid w:val="5D945A88"/>
    <w:rsid w:val="5DB65230"/>
    <w:rsid w:val="5DD010E5"/>
    <w:rsid w:val="5E603868"/>
    <w:rsid w:val="5EB85BAA"/>
    <w:rsid w:val="5F9F26F6"/>
    <w:rsid w:val="602867A0"/>
    <w:rsid w:val="602A5F60"/>
    <w:rsid w:val="60692317"/>
    <w:rsid w:val="606A13F8"/>
    <w:rsid w:val="613C4B61"/>
    <w:rsid w:val="613D4CE3"/>
    <w:rsid w:val="61427F4E"/>
    <w:rsid w:val="61891BF9"/>
    <w:rsid w:val="61A620DF"/>
    <w:rsid w:val="62855BF8"/>
    <w:rsid w:val="62BE1E54"/>
    <w:rsid w:val="649D72B6"/>
    <w:rsid w:val="64A81129"/>
    <w:rsid w:val="64D76F28"/>
    <w:rsid w:val="64FB790B"/>
    <w:rsid w:val="65E92D46"/>
    <w:rsid w:val="662054E0"/>
    <w:rsid w:val="66267799"/>
    <w:rsid w:val="6648649B"/>
    <w:rsid w:val="6672300E"/>
    <w:rsid w:val="671069CF"/>
    <w:rsid w:val="672B05FF"/>
    <w:rsid w:val="6764782D"/>
    <w:rsid w:val="67B5722E"/>
    <w:rsid w:val="68AF0A9E"/>
    <w:rsid w:val="69764398"/>
    <w:rsid w:val="69970B86"/>
    <w:rsid w:val="69C26FCD"/>
    <w:rsid w:val="69F96BB9"/>
    <w:rsid w:val="6A03038A"/>
    <w:rsid w:val="6A143DE2"/>
    <w:rsid w:val="6A1F67F5"/>
    <w:rsid w:val="6A475160"/>
    <w:rsid w:val="6AA35FBD"/>
    <w:rsid w:val="6AD06BC8"/>
    <w:rsid w:val="6AD761A9"/>
    <w:rsid w:val="6B917051"/>
    <w:rsid w:val="6BD07172"/>
    <w:rsid w:val="6C054771"/>
    <w:rsid w:val="6C362F8C"/>
    <w:rsid w:val="6C5436F6"/>
    <w:rsid w:val="6C9344C4"/>
    <w:rsid w:val="6CD05EF8"/>
    <w:rsid w:val="6D1565AB"/>
    <w:rsid w:val="6D693CF3"/>
    <w:rsid w:val="6D776C25"/>
    <w:rsid w:val="6EC30E39"/>
    <w:rsid w:val="6EF70BC7"/>
    <w:rsid w:val="6F676627"/>
    <w:rsid w:val="6FC466B8"/>
    <w:rsid w:val="6FFF75FD"/>
    <w:rsid w:val="70024C0E"/>
    <w:rsid w:val="70141082"/>
    <w:rsid w:val="70155197"/>
    <w:rsid w:val="70584B96"/>
    <w:rsid w:val="706E3AC2"/>
    <w:rsid w:val="70781894"/>
    <w:rsid w:val="70E637CC"/>
    <w:rsid w:val="70F00316"/>
    <w:rsid w:val="70F53102"/>
    <w:rsid w:val="71604FF6"/>
    <w:rsid w:val="71776C3C"/>
    <w:rsid w:val="71B15E4D"/>
    <w:rsid w:val="71B70F3A"/>
    <w:rsid w:val="71E64BD5"/>
    <w:rsid w:val="71E90C22"/>
    <w:rsid w:val="72222B9B"/>
    <w:rsid w:val="72637CA4"/>
    <w:rsid w:val="726431BE"/>
    <w:rsid w:val="72766AE8"/>
    <w:rsid w:val="729D3834"/>
    <w:rsid w:val="731C0414"/>
    <w:rsid w:val="736B3133"/>
    <w:rsid w:val="748C1DB2"/>
    <w:rsid w:val="74BB0745"/>
    <w:rsid w:val="74CA3E44"/>
    <w:rsid w:val="74E93BDD"/>
    <w:rsid w:val="751678CE"/>
    <w:rsid w:val="754C71ED"/>
    <w:rsid w:val="756C0933"/>
    <w:rsid w:val="75E0052F"/>
    <w:rsid w:val="76391A79"/>
    <w:rsid w:val="76397E80"/>
    <w:rsid w:val="763D6164"/>
    <w:rsid w:val="765733BE"/>
    <w:rsid w:val="769D51C5"/>
    <w:rsid w:val="76D732EE"/>
    <w:rsid w:val="76F44A53"/>
    <w:rsid w:val="771F332E"/>
    <w:rsid w:val="77375D74"/>
    <w:rsid w:val="77725D3F"/>
    <w:rsid w:val="779A47E6"/>
    <w:rsid w:val="78826775"/>
    <w:rsid w:val="78B615C3"/>
    <w:rsid w:val="78C064CE"/>
    <w:rsid w:val="78C256DF"/>
    <w:rsid w:val="78D570E8"/>
    <w:rsid w:val="79DA2940"/>
    <w:rsid w:val="79FD44BD"/>
    <w:rsid w:val="7A042AE0"/>
    <w:rsid w:val="7A9B4079"/>
    <w:rsid w:val="7B4E1EAC"/>
    <w:rsid w:val="7B8E1B00"/>
    <w:rsid w:val="7B8F2547"/>
    <w:rsid w:val="7BB64ED3"/>
    <w:rsid w:val="7C0A3EDD"/>
    <w:rsid w:val="7C367617"/>
    <w:rsid w:val="7C69069D"/>
    <w:rsid w:val="7C8BBECC"/>
    <w:rsid w:val="7C97603D"/>
    <w:rsid w:val="7D1508F0"/>
    <w:rsid w:val="7D6904AB"/>
    <w:rsid w:val="7D861969"/>
    <w:rsid w:val="7D8B6422"/>
    <w:rsid w:val="7DB878C6"/>
    <w:rsid w:val="7E046E5D"/>
    <w:rsid w:val="7E1C7CCC"/>
    <w:rsid w:val="7E1F77F3"/>
    <w:rsid w:val="7E3C03A5"/>
    <w:rsid w:val="7E6F0F3C"/>
    <w:rsid w:val="7F972973"/>
    <w:rsid w:val="7FA82E4D"/>
    <w:rsid w:val="B2694EAE"/>
    <w:rsid w:val="EF7F30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6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4"/>
    <w:link w:val="62"/>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4"/>
    <w:link w:val="63"/>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2">
    <w:name w:val="heading 4"/>
    <w:basedOn w:val="1"/>
    <w:next w:val="1"/>
    <w:link w:val="6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4"/>
    <w:link w:val="65"/>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4"/>
    <w:link w:val="66"/>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4"/>
    <w:link w:val="67"/>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4"/>
    <w:link w:val="68"/>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69"/>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4">
    <w:name w:val="正文-标"/>
    <w:qFormat/>
    <w:uiPriority w:val="0"/>
    <w:pPr>
      <w:widowControl w:val="0"/>
      <w:spacing w:line="360" w:lineRule="auto"/>
      <w:ind w:firstLine="200" w:firstLineChars="200"/>
      <w:jc w:val="both"/>
    </w:pPr>
    <w:rPr>
      <w:rFonts w:ascii="Times New Roman" w:hAnsi="Times New Roman" w:eastAsia="宋体" w:cs="Times New Roman"/>
      <w:kern w:val="2"/>
      <w:sz w:val="28"/>
      <w:szCs w:val="21"/>
      <w:lang w:val="en-US" w:eastAsia="zh-CN" w:bidi="ar-SA"/>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unhideWhenUsed/>
    <w:qFormat/>
    <w:uiPriority w:val="0"/>
    <w:pPr>
      <w:spacing w:line="360" w:lineRule="auto"/>
      <w:ind w:left="1400" w:leftChars="140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Normal Indent"/>
    <w:basedOn w:val="1"/>
    <w:qFormat/>
    <w:uiPriority w:val="0"/>
    <w:pPr>
      <w:ind w:firstLine="420"/>
    </w:pPr>
    <w:rPr>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3"/>
    <w:unhideWhenUsed/>
    <w:qFormat/>
    <w:uiPriority w:val="0"/>
    <w:pPr>
      <w:shd w:val="clear" w:color="auto" w:fill="000080"/>
    </w:pPr>
    <w:rPr>
      <w:rFonts w:hint="eastAsia" w:ascii="宋体" w:hAnsi="宋体"/>
      <w:kern w:val="0"/>
      <w:sz w:val="20"/>
      <w:szCs w:val="20"/>
    </w:rPr>
  </w:style>
  <w:style w:type="paragraph" w:styleId="18">
    <w:name w:val="annotation text"/>
    <w:basedOn w:val="1"/>
    <w:link w:val="98"/>
    <w:unhideWhenUsed/>
    <w:qFormat/>
    <w:uiPriority w:val="99"/>
    <w:pPr>
      <w:jc w:val="left"/>
    </w:pPr>
  </w:style>
  <w:style w:type="paragraph" w:styleId="19">
    <w:name w:val="Body Text 3"/>
    <w:basedOn w:val="1"/>
    <w:link w:val="85"/>
    <w:qFormat/>
    <w:uiPriority w:val="0"/>
    <w:pPr>
      <w:spacing w:line="500" w:lineRule="exact"/>
    </w:pPr>
    <w:rPr>
      <w:b/>
      <w:bCs/>
      <w:kern w:val="0"/>
      <w:sz w:val="24"/>
    </w:rPr>
  </w:style>
  <w:style w:type="paragraph" w:styleId="20">
    <w:name w:val="Body Text"/>
    <w:basedOn w:val="1"/>
    <w:link w:val="79"/>
    <w:unhideWhenUsed/>
    <w:qFormat/>
    <w:uiPriority w:val="99"/>
    <w:pPr>
      <w:spacing w:after="120"/>
    </w:pPr>
  </w:style>
  <w:style w:type="paragraph" w:styleId="21">
    <w:name w:val="Body Text Indent"/>
    <w:basedOn w:val="1"/>
    <w:link w:val="81"/>
    <w:unhideWhenUsed/>
    <w:qFormat/>
    <w:uiPriority w:val="0"/>
    <w:pPr>
      <w:spacing w:after="120"/>
      <w:ind w:left="420" w:leftChars="200"/>
    </w:pPr>
  </w:style>
  <w:style w:type="paragraph" w:styleId="22">
    <w:name w:val="List Number 3"/>
    <w:basedOn w:val="1"/>
    <w:qFormat/>
    <w:uiPriority w:val="0"/>
    <w:pPr>
      <w:numPr>
        <w:ilvl w:val="0"/>
        <w:numId w:val="1"/>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next w:val="1"/>
    <w:link w:val="100"/>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87"/>
    <w:qFormat/>
    <w:uiPriority w:val="0"/>
    <w:pPr>
      <w:ind w:left="100" w:leftChars="2500"/>
    </w:pPr>
    <w:rPr>
      <w:rFonts w:ascii="宋体" w:hAnsi="Courier New"/>
      <w:kern w:val="0"/>
      <w:sz w:val="20"/>
      <w:szCs w:val="21"/>
    </w:rPr>
  </w:style>
  <w:style w:type="paragraph" w:styleId="29">
    <w:name w:val="Body Text Indent 2"/>
    <w:basedOn w:val="1"/>
    <w:link w:val="88"/>
    <w:qFormat/>
    <w:uiPriority w:val="0"/>
    <w:pPr>
      <w:ind w:firstLine="630"/>
    </w:pPr>
    <w:rPr>
      <w:kern w:val="0"/>
      <w:sz w:val="32"/>
      <w:szCs w:val="20"/>
    </w:rPr>
  </w:style>
  <w:style w:type="paragraph" w:styleId="30">
    <w:name w:val="endnote text"/>
    <w:basedOn w:val="1"/>
    <w:link w:val="89"/>
    <w:unhideWhenUsed/>
    <w:qFormat/>
    <w:uiPriority w:val="99"/>
    <w:pPr>
      <w:snapToGrid w:val="0"/>
      <w:jc w:val="left"/>
    </w:pPr>
  </w:style>
  <w:style w:type="paragraph" w:styleId="31">
    <w:name w:val="Balloon Text"/>
    <w:basedOn w:val="1"/>
    <w:link w:val="90"/>
    <w:semiHidden/>
    <w:qFormat/>
    <w:uiPriority w:val="0"/>
    <w:rPr>
      <w:kern w:val="0"/>
      <w:sz w:val="18"/>
      <w:szCs w:val="18"/>
    </w:rPr>
  </w:style>
  <w:style w:type="paragraph" w:styleId="32">
    <w:name w:val="footer"/>
    <w:basedOn w:val="1"/>
    <w:next w:val="1"/>
    <w:link w:val="101"/>
    <w:unhideWhenUsed/>
    <w:qFormat/>
    <w:uiPriority w:val="99"/>
    <w:pPr>
      <w:tabs>
        <w:tab w:val="center" w:pos="4153"/>
        <w:tab w:val="right" w:pos="8306"/>
      </w:tabs>
      <w:snapToGrid w:val="0"/>
      <w:jc w:val="left"/>
    </w:pPr>
    <w:rPr>
      <w:kern w:val="0"/>
      <w:sz w:val="18"/>
      <w:szCs w:val="18"/>
    </w:rPr>
  </w:style>
  <w:style w:type="paragraph" w:styleId="33">
    <w:name w:val="header"/>
    <w:basedOn w:val="1"/>
    <w:link w:val="92"/>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Subtitle"/>
    <w:basedOn w:val="1"/>
    <w:next w:val="1"/>
    <w:link w:val="7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List"/>
    <w:basedOn w:val="1"/>
    <w:qFormat/>
    <w:uiPriority w:val="0"/>
    <w:pPr>
      <w:ind w:left="200" w:hanging="200" w:hangingChars="200"/>
    </w:pPr>
    <w:rPr>
      <w:sz w:val="28"/>
    </w:rPr>
  </w:style>
  <w:style w:type="paragraph" w:styleId="38">
    <w:name w:val="footnote text"/>
    <w:basedOn w:val="1"/>
    <w:link w:val="93"/>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szCs w:val="22"/>
    </w:rPr>
  </w:style>
  <w:style w:type="paragraph" w:styleId="40">
    <w:name w:val="Body Text Indent 3"/>
    <w:basedOn w:val="1"/>
    <w:link w:val="94"/>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szCs w:val="22"/>
    </w:rPr>
  </w:style>
  <w:style w:type="paragraph" w:styleId="43">
    <w:name w:val="Body Text 2"/>
    <w:basedOn w:val="1"/>
    <w:link w:val="95"/>
    <w:qFormat/>
    <w:uiPriority w:val="0"/>
    <w:pPr>
      <w:spacing w:after="120" w:line="480" w:lineRule="auto"/>
    </w:pPr>
    <w:rPr>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7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7">
    <w:name w:val="annotation subject"/>
    <w:basedOn w:val="18"/>
    <w:next w:val="18"/>
    <w:link w:val="96"/>
    <w:unhideWhenUsed/>
    <w:qFormat/>
    <w:uiPriority w:val="99"/>
    <w:rPr>
      <w:b/>
      <w:bCs/>
    </w:rPr>
  </w:style>
  <w:style w:type="paragraph" w:styleId="48">
    <w:name w:val="Body Text First Indent"/>
    <w:basedOn w:val="20"/>
    <w:next w:val="49"/>
    <w:link w:val="80"/>
    <w:qFormat/>
    <w:uiPriority w:val="0"/>
    <w:pPr>
      <w:spacing w:after="0" w:line="380" w:lineRule="exact"/>
      <w:ind w:firstLine="420" w:firstLineChars="100"/>
    </w:pPr>
    <w:rPr>
      <w:kern w:val="0"/>
      <w:sz w:val="24"/>
    </w:rPr>
  </w:style>
  <w:style w:type="paragraph" w:styleId="49">
    <w:name w:val="Body Text First Indent 2"/>
    <w:basedOn w:val="21"/>
    <w:next w:val="1"/>
    <w:link w:val="82"/>
    <w:unhideWhenUsed/>
    <w:qFormat/>
    <w:uiPriority w:val="99"/>
    <w:pPr>
      <w:spacing w:after="0" w:line="360" w:lineRule="auto"/>
      <w:ind w:left="435" w:leftChars="0" w:firstLine="420" w:firstLineChars="200"/>
    </w:pPr>
    <w:rPr>
      <w:rFonts w:ascii="仿宋_GB2312" w:eastAsia="仿宋_GB2312"/>
      <w:color w:val="FF0000"/>
      <w:sz w:val="24"/>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endnote reference"/>
    <w:unhideWhenUsed/>
    <w:qFormat/>
    <w:uiPriority w:val="99"/>
    <w:rPr>
      <w:vertAlign w:val="superscript"/>
    </w:rPr>
  </w:style>
  <w:style w:type="character" w:styleId="55">
    <w:name w:val="page number"/>
    <w:qFormat/>
    <w:uiPriority w:val="0"/>
  </w:style>
  <w:style w:type="character" w:styleId="56">
    <w:name w:val="FollowedHyperlink"/>
    <w:qFormat/>
    <w:uiPriority w:val="99"/>
    <w:rPr>
      <w:color w:val="000000"/>
      <w:u w:val="none"/>
    </w:rPr>
  </w:style>
  <w:style w:type="character" w:styleId="57">
    <w:name w:val="Emphasis"/>
    <w:qFormat/>
    <w:uiPriority w:val="20"/>
    <w:rPr>
      <w:i/>
      <w:iCs/>
    </w:rPr>
  </w:style>
  <w:style w:type="character" w:styleId="58">
    <w:name w:val="Hyperlink"/>
    <w:qFormat/>
    <w:uiPriority w:val="99"/>
    <w:rPr>
      <w:color w:val="000000"/>
      <w:u w:val="none"/>
    </w:rPr>
  </w:style>
  <w:style w:type="character" w:styleId="59">
    <w:name w:val="annotation reference"/>
    <w:unhideWhenUsed/>
    <w:qFormat/>
    <w:uiPriority w:val="99"/>
    <w:rPr>
      <w:sz w:val="21"/>
      <w:szCs w:val="21"/>
    </w:rPr>
  </w:style>
  <w:style w:type="character" w:styleId="60">
    <w:name w:val="footnote reference"/>
    <w:unhideWhenUsed/>
    <w:qFormat/>
    <w:uiPriority w:val="99"/>
    <w:rPr>
      <w:vertAlign w:val="superscript"/>
    </w:rPr>
  </w:style>
  <w:style w:type="character" w:customStyle="1" w:styleId="61">
    <w:name w:val="标题 1 字符"/>
    <w:basedOn w:val="52"/>
    <w:link w:val="3"/>
    <w:qFormat/>
    <w:uiPriority w:val="9"/>
    <w:rPr>
      <w:rFonts w:asciiTheme="majorHAnsi" w:hAnsiTheme="majorHAnsi" w:eastAsiaTheme="majorEastAsia" w:cstheme="majorBidi"/>
      <w:color w:val="104862" w:themeColor="accent1" w:themeShade="BF"/>
      <w:sz w:val="48"/>
      <w:szCs w:val="48"/>
    </w:rPr>
  </w:style>
  <w:style w:type="character" w:customStyle="1" w:styleId="62">
    <w:name w:val="标题 2 字符"/>
    <w:basedOn w:val="52"/>
    <w:link w:val="5"/>
    <w:qFormat/>
    <w:uiPriority w:val="9"/>
    <w:rPr>
      <w:rFonts w:asciiTheme="majorHAnsi" w:hAnsiTheme="majorHAnsi" w:eastAsiaTheme="majorEastAsia" w:cstheme="majorBidi"/>
      <w:color w:val="104862" w:themeColor="accent1" w:themeShade="BF"/>
      <w:sz w:val="40"/>
      <w:szCs w:val="40"/>
    </w:rPr>
  </w:style>
  <w:style w:type="character" w:customStyle="1" w:styleId="63">
    <w:name w:val="标题 3 字符"/>
    <w:basedOn w:val="52"/>
    <w:link w:val="6"/>
    <w:qFormat/>
    <w:uiPriority w:val="9"/>
    <w:rPr>
      <w:rFonts w:asciiTheme="majorHAnsi" w:hAnsiTheme="majorHAnsi" w:eastAsiaTheme="majorEastAsia" w:cstheme="majorBidi"/>
      <w:color w:val="104862" w:themeColor="accent1" w:themeShade="BF"/>
      <w:sz w:val="32"/>
      <w:szCs w:val="32"/>
    </w:rPr>
  </w:style>
  <w:style w:type="character" w:customStyle="1" w:styleId="64">
    <w:name w:val="标题 4 字符"/>
    <w:basedOn w:val="52"/>
    <w:link w:val="2"/>
    <w:qFormat/>
    <w:uiPriority w:val="9"/>
    <w:rPr>
      <w:rFonts w:cstheme="majorBidi"/>
      <w:color w:val="104862" w:themeColor="accent1" w:themeShade="BF"/>
      <w:sz w:val="28"/>
      <w:szCs w:val="28"/>
    </w:rPr>
  </w:style>
  <w:style w:type="character" w:customStyle="1" w:styleId="65">
    <w:name w:val="标题 5 字符"/>
    <w:basedOn w:val="52"/>
    <w:link w:val="7"/>
    <w:qFormat/>
    <w:uiPriority w:val="9"/>
    <w:rPr>
      <w:rFonts w:cstheme="majorBidi"/>
      <w:color w:val="104862" w:themeColor="accent1" w:themeShade="BF"/>
      <w:sz w:val="24"/>
    </w:rPr>
  </w:style>
  <w:style w:type="character" w:customStyle="1" w:styleId="66">
    <w:name w:val="标题 6 字符"/>
    <w:basedOn w:val="52"/>
    <w:link w:val="8"/>
    <w:qFormat/>
    <w:uiPriority w:val="9"/>
    <w:rPr>
      <w:rFonts w:cstheme="majorBidi"/>
      <w:b/>
      <w:bCs/>
      <w:color w:val="104862" w:themeColor="accent1" w:themeShade="BF"/>
    </w:rPr>
  </w:style>
  <w:style w:type="character" w:customStyle="1" w:styleId="67">
    <w:name w:val="标题 7 字符"/>
    <w:basedOn w:val="52"/>
    <w:link w:val="9"/>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68">
    <w:name w:val="标题 8 字符"/>
    <w:basedOn w:val="52"/>
    <w:link w:val="10"/>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69">
    <w:name w:val="标题 9 字符"/>
    <w:basedOn w:val="52"/>
    <w:link w:val="11"/>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70">
    <w:name w:val="标题 字符"/>
    <w:basedOn w:val="52"/>
    <w:link w:val="46"/>
    <w:qFormat/>
    <w:uiPriority w:val="10"/>
    <w:rPr>
      <w:rFonts w:asciiTheme="majorHAnsi" w:hAnsiTheme="majorHAnsi" w:eastAsiaTheme="majorEastAsia" w:cstheme="majorBidi"/>
      <w:spacing w:val="-10"/>
      <w:kern w:val="28"/>
      <w:sz w:val="56"/>
      <w:szCs w:val="56"/>
    </w:rPr>
  </w:style>
  <w:style w:type="character" w:customStyle="1" w:styleId="71">
    <w:name w:val="副标题 字符"/>
    <w:basedOn w:val="52"/>
    <w:link w:val="3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72">
    <w:name w:val="Quote"/>
    <w:basedOn w:val="1"/>
    <w:next w:val="1"/>
    <w:link w:val="7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引用 字符"/>
    <w:basedOn w:val="52"/>
    <w:link w:val="72"/>
    <w:qFormat/>
    <w:uiPriority w:val="29"/>
    <w:rPr>
      <w:i/>
      <w:iCs/>
      <w:color w:val="404040" w:themeColor="text1" w:themeTint="BF"/>
      <w14:textFill>
        <w14:solidFill>
          <w14:schemeClr w14:val="tx1">
            <w14:lumMod w14:val="75000"/>
            <w14:lumOff w14:val="25000"/>
          </w14:schemeClr>
        </w14:solidFill>
      </w14:textFill>
    </w:rPr>
  </w:style>
  <w:style w:type="paragraph" w:styleId="74">
    <w:name w:val="List Paragraph"/>
    <w:basedOn w:val="1"/>
    <w:qFormat/>
    <w:uiPriority w:val="34"/>
    <w:pPr>
      <w:ind w:left="720"/>
      <w:contextualSpacing/>
    </w:pPr>
  </w:style>
  <w:style w:type="character" w:customStyle="1" w:styleId="75">
    <w:name w:val="明显强调1"/>
    <w:basedOn w:val="52"/>
    <w:qFormat/>
    <w:uiPriority w:val="21"/>
    <w:rPr>
      <w:i/>
      <w:iCs/>
      <w:color w:val="104862" w:themeColor="accent1" w:themeShade="BF"/>
    </w:rPr>
  </w:style>
  <w:style w:type="paragraph" w:styleId="76">
    <w:name w:val="Intense Quote"/>
    <w:basedOn w:val="1"/>
    <w:next w:val="1"/>
    <w:link w:val="7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77">
    <w:name w:val="明显引用 字符"/>
    <w:basedOn w:val="52"/>
    <w:link w:val="76"/>
    <w:qFormat/>
    <w:uiPriority w:val="30"/>
    <w:rPr>
      <w:i/>
      <w:iCs/>
      <w:color w:val="104862" w:themeColor="accent1" w:themeShade="BF"/>
    </w:rPr>
  </w:style>
  <w:style w:type="character" w:customStyle="1" w:styleId="78">
    <w:name w:val="明显参考1"/>
    <w:basedOn w:val="52"/>
    <w:qFormat/>
    <w:uiPriority w:val="32"/>
    <w:rPr>
      <w:b/>
      <w:bCs/>
      <w:smallCaps/>
      <w:color w:val="104862" w:themeColor="accent1" w:themeShade="BF"/>
      <w:spacing w:val="5"/>
    </w:rPr>
  </w:style>
  <w:style w:type="character" w:customStyle="1" w:styleId="79">
    <w:name w:val="正文文本 字符"/>
    <w:basedOn w:val="52"/>
    <w:link w:val="20"/>
    <w:qFormat/>
    <w:uiPriority w:val="99"/>
    <w:rPr>
      <w:rFonts w:ascii="Times New Roman" w:hAnsi="Times New Roman" w:eastAsia="宋体" w:cs="Times New Roman"/>
      <w:sz w:val="21"/>
    </w:rPr>
  </w:style>
  <w:style w:type="character" w:customStyle="1" w:styleId="80">
    <w:name w:val="正文文本首行缩进 字符"/>
    <w:basedOn w:val="79"/>
    <w:link w:val="48"/>
    <w:qFormat/>
    <w:uiPriority w:val="0"/>
    <w:rPr>
      <w:rFonts w:ascii="Times New Roman" w:hAnsi="Times New Roman" w:eastAsia="宋体" w:cs="Times New Roman"/>
      <w:kern w:val="0"/>
      <w:sz w:val="24"/>
    </w:rPr>
  </w:style>
  <w:style w:type="character" w:customStyle="1" w:styleId="81">
    <w:name w:val="正文文本缩进 字符"/>
    <w:basedOn w:val="52"/>
    <w:link w:val="21"/>
    <w:qFormat/>
    <w:uiPriority w:val="0"/>
    <w:rPr>
      <w:rFonts w:ascii="Times New Roman" w:hAnsi="Times New Roman" w:eastAsia="宋体" w:cs="Times New Roman"/>
      <w:sz w:val="21"/>
    </w:rPr>
  </w:style>
  <w:style w:type="character" w:customStyle="1" w:styleId="82">
    <w:name w:val="正文文本首行缩进 2 字符"/>
    <w:basedOn w:val="81"/>
    <w:link w:val="49"/>
    <w:qFormat/>
    <w:uiPriority w:val="99"/>
    <w:rPr>
      <w:rFonts w:ascii="仿宋_GB2312" w:hAnsi="Times New Roman" w:eastAsia="仿宋_GB2312" w:cs="Times New Roman"/>
      <w:color w:val="FF0000"/>
      <w:sz w:val="24"/>
    </w:rPr>
  </w:style>
  <w:style w:type="character" w:customStyle="1" w:styleId="83">
    <w:name w:val="文档结构图 字符"/>
    <w:basedOn w:val="52"/>
    <w:link w:val="17"/>
    <w:qFormat/>
    <w:uiPriority w:val="0"/>
    <w:rPr>
      <w:rFonts w:ascii="宋体" w:hAnsi="宋体" w:eastAsia="宋体" w:cs="Times New Roman"/>
      <w:kern w:val="0"/>
      <w:sz w:val="20"/>
      <w:szCs w:val="20"/>
      <w:shd w:val="clear" w:color="auto" w:fill="000080"/>
    </w:rPr>
  </w:style>
  <w:style w:type="character" w:customStyle="1" w:styleId="84">
    <w:name w:val="批注文字 字符"/>
    <w:basedOn w:val="52"/>
    <w:qFormat/>
    <w:uiPriority w:val="99"/>
    <w:rPr>
      <w:rFonts w:ascii="Times New Roman" w:hAnsi="Times New Roman" w:eastAsia="宋体" w:cs="Times New Roman"/>
      <w:sz w:val="21"/>
    </w:rPr>
  </w:style>
  <w:style w:type="character" w:customStyle="1" w:styleId="85">
    <w:name w:val="正文文本 3 字符"/>
    <w:basedOn w:val="52"/>
    <w:link w:val="19"/>
    <w:qFormat/>
    <w:uiPriority w:val="0"/>
    <w:rPr>
      <w:rFonts w:ascii="Times New Roman" w:hAnsi="Times New Roman" w:eastAsia="宋体" w:cs="Times New Roman"/>
      <w:b/>
      <w:bCs/>
      <w:kern w:val="0"/>
      <w:sz w:val="24"/>
    </w:rPr>
  </w:style>
  <w:style w:type="character" w:customStyle="1" w:styleId="86">
    <w:name w:val="纯文本 字符"/>
    <w:basedOn w:val="52"/>
    <w:qFormat/>
    <w:uiPriority w:val="0"/>
    <w:rPr>
      <w:rFonts w:hAnsi="Courier New" w:cs="Courier New" w:asciiTheme="minorEastAsia"/>
      <w:sz w:val="21"/>
    </w:rPr>
  </w:style>
  <w:style w:type="character" w:customStyle="1" w:styleId="87">
    <w:name w:val="日期 字符"/>
    <w:basedOn w:val="52"/>
    <w:link w:val="28"/>
    <w:qFormat/>
    <w:uiPriority w:val="0"/>
    <w:rPr>
      <w:rFonts w:ascii="宋体" w:hAnsi="Courier New" w:eastAsia="宋体" w:cs="Times New Roman"/>
      <w:kern w:val="0"/>
      <w:sz w:val="20"/>
      <w:szCs w:val="21"/>
    </w:rPr>
  </w:style>
  <w:style w:type="character" w:customStyle="1" w:styleId="88">
    <w:name w:val="正文文本缩进 2 字符"/>
    <w:basedOn w:val="52"/>
    <w:link w:val="29"/>
    <w:qFormat/>
    <w:uiPriority w:val="0"/>
    <w:rPr>
      <w:rFonts w:ascii="Times New Roman" w:hAnsi="Times New Roman" w:eastAsia="宋体" w:cs="Times New Roman"/>
      <w:kern w:val="0"/>
      <w:sz w:val="32"/>
      <w:szCs w:val="20"/>
    </w:rPr>
  </w:style>
  <w:style w:type="character" w:customStyle="1" w:styleId="89">
    <w:name w:val="尾注文本 字符"/>
    <w:basedOn w:val="52"/>
    <w:link w:val="30"/>
    <w:qFormat/>
    <w:uiPriority w:val="99"/>
    <w:rPr>
      <w:rFonts w:ascii="Times New Roman" w:hAnsi="Times New Roman" w:eastAsia="宋体" w:cs="Times New Roman"/>
      <w:sz w:val="21"/>
    </w:rPr>
  </w:style>
  <w:style w:type="character" w:customStyle="1" w:styleId="90">
    <w:name w:val="批注框文本 字符"/>
    <w:basedOn w:val="52"/>
    <w:link w:val="31"/>
    <w:semiHidden/>
    <w:qFormat/>
    <w:uiPriority w:val="0"/>
    <w:rPr>
      <w:rFonts w:ascii="Times New Roman" w:hAnsi="Times New Roman" w:eastAsia="宋体" w:cs="Times New Roman"/>
      <w:kern w:val="0"/>
      <w:sz w:val="18"/>
      <w:szCs w:val="18"/>
    </w:rPr>
  </w:style>
  <w:style w:type="character" w:customStyle="1" w:styleId="91">
    <w:name w:val="页脚 字符"/>
    <w:basedOn w:val="52"/>
    <w:qFormat/>
    <w:uiPriority w:val="99"/>
    <w:rPr>
      <w:rFonts w:ascii="Times New Roman" w:hAnsi="Times New Roman" w:eastAsia="宋体" w:cs="Times New Roman"/>
      <w:sz w:val="18"/>
      <w:szCs w:val="18"/>
    </w:rPr>
  </w:style>
  <w:style w:type="character" w:customStyle="1" w:styleId="92">
    <w:name w:val="页眉 字符"/>
    <w:basedOn w:val="52"/>
    <w:link w:val="33"/>
    <w:qFormat/>
    <w:uiPriority w:val="99"/>
    <w:rPr>
      <w:rFonts w:ascii="Times New Roman" w:hAnsi="Times New Roman" w:eastAsia="宋体" w:cs="Times New Roman"/>
      <w:sz w:val="18"/>
      <w:szCs w:val="18"/>
    </w:rPr>
  </w:style>
  <w:style w:type="character" w:customStyle="1" w:styleId="93">
    <w:name w:val="脚注文本 字符"/>
    <w:basedOn w:val="52"/>
    <w:link w:val="38"/>
    <w:qFormat/>
    <w:uiPriority w:val="99"/>
    <w:rPr>
      <w:rFonts w:ascii="Times New Roman" w:hAnsi="Times New Roman" w:eastAsia="宋体" w:cs="Times New Roman"/>
      <w:sz w:val="18"/>
      <w:szCs w:val="18"/>
    </w:rPr>
  </w:style>
  <w:style w:type="character" w:customStyle="1" w:styleId="94">
    <w:name w:val="正文文本缩进 3 字符"/>
    <w:basedOn w:val="52"/>
    <w:link w:val="40"/>
    <w:qFormat/>
    <w:uiPriority w:val="0"/>
    <w:rPr>
      <w:rFonts w:ascii="Times New Roman" w:hAnsi="Times New Roman" w:eastAsia="宋体" w:cs="Times New Roman"/>
      <w:kern w:val="0"/>
      <w:sz w:val="16"/>
      <w:szCs w:val="16"/>
    </w:rPr>
  </w:style>
  <w:style w:type="character" w:customStyle="1" w:styleId="95">
    <w:name w:val="正文文本 2 字符"/>
    <w:basedOn w:val="52"/>
    <w:link w:val="43"/>
    <w:qFormat/>
    <w:uiPriority w:val="0"/>
    <w:rPr>
      <w:rFonts w:ascii="Times New Roman" w:hAnsi="Times New Roman" w:eastAsia="宋体" w:cs="Times New Roman"/>
      <w:kern w:val="0"/>
      <w:sz w:val="20"/>
    </w:rPr>
  </w:style>
  <w:style w:type="character" w:customStyle="1" w:styleId="96">
    <w:name w:val="批注主题 字符"/>
    <w:basedOn w:val="84"/>
    <w:link w:val="47"/>
    <w:qFormat/>
    <w:uiPriority w:val="99"/>
    <w:rPr>
      <w:rFonts w:ascii="Times New Roman" w:hAnsi="Times New Roman" w:eastAsia="宋体" w:cs="Times New Roman"/>
      <w:b/>
      <w:bCs/>
      <w:sz w:val="21"/>
    </w:rPr>
  </w:style>
  <w:style w:type="character" w:customStyle="1" w:styleId="97">
    <w:name w:val="标题 1 字符1"/>
    <w:qFormat/>
    <w:uiPriority w:val="0"/>
    <w:rPr>
      <w:rFonts w:ascii="Times New Roman" w:hAnsi="Times New Roman" w:eastAsia="宋体" w:cs="Times New Roman"/>
      <w:b/>
      <w:bCs/>
      <w:kern w:val="44"/>
      <w:sz w:val="44"/>
      <w:szCs w:val="44"/>
    </w:rPr>
  </w:style>
  <w:style w:type="character" w:customStyle="1" w:styleId="98">
    <w:name w:val="批注文字 字符2"/>
    <w:link w:val="18"/>
    <w:qFormat/>
    <w:uiPriority w:val="0"/>
    <w:rPr>
      <w:rFonts w:ascii="Times New Roman" w:hAnsi="Times New Roman" w:eastAsia="宋体" w:cs="Times New Roman"/>
      <w:sz w:val="21"/>
    </w:rPr>
  </w:style>
  <w:style w:type="character" w:customStyle="1" w:styleId="99">
    <w:name w:val="正文文本缩进 字符1"/>
    <w:qFormat/>
    <w:uiPriority w:val="0"/>
    <w:rPr>
      <w:rFonts w:ascii="仿宋_GB2312" w:hAnsi="Times New Roman" w:eastAsia="仿宋_GB2312" w:cs="Times New Roman"/>
      <w:sz w:val="32"/>
      <w:szCs w:val="20"/>
    </w:rPr>
  </w:style>
  <w:style w:type="character" w:customStyle="1" w:styleId="100">
    <w:name w:val="纯文本 字符2"/>
    <w:link w:val="26"/>
    <w:qFormat/>
    <w:uiPriority w:val="0"/>
    <w:rPr>
      <w:rFonts w:ascii="宋体" w:hAnsi="Courier New" w:eastAsia="宋体" w:cs="Times New Roman"/>
      <w:kern w:val="0"/>
      <w:sz w:val="20"/>
      <w:szCs w:val="21"/>
    </w:rPr>
  </w:style>
  <w:style w:type="character" w:customStyle="1" w:styleId="101">
    <w:name w:val="页脚 字符1"/>
    <w:link w:val="32"/>
    <w:qFormat/>
    <w:uiPriority w:val="99"/>
    <w:rPr>
      <w:rFonts w:ascii="Times New Roman" w:hAnsi="Times New Roman" w:eastAsia="宋体" w:cs="Times New Roman"/>
      <w:kern w:val="0"/>
      <w:sz w:val="18"/>
      <w:szCs w:val="18"/>
    </w:rPr>
  </w:style>
  <w:style w:type="character" w:customStyle="1" w:styleId="102">
    <w:name w:val="批注文字 Char1"/>
    <w:qFormat/>
    <w:locked/>
    <w:uiPriority w:val="0"/>
    <w:rPr>
      <w:rFonts w:ascii="Times New Roman" w:hAnsi="Times New Roman"/>
      <w:kern w:val="2"/>
      <w:sz w:val="21"/>
      <w:szCs w:val="24"/>
    </w:rPr>
  </w:style>
  <w:style w:type="character" w:customStyle="1" w:styleId="103">
    <w:name w:val="case31"/>
    <w:qFormat/>
    <w:uiPriority w:val="0"/>
    <w:rPr>
      <w:rFonts w:hint="default" w:ascii="_x000B__x000C_" w:hAnsi="_x000B__x000C_"/>
      <w:sz w:val="21"/>
      <w:szCs w:val="21"/>
    </w:rPr>
  </w:style>
  <w:style w:type="character" w:customStyle="1" w:styleId="104">
    <w:name w:val="批注文字 Char"/>
    <w:qFormat/>
    <w:uiPriority w:val="0"/>
    <w:rPr>
      <w:rFonts w:ascii="Times New Roman" w:hAnsi="Times New Roman"/>
      <w:kern w:val="2"/>
      <w:sz w:val="21"/>
      <w:szCs w:val="24"/>
    </w:rPr>
  </w:style>
  <w:style w:type="character" w:customStyle="1" w:styleId="105">
    <w:name w:val="纯文本 Char"/>
    <w:qFormat/>
    <w:uiPriority w:val="0"/>
    <w:rPr>
      <w:rFonts w:ascii="宋体" w:hAnsi="Courier New" w:eastAsia="宋体"/>
      <w:kern w:val="2"/>
      <w:sz w:val="21"/>
      <w:lang w:val="en-US" w:eastAsia="zh-CN" w:bidi="ar-SA"/>
    </w:rPr>
  </w:style>
  <w:style w:type="character" w:customStyle="1" w:styleId="106">
    <w:name w:val="纯文本 字符1"/>
    <w:qFormat/>
    <w:uiPriority w:val="0"/>
    <w:rPr>
      <w:rFonts w:ascii="宋体" w:hAnsi="Courier New"/>
    </w:rPr>
  </w:style>
  <w:style w:type="character" w:customStyle="1" w:styleId="107">
    <w:name w:val="批注文字 字符1"/>
    <w:qFormat/>
    <w:uiPriority w:val="0"/>
    <w:rPr>
      <w:rFonts w:ascii="Times New Roman" w:hAnsi="Times New Roman"/>
      <w:kern w:val="2"/>
      <w:sz w:val="21"/>
      <w:szCs w:val="24"/>
    </w:rPr>
  </w:style>
  <w:style w:type="character" w:customStyle="1" w:styleId="108">
    <w:name w:val="正文文本 Char1"/>
    <w:semiHidden/>
    <w:qFormat/>
    <w:locked/>
    <w:uiPriority w:val="99"/>
    <w:rPr>
      <w:sz w:val="24"/>
      <w:szCs w:val="24"/>
    </w:rPr>
  </w:style>
  <w:style w:type="character" w:customStyle="1" w:styleId="109">
    <w:name w:val="apple-style-span"/>
    <w:qFormat/>
    <w:uiPriority w:val="0"/>
  </w:style>
  <w:style w:type="character" w:customStyle="1" w:styleId="110">
    <w:name w:val="textcontents"/>
    <w:qFormat/>
    <w:uiPriority w:val="0"/>
  </w:style>
  <w:style w:type="character" w:customStyle="1" w:styleId="111">
    <w:name w:val="普通文字 Char Char2"/>
    <w:qFormat/>
    <w:uiPriority w:val="0"/>
    <w:rPr>
      <w:rFonts w:ascii="宋体" w:hAnsi="Courier New" w:eastAsia="宋体"/>
      <w:kern w:val="2"/>
      <w:sz w:val="21"/>
      <w:lang w:val="en-US" w:eastAsia="zh-CN" w:bidi="ar-SA"/>
    </w:rPr>
  </w:style>
  <w:style w:type="character" w:customStyle="1" w:styleId="112">
    <w:name w:val="标题 5 Char"/>
    <w:qFormat/>
    <w:uiPriority w:val="9"/>
    <w:rPr>
      <w:b/>
      <w:kern w:val="2"/>
      <w:sz w:val="28"/>
      <w:szCs w:val="24"/>
    </w:rPr>
  </w:style>
  <w:style w:type="character" w:customStyle="1" w:styleId="113">
    <w:name w:val="headline-content4"/>
    <w:qFormat/>
    <w:uiPriority w:val="0"/>
  </w:style>
  <w:style w:type="character" w:customStyle="1" w:styleId="11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115">
    <w:name w:val="Char1"/>
    <w:basedOn w:val="1"/>
    <w:qFormat/>
    <w:uiPriority w:val="0"/>
    <w:rPr>
      <w:szCs w:val="21"/>
    </w:rPr>
  </w:style>
  <w:style w:type="paragraph" w:customStyle="1" w:styleId="116">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color w:val="auto"/>
      <w:kern w:val="0"/>
      <w:sz w:val="28"/>
      <w:szCs w:val="20"/>
    </w:rPr>
  </w:style>
  <w:style w:type="paragraph" w:customStyle="1" w:styleId="117">
    <w:name w:val="默认段落字体 Para Char Char Char Char Char Char Char Char Char1 Char Char Char Char"/>
    <w:basedOn w:val="1"/>
    <w:qFormat/>
    <w:uiPriority w:val="0"/>
    <w:rPr>
      <w:rFonts w:ascii="Tahoma" w:hAnsi="Tahoma"/>
      <w:sz w:val="24"/>
      <w:szCs w:val="20"/>
    </w:rPr>
  </w:style>
  <w:style w:type="paragraph" w:customStyle="1" w:styleId="11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9">
    <w:name w:val="纯文本1"/>
    <w:basedOn w:val="1"/>
    <w:qFormat/>
    <w:uiPriority w:val="0"/>
    <w:rPr>
      <w:rFonts w:ascii="宋体" w:hAnsi="Courier New" w:cs="Century"/>
      <w:szCs w:val="21"/>
    </w:rPr>
  </w:style>
  <w:style w:type="paragraph" w:customStyle="1" w:styleId="120">
    <w:name w:val="Table Paragraph"/>
    <w:basedOn w:val="1"/>
    <w:qFormat/>
    <w:uiPriority w:val="1"/>
    <w:pPr>
      <w:jc w:val="left"/>
    </w:pPr>
    <w:rPr>
      <w:rFonts w:ascii="Calibri" w:hAnsi="Calibri"/>
      <w:kern w:val="0"/>
      <w:sz w:val="22"/>
      <w:szCs w:val="22"/>
      <w:lang w:eastAsia="en-US"/>
    </w:rPr>
  </w:style>
  <w:style w:type="paragraph" w:customStyle="1" w:styleId="12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2">
    <w:name w:val="表格"/>
    <w:basedOn w:val="1"/>
    <w:qFormat/>
    <w:uiPriority w:val="0"/>
    <w:pPr>
      <w:spacing w:line="400" w:lineRule="exact"/>
    </w:pPr>
    <w:rPr>
      <w:sz w:val="24"/>
    </w:rPr>
  </w:style>
  <w:style w:type="paragraph" w:customStyle="1" w:styleId="123">
    <w:name w:val="样式 首行缩进:  2 字符"/>
    <w:basedOn w:val="1"/>
    <w:qFormat/>
    <w:uiPriority w:val="0"/>
    <w:pPr>
      <w:spacing w:line="400" w:lineRule="exact"/>
      <w:ind w:firstLine="200" w:firstLineChars="200"/>
    </w:pPr>
    <w:rPr>
      <w:rFonts w:cs="宋体"/>
      <w:sz w:val="24"/>
    </w:rPr>
  </w:style>
  <w:style w:type="paragraph" w:customStyle="1" w:styleId="12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5">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color w:val="auto"/>
      <w:kern w:val="0"/>
      <w:sz w:val="24"/>
      <w:szCs w:val="20"/>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正文段"/>
    <w:basedOn w:val="1"/>
    <w:qFormat/>
    <w:uiPriority w:val="0"/>
    <w:pPr>
      <w:widowControl/>
      <w:snapToGrid w:val="0"/>
      <w:spacing w:afterLines="50"/>
      <w:ind w:firstLine="200" w:firstLineChars="200"/>
    </w:pPr>
    <w:rPr>
      <w:kern w:val="0"/>
      <w:sz w:val="24"/>
      <w:szCs w:val="20"/>
    </w:rPr>
  </w:style>
  <w:style w:type="table" w:customStyle="1" w:styleId="128">
    <w:name w:val="Table Normal"/>
    <w:semiHidden/>
    <w:qFormat/>
    <w:uiPriority w:val="2"/>
    <w:pPr>
      <w:widowControl w:val="0"/>
    </w:pPr>
    <w:rPr>
      <w:rFonts w:ascii="Calibri" w:hAnsi="Calibri" w:eastAsia="Times New Roman"/>
      <w:szCs w:val="22"/>
      <w:lang w:eastAsia="en-US"/>
    </w:rPr>
    <w:tblPr>
      <w:tblCellMar>
        <w:top w:w="0" w:type="dxa"/>
        <w:left w:w="0" w:type="dxa"/>
        <w:bottom w:w="0" w:type="dxa"/>
        <w:right w:w="0" w:type="dxa"/>
      </w:tblCellMar>
    </w:tblPr>
  </w:style>
  <w:style w:type="character" w:customStyle="1" w:styleId="129">
    <w:name w:val="标题 1 Char1"/>
    <w:qFormat/>
    <w:uiPriority w:val="0"/>
    <w:rPr>
      <w:rFonts w:eastAsia="宋体"/>
      <w:b/>
      <w:bCs/>
      <w:kern w:val="44"/>
      <w:sz w:val="44"/>
      <w:szCs w:val="44"/>
      <w:lang w:val="en-US" w:eastAsia="zh-CN" w:bidi="ar-SA"/>
    </w:rPr>
  </w:style>
  <w:style w:type="character" w:customStyle="1" w:styleId="130">
    <w:name w:val="纯文本 Char2"/>
    <w:qFormat/>
    <w:uiPriority w:val="0"/>
    <w:rPr>
      <w:rFonts w:ascii="宋体" w:hAnsi="Courier New" w:eastAsia="宋体" w:cs="Courier New"/>
      <w:szCs w:val="21"/>
    </w:rPr>
  </w:style>
  <w:style w:type="paragraph" w:customStyle="1" w:styleId="131">
    <w:name w:val="_Style 112"/>
    <w:unhideWhenUsed/>
    <w:qFormat/>
    <w:uiPriority w:val="99"/>
    <w:rPr>
      <w:rFonts w:ascii="Times New Roman" w:hAnsi="Times New Roman" w:eastAsia="宋体" w:cs="Times New Roman"/>
      <w:kern w:val="2"/>
      <w:sz w:val="21"/>
      <w:szCs w:val="24"/>
      <w:lang w:val="en-US" w:eastAsia="zh-CN" w:bidi="ar-SA"/>
    </w:rPr>
  </w:style>
  <w:style w:type="table" w:customStyle="1" w:styleId="132">
    <w:name w:val="网格型1"/>
    <w:basedOn w:val="50"/>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3">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xl6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35">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6">
    <w:name w:val="Other|1"/>
    <w:basedOn w:val="1"/>
    <w:qFormat/>
    <w:uiPriority w:val="0"/>
    <w:pPr>
      <w:spacing w:line="394" w:lineRule="auto"/>
      <w:ind w:firstLine="400"/>
      <w:jc w:val="left"/>
    </w:pPr>
    <w:rPr>
      <w:rFonts w:ascii="宋体" w:hAnsi="宋体" w:cs="宋体"/>
      <w:color w:val="000000"/>
      <w:kern w:val="0"/>
      <w:sz w:val="30"/>
      <w:szCs w:val="30"/>
      <w:lang w:val="zh-TW" w:eastAsia="zh-TW" w:bidi="zh-TW"/>
    </w:rPr>
  </w:style>
  <w:style w:type="paragraph" w:customStyle="1" w:styleId="14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Table Text"/>
    <w:basedOn w:val="1"/>
    <w:hidden/>
    <w:qFormat/>
    <w:uiPriority w:val="0"/>
    <w:pPr>
      <w:widowControl/>
      <w:kinsoku w:val="0"/>
      <w:autoSpaceDE w:val="0"/>
      <w:autoSpaceDN w:val="0"/>
      <w:adjustRightInd w:val="0"/>
      <w:snapToGrid w:val="0"/>
      <w:jc w:val="left"/>
    </w:pPr>
    <w:rPr>
      <w:rFonts w:hint="eastAsia" w:ascii="宋体" w:hAnsi="宋体"/>
      <w:color w:val="000000"/>
      <w:kern w:val="0"/>
      <w:sz w:val="22"/>
      <w:szCs w:val="22"/>
    </w:rPr>
  </w:style>
  <w:style w:type="character" w:customStyle="1" w:styleId="149">
    <w:name w:val="15"/>
    <w:basedOn w:val="52"/>
    <w:qFormat/>
    <w:uiPriority w:val="0"/>
    <w:rPr>
      <w:rFonts w:hint="default" w:ascii="Times New Roman" w:hAnsi="Times New Roman" w:cs="Times New Roman"/>
    </w:rPr>
  </w:style>
  <w:style w:type="character" w:customStyle="1" w:styleId="150">
    <w:name w:val="16"/>
    <w:basedOn w:val="52"/>
    <w:qFormat/>
    <w:uiPriority w:val="0"/>
    <w:rPr>
      <w:rFonts w:hint="default" w:ascii="Times New Roman" w:hAnsi="Times New Roman" w:cs="Times New Roman"/>
    </w:rPr>
  </w:style>
  <w:style w:type="paragraph" w:customStyle="1" w:styleId="151">
    <w:name w:val="表格-内容"/>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2">
    <w:name w:val="正文一"/>
    <w:qFormat/>
    <w:uiPriority w:val="0"/>
    <w:pPr>
      <w:spacing w:before="120" w:after="120" w:line="360" w:lineRule="auto"/>
    </w:pPr>
    <w:rPr>
      <w:rFonts w:ascii="Times New Roman" w:hAnsi="Times New Roman" w:eastAsia="宋体" w:cs="宋体"/>
      <w:sz w:val="21"/>
      <w:szCs w:val="21"/>
      <w:lang w:val="en-US" w:eastAsia="zh-CN" w:bidi="ar-SA"/>
    </w:rPr>
  </w:style>
  <w:style w:type="paragraph" w:customStyle="1" w:styleId="1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5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5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修订10"/>
    <w:hidden/>
    <w:unhideWhenUsed/>
    <w:qFormat/>
    <w:uiPriority w:val="99"/>
    <w:rPr>
      <w:rFonts w:ascii="Times New Roman" w:hAnsi="Times New Roman" w:eastAsia="宋体" w:cs="Times New Roman"/>
      <w:kern w:val="2"/>
      <w:sz w:val="21"/>
      <w:szCs w:val="24"/>
      <w:lang w:val="en-US" w:eastAsia="zh-CN" w:bidi="ar-SA"/>
    </w:rPr>
  </w:style>
  <w:style w:type="character" w:customStyle="1" w:styleId="162">
    <w:name w:val="font21"/>
    <w:basedOn w:val="52"/>
    <w:qFormat/>
    <w:uiPriority w:val="0"/>
    <w:rPr>
      <w:rFonts w:hint="eastAsia" w:ascii="宋体" w:hAnsi="宋体" w:eastAsia="宋体" w:cs="宋体"/>
      <w:color w:val="000000"/>
      <w:sz w:val="22"/>
      <w:szCs w:val="22"/>
      <w:u w:val="none"/>
    </w:rPr>
  </w:style>
  <w:style w:type="character" w:customStyle="1" w:styleId="163">
    <w:name w:val="font31"/>
    <w:basedOn w:val="52"/>
    <w:qFormat/>
    <w:uiPriority w:val="0"/>
    <w:rPr>
      <w:rFonts w:hint="eastAsia" w:ascii="宋体" w:hAnsi="宋体" w:eastAsia="宋体" w:cs="宋体"/>
      <w:color w:val="FF0000"/>
      <w:sz w:val="22"/>
      <w:szCs w:val="22"/>
      <w:u w:val="none"/>
    </w:rPr>
  </w:style>
  <w:style w:type="character" w:customStyle="1" w:styleId="164">
    <w:name w:val="font01"/>
    <w:basedOn w:val="52"/>
    <w:qFormat/>
    <w:uiPriority w:val="0"/>
    <w:rPr>
      <w:rFonts w:hint="eastAsia" w:ascii="宋体" w:hAnsi="宋体" w:eastAsia="宋体" w:cs="宋体"/>
      <w:color w:val="000000"/>
      <w:sz w:val="22"/>
      <w:szCs w:val="22"/>
      <w:u w:val="none"/>
    </w:rPr>
  </w:style>
  <w:style w:type="paragraph" w:customStyle="1" w:styleId="16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6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68">
    <w:name w:val="font6"/>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16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4B382"/>
      <w:spacing w:before="100" w:beforeAutospacing="1" w:after="100" w:afterAutospacing="1"/>
      <w:jc w:val="center"/>
    </w:pPr>
    <w:rPr>
      <w:rFonts w:ascii="宋体" w:hAnsi="宋体" w:cs="宋体"/>
      <w:kern w:val="0"/>
      <w:sz w:val="18"/>
      <w:szCs w:val="18"/>
    </w:rPr>
  </w:style>
  <w:style w:type="paragraph" w:customStyle="1" w:styleId="17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4B382"/>
      <w:spacing w:before="100" w:beforeAutospacing="1" w:after="100" w:afterAutospacing="1"/>
    </w:pPr>
    <w:rPr>
      <w:rFonts w:ascii="宋体" w:hAnsi="宋体" w:cs="宋体"/>
      <w:kern w:val="0"/>
      <w:sz w:val="18"/>
      <w:szCs w:val="18"/>
    </w:rPr>
  </w:style>
  <w:style w:type="paragraph" w:customStyle="1" w:styleId="17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4B382"/>
      <w:spacing w:before="100" w:beforeAutospacing="1" w:after="100" w:afterAutospacing="1"/>
      <w:jc w:val="center"/>
    </w:pPr>
    <w:rPr>
      <w:rFonts w:ascii="宋体" w:hAnsi="宋体" w:cs="宋体"/>
      <w:kern w:val="0"/>
      <w:sz w:val="18"/>
      <w:szCs w:val="18"/>
    </w:rPr>
  </w:style>
  <w:style w:type="paragraph" w:customStyle="1" w:styleId="17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7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79">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1">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2">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e6603207-1cce-4c9c-ab4d-405d09905b81</errorID>
      <errorWord>上午00:00</errorWord>
      <group>L1_Knowledge</group>
      <groupName>知识性问题</groupName>
      <ability>L2_Time</ability>
      <abilityName>日期时间</abilityName>
      <candidateList/>
      <explain>时间与前缀不匹配，可能的时间前缀有“下午、晚上、凌晨、午夜”。</explain>
      <paraID>2E3CC38B</paraID>
      <start>33</start>
      <end>40</end>
      <status>unmodified</status>
      <modifiedWord/>
      <trackRevisions>false</trackRevisions>
    </reviewItem>
    <reviewItem>
      <errorID>fc7c6e66-d738-4ba5-80b1-1aacb0bed5f1</errorID>
      <errorWord>。。</errorWord>
      <group>L1_Punc</group>
      <groupName>标点问题</groupName>
      <ability>L2_Punc_CN</ability>
      <abilityName/>
      <candidateList>
        <item>。</item>
      </candidateList>
      <explain/>
      <paraID> 1CDD1E9</paraID>
      <start>29</start>
      <end>31</end>
      <status>unmodified</status>
      <modifiedWord/>
      <trackRevisions>false</trackRevisions>
    </reviewItem>
    <reviewItem>
      <errorID>b93eac4f-407c-465c-93ef-277595df21cc</errorID>
      <errorWord>间</errorWord>
      <group>L1_Word</group>
      <groupName>字词问题</groupName>
      <ability>L2_Typo</ability>
      <abilityName>字词错误</abilityName>
      <candidateList>
        <item>间之</item>
      </candidateList>
      <explain/>
      <paraID>5B145B8E</paraID>
      <start>55</start>
      <end>56</end>
      <status>unmodified</status>
      <modifiedWord/>
      <trackRevisions>false</trackRevisions>
    </reviewItem>
    <reviewItem>
      <errorID>364cc9c1-1b32-4774-bea5-614bcaddfbdb</errorID>
      <errorWord>操作合</errorWord>
      <group>L1_Word</group>
      <groupName>字词问题</groupName>
      <ability>L2_Typo</ability>
      <abilityName>字词错误</abilityName>
      <candidateList>
        <item>操作台</item>
      </candidateList>
      <explain/>
      <paraID>650613A7</paraID>
      <start>8</start>
      <end>11</end>
      <status>unmodified</status>
      <modifiedWord/>
      <trackRevisions>false</trackRevisions>
    </reviewItem>
    <reviewItem>
      <errorID>36e4621c-efec-4518-ba92-5bff77318e42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7F068FF7</paraID>
      <start>0</start>
      <end>2</end>
      <status>unmodified</status>
      <modifiedWord/>
      <trackRevisions>false</trackRevisions>
    </reviewItem>
    <reviewItem>
      <errorID>77dd909d-6f9b-4132-8e4a-2126b97ce0f9</errorID>
      <errorWord>供应商替代</errorWord>
      <group>L1_Grammar</group>
      <groupName>语法问题</groupName>
      <ability>L2_Grammar</ability>
      <abilityName>语法错误</abilityName>
      <candidateList>
        <item>供应商</item>
      </candidateList>
      <explain/>
      <paraID>665B946C</paraID>
      <start>74</start>
      <end>79</end>
      <status>unmodified</status>
      <modifiedWord/>
      <trackRevisions>false</trackRevisions>
    </reviewItem>
    <reviewItem>
      <errorID>d0272704-fbe7-4142-a874-031d278320ff</errorID>
      <errorWord>不能负</errorWord>
      <group>L1_Word</group>
      <groupName>字词问题</groupName>
      <ability>L2_Typo</ability>
      <abilityName>字词错误</abilityName>
      <candidateList>
        <item>不允许</item>
      </candidateList>
      <explain/>
      <paraID>4E8D9AA3</paraID>
      <start>34</start>
      <end>37</end>
      <status>unmodified</status>
      <modifiedWord/>
      <trackRevisions>false</trackRevisions>
    </reviewItem>
    <reviewItem>
      <errorID>7dc8c644-f0f6-41ef-a7b0-97e03096be91</errorID>
      <errorWord>安全运</errorWord>
      <group>L1_Word</group>
      <groupName>字词问题</groupName>
      <ability>L2_Typo</ability>
      <abilityName>字词错误</abilityName>
      <candidateList>
        <item>安全</item>
      </candidateList>
      <explain/>
      <paraID>4EBDE1D4</paraID>
      <start>94</start>
      <end>97</end>
      <status>unmodified</status>
      <modifiedWord/>
      <trackRevisions>false</trackRevisions>
    </reviewItem>
    <reviewItem>
      <errorID>dbdab5e1-96fd-49a8-9200-92ec3b869efc</errorID>
      <errorWord>运营</errorWord>
      <group>L1_Word</group>
      <groupName>字词问题</groupName>
      <ability>L2_Typo</ability>
      <abilityName>字词错误</abilityName>
      <candidateList>
        <item>营</item>
      </candidateList>
      <explain/>
      <paraID>4EBDE1D4</paraID>
      <start>97</start>
      <end>99</end>
      <status>unmodified</status>
      <modifiedWord/>
      <trackRevisions>false</trackRevisions>
    </reviewItem>
    <reviewItem>
      <errorID>645acb88-1dd2-4a48-92f6-e3e5c2b1f5b0</errorID>
      <errorWord>体</errorWord>
      <group>L1_Word</group>
      <groupName>字词问题</groupName>
      <ability>L2_Typo</ability>
      <abilityName>字词错误</abilityName>
      <candidateList>
        <item>体化</item>
      </candidateList>
      <explain/>
      <paraID>4EBDE1D4</paraID>
      <start>129</start>
      <end>130</end>
      <status>unmodified</status>
      <modifiedWord/>
      <trackRevisions>false</trackRevisions>
    </reviewItem>
    <reviewItem>
      <errorID>c6548bb8-9f39-4e60-af2e-b311bf90472e</errorID>
      <errorWord>总体</errorWord>
      <group>L1_Word</group>
      <groupName>字词问题</groupName>
      <ability>L2_Typo</ability>
      <abilityName>字词错误</abilityName>
      <candidateList>
        <item> 总体</item>
      </candidateList>
      <explain/>
      <paraID>3FDE6565</paraID>
      <start>2</start>
      <end>4</end>
      <status>unmodified</status>
      <modifiedWord/>
      <trackRevisions>false</trackRevisions>
    </reviewItem>
    <reviewItem>
      <errorID>317bd55b-ec44-48ff-b219-c0a1839ce307</errorID>
      <errorWord>:</errorWord>
      <group>L1_Format</group>
      <groupName>格式问题</groupName>
      <ability>L2_HalfPunc_CN</ability>
      <abilityName/>
      <candidateList>
        <item>：</item>
      </candidateList>
      <explain>文本全半角错误。</explain>
      <paraID>3FDE6565</paraID>
      <start>8</start>
      <end>9</end>
      <status>unmodified</status>
      <modifiedWord/>
      <trackRevisions>false</trackRevisions>
    </reviewItem>
    <reviewItem>
      <errorID>b645b82b-c4fa-4491-95e5-ef638dfe3388</errorID>
      <errorWord>图表</errorWord>
      <group>L1_Word</group>
      <groupName>字词问题</groupName>
      <ability>L2_Typo</ability>
      <abilityName>字词错误</abilityName>
      <candidateList>
        <item> 图表</item>
      </candidateList>
      <explain/>
      <paraID>3FDE6565</paraID>
      <start>34</start>
      <end>36</end>
      <status>unmodified</status>
      <modifiedWord/>
      <trackRevisions>false</trackRevisions>
    </reviewItem>
    <reviewItem>
      <errorID>fee933d6-3bb8-4b5b-b4aa-45a19865b4c6</errorID>
      <errorWord>:</errorWord>
      <group>L1_Format</group>
      <groupName>格式问题</groupName>
      <ability>L2_HalfPunc_CN</ability>
      <abilityName/>
      <candidateList>
        <item>：</item>
      </candidateList>
      <explain>文本全半角错误。</explain>
      <paraID>3FDE6565</paraID>
      <start>38</start>
      <end>39</end>
      <status>unmodified</status>
      <modifiedWord/>
      <trackRevisions>false</trackRevisions>
    </reviewItem>
    <reviewItem>
      <errorID>5310184c-c504-471a-9d4b-c3d2732b2a05</errorID>
      <errorWord>租户</errorWord>
      <group>L1_Word</group>
      <groupName>字词问题</groupName>
      <ability>L2_Typo</ability>
      <abilityName>字词错误</abilityName>
      <candidateList>
        <item> 租户</item>
      </candidateList>
      <explain/>
      <paraID>3FDE6565</paraID>
      <start>90</start>
      <end>92</end>
      <status>unmodified</status>
      <modifiedWord/>
      <trackRevisions>false</trackRevisions>
    </reviewItem>
    <reviewItem>
      <errorID>81ee0db5-6f1e-409c-83c4-6e0e2efeeee9</errorID>
      <errorWord>:</errorWord>
      <group>L1_Format</group>
      <groupName>格式问题</groupName>
      <ability>L2_HalfPunc_CN</ability>
      <abilityName/>
      <candidateList>
        <item>：</item>
      </candidateList>
      <explain>文本全半角错误。</explain>
      <paraID>3FDE6565</paraID>
      <start>94</start>
      <end>95</end>
      <status>unmodified</status>
      <modifiedWord/>
      <trackRevisions>false</trackRevisions>
    </reviewItem>
    <reviewItem>
      <errorID>642a63da-d9a0-4db1-b1d6-2f0900e32ad7</errorID>
      <errorWord>:</errorWord>
      <group>L1_Format</group>
      <groupName>格式问题</groupName>
      <ability>L2_HalfPunc_CN</ability>
      <abilityName/>
      <candidateList>
        <item>：</item>
      </candidateList>
      <explain>文本全半角错误。</explain>
      <paraID>3FDE6565</paraID>
      <start>154</start>
      <end>155</end>
      <status>unmodified</status>
      <modifiedWord/>
      <trackRevisions>false</trackRevisions>
    </reviewItem>
    <reviewItem>
      <errorID>46ba31fb-ab02-49c6-addd-b8ea8edc1a7f</errorID>
      <errorWord>子</errorWord>
      <group>L1_Word</group>
      <groupName>字词问题</groupName>
      <ability>L2_Typo</ability>
      <abilityName>字词错误</abilityName>
      <candidateList>
        <item> 子</item>
      </candidateList>
      <explain/>
      <paraID>3FDE6565</paraID>
      <start>199</start>
      <end>200</end>
      <status>unmodified</status>
      <modifiedWord/>
      <trackRevisions>false</trackRevisions>
    </reviewItem>
    <reviewItem>
      <errorID>92f5d9cb-0f3d-4af8-804b-57244f2b9d41</errorID>
      <errorWord>:</errorWord>
      <group>L1_Format</group>
      <groupName>格式问题</groupName>
      <ability>L2_HalfPunc_CN</ability>
      <abilityName/>
      <candidateList>
        <item>：</item>
      </candidateList>
      <explain>文本全半角错误。</explain>
      <paraID>3FDE6565</paraID>
      <start>206</start>
      <end>207</end>
      <status>unmodified</status>
      <modifiedWord/>
      <trackRevisions>false</trackRevisions>
    </reviewItem>
    <reviewItem>
      <errorID>b5ee57f2-024a-4706-84de-5251e81e926a</errorID>
      <errorWord>数据</errorWord>
      <group>L1_Word</group>
      <groupName>字词问题</groupName>
      <ability>L2_Typo</ability>
      <abilityName>字词错误</abilityName>
      <candidateList>
        <item> 数据</item>
      </candidateList>
      <explain/>
      <paraID>6BAB2BAF</paraID>
      <start>2</start>
      <end>4</end>
      <status>unmodified</status>
      <modifiedWord/>
      <trackRevisions>false</trackRevisions>
    </reviewItem>
    <reviewItem>
      <errorID>8311d24c-3416-4e9f-aff3-9db51ebb347a</errorID>
      <errorWord>:</errorWord>
      <group>L1_Format</group>
      <groupName>格式问题</groupName>
      <ability>L2_HalfPunc_CN</ability>
      <abilityName/>
      <candidateList>
        <item>：</item>
      </candidateList>
      <explain>文本全半角错误。</explain>
      <paraID>6BAB2BAF</paraID>
      <start>8</start>
      <end>9</end>
      <status>unmodified</status>
      <modifiedWord/>
      <trackRevisions>false</trackRevisions>
    </reviewItem>
    <reviewItem>
      <errorID>e2f252fa-2acd-4f6b-a2f5-0e2617e1d0b1</errorID>
      <errorWord>内置</errorWord>
      <group>L1_Word</group>
      <groupName>字词问题</groupName>
      <ability>L2_Typo</ability>
      <abilityName>字词错误</abilityName>
      <candidateList>
        <item> 内置</item>
      </candidateList>
      <explain/>
      <paraID>6BAB2BAF</paraID>
      <start>38</start>
      <end>40</end>
      <status>unmodified</status>
      <modifiedWord/>
      <trackRevisions>false</trackRevisions>
    </reviewItem>
    <reviewItem>
      <errorID>c188bd55-bff0-4d25-a8b5-9c1d6881ea9e</errorID>
      <errorWord>:</errorWord>
      <group>L1_Format</group>
      <groupName>格式问题</groupName>
      <ability>L2_HalfPunc_CN</ability>
      <abilityName/>
      <candidateList>
        <item>：</item>
      </candidateList>
      <explain>文本全半角错误。</explain>
      <paraID>6BAB2BAF</paraID>
      <start>42</start>
      <end>43</end>
      <status>unmodified</status>
      <modifiedWord/>
      <trackRevisions>false</trackRevisions>
    </reviewItem>
    <reviewItem>
      <errorID>7b9775b4-366c-4546-b4c8-ed390624ebcd</errorID>
      <errorWord>风险评价</errorWord>
      <group>L1_Grammar</group>
      <groupName>语法问题</groupName>
      <ability>L2_Grammar</ability>
      <abilityName>语法错误</abilityName>
      <candidateList>
        <item>风险</item>
      </candidateList>
      <explain/>
      <paraID>6BAB2BAF</paraID>
      <start>52</start>
      <end>56</end>
      <status>unmodified</status>
      <modifiedWord/>
      <trackRevisions>false</trackRevisions>
    </reviewItem>
    <reviewItem>
      <errorID>659c1abb-a4c7-4782-b13d-69b6562befac</errorID>
      <errorWord>可视化</errorWord>
      <group>L1_Word</group>
      <groupName>字词问题</groupName>
      <ability>L2_Typo</ability>
      <abilityName>字词错误</abilityName>
      <candidateList>
        <item> 可视化</item>
      </candidateList>
      <explain/>
      <paraID>6BAB2BAF</paraID>
      <start>64</start>
      <end>67</end>
      <status>unmodified</status>
      <modifiedWord/>
      <trackRevisions>false</trackRevisions>
    </reviewItem>
    <reviewItem>
      <errorID>3ff6ee13-1aff-4acb-bc10-3bbec79004cb</errorID>
      <errorWord>:</errorWord>
      <group>L1_Format</group>
      <groupName>格式问题</groupName>
      <ability>L2_HalfPunc_CN</ability>
      <abilityName/>
      <candidateList>
        <item>：</item>
      </candidateList>
      <explain>文本全半角错误。</explain>
      <paraID>6BAB2BAF</paraID>
      <start>69</start>
      <end>70</end>
      <status>unmodified</status>
      <modifiedWord/>
      <trackRevisions>false</trackRevisions>
    </reviewItem>
    <reviewItem>
      <errorID>639ae53c-41ef-47c2-8626-25906e4656bf</errorID>
      <errorWord>:</errorWord>
      <group>L1_Format</group>
      <groupName>格式问题</groupName>
      <ability>L2_HalfPunc_CN</ability>
      <abilityName/>
      <candidateList>
        <item>：</item>
      </candidateList>
      <explain>文本全半角错误。</explain>
      <paraID>461AE4FB</paraID>
      <start>12</start>
      <end>13</end>
      <status>unmodified</status>
      <modifiedWord/>
      <trackRevisions>false</trackRevisions>
    </reviewItem>
    <reviewItem>
      <errorID>4e7c9c25-221b-41ec-ab17-60e8406feb7a</errorID>
      <errorWord>:</errorWord>
      <group>L1_Format</group>
      <groupName>格式问题</groupName>
      <ability>L2_HalfPunc_CN</ability>
      <abilityName/>
      <candidateList>
        <item>：</item>
      </candidateList>
      <explain>文本全半角错误。</explain>
      <paraID>461AE4FB</paraID>
      <start>62</start>
      <end>63</end>
      <status>unmodified</status>
      <modifiedWord/>
      <trackRevisions>false</trackRevisions>
    </reviewItem>
    <reviewItem>
      <errorID>c6fb1b61-06cc-44b6-b8f2-6c9c98ba9c41</errorID>
      <errorWord>:</errorWord>
      <group>L1_Format</group>
      <groupName>格式问题</groupName>
      <ability>L2_HalfPunc_CN</ability>
      <abilityName/>
      <candidateList>
        <item>：</item>
      </candidateList>
      <explain>文本全半角错误。</explain>
      <paraID>461AE4FB</paraID>
      <start>114</start>
      <end>115</end>
      <status>unmodified</status>
      <modifiedWord/>
      <trackRevisions>false</trackRevisions>
    </reviewItem>
    <reviewItem>
      <errorID>6d008f34-20db-4c15-a550-6636a7c3df68</errorID>
      <errorWord>:</errorWord>
      <group>L1_Format</group>
      <groupName>格式问题</groupName>
      <ability>L2_HalfPunc_CN</ability>
      <abilityName/>
      <candidateList>
        <item>：</item>
      </candidateList>
      <explain>文本全半角错误。</explain>
      <paraID>461AE4FB</paraID>
      <start>164</start>
      <end>165</end>
      <status>unmodified</status>
      <modifiedWord/>
      <trackRevisions>false</trackRevisions>
    </reviewItem>
    <reviewItem>
      <errorID>da2fa76b-60ba-4fca-9fd2-53c9a4719683</errorID>
      <errorWord>:</errorWord>
      <group>L1_Format</group>
      <groupName>格式问题</groupName>
      <ability>L2_HalfPunc_CN</ability>
      <abilityName/>
      <candidateList>
        <item>：</item>
      </candidateList>
      <explain>文本全半角错误。</explain>
      <paraID>461AE4FB</paraID>
      <start>318</start>
      <end>319</end>
      <status>unmodified</status>
      <modifiedWord/>
      <trackRevisions>false</trackRevisions>
    </reviewItem>
    <reviewItem>
      <errorID>4fd06cec-4ee7-49ed-a4a8-304091043b33</errorID>
      <errorWord>:</errorWord>
      <group>L1_Format</group>
      <groupName>格式问题</groupName>
      <ability>L2_HalfPunc_CN</ability>
      <abilityName/>
      <candidateList>
        <item>：</item>
      </candidateList>
      <explain>文本全半角错误。</explain>
      <paraID>461AE4FB</paraID>
      <start>385</start>
      <end>386</end>
      <status>unmodified</status>
      <modifiedWord/>
      <trackRevisions>false</trackRevisions>
    </reviewItem>
    <reviewItem>
      <errorID>36911ca3-6cb5-4305-8636-86c1b8fb04e4</errorID>
      <errorWord>靶标</errorWord>
      <group>L1_Grammar</group>
      <groupName>语法问题</groupName>
      <ability>L2_Grammar</ability>
      <abilityName>语法错误</abilityName>
      <candidateList>
        <item>以及靶标</item>
      </candidateList>
      <explain/>
      <paraID>461AE4FB</paraID>
      <start>473</start>
      <end>475</end>
      <status>unmodified</status>
      <modifiedWord/>
      <trackRevisions>false</trackRevisions>
    </reviewItem>
    <reviewItem>
      <errorID>15b87322-4f59-4e25-a699-4602f13eaadb</errorID>
      <errorWord>:</errorWord>
      <group>L1_Format</group>
      <groupName>格式问题</groupName>
      <ability>L2_HalfPunc_CN</ability>
      <abilityName/>
      <candidateList>
        <item>：</item>
      </candidateList>
      <explain>文本全半角错误。</explain>
      <paraID>461AE4FB</paraID>
      <start>515</start>
      <end>516</end>
      <status>unmodified</status>
      <modifiedWord/>
      <trackRevisions>false</trackRevisions>
    </reviewItem>
    <reviewItem>
      <errorID>953e83be-cded-4fa8-8d3a-3744ffd9453b</errorID>
      <errorWord>:</errorWord>
      <group>L1_Format</group>
      <groupName>格式问题</groupName>
      <ability>L2_HalfPunc_CN</ability>
      <abilityName/>
      <candidateList>
        <item>：</item>
      </candidateList>
      <explain>文本全半角错误。</explain>
      <paraID>461AE4FB</paraID>
      <start>566</start>
      <end>567</end>
      <status>unmodified</status>
      <modifiedWord/>
      <trackRevisions>false</trackRevisions>
    </reviewItem>
    <reviewItem>
      <errorID>46b4d1af-c161-451c-beba-c5945347d609</errorID>
      <errorWord>2个</errorWord>
      <group>L1_Word</group>
      <groupName>字词问题</groupName>
      <ability>L2_Typo</ability>
      <abilityName>字词错误</abilityName>
      <candidateList>
        <item>两个</item>
      </candidateList>
      <explain/>
      <paraID>461AE4FB</paraID>
      <start>587</start>
      <end>589</end>
      <status>unmodified</status>
      <modifiedWord/>
      <trackRevisions>false</trackRevisions>
    </reviewItem>
    <reviewItem>
      <errorID>c05c99a3-4c95-4946-a1d6-b2d8d900dd35</errorID>
      <errorWord>:</errorWord>
      <group>L1_Format</group>
      <groupName>格式问题</groupName>
      <ability>L2_HalfPunc_CN</ability>
      <abilityName/>
      <candidateList>
        <item>：</item>
      </candidateList>
      <explain>文本全半角错误。</explain>
      <paraID>461AE4FB</paraID>
      <start>620</start>
      <end>621</end>
      <status>unmodified</status>
      <modifiedWord/>
      <trackRevisions>false</trackRevisions>
    </reviewItem>
    <reviewItem>
      <errorID>37ab0a26-0151-4a47-b1fb-fa07d9a765c7</errorID>
      <errorWord>:</errorWord>
      <group>L1_Format</group>
      <groupName>格式问题</groupName>
      <ability>L2_HalfPunc_CN</ability>
      <abilityName/>
      <candidateList>
        <item>：</item>
      </candidateList>
      <explain>文本全半角错误。</explain>
      <paraID>445203F4</paraID>
      <start>10</start>
      <end>11</end>
      <status>unmodified</status>
      <modifiedWord/>
      <trackRevisions>false</trackRevisions>
    </reviewItem>
    <reviewItem>
      <errorID>93f575de-4aaf-41f1-89cd-af8cd32ee437</errorID>
      <errorWord>:</errorWord>
      <group>L1_Format</group>
      <groupName>格式问题</groupName>
      <ability>L2_HalfPunc_CN</ability>
      <abilityName/>
      <candidateList>
        <item>：</item>
      </candidateList>
      <explain>文本全半角错误。</explain>
      <paraID>445203F4</paraID>
      <start>44</start>
      <end>45</end>
      <status>unmodified</status>
      <modifiedWord/>
      <trackRevisions>false</trackRevisions>
    </reviewItem>
    <reviewItem>
      <errorID>181e29b8-f780-430c-ac0b-669be8a7e108</errorID>
      <errorWord>:</errorWord>
      <group>L1_Format</group>
      <groupName>格式问题</groupName>
      <ability>L2_HalfPunc_CN</ability>
      <abilityName/>
      <candidateList>
        <item>：</item>
      </candidateList>
      <explain>文本全半角错误。</explain>
      <paraID>445203F4</paraID>
      <start>89</start>
      <end>90</end>
      <status>unmodified</status>
      <modifiedWord/>
      <trackRevisions>false</trackRevisions>
    </reviewItem>
    <reviewItem>
      <errorID>e2233098-ef2b-411b-8042-daa2ab58aef7</errorID>
      <errorWord>:</errorWord>
      <group>L1_Format</group>
      <groupName>格式问题</groupName>
      <ability>L2_HalfPunc_CN</ability>
      <abilityName/>
      <candidateList>
        <item>：</item>
      </candidateList>
      <explain>文本全半角错误。</explain>
      <paraID>445203F4</paraID>
      <start>152</start>
      <end>153</end>
      <status>unmodified</status>
      <modifiedWord/>
      <trackRevisions>false</trackRevisions>
    </reviewItem>
    <reviewItem>
      <errorID>deaca470-0aa9-4fd2-9c58-d4306b142450</errorID>
      <errorWord>:</errorWord>
      <group>L1_Format</group>
      <groupName>格式问题</groupName>
      <ability>L2_HalfPunc_CN</ability>
      <abilityName/>
      <candidateList>
        <item>：</item>
      </candidateList>
      <explain>文本全半角错误。</explain>
      <paraID>445203F4</paraID>
      <start>229</start>
      <end>230</end>
      <status>unmodified</status>
      <modifiedWord/>
      <trackRevisions>false</trackRevisions>
    </reviewItem>
    <reviewItem>
      <errorID>d6c766f5-66e7-41d7-95fe-8aabc17f646a</errorID>
      <errorWord>:</errorWord>
      <group>L1_Format</group>
      <groupName>格式问题</groupName>
      <ability>L2_HalfPunc_CN</ability>
      <abilityName/>
      <candidateList>
        <item>：</item>
      </candidateList>
      <explain>文本全半角错误。</explain>
      <paraID>445203F4</paraID>
      <start>278</start>
      <end>279</end>
      <status>unmodified</status>
      <modifiedWord/>
      <trackRevisions>false</trackRevisions>
    </reviewItem>
    <reviewItem>
      <errorID>61ff1e44-5c10-49dd-afcf-d8d134a36336</errorID>
      <errorWord>:</errorWord>
      <group>L1_Format</group>
      <groupName>格式问题</groupName>
      <ability>L2_HalfPunc_CN</ability>
      <abilityName/>
      <candidateList>
        <item>：</item>
      </candidateList>
      <explain>文本全半角错误。</explain>
      <paraID>445203F4</paraID>
      <start>306</start>
      <end>307</end>
      <status>unmodified</status>
      <modifiedWord/>
      <trackRevisions>false</trackRevisions>
    </reviewItem>
    <reviewItem>
      <errorID>ca927cb3-1261-49a1-80f6-7e655b86b2e8</errorID>
      <errorWord>:</errorWord>
      <group>L1_Format</group>
      <groupName>格式问题</groupName>
      <ability>L2_HalfPunc_CN</ability>
      <abilityName/>
      <candidateList>
        <item>：</item>
      </candidateList>
      <explain>文本全半角错误。</explain>
      <paraID>445203F4</paraID>
      <start>332</start>
      <end>333</end>
      <status>unmodified</status>
      <modifiedWord/>
      <trackRevisions>false</trackRevisions>
    </reviewItem>
    <reviewItem>
      <errorID>2680cf69-0974-4e85-b106-e0a16e7636c1</errorID>
      <errorWord>:</errorWord>
      <group>L1_Format</group>
      <groupName>格式问题</groupName>
      <ability>L2_HalfPunc_CN</ability>
      <abilityName/>
      <candidateList>
        <item>：</item>
      </candidateList>
      <explain>文本全半角错误。</explain>
      <paraID>445203F4</paraID>
      <start>360</start>
      <end>361</end>
      <status>unmodified</status>
      <modifiedWord/>
      <trackRevisions>false</trackRevisions>
    </reviewItem>
    <reviewItem>
      <errorID>befe2669-19c8-4301-bbdf-c2f59112e74a</errorID>
      <errorWord>:</errorWord>
      <group>L1_Format</group>
      <groupName>格式问题</groupName>
      <ability>L2_HalfPunc_CN</ability>
      <abilityName/>
      <candidateList>
        <item>：</item>
      </candidateList>
      <explain>文本全半角错误。</explain>
      <paraID>2B956659</paraID>
      <start>10</start>
      <end>11</end>
      <status>unmodified</status>
      <modifiedWord/>
      <trackRevisions>false</trackRevisions>
    </reviewItem>
    <reviewItem>
      <errorID>20343c0f-594f-4f83-9bfa-629883030ddc</errorID>
      <errorWord>:</errorWord>
      <group>L1_Format</group>
      <groupName>格式问题</groupName>
      <ability>L2_HalfPunc_CN</ability>
      <abilityName/>
      <candidateList>
        <item>：</item>
      </candidateList>
      <explain>文本全半角错误。</explain>
      <paraID>2B956659</paraID>
      <start>90</start>
      <end>91</end>
      <status>unmodified</status>
      <modifiedWord/>
      <trackRevisions>false</trackRevisions>
    </reviewItem>
    <reviewItem>
      <errorID>0f64745b-9b3f-4315-953d-2ebd59b71b12</errorID>
      <errorWord>:</errorWord>
      <group>L1_Format</group>
      <groupName>格式问题</groupName>
      <ability>L2_HalfPunc_CN</ability>
      <abilityName/>
      <candidateList>
        <item>：</item>
      </candidateList>
      <explain>文本全半角错误。</explain>
      <paraID>2B956659</paraID>
      <start>167</start>
      <end>168</end>
      <status>unmodified</status>
      <modifiedWord/>
      <trackRevisions>false</trackRevisions>
    </reviewItem>
    <reviewItem>
      <errorID>746cdbb2-0568-4a4e-abf2-5c2d3da175d1</errorID>
      <errorWord>:</errorWord>
      <group>L1_Format</group>
      <groupName>格式问题</groupName>
      <ability>L2_HalfPunc_CN</ability>
      <abilityName/>
      <candidateList>
        <item>：</item>
      </candidateList>
      <explain>文本全半角错误。</explain>
      <paraID>7CE9E351</paraID>
      <start>10</start>
      <end>11</end>
      <status>unmodified</status>
      <modifiedWord/>
      <trackRevisions>false</trackRevisions>
    </reviewItem>
    <reviewItem>
      <errorID>8be24a45-ff9b-4f9f-9149-fbfa61f4f4bc</errorID>
      <errorWord>:</errorWord>
      <group>L1_Format</group>
      <groupName>格式问题</groupName>
      <ability>L2_HalfPunc_CN</ability>
      <abilityName/>
      <candidateList>
        <item>：</item>
      </candidateList>
      <explain>文本全半角错误。</explain>
      <paraID>7CE9E351</paraID>
      <start>42</start>
      <end>43</end>
      <status>unmodified</status>
      <modifiedWord/>
      <trackRevisions>false</trackRevisions>
    </reviewItem>
    <reviewItem>
      <errorID>404831d9-fd09-469c-a93a-f1b56a3300df</errorID>
      <errorWord>:</errorWord>
      <group>L1_Format</group>
      <groupName>格式问题</groupName>
      <ability>L2_HalfPunc_CN</ability>
      <abilityName/>
      <candidateList>
        <item>：</item>
      </candidateList>
      <explain>文本全半角错误。</explain>
      <paraID>7CE9E351</paraID>
      <start>90</start>
      <end>91</end>
      <status>unmodified</status>
      <modifiedWord/>
      <trackRevisions>false</trackRevisions>
    </reviewItem>
    <reviewItem>
      <errorID>894dcefe-d9ea-4c9b-b625-9b78cc5eea8b</errorID>
      <errorWord>:</errorWord>
      <group>L1_Format</group>
      <groupName>格式问题</groupName>
      <ability>L2_HalfPunc_CN</ability>
      <abilityName/>
      <candidateList>
        <item>：</item>
      </candidateList>
      <explain>文本全半角错误。</explain>
      <paraID>7CE9E351</paraID>
      <start>148</start>
      <end>149</end>
      <status>unmodified</status>
      <modifiedWord/>
      <trackRevisions>false</trackRevisions>
    </reviewItem>
    <reviewItem>
      <errorID>34d6e95e-88a8-4c3a-887d-85121710d9e1</errorID>
      <errorWord>:</errorWord>
      <group>L1_Format</group>
      <groupName>格式问题</groupName>
      <ability>L2_HalfPunc_CN</ability>
      <abilityName/>
      <candidateList>
        <item>：</item>
      </candidateList>
      <explain>文本全半角错误。</explain>
      <paraID>7CE9E351</paraID>
      <start>200</start>
      <end>201</end>
      <status>unmodified</status>
      <modifiedWord/>
      <trackRevisions>false</trackRevisions>
    </reviewItem>
    <reviewItem>
      <errorID>b55b7ed2-60da-4e78-8b36-42a2a71c07d4</errorID>
      <errorWord>:</errorWord>
      <group>L1_Format</group>
      <groupName>格式问题</groupName>
      <ability>L2_HalfPunc_CN</ability>
      <abilityName/>
      <candidateList>
        <item>：</item>
      </candidateList>
      <explain>文本全半角错误。</explain>
      <paraID> C702985</paraID>
      <start>8</start>
      <end>9</end>
      <status>unmodified</status>
      <modifiedWord/>
      <trackRevisions>false</trackRevisions>
    </reviewItem>
    <reviewItem>
      <errorID>abe2ed32-c364-4104-a798-4d772696eda9</errorID>
      <errorWord>等安全服务</errorWord>
      <group>L1_Grammar</group>
      <groupName>语法问题</groupName>
      <ability>L2_Grammar</ability>
      <abilityName>语法错误</abilityName>
      <candidateList>
        <item>等</item>
      </candidateList>
      <explain/>
      <paraID> C702985</paraID>
      <start>86</start>
      <end>91</end>
      <status>unmodified</status>
      <modifiedWord/>
      <trackRevisions>false</trackRevisions>
    </reviewItem>
    <reviewItem>
      <errorID>4e727154-86ec-4d62-a9ea-7f1859871e96</errorID>
      <errorWord>:</errorWord>
      <group>L1_Format</group>
      <groupName>格式问题</groupName>
      <ability>L2_HalfPunc_CN</ability>
      <abilityName/>
      <candidateList>
        <item>：</item>
      </candidateList>
      <explain>文本全半角错误。</explain>
      <paraID> C702985</paraID>
      <start>101</start>
      <end>102</end>
      <status>unmodified</status>
      <modifiedWord/>
      <trackRevisions>false</trackRevisions>
    </reviewItem>
    <reviewItem>
      <errorID>b79ac87a-d957-4595-af08-01aff1820588</errorID>
      <errorWord>:</errorWord>
      <group>L1_Format</group>
      <groupName>格式问题</groupName>
      <ability>L2_HalfPunc_CN</ability>
      <abilityName/>
      <candidateList>
        <item>：</item>
      </candidateList>
      <explain>文本全半角错误。</explain>
      <paraID> C702985</paraID>
      <start>159</start>
      <end>160</end>
      <status>unmodified</status>
      <modifiedWord/>
      <trackRevisions>false</trackRevisions>
    </reviewItem>
    <reviewItem>
      <errorID>ae599310-b500-45c4-b4c1-87a351defd9d</errorID>
      <errorWord>:</errorWord>
      <group>L1_Format</group>
      <groupName>格式问题</groupName>
      <ability>L2_HalfPunc_CN</ability>
      <abilityName/>
      <candidateList>
        <item>：</item>
      </candidateList>
      <explain>文本全半角错误。</explain>
      <paraID> C702985</paraID>
      <start>312</start>
      <end>313</end>
      <status>unmodified</status>
      <modifiedWord/>
      <trackRevisions>false</trackRevisions>
    </reviewItem>
    <reviewItem>
      <errorID>03e806f9-6e11-4571-b8dc-d41f05951351</errorID>
      <errorWord>:</errorWord>
      <group>L1_Format</group>
      <groupName>格式问题</groupName>
      <ability>L2_HalfPunc_CN</ability>
      <abilityName/>
      <candidateList>
        <item>：</item>
      </candidateList>
      <explain>文本全半角错误。</explain>
      <paraID> C702985</paraID>
      <start>375</start>
      <end>376</end>
      <status>unmodified</status>
      <modifiedWord/>
      <trackRevisions>false</trackRevisions>
    </reviewItem>
    <reviewItem>
      <errorID>804e1437-378d-4d96-ba26-c6c5a5d94480</errorID>
      <errorWord>:</errorWord>
      <group>L1_Format</group>
      <groupName>格式问题</groupName>
      <ability>L2_HalfPunc_CN</ability>
      <abilityName/>
      <candidateList>
        <item>：</item>
      </candidateList>
      <explain>文本全半角错误。</explain>
      <paraID> C702985</paraID>
      <start>447</start>
      <end>448</end>
      <status>unmodified</status>
      <modifiedWord/>
      <trackRevisions>false</trackRevisions>
    </reviewItem>
    <reviewItem>
      <errorID>cbc7f9b0-b690-4ddb-bedf-175dc889b9da</errorID>
      <errorWord>:</errorWord>
      <group>L1_Format</group>
      <groupName>格式问题</groupName>
      <ability>L2_HalfPunc_CN</ability>
      <abilityName/>
      <candidateList>
        <item>：</item>
      </candidateList>
      <explain>文本全半角错误。</explain>
      <paraID> C702985</paraID>
      <start>555</start>
      <end>556</end>
      <status>unmodified</status>
      <modifiedWord/>
      <trackRevisions>false</trackRevisions>
    </reviewItem>
    <reviewItem>
      <errorID>704be51f-a42f-4181-9dd4-b1fa58aa90a8</errorID>
      <errorWord>:</errorWord>
      <group>L1_Format</group>
      <groupName>格式问题</groupName>
      <ability>L2_HalfPunc_CN</ability>
      <abilityName/>
      <candidateList>
        <item>：</item>
      </candidateList>
      <explain>文本全半角错误。</explain>
      <paraID> C702985</paraID>
      <start>596</start>
      <end>597</end>
      <status>unmodified</status>
      <modifiedWord/>
      <trackRevisions>false</trackRevisions>
    </reviewItem>
    <reviewItem>
      <errorID>38d7d5bc-bde2-4dfe-adf5-56e08032e964</errorID>
      <errorWord>:</errorWord>
      <group>L1_Format</group>
      <groupName>格式问题</groupName>
      <ability>L2_HalfPunc_CN</ability>
      <abilityName/>
      <candidateList>
        <item>：</item>
      </candidateList>
      <explain>文本全半角错误。</explain>
      <paraID> E5B7773</paraID>
      <start>9</start>
      <end>10</end>
      <status>unmodified</status>
      <modifiedWord/>
      <trackRevisions>false</trackRevisions>
    </reviewItem>
    <reviewItem>
      <errorID>7f19793c-fd94-4c2d-9587-634d4655022c</errorID>
      <errorWord>:</errorWord>
      <group>L1_Format</group>
      <groupName>格式问题</groupName>
      <ability>L2_HalfPunc_CN</ability>
      <abilityName/>
      <candidateList>
        <item>：</item>
      </candidateList>
      <explain>文本全半角错误。</explain>
      <paraID> E5B7773</paraID>
      <start>66</start>
      <end>67</end>
      <status>unmodified</status>
      <modifiedWord/>
      <trackRevisions>false</trackRevisions>
    </reviewItem>
    <reviewItem>
      <errorID>727af59c-bf3f-44d4-8dad-d8775348b678</errorID>
      <errorWord>:</errorWord>
      <group>L1_Format</group>
      <groupName>格式问题</groupName>
      <ability>L2_HalfPunc_CN</ability>
      <abilityName/>
      <candidateList>
        <item>：</item>
      </candidateList>
      <explain>文本全半角错误。</explain>
      <paraID> E5B7773</paraID>
      <start>96</start>
      <end>97</end>
      <status>unmodified</status>
      <modifiedWord/>
      <trackRevisions>false</trackRevisions>
    </reviewItem>
    <reviewItem>
      <errorID>5193aeb5-b136-4bcc-b569-612e8704eca3</errorID>
      <errorWord>:</errorWord>
      <group>L1_Format</group>
      <groupName>格式问题</groupName>
      <ability>L2_HalfPunc_CN</ability>
      <abilityName/>
      <candidateList>
        <item>：</item>
      </candidateList>
      <explain>文本全半角错误。</explain>
      <paraID> E5B7773</paraID>
      <start>119</start>
      <end>120</end>
      <status>unmodified</status>
      <modifiedWord/>
      <trackRevisions>false</trackRevisions>
    </reviewItem>
    <reviewItem>
      <errorID>9b17d4be-f74b-434f-94e6-e5659626e42e</errorID>
      <errorWord>:</errorWord>
      <group>L1_Format</group>
      <groupName>格式问题</groupName>
      <ability>L2_HalfPunc_CN</ability>
      <abilityName/>
      <candidateList>
        <item>：</item>
      </candidateList>
      <explain>文本全半角错误。</explain>
      <paraID> E5B7773</paraID>
      <start>173</start>
      <end>174</end>
      <status>unmodified</status>
      <modifiedWord/>
      <trackRevisions>false</trackRevisions>
    </reviewItem>
    <reviewItem>
      <errorID>ab80a7c0-cba4-409f-b5db-25d53b1b8103</errorID>
      <errorWord>:</errorWord>
      <group>L1_Format</group>
      <groupName>格式问题</groupName>
      <ability>L2_HalfPunc_CN</ability>
      <abilityName/>
      <candidateList>
        <item>：</item>
      </candidateList>
      <explain>文本全半角错误。</explain>
      <paraID>235DFC85</paraID>
      <start>7</start>
      <end>8</end>
      <status>unmodified</status>
      <modifiedWord/>
      <trackRevisions>false</trackRevisions>
    </reviewItem>
    <reviewItem>
      <errorID>4670ef1f-91e8-4d46-b142-dbd2cfde89a0</errorID>
      <errorWord>:</errorWord>
      <group>L1_Format</group>
      <groupName>格式问题</groupName>
      <ability>L2_HalfPunc_CN</ability>
      <abilityName/>
      <candidateList>
        <item>：</item>
      </candidateList>
      <explain>文本全半角错误。</explain>
      <paraID>74863B98</paraID>
      <start>8</start>
      <end>9</end>
      <status>unmodified</status>
      <modifiedWord/>
      <trackRevisions>false</trackRevisions>
    </reviewItem>
    <reviewItem>
      <errorID>b797524a-47b7-45a7-93f2-805c33db2e88</errorID>
      <errorWord>:</errorWord>
      <group>L1_Format</group>
      <groupName>格式问题</groupName>
      <ability>L2_HalfPunc_CN</ability>
      <abilityName/>
      <candidateList>
        <item>：</item>
      </candidateList>
      <explain>文本全半角错误。</explain>
      <paraID>22DCBB54</paraID>
      <start>10</start>
      <end>11</end>
      <status>unmodified</status>
      <modifiedWord/>
      <trackRevisions>false</trackRevisions>
    </reviewItem>
    <reviewItem>
      <errorID>5a2cdc98-a11d-4222-87ac-4d3f5a512c7c</errorID>
      <errorWord>:</errorWord>
      <group>L1_Format</group>
      <groupName>格式问题</groupName>
      <ability>L2_HalfPunc_CN</ability>
      <abilityName/>
      <candidateList>
        <item>：</item>
      </candidateList>
      <explain>文本全半角错误。</explain>
      <paraID>22DCBB54</paraID>
      <start>118</start>
      <end>119</end>
      <status>unmodified</status>
      <modifiedWord/>
      <trackRevisions>false</trackRevisions>
    </reviewItem>
    <reviewItem>
      <errorID>12e77d3e-fb7a-4c59-9744-3c7a0d30dfcd</errorID>
      <errorWord>:</errorWord>
      <group>L1_Format</group>
      <groupName>格式问题</groupName>
      <ability>L2_HalfPunc_CN</ability>
      <abilityName/>
      <candidateList>
        <item>：</item>
      </candidateList>
      <explain>文本全半角错误。</explain>
      <paraID>22DCBB54</paraID>
      <start>166</start>
      <end>167</end>
      <status>unmodified</status>
      <modifiedWord/>
      <trackRevisions>false</trackRevisions>
    </reviewItem>
    <reviewItem>
      <errorID>de314510-f84e-43dd-bb96-02c5a258a94c</errorID>
      <errorWord>:</errorWord>
      <group>L1_Format</group>
      <groupName>格式问题</groupName>
      <ability>L2_HalfPunc_CN</ability>
      <abilityName/>
      <candidateList>
        <item>：</item>
      </candidateList>
      <explain>文本全半角错误。</explain>
      <paraID>22DCBB54</paraID>
      <start>227</start>
      <end>228</end>
      <status>unmodified</status>
      <modifiedWord/>
      <trackRevisions>false</trackRevisions>
    </reviewItem>
    <reviewItem>
      <errorID>281731ef-b607-4596-aa85-a4d18326361d</errorID>
      <errorWord>:</errorWord>
      <group>L1_Format</group>
      <groupName>格式问题</groupName>
      <ability>L2_HalfPunc_CN</ability>
      <abilityName/>
      <candidateList>
        <item>：</item>
      </candidateList>
      <explain>文本全半角错误。</explain>
      <paraID>22DCBB54</paraID>
      <start>308</start>
      <end>309</end>
      <status>unmodified</status>
      <modifiedWord/>
      <trackRevisions>false</trackRevisions>
    </reviewItem>
    <reviewItem>
      <errorID>5542ee3d-0644-4491-b4a0-b9aef21e2b47</errorID>
      <errorWord>:</errorWord>
      <group>L1_Format</group>
      <groupName>格式问题</groupName>
      <ability>L2_HalfPunc_CN</ability>
      <abilityName/>
      <candidateList>
        <item>：</item>
      </candidateList>
      <explain>文本全半角错误。</explain>
      <paraID>710C343F</paraID>
      <start>8</start>
      <end>9</end>
      <status>unmodified</status>
      <modifiedWord/>
      <trackRevisions>false</trackRevisions>
    </reviewItem>
    <reviewItem>
      <errorID>8bd6c3fc-4ad7-496d-9772-553be2b1f110</errorID>
      <errorWord>:</errorWord>
      <group>L1_Format</group>
      <groupName>格式问题</groupName>
      <ability>L2_HalfPunc_CN</ability>
      <abilityName/>
      <candidateList>
        <item>：</item>
      </candidateList>
      <explain>文本全半角错误。</explain>
      <paraID>710C343F</paraID>
      <start>40</start>
      <end>41</end>
      <status>unmodified</status>
      <modifiedWord/>
      <trackRevisions>false</trackRevisions>
    </reviewItem>
    <reviewItem>
      <errorID>c79366c8-967c-4a81-8857-412d2b238a4a</errorID>
      <errorWord>:</errorWord>
      <group>L1_Format</group>
      <groupName>格式问题</groupName>
      <ability>L2_HalfPunc_CN</ability>
      <abilityName/>
      <candidateList>
        <item>：</item>
      </candidateList>
      <explain>文本全半角错误。</explain>
      <paraID>710C343F</paraID>
      <start>208</start>
      <end>209</end>
      <status>unmodified</status>
      <modifiedWord/>
      <trackRevisions>false</trackRevisions>
    </reviewItem>
    <reviewItem>
      <errorID>c45d3985-7e85-4d6c-b7ce-ea32fe2df178</errorID>
      <errorWord>:</errorWord>
      <group>L1_Format</group>
      <groupName>格式问题</groupName>
      <ability>L2_HalfPunc_CN</ability>
      <abilityName/>
      <candidateList>
        <item>：</item>
      </candidateList>
      <explain>文本全半角错误。</explain>
      <paraID>710C343F</paraID>
      <start>289</start>
      <end>290</end>
      <status>unmodified</status>
      <modifiedWord/>
      <trackRevisions>false</trackRevisions>
    </reviewItem>
    <reviewItem>
      <errorID>07a38120-d3f0-4394-8a8f-37124cfd2668</errorID>
      <errorWord>:</errorWord>
      <group>L1_Format</group>
      <groupName>格式问题</groupName>
      <ability>L2_HalfPunc_CN</ability>
      <abilityName/>
      <candidateList>
        <item>：</item>
      </candidateList>
      <explain>文本全半角错误。</explain>
      <paraID> E95FE89</paraID>
      <start>9</start>
      <end>10</end>
      <status>unmodified</status>
      <modifiedWord/>
      <trackRevisions>false</trackRevisions>
    </reviewItem>
    <reviewItem>
      <errorID>ebed2f42-f9e1-4886-9fa0-d986af027b44</errorID>
      <errorWord>:</errorWord>
      <group>L1_Format</group>
      <groupName>格式问题</groupName>
      <ability>L2_HalfPunc_CN</ability>
      <abilityName/>
      <candidateList>
        <item>：</item>
      </candidateList>
      <explain>文本全半角错误。</explain>
      <paraID> E95FE89</paraID>
      <start>123</start>
      <end>124</end>
      <status>unmodified</status>
      <modifiedWord/>
      <trackRevisions>false</trackRevisions>
    </reviewItem>
    <reviewItem>
      <errorID>1cfa9ff3-09e2-4ec2-9e90-b4ef336f6ca9</errorID>
      <errorWord>:</errorWord>
      <group>L1_Format</group>
      <groupName>格式问题</groupName>
      <ability>L2_HalfPunc_CN</ability>
      <abilityName/>
      <candidateList>
        <item>：</item>
      </candidateList>
      <explain>文本全半角错误。</explain>
      <paraID> E95FE89</paraID>
      <start>233</start>
      <end>234</end>
      <status>unmodified</status>
      <modifiedWord/>
      <trackRevisions>false</trackRevisions>
    </reviewItem>
    <reviewItem>
      <errorID>2a44168c-267f-4182-9833-ffb5d4f2c136</errorID>
      <errorWord>:</errorWord>
      <group>L1_Format</group>
      <groupName>格式问题</groupName>
      <ability>L2_HalfPunc_CN</ability>
      <abilityName/>
      <candidateList>
        <item>：</item>
      </candidateList>
      <explain>文本全半角错误。</explain>
      <paraID> E95FE89</paraID>
      <start>327</start>
      <end>328</end>
      <status>unmodified</status>
      <modifiedWord/>
      <trackRevisions>false</trackRevisions>
    </reviewItem>
    <reviewItem>
      <errorID>922369aa-f463-473e-af1f-a532e551ce06</errorID>
      <errorWord>:</errorWord>
      <group>L1_Format</group>
      <groupName>格式问题</groupName>
      <ability>L2_HalfPunc_CN</ability>
      <abilityName/>
      <candidateList>
        <item>：</item>
      </candidateList>
      <explain>文本全半角错误。</explain>
      <paraID> E95FE89</paraID>
      <start>393</start>
      <end>394</end>
      <status>unmodified</status>
      <modifiedWord/>
      <trackRevisions>false</trackRevisions>
    </reviewItem>
    <reviewItem>
      <errorID>1cd3f7b9-c3b6-4c46-90dd-7947b5da23e2</errorID>
      <errorWord>:</errorWord>
      <group>L1_Format</group>
      <groupName>格式问题</groupName>
      <ability>L2_HalfPunc_CN</ability>
      <abilityName/>
      <candidateList>
        <item>：</item>
      </candidateList>
      <explain>文本全半角错误。</explain>
      <paraID> E95FE89</paraID>
      <start>599</start>
      <end>600</end>
      <status>unmodified</status>
      <modifiedWord/>
      <trackRevisions>false</trackRevisions>
    </reviewItem>
    <reviewItem>
      <errorID>6e795916-216e-40ed-9551-04931e50d659</errorID>
      <errorWord>相应</errorWord>
      <group>L1_Word</group>
      <groupName>字词问题</groupName>
      <ability>L2_Typo</ability>
      <abilityName>字词错误</abilityName>
      <candidateList>
        <item>响应</item>
      </candidateList>
      <explain>存在发音相同字词的误用。</explain>
      <paraID> E95FE89</paraID>
      <start>600</start>
      <end>602</end>
      <status>unmodified</status>
      <modifiedWord/>
      <trackRevisions>false</trackRevisions>
    </reviewItem>
    <reviewItem>
      <errorID>41498ef0-64e3-4a4c-92ae-9b61d4e71b9c</errorID>
      <errorWord>:</errorWord>
      <group>L1_Format</group>
      <groupName>格式问题</groupName>
      <ability>L2_HalfPunc_CN</ability>
      <abilityName/>
      <candidateList>
        <item>：</item>
      </candidateList>
      <explain>文本全半角错误。</explain>
      <paraID> E95FE89</paraID>
      <start>653</start>
      <end>654</end>
      <status>unmodified</status>
      <modifiedWord/>
      <trackRevisions>false</trackRevisions>
    </reviewItem>
    <reviewItem>
      <errorID>4acca1da-8df7-459f-a14d-cdb3514d90a2</errorID>
      <errorWord>:</errorWord>
      <group>L1_Format</group>
      <groupName>格式问题</groupName>
      <ability>L2_HalfPunc_CN</ability>
      <abilityName/>
      <candidateList>
        <item>：</item>
      </candidateList>
      <explain>文本全半角错误。</explain>
      <paraID> E95FE89</paraID>
      <start>676</start>
      <end>677</end>
      <status>unmodified</status>
      <modifiedWord/>
      <trackRevisions>false</trackRevisions>
    </reviewItem>
    <reviewItem>
      <errorID>331bd806-e520-4481-b614-cb85a0ec7ad6</errorID>
      <errorWord>:</errorWord>
      <group>L1_Format</group>
      <groupName>格式问题</groupName>
      <ability>L2_HalfPunc_CN</ability>
      <abilityName/>
      <candidateList>
        <item>：</item>
      </candidateList>
      <explain>文本全半角错误。</explain>
      <paraID> E95FE89</paraID>
      <start>706</start>
      <end>707</end>
      <status>unmodified</status>
      <modifiedWord/>
      <trackRevisions>false</trackRevisions>
    </reviewItem>
    <reviewItem>
      <errorID>0f4e594d-124e-4f1a-b3c3-a0907a7400fa</errorID>
      <errorWord>:</errorWord>
      <group>L1_Format</group>
      <groupName>格式问题</groupName>
      <ability>L2_HalfPunc_CN</ability>
      <abilityName/>
      <candidateList>
        <item>：</item>
      </candidateList>
      <explain>文本全半角错误。</explain>
      <paraID> E95FE89</paraID>
      <start>774</start>
      <end>775</end>
      <status>unmodified</status>
      <modifiedWord/>
      <trackRevisions>false</trackRevisions>
    </reviewItem>
    <reviewItem>
      <errorID>c41fc7b6-e3b7-4b88-aca1-f3d3c2168988</errorID>
      <errorWord>:</errorWord>
      <group>L1_Format</group>
      <groupName>格式问题</groupName>
      <ability>L2_HalfPunc_CN</ability>
      <abilityName/>
      <candidateList>
        <item>：</item>
      </candidateList>
      <explain>文本全半角错误。</explain>
      <paraID> E95FE89</paraID>
      <start>833</start>
      <end>834</end>
      <status>unmodified</status>
      <modifiedWord/>
      <trackRevisions>false</trackRevisions>
    </reviewItem>
    <reviewItem>
      <errorID>d1da88e4-4243-45f6-85e7-a76034371811</errorID>
      <errorWord>:</errorWord>
      <group>L1_Format</group>
      <groupName>格式问题</groupName>
      <ability>L2_HalfPunc_CN</ability>
      <abilityName/>
      <candidateList>
        <item>：</item>
      </candidateList>
      <explain>文本全半角错误。</explain>
      <paraID> E95FE89</paraID>
      <start>901</start>
      <end>902</end>
      <status>unmodified</status>
      <modifiedWord/>
      <trackRevisions>false</trackRevisions>
    </reviewItem>
    <reviewItem>
      <errorID>7d434164-095b-4b69-b7e0-218967ddd133</errorID>
      <errorWord>进行统计</errorWord>
      <group>L1_Grammar</group>
      <groupName>语法问题</groupName>
      <ability>L2_Grammar</ability>
      <abilityName>语法错误</abilityName>
      <candidateList>
        <item>进行</item>
      </candidateList>
      <explain/>
      <paraID> E95FE89</paraID>
      <start>1129</start>
      <end>1133</end>
      <status>unmodified</status>
      <modifiedWord/>
      <trackRevisions>false</trackRevisions>
    </reviewItem>
    <reviewItem>
      <errorID>9c1b65cb-4996-47a3-97ea-0f466a4a0144</errorID>
      <errorWord>，</errorWord>
      <group>L1_Word</group>
      <groupName>字词问题</groupName>
      <ability>L2_Typo</ability>
      <abilityName>字词错误</abilityName>
      <candidateList>
        <item>，有</item>
      </candidateList>
      <explain/>
      <paraID> E95FE89</paraID>
      <start>1167</start>
      <end>1168</end>
      <status>unmodified</status>
      <modifiedWord/>
      <trackRevisions>false</trackRevisions>
    </reviewItem>
    <reviewItem>
      <errorID>41cb579f-352f-4d98-9d29-37aa59094f85</errorID>
      <errorWord>:</errorWord>
      <group>L1_Format</group>
      <groupName>格式问题</groupName>
      <ability>L2_HalfPunc_CN</ability>
      <abilityName/>
      <candidateList>
        <item>：</item>
      </candidateList>
      <explain>文本全半角错误。</explain>
      <paraID> 13D52AD</paraID>
      <start>7</start>
      <end>8</end>
      <status>unmodified</status>
      <modifiedWord/>
      <trackRevisions>false</trackRevisions>
    </reviewItem>
    <reviewItem>
      <errorID>00048421-a2a2-4a9a-96e5-889b96e0db9d</errorID>
      <errorWord>通讯</errorWord>
      <group>L1_Word</group>
      <groupName>字词问题</groupName>
      <ability>L2_Typo</ability>
      <abilityName>字词错误</abilityName>
      <candidateList>
        <item>通信</item>
      </candidateList>
      <explain/>
      <paraID> 13D52AD</paraID>
      <start>12</start>
      <end>14</end>
      <status>unmodified</status>
      <modifiedWord/>
      <trackRevisions>false</trackRevisions>
    </reviewItem>
    <reviewItem>
      <errorID>ed613e37-05b5-4863-916d-9c46a1ab7558</errorID>
      <errorWord>:</errorWord>
      <group>L1_Format</group>
      <groupName>格式问题</groupName>
      <ability>L2_HalfPunc_CN</ability>
      <abilityName/>
      <candidateList>
        <item>：</item>
      </candidateList>
      <explain>文本全半角错误。</explain>
      <paraID> 13D52AD</paraID>
      <start>62</start>
      <end>63</end>
      <status>unmodified</status>
      <modifiedWord/>
      <trackRevisions>false</trackRevisions>
    </reviewItem>
    <reviewItem>
      <errorID>582da25d-8f2a-455a-b9c6-367f26aafa1e</errorID>
      <errorWord>:</errorWord>
      <group>L1_Format</group>
      <groupName>格式问题</groupName>
      <ability>L2_HalfPunc_CN</ability>
      <abilityName/>
      <candidateList>
        <item>：</item>
      </candidateList>
      <explain>文本全半角错误。</explain>
      <paraID> 13D52AD</paraID>
      <start>108</start>
      <end>109</end>
      <status>unmodified</status>
      <modifiedWord/>
      <trackRevisions>false</trackRevisions>
    </reviewItem>
    <reviewItem>
      <errorID>ea91d1bd-c301-4209-8428-d02c5e07e697</errorID>
      <errorWord>:</errorWord>
      <group>L1_Format</group>
      <groupName>格式问题</groupName>
      <ability>L2_HalfPunc_CN</ability>
      <abilityName/>
      <candidateList>
        <item>：</item>
      </candidateList>
      <explain>文本全半角错误。</explain>
      <paraID> 13D52AD</paraID>
      <start>178</start>
      <end>179</end>
      <status>unmodified</status>
      <modifiedWord/>
      <trackRevisions>false</trackRevisions>
    </reviewItem>
    <reviewItem>
      <errorID>826ac1b3-c7f1-49e8-852f-731d2ad389b6</errorID>
      <errorWord>:</errorWord>
      <group>L1_Format</group>
      <groupName>格式问题</groupName>
      <ability>L2_HalfPunc_CN</ability>
      <abilityName/>
      <candidateList>
        <item>：</item>
      </candidateList>
      <explain>文本全半角错误。</explain>
      <paraID> 13D52AD</paraID>
      <start>227</start>
      <end>228</end>
      <status>unmodified</status>
      <modifiedWord/>
      <trackRevisions>false</trackRevisions>
    </reviewItem>
    <reviewItem>
      <errorID>ce8b770e-49e4-4654-87fa-5fa8b39bf29e</errorID>
      <errorWord>:</errorWord>
      <group>L1_Format</group>
      <groupName>格式问题</groupName>
      <ability>L2_HalfPunc_CN</ability>
      <abilityName/>
      <candidateList>
        <item>：</item>
      </candidateList>
      <explain>文本全半角错误。</explain>
      <paraID> 13D52AD</paraID>
      <start>281</start>
      <end>282</end>
      <status>unmodified</status>
      <modifiedWord/>
      <trackRevisions>false</trackRevisions>
    </reviewItem>
    <reviewItem>
      <errorID>d7b36f75-5259-4429-a943-adeb6f0c51d0</errorID>
      <errorWord>:</errorWord>
      <group>L1_Format</group>
      <groupName>格式问题</groupName>
      <ability>L2_HalfPunc_CN</ability>
      <abilityName/>
      <candidateList>
        <item>：</item>
      </candidateList>
      <explain>文本全半角错误。</explain>
      <paraID>1B402167</paraID>
      <start>12</start>
      <end>13</end>
      <status>unmodified</status>
      <modifiedWord/>
      <trackRevisions>false</trackRevisions>
    </reviewItem>
    <reviewItem>
      <errorID>a609fbd8-956e-43f5-960a-832ee94e786c</errorID>
      <errorWord>:</errorWord>
      <group>L1_Format</group>
      <groupName>格式问题</groupName>
      <ability>L2_HalfPunc_CN</ability>
      <abilityName/>
      <candidateList>
        <item>：</item>
      </candidateList>
      <explain>文本全半角错误。</explain>
      <paraID>1B402167</paraID>
      <start>49</start>
      <end>50</end>
      <status>unmodified</status>
      <modifiedWord/>
      <trackRevisions>false</trackRevisions>
    </reviewItem>
    <reviewItem>
      <errorID>0d28469b-bb99-4366-876b-47cda080e87e</errorID>
      <errorWord>:</errorWord>
      <group>L1_Format</group>
      <groupName>格式问题</groupName>
      <ability>L2_HalfPunc_CN</ability>
      <abilityName/>
      <candidateList>
        <item>：</item>
      </candidateList>
      <explain>文本全半角错误。</explain>
      <paraID>1B402167</paraID>
      <start>85</start>
      <end>86</end>
      <status>unmodified</status>
      <modifiedWord/>
      <trackRevisions>false</trackRevisions>
    </reviewItem>
    <reviewItem>
      <errorID>747fdf6e-b65b-4356-9d9c-dd2fb46d37ae</errorID>
      <errorWord>:</errorWord>
      <group>L1_Format</group>
      <groupName>格式问题</groupName>
      <ability>L2_HalfPunc_CN</ability>
      <abilityName/>
      <candidateList>
        <item>：</item>
      </candidateList>
      <explain>文本全半角错误。</explain>
      <paraID>1B402167</paraID>
      <start>129</start>
      <end>130</end>
      <status>unmodified</status>
      <modifiedWord/>
      <trackRevisions>false</trackRevisions>
    </reviewItem>
    <reviewItem>
      <errorID>47d83826-20cc-43c2-9630-d61a9ae9ece8</errorID>
      <errorWord>:</errorWord>
      <group>L1_Format</group>
      <groupName>格式问题</groupName>
      <ability>L2_HalfPunc_CN</ability>
      <abilityName/>
      <candidateList>
        <item>：</item>
      </candidateList>
      <explain>文本全半角错误。</explain>
      <paraID>1B402167</paraID>
      <start>176</start>
      <end>177</end>
      <status>unmodified</status>
      <modifiedWord/>
      <trackRevisions>false</trackRevisions>
    </reviewItem>
    <reviewItem>
      <errorID>6deca156-4f74-4b6d-b2d1-62e1a8ab71c5</errorID>
      <errorWord>:</errorWord>
      <group>L1_Format</group>
      <groupName>格式问题</groupName>
      <ability>L2_HalfPunc_CN</ability>
      <abilityName/>
      <candidateList>
        <item>：</item>
      </candidateList>
      <explain>文本全半角错误。</explain>
      <paraID>1B402167</paraID>
      <start>207</start>
      <end>208</end>
      <status>unmodified</status>
      <modifiedWord/>
      <trackRevisions>false</trackRevisions>
    </reviewItem>
    <reviewItem>
      <errorID>379a47c2-1e34-4fb8-baf0-33b667a2a24e</errorID>
      <errorWord>:</errorWord>
      <group>L1_Format</group>
      <groupName>格式问题</groupName>
      <ability>L2_HalfPunc_CN</ability>
      <abilityName/>
      <candidateList>
        <item>：</item>
      </candidateList>
      <explain>文本全半角错误。</explain>
      <paraID>1B402167</paraID>
      <start>255</start>
      <end>256</end>
      <status>unmodified</status>
      <modifiedWord/>
      <trackRevisions>false</trackRevisions>
    </reviewItem>
    <reviewItem>
      <errorID>4fd2487b-56e7-4068-8a49-96e344e55340</errorID>
      <errorWord>:</errorWord>
      <group>L1_Format</group>
      <groupName>格式问题</groupName>
      <ability>L2_HalfPunc_CN</ability>
      <abilityName/>
      <candidateList>
        <item>：</item>
      </candidateList>
      <explain>文本全半角错误。</explain>
      <paraID>74281D8C</paraID>
      <start>12</start>
      <end>13</end>
      <status>unmodified</status>
      <modifiedWord/>
      <trackRevisions>false</trackRevisions>
    </reviewItem>
    <reviewItem>
      <errorID>5f333257-c98f-4d6e-aa33-c5b8697327b5</errorID>
      <errorWord>:</errorWord>
      <group>L1_Format</group>
      <groupName>格式问题</groupName>
      <ability>L2_HalfPunc_CN</ability>
      <abilityName/>
      <candidateList>
        <item>：</item>
      </candidateList>
      <explain>文本全半角错误。</explain>
      <paraID>74281D8C</paraID>
      <start>43</start>
      <end>44</end>
      <status>unmodified</status>
      <modifiedWord/>
      <trackRevisions>false</trackRevisions>
    </reviewItem>
    <reviewItem>
      <errorID>da7e39e0-4e5a-4607-b61e-a5798de09b7f</errorID>
      <errorWord>用户</errorWord>
      <group>L1_Word</group>
      <groupName>字词问题</groupName>
      <ability>L2_Typo</ability>
      <abilityName>字词错误</abilityName>
      <candidateList>
        <item>向用户</item>
      </candidateList>
      <explain/>
      <paraID>74281D8C</paraID>
      <start>51</start>
      <end>53</end>
      <status>unmodified</status>
      <modifiedWord/>
      <trackRevisions>false</trackRevisions>
    </reviewItem>
    <reviewItem>
      <errorID>7cf55641-06b7-46f3-830c-b85d91a463cd</errorID>
      <errorWord>:</errorWord>
      <group>L1_Format</group>
      <groupName>格式问题</groupName>
      <ability>L2_HalfPunc_CN</ability>
      <abilityName/>
      <candidateList>
        <item>：</item>
      </candidateList>
      <explain>文本全半角错误。</explain>
      <paraID>74281D8C</paraID>
      <start>132</start>
      <end>133</end>
      <status>unmodified</status>
      <modifiedWord/>
      <trackRevisions>false</trackRevisions>
    </reviewItem>
    <reviewItem>
      <errorID>6439046c-d151-4ce8-ba54-d925e91c50b9</errorID>
      <errorWord>形式实现</errorWord>
      <group>L1_Grammar</group>
      <groupName>语法问题</groupName>
      <ability>L2_Grammar</ability>
      <abilityName>语法错误</abilityName>
      <candidateList>
        <item>形式</item>
      </candidateList>
      <explain/>
      <paraID>74281D8C</paraID>
      <start>141</start>
      <end>145</end>
      <status>unmodified</status>
      <modifiedWord/>
      <trackRevisions>false</trackRevisions>
    </reviewItem>
    <reviewItem>
      <errorID>07a8d974-784c-43ff-96f0-9dff4c064b47</errorID>
      <errorWord>实现</errorWord>
      <group>L1_Word</group>
      <groupName>字词问题</groupName>
      <ability>L2_Typo</ability>
      <abilityName>字词错误</abilityName>
      <candidateList>
        <item>展示</item>
      </candidateList>
      <explain/>
      <paraID>74281D8C</paraID>
      <start>201</start>
      <end>203</end>
      <status>unmodified</status>
      <modifiedWord/>
      <trackRevisions>false</trackRevisions>
    </reviewItem>
    <reviewItem>
      <errorID>fd256a23-67f9-4569-a348-341633627f66</errorID>
      <errorWord>:</errorWord>
      <group>L1_Format</group>
      <groupName>格式问题</groupName>
      <ability>L2_HalfPunc_CN</ability>
      <abilityName/>
      <candidateList>
        <item>：</item>
      </candidateList>
      <explain>文本全半角错误。</explain>
      <paraID>74281D8C</paraID>
      <start>296</start>
      <end>297</end>
      <status>unmodified</status>
      <modifiedWord/>
      <trackRevisions>false</trackRevisions>
    </reviewItem>
    <reviewItem>
      <errorID>d30654c5-b952-43fe-91ec-a66ec7a2db1f</errorID>
      <errorWord>:</errorWord>
      <group>L1_Format</group>
      <groupName>格式问题</groupName>
      <ability>L2_HalfPunc_CN</ability>
      <abilityName/>
      <candidateList>
        <item>：</item>
      </candidateList>
      <explain>文本全半角错误。</explain>
      <paraID>74281D8C</paraID>
      <start>364</start>
      <end>365</end>
      <status>unmodified</status>
      <modifiedWord/>
      <trackRevisions>false</trackRevisions>
    </reviewItem>
    <reviewItem>
      <errorID>2701d786-86c3-4319-a55a-b18b5d584064</errorID>
      <errorWord>:</errorWord>
      <group>L1_Format</group>
      <groupName>格式问题</groupName>
      <ability>L2_HalfPunc_CN</ability>
      <abilityName/>
      <candidateList>
        <item>：</item>
      </candidateList>
      <explain>文本全半角错误。</explain>
      <paraID>74281D8C</paraID>
      <start>447</start>
      <end>448</end>
      <status>unmodified</status>
      <modifiedWord/>
      <trackRevisions>false</trackRevisions>
    </reviewItem>
    <reviewItem>
      <errorID>826cd447-9d8a-49a7-aab5-8731646d5729</errorID>
      <errorWord>:</errorWord>
      <group>L1_Format</group>
      <groupName>格式问题</groupName>
      <ability>L2_HalfPunc_CN</ability>
      <abilityName/>
      <candidateList>
        <item>：</item>
      </candidateList>
      <explain>文本全半角错误。</explain>
      <paraID>74281D8C</paraID>
      <start>474</start>
      <end>475</end>
      <status>unmodified</status>
      <modifiedWord/>
      <trackRevisions>false</trackRevisions>
    </reviewItem>
    <reviewItem>
      <errorID>7df66409-33e4-4ee3-8b06-c414c1861e82</errorID>
      <errorWord>:</errorWord>
      <group>L1_Format</group>
      <groupName>格式问题</groupName>
      <ability>L2_HalfPunc_CN</ability>
      <abilityName/>
      <candidateList>
        <item>：</item>
      </candidateList>
      <explain>文本全半角错误。</explain>
      <paraID>74281D8C</paraID>
      <start>539</start>
      <end>540</end>
      <status>unmodified</status>
      <modifiedWord/>
      <trackRevisions>false</trackRevisions>
    </reviewItem>
    <reviewItem>
      <errorID>770eec99-a4ca-4bb2-b7ad-527c5f750e1a</errorID>
      <errorWord>:</errorWord>
      <group>L1_Format</group>
      <groupName>格式问题</groupName>
      <ability>L2_HalfPunc_CN</ability>
      <abilityName/>
      <candidateList>
        <item>：</item>
      </candidateList>
      <explain>文本全半角错误。</explain>
      <paraID>74281D8C</paraID>
      <start>599</start>
      <end>600</end>
      <status>unmodified</status>
      <modifiedWord/>
      <trackRevisions>false</trackRevisions>
    </reviewItem>
    <reviewItem>
      <errorID>efee5288-f193-4d07-8d6f-cfce70d229ac</errorID>
      <errorWord>:</errorWord>
      <group>L1_Format</group>
      <groupName>格式问题</groupName>
      <ability>L2_HalfPunc_CN</ability>
      <abilityName/>
      <candidateList>
        <item>：</item>
      </candidateList>
      <explain>文本全半角错误。</explain>
      <paraID>74281D8C</paraID>
      <start>634</start>
      <end>635</end>
      <status>unmodified</status>
      <modifiedWord/>
      <trackRevisions>false</trackRevisions>
    </reviewItem>
    <reviewItem>
      <errorID>feffe56e-4527-41f2-bdb0-fbf925f3abe3</errorID>
      <errorWord>:</errorWord>
      <group>L1_Format</group>
      <groupName>格式问题</groupName>
      <ability>L2_HalfPunc_CN</ability>
      <abilityName/>
      <candidateList>
        <item>：</item>
      </candidateList>
      <explain>文本全半角错误。</explain>
      <paraID>74281D8C</paraID>
      <start>755</start>
      <end>756</end>
      <status>unmodified</status>
      <modifiedWord/>
      <trackRevisions>false</trackRevisions>
    </reviewItem>
    <reviewItem>
      <errorID>9447933e-e216-4627-b3ef-bdec7e40ba47</errorID>
      <errorWord>:</errorWord>
      <group>L1_Format</group>
      <groupName>格式问题</groupName>
      <ability>L2_HalfPunc_CN</ability>
      <abilityName/>
      <candidateList>
        <item>：</item>
      </candidateList>
      <explain>文本全半角错误。</explain>
      <paraID>74281D8C</paraID>
      <start>863</start>
      <end>864</end>
      <status>unmodified</status>
      <modifiedWord/>
      <trackRevisions>false</trackRevisions>
    </reviewItem>
    <reviewItem>
      <errorID>8c3f4a6c-5ac8-4acf-aca8-4f18abbb3b95</errorID>
      <errorWord>:</errorWord>
      <group>L1_Format</group>
      <groupName>格式问题</groupName>
      <ability>L2_HalfPunc_CN</ability>
      <abilityName/>
      <candidateList>
        <item>：</item>
      </candidateList>
      <explain>文本全半角错误。</explain>
      <paraID>74281D8C</paraID>
      <start>935</start>
      <end>936</end>
      <status>unmodified</status>
      <modifiedWord/>
      <trackRevisions>false</trackRevisions>
    </reviewItem>
    <reviewItem>
      <errorID>20a8f86f-bedd-4572-9916-0cae1b571595</errorID>
      <errorWord>:</errorWord>
      <group>L1_Format</group>
      <groupName>格式问题</groupName>
      <ability>L2_HalfPunc_CN</ability>
      <abilityName/>
      <candidateList>
        <item>：</item>
      </candidateList>
      <explain>文本全半角错误。</explain>
      <paraID>74281D8C</paraID>
      <start>1029</start>
      <end>1030</end>
      <status>unmodified</status>
      <modifiedWord/>
      <trackRevisions>false</trackRevisions>
    </reviewItem>
    <reviewItem>
      <errorID>8f3b3127-d66f-40c3-b18f-aa70e03bfa1a</errorID>
      <errorWord>:</errorWord>
      <group>L1_Format</group>
      <groupName>格式问题</groupName>
      <ability>L2_HalfPunc_CN</ability>
      <abilityName/>
      <candidateList>
        <item>：</item>
      </candidateList>
      <explain>文本全半角错误。</explain>
      <paraID>74281D8C</paraID>
      <start>1101</start>
      <end>1102</end>
      <status>unmodified</status>
      <modifiedWord/>
      <trackRevisions>false</trackRevisions>
    </reviewItem>
    <reviewItem>
      <errorID>6e015b11-3c7d-433d-9ef5-86801604fbdd</errorID>
      <errorWord>:</errorWord>
      <group>L1_Format</group>
      <groupName>格式问题</groupName>
      <ability>L2_HalfPunc_CN</ability>
      <abilityName/>
      <candidateList>
        <item>：</item>
      </candidateList>
      <explain>文本全半角错误。</explain>
      <paraID>74281D8C</paraID>
      <start>1179</start>
      <end>1180</end>
      <status>unmodified</status>
      <modifiedWord/>
      <trackRevisions>false</trackRevisions>
    </reviewItem>
    <reviewItem>
      <errorID>005529cb-39ac-4b2d-998a-490cda2c0129</errorID>
      <errorWord>:</errorWord>
      <group>L1_Format</group>
      <groupName>格式问题</groupName>
      <ability>L2_HalfPunc_CN</ability>
      <abilityName/>
      <candidateList>
        <item>：</item>
      </candidateList>
      <explain>文本全半角错误。</explain>
      <paraID>74281D8C</paraID>
      <start>1261</start>
      <end>1262</end>
      <status>unmodified</status>
      <modifiedWord/>
      <trackRevisions>false</trackRevisions>
    </reviewItem>
    <reviewItem>
      <errorID>13705b06-c230-424d-bd04-5239f69250e0</errorID>
      <errorWord>:</errorWord>
      <group>L1_Format</group>
      <groupName>格式问题</groupName>
      <ability>L2_HalfPunc_CN</ability>
      <abilityName/>
      <candidateList>
        <item>：</item>
      </candidateList>
      <explain>文本全半角错误。</explain>
      <paraID>74281D8C</paraID>
      <start>1315</start>
      <end>1316</end>
      <status>unmodified</status>
      <modifiedWord/>
      <trackRevisions>false</trackRevisions>
    </reviewItem>
    <reviewItem>
      <errorID>15619f7f-599c-43b8-bc1e-947bfd3d8365</errorID>
      <errorWord>:</errorWord>
      <group>L1_Format</group>
      <groupName>格式问题</groupName>
      <ability>L2_HalfPunc_CN</ability>
      <abilityName/>
      <candidateList>
        <item>：</item>
      </candidateList>
      <explain>文本全半角错误。</explain>
      <paraID>74281D8C</paraID>
      <start>1364</start>
      <end>1365</end>
      <status>unmodified</status>
      <modifiedWord/>
      <trackRevisions>false</trackRevisions>
    </reviewItem>
    <reviewItem>
      <errorID>d6dfeef7-3d6d-4381-932b-cf931099816f</errorID>
      <errorWord>:</errorWord>
      <group>L1_Format</group>
      <groupName>格式问题</groupName>
      <ability>L2_HalfPunc_CN</ability>
      <abilityName/>
      <candidateList>
        <item>：</item>
      </candidateList>
      <explain>文本全半角错误。</explain>
      <paraID>74281D8C</paraID>
      <start>1405</start>
      <end>1406</end>
      <status>unmodified</status>
      <modifiedWord/>
      <trackRevisions>false</trackRevisions>
    </reviewItem>
    <reviewItem>
      <errorID>74539fc9-e14a-4190-b8ee-bcd24e415d64</errorID>
      <errorWord>:</errorWord>
      <group>L1_Format</group>
      <groupName>格式问题</groupName>
      <ability>L2_HalfPunc_CN</ability>
      <abilityName/>
      <candidateList>
        <item>：</item>
      </candidateList>
      <explain>文本全半角错误。</explain>
      <paraID>74281D8C</paraID>
      <start>1469</start>
      <end>1470</end>
      <status>unmodified</status>
      <modifiedWord/>
      <trackRevisions>false</trackRevisions>
    </reviewItem>
    <reviewItem>
      <errorID>2f51c51b-95e6-4707-8496-6af60bfa8853</errorID>
      <errorWord>:</errorWord>
      <group>L1_Format</group>
      <groupName>格式问题</groupName>
      <ability>L2_HalfPunc_CN</ability>
      <abilityName/>
      <candidateList>
        <item>：</item>
      </candidateList>
      <explain>文本全半角错误。</explain>
      <paraID>74281D8C</paraID>
      <start>1516</start>
      <end>1517</end>
      <status>unmodified</status>
      <modifiedWord/>
      <trackRevisions>false</trackRevisions>
    </reviewItem>
    <reviewItem>
      <errorID>05d68106-65d2-4139-8456-6db01cebb93f</errorID>
      <errorWord>:</errorWord>
      <group>L1_Format</group>
      <groupName>格式问题</groupName>
      <ability>L2_HalfPunc_CN</ability>
      <abilityName/>
      <candidateList>
        <item>：</item>
      </candidateList>
      <explain>文本全半角错误。</explain>
      <paraID>74281D8C</paraID>
      <start>1579</start>
      <end>1580</end>
      <status>unmodified</status>
      <modifiedWord/>
      <trackRevisions>false</trackRevisions>
    </reviewItem>
    <reviewItem>
      <errorID>80234653-ee71-4f22-b351-528cd2cde599</errorID>
      <errorWord>:</errorWord>
      <group>L1_Format</group>
      <groupName>格式问题</groupName>
      <ability>L2_HalfPunc_CN</ability>
      <abilityName/>
      <candidateList>
        <item>：</item>
      </candidateList>
      <explain>文本全半角错误。</explain>
      <paraID>74281D8C</paraID>
      <start>1764</start>
      <end>1765</end>
      <status>unmodified</status>
      <modifiedWord/>
      <trackRevisions>false</trackRevisions>
    </reviewItem>
    <reviewItem>
      <errorID>827a3826-fcdb-4d5c-9a39-0998bee6e098</errorID>
      <errorWord>:</errorWord>
      <group>L1_Format</group>
      <groupName>格式问题</groupName>
      <ability>L2_HalfPunc_CN</ability>
      <abilityName/>
      <candidateList>
        <item>：</item>
      </candidateList>
      <explain>文本全半角错误。</explain>
      <paraID>74281D8C</paraID>
      <start>1901</start>
      <end>1902</end>
      <status>unmodified</status>
      <modifiedWord/>
      <trackRevisions>false</trackRevisions>
    </reviewItem>
    <reviewItem>
      <errorID>be2228a3-54cb-4900-b94f-d08f4c1804a9</errorID>
      <errorWord>:</errorWord>
      <group>L1_Format</group>
      <groupName>格式问题</groupName>
      <ability>L2_HalfPunc_CN</ability>
      <abilityName/>
      <candidateList>
        <item>：</item>
      </candidateList>
      <explain>文本全半角错误。</explain>
      <paraID>74281D8C</paraID>
      <start>2008</start>
      <end>2009</end>
      <status>unmodified</status>
      <modifiedWord/>
      <trackRevisions>false</trackRevisions>
    </reviewItem>
    <reviewItem>
      <errorID>2c7f889d-d23c-46b0-a0fe-f9fa536cfbdd</errorID>
      <errorWord>:</errorWord>
      <group>L1_Format</group>
      <groupName>格式问题</groupName>
      <ability>L2_HalfPunc_CN</ability>
      <abilityName/>
      <candidateList>
        <item>：</item>
      </candidateList>
      <explain>文本全半角错误。</explain>
      <paraID>74281D8C</paraID>
      <start>2162</start>
      <end>2163</end>
      <status>unmodified</status>
      <modifiedWord/>
      <trackRevisions>false</trackRevisions>
    </reviewItem>
    <reviewItem>
      <errorID>b684feef-686d-405e-b5d0-2bb9d490cebe</errorID>
      <errorWord>:</errorWord>
      <group>L1_Format</group>
      <groupName>格式问题</groupName>
      <ability>L2_HalfPunc_CN</ability>
      <abilityName/>
      <candidateList>
        <item>：</item>
      </candidateList>
      <explain>文本全半角错误。</explain>
      <paraID>74281D8C</paraID>
      <start>2247</start>
      <end>2248</end>
      <status>unmodified</status>
      <modifiedWord/>
      <trackRevisions>false</trackRevisions>
    </reviewItem>
    <reviewItem>
      <errorID>0abf499a-74e9-45de-bd17-616144a2e8bf</errorID>
      <errorWord>:</errorWord>
      <group>L1_Format</group>
      <groupName>格式问题</groupName>
      <ability>L2_HalfPunc_CN</ability>
      <abilityName/>
      <candidateList>
        <item>：</item>
      </candidateList>
      <explain>文本全半角错误。</explain>
      <paraID>74281D8C</paraID>
      <start>2289</start>
      <end>2290</end>
      <status>unmodified</status>
      <modifiedWord/>
      <trackRevisions>false</trackRevisions>
    </reviewItem>
    <reviewItem>
      <errorID>8ea7cf76-b46b-4a0a-b3ac-2b52238d903e</errorID>
      <errorWord>:</errorWord>
      <group>L1_Format</group>
      <groupName>格式问题</groupName>
      <ability>L2_HalfPunc_CN</ability>
      <abilityName/>
      <candidateList>
        <item>：</item>
      </candidateList>
      <explain>文本全半角错误。</explain>
      <paraID>74281D8C</paraID>
      <start>2319</start>
      <end>2320</end>
      <status>unmodified</status>
      <modifiedWord/>
      <trackRevisions>false</trackRevisions>
    </reviewItem>
    <reviewItem>
      <errorID>09e1bc06-9591-402e-8eb9-687d361d4fd7</errorID>
      <errorWord>:</errorWord>
      <group>L1_Format</group>
      <groupName>格式问题</groupName>
      <ability>L2_HalfPunc_CN</ability>
      <abilityName/>
      <candidateList>
        <item>：</item>
      </candidateList>
      <explain>文本全半角错误。</explain>
      <paraID>74281D8C</paraID>
      <start>2370</start>
      <end>2371</end>
      <status>unmodified</status>
      <modifiedWord/>
      <trackRevisions>false</trackRevisions>
    </reviewItem>
    <reviewItem>
      <errorID>0ca78877-8804-4cae-b212-e6e122da225c</errorID>
      <errorWord>:</errorWord>
      <group>L1_Format</group>
      <groupName>格式问题</groupName>
      <ability>L2_HalfPunc_CN</ability>
      <abilityName/>
      <candidateList>
        <item>：</item>
      </candidateList>
      <explain>文本全半角错误。</explain>
      <paraID>74281D8C</paraID>
      <start>2410</start>
      <end>2411</end>
      <status>unmodified</status>
      <modifiedWord/>
      <trackRevisions>false</trackRevisions>
    </reviewItem>
    <reviewItem>
      <errorID>c468bef2-4c14-4202-9503-08f6511df1bd</errorID>
      <errorWord>:</errorWord>
      <group>L1_Format</group>
      <groupName>格式问题</groupName>
      <ability>L2_HalfPunc_CN</ability>
      <abilityName/>
      <candidateList>
        <item>：</item>
      </candidateList>
      <explain>文本全半角错误。</explain>
      <paraID>74281D8C</paraID>
      <start>2442</start>
      <end>2443</end>
      <status>unmodified</status>
      <modifiedWord/>
      <trackRevisions>false</trackRevisions>
    </reviewItem>
    <reviewItem>
      <errorID>e34d3123-09b2-47a9-b2d4-ef0924302d65</errorID>
      <errorWord>:</errorWord>
      <group>L1_Format</group>
      <groupName>格式问题</groupName>
      <ability>L2_HalfPunc_CN</ability>
      <abilityName/>
      <candidateList>
        <item>：</item>
      </candidateList>
      <explain>文本全半角错误。</explain>
      <paraID>74281D8C</paraID>
      <start>2471</start>
      <end>2472</end>
      <status>unmodified</status>
      <modifiedWord/>
      <trackRevisions>false</trackRevisions>
    </reviewItem>
    <reviewItem>
      <errorID>ea785800-a690-4767-b434-0e989095551b</errorID>
      <errorWord>:</errorWord>
      <group>L1_Format</group>
      <groupName>格式问题</groupName>
      <ability>L2_HalfPunc_CN</ability>
      <abilityName/>
      <candidateList>
        <item>：</item>
      </candidateList>
      <explain>文本全半角错误。</explain>
      <paraID>74281D8C</paraID>
      <start>2628</start>
      <end>2629</end>
      <status>unmodified</status>
      <modifiedWord/>
      <trackRevisions>false</trackRevisions>
    </reviewItem>
    <reviewItem>
      <errorID>506cb663-39c9-44ec-a925-3e70817b3072</errorID>
      <errorWord>依据</errorWord>
      <group>L1_Word</group>
      <groupName>字词问题</groupName>
      <ability>L2_Typo</ability>
      <abilityName>字词错误</abilityName>
      <candidateList>
        <item>根据</item>
      </candidateList>
      <explain/>
      <paraID>74281D8C</paraID>
      <start>2672</start>
      <end>2674</end>
      <status>unmodified</status>
      <modifiedWord/>
      <trackRevisions>false</trackRevisions>
    </reviewItem>
    <reviewItem>
      <errorID>7470cd95-fc64-49c5-8e1c-d3f53454317b</errorID>
      <errorWord>:</errorWord>
      <group>L1_Format</group>
      <groupName>格式问题</groupName>
      <ability>L2_HalfPunc_CN</ability>
      <abilityName/>
      <candidateList>
        <item>：</item>
      </candidateList>
      <explain>文本全半角错误。</explain>
      <paraID>74281D8C</paraID>
      <start>2693</start>
      <end>2694</end>
      <status>unmodified</status>
      <modifiedWord/>
      <trackRevisions>false</trackRevisions>
    </reviewItem>
    <reviewItem>
      <errorID>761a007e-4ae3-4847-a21d-e500d91a2463</errorID>
      <errorWord>:</errorWord>
      <group>L1_Format</group>
      <groupName>格式问题</groupName>
      <ability>L2_HalfPunc_CN</ability>
      <abilityName/>
      <candidateList>
        <item>：</item>
      </candidateList>
      <explain>文本全半角错误。</explain>
      <paraID>74281D8C</paraID>
      <start>2733</start>
      <end>2734</end>
      <status>unmodified</status>
      <modifiedWord/>
      <trackRevisions>false</trackRevisions>
    </reviewItem>
    <reviewItem>
      <errorID>40b457f6-ff19-493d-92f4-a1ae7f860b58</errorID>
      <errorWord>:</errorWord>
      <group>L1_Format</group>
      <groupName>格式问题</groupName>
      <ability>L2_HalfPunc_CN</ability>
      <abilityName/>
      <candidateList>
        <item>：</item>
      </candidateList>
      <explain>文本全半角错误。</explain>
      <paraID>74281D8C</paraID>
      <start>2801</start>
      <end>2802</end>
      <status>unmodified</status>
      <modifiedWord/>
      <trackRevisions>false</trackRevisions>
    </reviewItem>
    <reviewItem>
      <errorID>17e67bf2-dc91-45b9-8e58-400c0efe4dce</errorID>
      <errorWord>:</errorWord>
      <group>L1_Format</group>
      <groupName>格式问题</groupName>
      <ability>L2_HalfPunc_CN</ability>
      <abilityName/>
      <candidateList>
        <item>：</item>
      </candidateList>
      <explain>文本全半角错误。</explain>
      <paraID>74281D8C</paraID>
      <start>2823</start>
      <end>2824</end>
      <status>unmodified</status>
      <modifiedWord/>
      <trackRevisions>false</trackRevisions>
    </reviewItem>
    <reviewItem>
      <errorID>5c5c677c-1380-408c-a949-ef158aa69c2a</errorID>
      <errorWord>:</errorWord>
      <group>L1_Format</group>
      <groupName>格式问题</groupName>
      <ability>L2_HalfPunc_CN</ability>
      <abilityName/>
      <candidateList>
        <item>：</item>
      </candidateList>
      <explain>文本全半角错误。</explain>
      <paraID>74281D8C</paraID>
      <start>2875</start>
      <end>2876</end>
      <status>unmodified</status>
      <modifiedWord/>
      <trackRevisions>false</trackRevisions>
    </reviewItem>
    <reviewItem>
      <errorID>72d27781-d4b9-4117-a90b-39236e928a2f</errorID>
      <errorWord>:</errorWord>
      <group>L1_Format</group>
      <groupName>格式问题</groupName>
      <ability>L2_HalfPunc_CN</ability>
      <abilityName/>
      <candidateList>
        <item>：</item>
      </candidateList>
      <explain>文本全半角错误。</explain>
      <paraID>74281D8C</paraID>
      <start>2936</start>
      <end>2937</end>
      <status>unmodified</status>
      <modifiedWord/>
      <trackRevisions>false</trackRevisions>
    </reviewItem>
    <reviewItem>
      <errorID>027fad8b-47e8-4746-950a-94f77f3696f1</errorID>
      <errorWord>:</errorWord>
      <group>L1_Format</group>
      <groupName>格式问题</groupName>
      <ability>L2_HalfPunc_CN</ability>
      <abilityName/>
      <candidateList>
        <item>：</item>
      </candidateList>
      <explain>文本全半角错误。</explain>
      <paraID>74281D8C</paraID>
      <start>2952</start>
      <end>2953</end>
      <status>unmodified</status>
      <modifiedWord/>
      <trackRevisions>false</trackRevisions>
    </reviewItem>
    <reviewItem>
      <errorID>7b88e9cd-d9df-4671-add1-830c51689cb7</errorID>
      <errorWord>:</errorWord>
      <group>L1_Format</group>
      <groupName>格式问题</groupName>
      <ability>L2_HalfPunc_CN</ability>
      <abilityName/>
      <candidateList>
        <item>：</item>
      </candidateList>
      <explain>文本全半角错误。</explain>
      <paraID>74281D8C</paraID>
      <start>3083</start>
      <end>3084</end>
      <status>unmodified</status>
      <modifiedWord/>
      <trackRevisions>false</trackRevisions>
    </reviewItem>
    <reviewItem>
      <errorID>9d7d2f88-de16-44d5-b908-221f4f4dbf25</errorID>
      <errorWord>:</errorWord>
      <group>L1_Format</group>
      <groupName>格式问题</groupName>
      <ability>L2_HalfPunc_CN</ability>
      <abilityName/>
      <candidateList>
        <item>：</item>
      </candidateList>
      <explain>文本全半角错误。</explain>
      <paraID>74281D8C</paraID>
      <start>3144</start>
      <end>3145</end>
      <status>unmodified</status>
      <modifiedWord/>
      <trackRevisions>false</trackRevisions>
    </reviewItem>
    <reviewItem>
      <errorID>587567c9-00eb-478f-8bfa-106e3295ad83</errorID>
      <errorWord>:</errorWord>
      <group>L1_Format</group>
      <groupName>格式问题</groupName>
      <ability>L2_HalfPunc_CN</ability>
      <abilityName/>
      <candidateList>
        <item>：</item>
      </candidateList>
      <explain>文本全半角错误。</explain>
      <paraID>74281D8C</paraID>
      <start>3184</start>
      <end>3185</end>
      <status>unmodified</status>
      <modifiedWord/>
      <trackRevisions>false</trackRevisions>
    </reviewItem>
    <reviewItem>
      <errorID>43c046aa-30c0-4f02-bbff-0b53f03bfd8f</errorID>
      <errorWord>:</errorWord>
      <group>L1_Format</group>
      <groupName>格式问题</groupName>
      <ability>L2_HalfPunc_CN</ability>
      <abilityName/>
      <candidateList>
        <item>：</item>
      </candidateList>
      <explain>文本全半角错误。</explain>
      <paraID>74281D8C</paraID>
      <start>3235</start>
      <end>3236</end>
      <status>unmodified</status>
      <modifiedWord/>
      <trackRevisions>false</trackRevisions>
    </reviewItem>
    <reviewItem>
      <errorID>0e1e260e-8cd7-46a5-9241-6e0713036f3d</errorID>
      <errorWord>:</errorWord>
      <group>L1_Format</group>
      <groupName>格式问题</groupName>
      <ability>L2_HalfPunc_CN</ability>
      <abilityName/>
      <candidateList>
        <item>：</item>
      </candidateList>
      <explain>文本全半角错误。</explain>
      <paraID>74281D8C</paraID>
      <start>3297</start>
      <end>3298</end>
      <status>unmodified</status>
      <modifiedWord/>
      <trackRevisions>false</trackRevisions>
    </reviewItem>
    <reviewItem>
      <errorID>85df5aa7-52eb-4dfc-a3f9-0712dda654b7</errorID>
      <errorWord>:</errorWord>
      <group>L1_Format</group>
      <groupName>格式问题</groupName>
      <ability>L2_HalfPunc_CN</ability>
      <abilityName/>
      <candidateList>
        <item>：</item>
      </candidateList>
      <explain>文本全半角错误。</explain>
      <paraID>74281D8C</paraID>
      <start>3348</start>
      <end>3349</end>
      <status>unmodified</status>
      <modifiedWord/>
      <trackRevisions>false</trackRevisions>
    </reviewItem>
    <reviewItem>
      <errorID>527922f9-c139-455a-8155-6defb0eabb34</errorID>
      <errorWord>:</errorWord>
      <group>L1_Format</group>
      <groupName>格式问题</groupName>
      <ability>L2_HalfPunc_CN</ability>
      <abilityName/>
      <candidateList>
        <item>：</item>
      </candidateList>
      <explain>文本全半角错误。</explain>
      <paraID>74281D8C</paraID>
      <start>3414</start>
      <end>3415</end>
      <status>unmodified</status>
      <modifiedWord/>
      <trackRevisions>false</trackRevisions>
    </reviewItem>
    <reviewItem>
      <errorID>423ef178-e223-4673-a9be-b5c13610b3bf</errorID>
      <errorWord>:</errorWord>
      <group>L1_Format</group>
      <groupName>格式问题</groupName>
      <ability>L2_HalfPunc_CN</ability>
      <abilityName/>
      <candidateList>
        <item>：</item>
      </candidateList>
      <explain>文本全半角错误。</explain>
      <paraID>74281D8C</paraID>
      <start>3509</start>
      <end>3510</end>
      <status>unmodified</status>
      <modifiedWord/>
      <trackRevisions>false</trackRevisions>
    </reviewItem>
    <reviewItem>
      <errorID>5192b47c-5451-44e0-bad3-c2c2bab8650f</errorID>
      <errorWord>:</errorWord>
      <group>L1_Format</group>
      <groupName>格式问题</groupName>
      <ability>L2_HalfPunc_CN</ability>
      <abilityName/>
      <candidateList>
        <item>：</item>
      </candidateList>
      <explain>文本全半角错误。</explain>
      <paraID>74281D8C</paraID>
      <start>3613</start>
      <end>3614</end>
      <status>unmodified</status>
      <modifiedWord/>
      <trackRevisions>false</trackRevisions>
    </reviewItem>
    <reviewItem>
      <errorID>23a0f168-b215-4fcf-a7d7-811d60bfa799</errorID>
      <errorWord>:</errorWord>
      <group>L1_Format</group>
      <groupName>格式问题</groupName>
      <ability>L2_HalfPunc_CN</ability>
      <abilityName/>
      <candidateList>
        <item>：</item>
      </candidateList>
      <explain>文本全半角错误。</explain>
      <paraID>74281D8C</paraID>
      <start>3703</start>
      <end>3704</end>
      <status>unmodified</status>
      <modifiedWord/>
      <trackRevisions>false</trackRevisions>
    </reviewItem>
    <reviewItem>
      <errorID>f848dd00-5ae5-4d98-8d05-e9867e7992f9</errorID>
      <errorWord>:</errorWord>
      <group>L1_Format</group>
      <groupName>格式问题</groupName>
      <ability>L2_HalfPunc_CN</ability>
      <abilityName/>
      <candidateList>
        <item>：</item>
      </candidateList>
      <explain>文本全半角错误。</explain>
      <paraID>74281D8C</paraID>
      <start>3863</start>
      <end>3864</end>
      <status>unmodified</status>
      <modifiedWord/>
      <trackRevisions>false</trackRevisions>
    </reviewItem>
    <reviewItem>
      <errorID>44fa5396-447b-4052-9007-38ae3f5623ab</errorID>
      <errorWord>:</errorWord>
      <group>L1_Format</group>
      <groupName>格式问题</groupName>
      <ability>L2_HalfPunc_CN</ability>
      <abilityName/>
      <candidateList>
        <item>：</item>
      </candidateList>
      <explain>文本全半角错误。</explain>
      <paraID>74281D8C</paraID>
      <start>3928</start>
      <end>3929</end>
      <status>unmodified</status>
      <modifiedWord/>
      <trackRevisions>false</trackRevisions>
    </reviewItem>
    <reviewItem>
      <errorID>2d357c35-e52c-43bb-9f5e-6ccf54101830</errorID>
      <errorWord>:</errorWord>
      <group>L1_Format</group>
      <groupName>格式问题</groupName>
      <ability>L2_HalfPunc_CN</ability>
      <abilityName/>
      <candidateList>
        <item>：</item>
      </candidateList>
      <explain>文本全半角错误。</explain>
      <paraID>74281D8C</paraID>
      <start>3939</start>
      <end>3940</end>
      <status>unmodified</status>
      <modifiedWord/>
      <trackRevisions>false</trackRevisions>
    </reviewItem>
    <reviewItem>
      <errorID>51656ae6-97b4-44a2-a8f1-7a4c82235cf1</errorID>
      <errorWord>:</errorWord>
      <group>L1_Format</group>
      <groupName>格式问题</groupName>
      <ability>L2_HalfPunc_CN</ability>
      <abilityName/>
      <candidateList>
        <item>：</item>
      </candidateList>
      <explain>文本全半角错误。</explain>
      <paraID>74281D8C</paraID>
      <start>4017</start>
      <end>4018</end>
      <status>unmodified</status>
      <modifiedWord/>
      <trackRevisions>false</trackRevisions>
    </reviewItem>
    <reviewItem>
      <errorID>876e409c-ec8c-404b-8319-335341ac9988</errorID>
      <errorWord>:</errorWord>
      <group>L1_Format</group>
      <groupName>格式问题</groupName>
      <ability>L2_HalfPunc_CN</ability>
      <abilityName/>
      <candidateList>
        <item>：</item>
      </candidateList>
      <explain>文本全半角错误。</explain>
      <paraID>74281D8C</paraID>
      <start>4066</start>
      <end>4067</end>
      <status>unmodified</status>
      <modifiedWord/>
      <trackRevisions>false</trackRevisions>
    </reviewItem>
    <reviewItem>
      <errorID>de5465f5-04d3-44c3-945a-03fd32f3c624</errorID>
      <errorWord>:</errorWord>
      <group>L1_Format</group>
      <groupName>格式问题</groupName>
      <ability>L2_HalfPunc_CN</ability>
      <abilityName/>
      <candidateList>
        <item>：</item>
      </candidateList>
      <explain>文本全半角错误。</explain>
      <paraID>74281D8C</paraID>
      <start>4151</start>
      <end>4152</end>
      <status>unmodified</status>
      <modifiedWord/>
      <trackRevisions>false</trackRevisions>
    </reviewItem>
    <reviewItem>
      <errorID>d3e1d275-5b82-40d1-8568-d6a65a152793</errorID>
      <errorWord>:</errorWord>
      <group>L1_Format</group>
      <groupName>格式问题</groupName>
      <ability>L2_HalfPunc_CN</ability>
      <abilityName/>
      <candidateList>
        <item>：</item>
      </candidateList>
      <explain>文本全半角错误。</explain>
      <paraID>74281D8C</paraID>
      <start>4217</start>
      <end>4218</end>
      <status>unmodified</status>
      <modifiedWord/>
      <trackRevisions>false</trackRevisions>
    </reviewItem>
    <reviewItem>
      <errorID>1f45addf-2c6d-4557-b763-7997eb54e370</errorID>
      <errorWord>:</errorWord>
      <group>L1_Format</group>
      <groupName>格式问题</groupName>
      <ability>L2_HalfPunc_CN</ability>
      <abilityName/>
      <candidateList>
        <item>：</item>
      </candidateList>
      <explain>文本全半角错误。</explain>
      <paraID>74281D8C</paraID>
      <start>4272</start>
      <end>4273</end>
      <status>unmodified</status>
      <modifiedWord/>
      <trackRevisions>false</trackRevisions>
    </reviewItem>
    <reviewItem>
      <errorID>8d118197-639e-4beb-91b6-29c23a1e02cb</errorID>
      <errorWord>:</errorWord>
      <group>L1_Format</group>
      <groupName>格式问题</groupName>
      <ability>L2_HalfPunc_CN</ability>
      <abilityName/>
      <candidateList>
        <item>：</item>
      </candidateList>
      <explain>文本全半角错误。</explain>
      <paraID>74281D8C</paraID>
      <start>4322</start>
      <end>4323</end>
      <status>unmodified</status>
      <modifiedWord/>
      <trackRevisions>false</trackRevisions>
    </reviewItem>
    <reviewItem>
      <errorID>84386ae9-a36d-4725-a350-bc5658f6e962</errorID>
      <errorWord>:</errorWord>
      <group>L1_Format</group>
      <groupName>格式问题</groupName>
      <ability>L2_HalfPunc_CN</ability>
      <abilityName/>
      <candidateList>
        <item>：</item>
      </candidateList>
      <explain>文本全半角错误。</explain>
      <paraID>74281D8C</paraID>
      <start>4380</start>
      <end>4381</end>
      <status>unmodified</status>
      <modifiedWord/>
      <trackRevisions>false</trackRevisions>
    </reviewItem>
    <reviewItem>
      <errorID>b9a63030-5b0a-4973-b02c-95b3e9f7c80f</errorID>
      <errorWord>添加到</errorWord>
      <group>L1_Word</group>
      <groupName>字词问题</groupName>
      <ability>L2_Typo</ability>
      <abilityName>字词错误</abilityName>
      <candidateList>
        <item>添加</item>
      </candidateList>
      <explain>〈动〉增加；增添：～剂｜工作太忙，需要～人手。</explain>
      <paraID>74281D8C</paraID>
      <start>4463</start>
      <end>4466</end>
      <status>unmodified</status>
      <modifiedWord/>
      <trackRevisions>false</trackRevisions>
    </reviewItem>
    <reviewItem>
      <errorID>04fa6182-93bf-41bc-ae5f-f0b5db8030fc</errorID>
      <errorWord>:</errorWord>
      <group>L1_Format</group>
      <groupName>格式问题</groupName>
      <ability>L2_HalfPunc_CN</ability>
      <abilityName/>
      <candidateList>
        <item>：</item>
      </candidateList>
      <explain>文本全半角错误。</explain>
      <paraID>74281D8C</paraID>
      <start>4493</start>
      <end>4494</end>
      <status>unmodified</status>
      <modifiedWord/>
      <trackRevisions>false</trackRevisions>
    </reviewItem>
    <reviewItem>
      <errorID>461fb74f-2ed7-4a13-bc96-5d0afd6976b0</errorID>
      <errorWord>:</errorWord>
      <group>L1_Format</group>
      <groupName>格式问题</groupName>
      <ability>L2_HalfPunc_CN</ability>
      <abilityName/>
      <candidateList>
        <item>：</item>
      </candidateList>
      <explain>文本全半角错误。</explain>
      <paraID>74281D8C</paraID>
      <start>4553</start>
      <end>4554</end>
      <status>unmodified</status>
      <modifiedWord/>
      <trackRevisions>false</trackRevisions>
    </reviewItem>
    <reviewItem>
      <errorID>34d35800-e15b-4b79-95c9-a928c338a87c</errorID>
      <errorWord>:</errorWord>
      <group>L1_Format</group>
      <groupName>格式问题</groupName>
      <ability>L2_HalfPunc_CN</ability>
      <abilityName/>
      <candidateList>
        <item>：</item>
      </candidateList>
      <explain>文本全半角错误。</explain>
      <paraID>74281D8C</paraID>
      <start>4601</start>
      <end>4602</end>
      <status>unmodified</status>
      <modifiedWord/>
      <trackRevisions>false</trackRevisions>
    </reviewItem>
    <reviewItem>
      <errorID>f71eb043-9eee-4373-a0b7-a29a06970443</errorID>
      <errorWord>:</errorWord>
      <group>L1_Format</group>
      <groupName>格式问题</groupName>
      <ability>L2_HalfPunc_CN</ability>
      <abilityName/>
      <candidateList>
        <item>：</item>
      </candidateList>
      <explain>文本全半角错误。</explain>
      <paraID>74281D8C</paraID>
      <start>4614</start>
      <end>4615</end>
      <status>unmodified</status>
      <modifiedWord/>
      <trackRevisions>false</trackRevisions>
    </reviewItem>
    <reviewItem>
      <errorID>c7e7e1cd-9637-417d-9a84-5420426bb0df</errorID>
      <errorWord>:</errorWord>
      <group>L1_Format</group>
      <groupName>格式问题</groupName>
      <ability>L2_HalfPunc_CN</ability>
      <abilityName/>
      <candidateList>
        <item>：</item>
      </candidateList>
      <explain>文本全半角错误。</explain>
      <paraID>74281D8C</paraID>
      <start>4667</start>
      <end>4668</end>
      <status>unmodified</status>
      <modifiedWord/>
      <trackRevisions>false</trackRevisions>
    </reviewItem>
    <reviewItem>
      <errorID>b1305a13-6ddc-4c56-91f2-abf13ae0e927</errorID>
      <errorWord>:</errorWord>
      <group>L1_Format</group>
      <groupName>格式问题</groupName>
      <ability>L2_HalfPunc_CN</ability>
      <abilityName/>
      <candidateList>
        <item>：</item>
      </candidateList>
      <explain>文本全半角错误。</explain>
      <paraID>74281D8C</paraID>
      <start>4722</start>
      <end>4723</end>
      <status>unmodified</status>
      <modifiedWord/>
      <trackRevisions>false</trackRevisions>
    </reviewItem>
    <reviewItem>
      <errorID>ddd01184-7e74-45d9-ae82-2aefd3518b66</errorID>
      <errorWord>:</errorWord>
      <group>L1_Format</group>
      <groupName>格式问题</groupName>
      <ability>L2_HalfPunc_CN</ability>
      <abilityName/>
      <candidateList>
        <item>：</item>
      </candidateList>
      <explain>文本全半角错误。</explain>
      <paraID>74281D8C</paraID>
      <start>4791</start>
      <end>4792</end>
      <status>unmodified</status>
      <modifiedWord/>
      <trackRevisions>false</trackRevisions>
    </reviewItem>
    <reviewItem>
      <errorID>17c48326-adc5-41a1-8bd4-064b03575397</errorID>
      <errorWord>:</errorWord>
      <group>L1_Format</group>
      <groupName>格式问题</groupName>
      <ability>L2_HalfPunc_CN</ability>
      <abilityName/>
      <candidateList>
        <item>：</item>
      </candidateList>
      <explain>文本全半角错误。</explain>
      <paraID>74281D8C</paraID>
      <start>4854</start>
      <end>4855</end>
      <status>unmodified</status>
      <modifiedWord/>
      <trackRevisions>false</trackRevisions>
    </reviewItem>
    <reviewItem>
      <errorID>9d80d6b5-4557-4663-bef4-a3894f842d5c</errorID>
      <errorWord>:</errorWord>
      <group>L1_Format</group>
      <groupName>格式问题</groupName>
      <ability>L2_HalfPunc_CN</ability>
      <abilityName/>
      <candidateList>
        <item>：</item>
      </candidateList>
      <explain>文本全半角错误。</explain>
      <paraID>74281D8C</paraID>
      <start>4908</start>
      <end>4909</end>
      <status>unmodified</status>
      <modifiedWord/>
      <trackRevisions>false</trackRevisions>
    </reviewItem>
    <reviewItem>
      <errorID>221bdb24-73fd-4e40-90cf-ca732a5d0c91</errorID>
      <errorWord>:</errorWord>
      <group>L1_Format</group>
      <groupName>格式问题</groupName>
      <ability>L2_HalfPunc_CN</ability>
      <abilityName/>
      <candidateList>
        <item>：</item>
      </candidateList>
      <explain>文本全半角错误。</explain>
      <paraID>74281D8C</paraID>
      <start>4994</start>
      <end>4995</end>
      <status>unmodified</status>
      <modifiedWord/>
      <trackRevisions>false</trackRevisions>
    </reviewItem>
    <reviewItem>
      <errorID>43023230-efb3-4bd0-b7e4-a49e25e56d05</errorID>
      <errorWord>:</errorWord>
      <group>L1_Format</group>
      <groupName>格式问题</groupName>
      <ability>L2_HalfPunc_CN</ability>
      <abilityName/>
      <candidateList>
        <item>：</item>
      </candidateList>
      <explain>文本全半角错误。</explain>
      <paraID>74281D8C</paraID>
      <start>5051</start>
      <end>5052</end>
      <status>unmodified</status>
      <modifiedWord/>
      <trackRevisions>false</trackRevisions>
    </reviewItem>
    <reviewItem>
      <errorID>340438bb-fe9c-485b-80c6-37fd3af37f7d</errorID>
      <errorWord>:</errorWord>
      <group>L1_Format</group>
      <groupName>格式问题</groupName>
      <ability>L2_HalfPunc_CN</ability>
      <abilityName/>
      <candidateList>
        <item>：</item>
      </candidateList>
      <explain>文本全半角错误。</explain>
      <paraID>74281D8C</paraID>
      <start>5141</start>
      <end>5142</end>
      <status>unmodified</status>
      <modifiedWord/>
      <trackRevisions>false</trackRevisions>
    </reviewItem>
    <reviewItem>
      <errorID>2f98ba2b-a172-4b27-8c5a-940568c53c81</errorID>
      <errorWord>:</errorWord>
      <group>L1_Format</group>
      <groupName>格式问题</groupName>
      <ability>L2_HalfPunc_CN</ability>
      <abilityName/>
      <candidateList>
        <item>：</item>
      </candidateList>
      <explain>文本全半角错误。</explain>
      <paraID>74281D8C</paraID>
      <start>5218</start>
      <end>5219</end>
      <status>unmodified</status>
      <modifiedWord/>
      <trackRevisions>false</trackRevisions>
    </reviewItem>
    <reviewItem>
      <errorID>2a44bd4b-26fb-49c9-8f14-a18397bc5df6</errorID>
      <errorWord>:</errorWord>
      <group>L1_Format</group>
      <groupName>格式问题</groupName>
      <ability>L2_HalfPunc_CN</ability>
      <abilityName/>
      <candidateList>
        <item>：</item>
      </candidateList>
      <explain>文本全半角错误。</explain>
      <paraID>74281D8C</paraID>
      <start>5272</start>
      <end>5273</end>
      <status>unmodified</status>
      <modifiedWord/>
      <trackRevisions>false</trackRevisions>
    </reviewItem>
    <reviewItem>
      <errorID>300cff2a-9082-4791-ac1a-c18f44c895ef</errorID>
      <errorWord>:</errorWord>
      <group>L1_Format</group>
      <groupName>格式问题</groupName>
      <ability>L2_HalfPunc_CN</ability>
      <abilityName/>
      <candidateList>
        <item>：</item>
      </candidateList>
      <explain>文本全半角错误。</explain>
      <paraID>74281D8C</paraID>
      <start>5303</start>
      <end>5304</end>
      <status>unmodified</status>
      <modifiedWord/>
      <trackRevisions>false</trackRevisions>
    </reviewItem>
    <reviewItem>
      <errorID>2d6807de-12fb-45e1-b13f-da860af19b4e</errorID>
      <errorWord>:</errorWord>
      <group>L1_Format</group>
      <groupName>格式问题</groupName>
      <ability>L2_HalfPunc_CN</ability>
      <abilityName/>
      <candidateList>
        <item>：</item>
      </candidateList>
      <explain>文本全半角错误。</explain>
      <paraID>74281D8C</paraID>
      <start>5348</start>
      <end>5349</end>
      <status>unmodified</status>
      <modifiedWord/>
      <trackRevisions>false</trackRevisions>
    </reviewItem>
    <reviewItem>
      <errorID>7bd9d878-f855-42a0-a55d-548aac046325</errorID>
      <errorWord>:</errorWord>
      <group>L1_Format</group>
      <groupName>格式问题</groupName>
      <ability>L2_HalfPunc_CN</ability>
      <abilityName/>
      <candidateList>
        <item>：</item>
      </candidateList>
      <explain>文本全半角错误。</explain>
      <paraID>74281D8C</paraID>
      <start>5421</start>
      <end>5422</end>
      <status>unmodified</status>
      <modifiedWord/>
      <trackRevisions>false</trackRevisions>
    </reviewItem>
    <reviewItem>
      <errorID>b5079147-1d53-490b-9509-526e52f03369</errorID>
      <errorWord>:</errorWord>
      <group>L1_Format</group>
      <groupName>格式问题</groupName>
      <ability>L2_HalfPunc_CN</ability>
      <abilityName/>
      <candidateList>
        <item>：</item>
      </candidateList>
      <explain>文本全半角错误。</explain>
      <paraID>74281D8C</paraID>
      <start>5472</start>
      <end>5473</end>
      <status>unmodified</status>
      <modifiedWord/>
      <trackRevisions>false</trackRevisions>
    </reviewItem>
    <reviewItem>
      <errorID>799f2f87-be81-4b91-8196-349401e4aa9b</errorID>
      <errorWord>:</errorWord>
      <group>L1_Format</group>
      <groupName>格式问题</groupName>
      <ability>L2_HalfPunc_CN</ability>
      <abilityName/>
      <candidateList>
        <item>：</item>
      </candidateList>
      <explain>文本全半角错误。</explain>
      <paraID>74281D8C</paraID>
      <start>5518</start>
      <end>5519</end>
      <status>unmodified</status>
      <modifiedWord/>
      <trackRevisions>false</trackRevisions>
    </reviewItem>
    <reviewItem>
      <errorID>623c6fb3-337e-4d2a-aec6-c71e6093bc30</errorID>
      <errorWord>:</errorWord>
      <group>L1_Format</group>
      <groupName>格式问题</groupName>
      <ability>L2_HalfPunc_CN</ability>
      <abilityName/>
      <candidateList>
        <item>：</item>
      </candidateList>
      <explain>文本全半角错误。</explain>
      <paraID>74281D8C</paraID>
      <start>5531</start>
      <end>5532</end>
      <status>unmodified</status>
      <modifiedWord/>
      <trackRevisions>false</trackRevisions>
    </reviewItem>
    <reviewItem>
      <errorID>0a19507d-fc6b-4e75-a832-70882c0793ce</errorID>
      <errorWord>:</errorWord>
      <group>L1_Format</group>
      <groupName>格式问题</groupName>
      <ability>L2_HalfPunc_CN</ability>
      <abilityName/>
      <candidateList>
        <item>：</item>
      </candidateList>
      <explain>文本全半角错误。</explain>
      <paraID>74281D8C</paraID>
      <start>5636</start>
      <end>5637</end>
      <status>unmodified</status>
      <modifiedWord/>
      <trackRevisions>false</trackRevisions>
    </reviewItem>
    <reviewItem>
      <errorID>7d3157e8-c83f-44c2-8b69-f2bfd8e17fd4</errorID>
      <errorWord>:</errorWord>
      <group>L1_Format</group>
      <groupName>格式问题</groupName>
      <ability>L2_HalfPunc_CN</ability>
      <abilityName/>
      <candidateList>
        <item>：</item>
      </candidateList>
      <explain>文本全半角错误。</explain>
      <paraID>74281D8C</paraID>
      <start>5658</start>
      <end>5659</end>
      <status>unmodified</status>
      <modifiedWord/>
      <trackRevisions>false</trackRevisions>
    </reviewItem>
    <reviewItem>
      <errorID>e53ddd7f-4f95-4995-b359-2b8651c75219</errorID>
      <errorWord>:</errorWord>
      <group>L1_Format</group>
      <groupName>格式问题</groupName>
      <ability>L2_HalfPunc_CN</ability>
      <abilityName/>
      <candidateList>
        <item>：</item>
      </candidateList>
      <explain>文本全半角错误。</explain>
      <paraID>74281D8C</paraID>
      <start>5692</start>
      <end>5693</end>
      <status>unmodified</status>
      <modifiedWord/>
      <trackRevisions>false</trackRevisions>
    </reviewItem>
    <reviewItem>
      <errorID>d53af901-84c8-4e6b-a692-eb7e3bb00a0b</errorID>
      <errorWord>:</errorWord>
      <group>L1_Format</group>
      <groupName>格式问题</groupName>
      <ability>L2_HalfPunc_CN</ability>
      <abilityName/>
      <candidateList>
        <item>：</item>
      </candidateList>
      <explain>文本全半角错误。</explain>
      <paraID>74281D8C</paraID>
      <start>5752</start>
      <end>5753</end>
      <status>unmodified</status>
      <modifiedWord/>
      <trackRevisions>false</trackRevisions>
    </reviewItem>
    <reviewItem>
      <errorID>e4935ea2-faa0-4a47-bc9e-09c878a35168</errorID>
      <errorWord>:</errorWord>
      <group>L1_Format</group>
      <groupName>格式问题</groupName>
      <ability>L2_HalfPunc_CN</ability>
      <abilityName/>
      <candidateList>
        <item>：</item>
      </candidateList>
      <explain>文本全半角错误。</explain>
      <paraID>74281D8C</paraID>
      <start>5820</start>
      <end>5821</end>
      <status>unmodified</status>
      <modifiedWord/>
      <trackRevisions>false</trackRevisions>
    </reviewItem>
    <reviewItem>
      <errorID>beccc3f9-b988-4916-b04a-a4b24384c586</errorID>
      <errorWord>:</errorWord>
      <group>L1_Format</group>
      <groupName>格式问题</groupName>
      <ability>L2_HalfPunc_CN</ability>
      <abilityName/>
      <candidateList>
        <item>：</item>
      </candidateList>
      <explain>文本全半角错误。</explain>
      <paraID>74281D8C</paraID>
      <start>5890</start>
      <end>5891</end>
      <status>unmodified</status>
      <modifiedWord/>
      <trackRevisions>false</trackRevisions>
    </reviewItem>
    <reviewItem>
      <errorID>1f2be24d-113d-4f4d-b6a8-7e61fe89dd04</errorID>
      <errorWord>:</errorWord>
      <group>L1_Format</group>
      <groupName>格式问题</groupName>
      <ability>L2_HalfPunc_CN</ability>
      <abilityName/>
      <candidateList>
        <item>：</item>
      </candidateList>
      <explain>文本全半角错误。</explain>
      <paraID>74281D8C</paraID>
      <start>5963</start>
      <end>5964</end>
      <status>unmodified</status>
      <modifiedWord/>
      <trackRevisions>false</trackRevisions>
    </reviewItem>
    <reviewItem>
      <errorID>54d1ce84-a314-43d6-a4df-d48619d4fbd9</errorID>
      <errorWord>:</errorWord>
      <group>L1_Format</group>
      <groupName>格式问题</groupName>
      <ability>L2_HalfPunc_CN</ability>
      <abilityName/>
      <candidateList>
        <item>：</item>
      </candidateList>
      <explain>文本全半角错误。</explain>
      <paraID>74281D8C</paraID>
      <start>6065</start>
      <end>6066</end>
      <status>unmodified</status>
      <modifiedWord/>
      <trackRevisions>false</trackRevisions>
    </reviewItem>
    <reviewItem>
      <errorID>de31ac4e-25df-4692-b4a9-324b996667f6</errorID>
      <errorWord>:</errorWord>
      <group>L1_Format</group>
      <groupName>格式问题</groupName>
      <ability>L2_HalfPunc_CN</ability>
      <abilityName/>
      <candidateList>
        <item>：</item>
      </candidateList>
      <explain>文本全半角错误。</explain>
      <paraID>74281D8C</paraID>
      <start>6172</start>
      <end>6173</end>
      <status>unmodified</status>
      <modifiedWord/>
      <trackRevisions>false</trackRevisions>
    </reviewItem>
    <reviewItem>
      <errorID>a41af8a2-46bc-410b-8e72-43446e2c5ed5</errorID>
      <errorWord>:</errorWord>
      <group>L1_Format</group>
      <groupName>格式问题</groupName>
      <ability>L2_HalfPunc_CN</ability>
      <abilityName/>
      <candidateList>
        <item>：</item>
      </candidateList>
      <explain>文本全半角错误。</explain>
      <paraID>74281D8C</paraID>
      <start>6213</start>
      <end>6214</end>
      <status>unmodified</status>
      <modifiedWord/>
      <trackRevisions>false</trackRevisions>
    </reviewItem>
    <reviewItem>
      <errorID>bfa2ce98-91d2-4c08-9bec-7dd42c68ec34</errorID>
      <errorWord>:</errorWord>
      <group>L1_Format</group>
      <groupName>格式问题</groupName>
      <ability>L2_HalfPunc_CN</ability>
      <abilityName/>
      <candidateList>
        <item>：</item>
      </candidateList>
      <explain>文本全半角错误。</explain>
      <paraID>74281D8C</paraID>
      <start>6255</start>
      <end>6256</end>
      <status>unmodified</status>
      <modifiedWord/>
      <trackRevisions>false</trackRevisions>
    </reviewItem>
    <reviewItem>
      <errorID>3b137745-8e48-4a9c-9dd7-9dfe9ae9ddfc</errorID>
      <errorWord>:</errorWord>
      <group>L1_Format</group>
      <groupName>格式问题</groupName>
      <ability>L2_HalfPunc_CN</ability>
      <abilityName/>
      <candidateList>
        <item>：</item>
      </candidateList>
      <explain>文本全半角错误。</explain>
      <paraID>74281D8C</paraID>
      <start>6304</start>
      <end>6305</end>
      <status>unmodified</status>
      <modifiedWord/>
      <trackRevisions>false</trackRevisions>
    </reviewItem>
    <reviewItem>
      <errorID>46950eb5-a33d-47e0-bfff-bbb1c1da992b</errorID>
      <errorWord>:</errorWord>
      <group>L1_Format</group>
      <groupName>格式问题</groupName>
      <ability>L2_HalfPunc_CN</ability>
      <abilityName/>
      <candidateList>
        <item>：</item>
      </candidateList>
      <explain>文本全半角错误。</explain>
      <paraID>74281D8C</paraID>
      <start>6362</start>
      <end>6363</end>
      <status>unmodified</status>
      <modifiedWord/>
      <trackRevisions>false</trackRevisions>
    </reviewItem>
    <reviewItem>
      <errorID>130d41f4-50f5-445e-83fd-90e7e3f2cf12</errorID>
      <errorWord>:</errorWord>
      <group>L1_Format</group>
      <groupName>格式问题</groupName>
      <ability>L2_HalfPunc_CN</ability>
      <abilityName/>
      <candidateList>
        <item>：</item>
      </candidateList>
      <explain>文本全半角错误。</explain>
      <paraID>74281D8C</paraID>
      <start>6410</start>
      <end>6411</end>
      <status>unmodified</status>
      <modifiedWord/>
      <trackRevisions>false</trackRevisions>
    </reviewItem>
    <reviewItem>
      <errorID>84c8a07a-5396-4a9f-949f-9a8dc35165bc</errorID>
      <errorWord>:</errorWord>
      <group>L1_Format</group>
      <groupName>格式问题</groupName>
      <ability>L2_HalfPunc_CN</ability>
      <abilityName/>
      <candidateList>
        <item>：</item>
      </candidateList>
      <explain>文本全半角错误。</explain>
      <paraID>74281D8C</paraID>
      <start>6463</start>
      <end>6464</end>
      <status>unmodified</status>
      <modifiedWord/>
      <trackRevisions>false</trackRevisions>
    </reviewItem>
    <reviewItem>
      <errorID>744c7bca-8fd9-476e-9271-0a6a4971849e</errorID>
      <errorWord>:</errorWord>
      <group>L1_Format</group>
      <groupName>格式问题</groupName>
      <ability>L2_HalfPunc_CN</ability>
      <abilityName/>
      <candidateList>
        <item>：</item>
      </candidateList>
      <explain>文本全半角错误。</explain>
      <paraID>74281D8C</paraID>
      <start>6538</start>
      <end>6539</end>
      <status>unmodified</status>
      <modifiedWord/>
      <trackRevisions>false</trackRevisions>
    </reviewItem>
    <reviewItem>
      <errorID>3ba60907-102d-4e17-8707-1d116afed688</errorID>
      <errorWord>:</errorWord>
      <group>L1_Format</group>
      <groupName>格式问题</groupName>
      <ability>L2_HalfPunc_CN</ability>
      <abilityName/>
      <candidateList>
        <item>：</item>
      </candidateList>
      <explain>文本全半角错误。</explain>
      <paraID>74281D8C</paraID>
      <start>6579</start>
      <end>6580</end>
      <status>unmodified</status>
      <modifiedWord/>
      <trackRevisions>false</trackRevisions>
    </reviewItem>
    <reviewItem>
      <errorID>205a86e6-523e-48e7-a94d-443677d1918a</errorID>
      <errorWord>:</errorWord>
      <group>L1_Format</group>
      <groupName>格式问题</groupName>
      <ability>L2_HalfPunc_CN</ability>
      <abilityName/>
      <candidateList>
        <item>：</item>
      </candidateList>
      <explain>文本全半角错误。</explain>
      <paraID>74281D8C</paraID>
      <start>6649</start>
      <end>6650</end>
      <status>unmodified</status>
      <modifiedWord/>
      <trackRevisions>false</trackRevisions>
    </reviewItem>
    <reviewItem>
      <errorID>385fef2e-4b13-4818-bc69-9913eab14137</errorID>
      <errorWord>模板在报告中</errorWord>
      <group>L1_Word</group>
      <groupName>字词问题</groupName>
      <ability>L2_Typo</ability>
      <abilityName>字词错误</abilityName>
      <candidateList>
        <item>模板中报告</item>
      </candidateList>
      <explain/>
      <paraID>74281D8C</paraID>
      <start>6656</start>
      <end>6662</end>
      <status>unmodified</status>
      <modifiedWord/>
      <trackRevisions>false</trackRevisions>
    </reviewItem>
    <reviewItem>
      <errorID>d112ac9c-22d1-4b26-97c7-90ee8c786e48</errorID>
      <errorWord>:</errorWord>
      <group>L1_Format</group>
      <groupName>格式问题</groupName>
      <ability>L2_HalfPunc_CN</ability>
      <abilityName/>
      <candidateList>
        <item>：</item>
      </candidateList>
      <explain>文本全半角错误。</explain>
      <paraID>74281D8C</paraID>
      <start>6688</start>
      <end>6689</end>
      <status>unmodified</status>
      <modifiedWord/>
      <trackRevisions>false</trackRevisions>
    </reviewItem>
    <reviewItem>
      <errorID>c7834333-0ece-4505-be0a-af36c0e4c6e4</errorID>
      <errorWord>:</errorWord>
      <group>L1_Format</group>
      <groupName>格式问题</groupName>
      <ability>L2_HalfPunc_CN</ability>
      <abilityName/>
      <candidateList>
        <item>：</item>
      </candidateList>
      <explain>文本全半角错误。</explain>
      <paraID>74281D8C</paraID>
      <start>6699</start>
      <end>6700</end>
      <status>unmodified</status>
      <modifiedWord/>
      <trackRevisions>false</trackRevisions>
    </reviewItem>
    <reviewItem>
      <errorID>3dc59d25-45b8-423f-ba6f-a961077e8fdb</errorID>
      <errorWord>:</errorWord>
      <group>L1_Format</group>
      <groupName>格式问题</groupName>
      <ability>L2_HalfPunc_CN</ability>
      <abilityName/>
      <candidateList>
        <item>：</item>
      </candidateList>
      <explain>文本全半角错误。</explain>
      <paraID>74281D8C</paraID>
      <start>6707</start>
      <end>6708</end>
      <status>unmodified</status>
      <modifiedWord/>
      <trackRevisions>false</trackRevisions>
    </reviewItem>
    <reviewItem>
      <errorID>8a27ec19-7fef-42cd-b6d5-9395d8fa6000</errorID>
      <errorWord>:</errorWord>
      <group>L1_Format</group>
      <groupName>格式问题</groupName>
      <ability>L2_HalfPunc_CN</ability>
      <abilityName/>
      <candidateList>
        <item>：</item>
      </candidateList>
      <explain>文本全半角错误。</explain>
      <paraID>74281D8C</paraID>
      <start>6827</start>
      <end>6828</end>
      <status>unmodified</status>
      <modifiedWord/>
      <trackRevisions>false</trackRevisions>
    </reviewItem>
    <reviewItem>
      <errorID>5c9d2643-eddd-4779-a2b3-fe5d70334cd5</errorID>
      <errorWord>:</errorWord>
      <group>L1_Format</group>
      <groupName>格式问题</groupName>
      <ability>L2_HalfPunc_CN</ability>
      <abilityName/>
      <candidateList>
        <item>：</item>
      </candidateList>
      <explain>文本全半角错误。</explain>
      <paraID>74281D8C</paraID>
      <start>6935</start>
      <end>6936</end>
      <status>unmodified</status>
      <modifiedWord/>
      <trackRevisions>false</trackRevisions>
    </reviewItem>
    <reviewItem>
      <errorID>5eadb49d-1f78-460f-956a-279b238ae94b</errorID>
      <errorWord>:</errorWord>
      <group>L1_Format</group>
      <groupName>格式问题</groupName>
      <ability>L2_HalfPunc_CN</ability>
      <abilityName/>
      <candidateList>
        <item>：</item>
      </candidateList>
      <explain>文本全半角错误。</explain>
      <paraID>74281D8C</paraID>
      <start>6944</start>
      <end>6945</end>
      <status>unmodified</status>
      <modifiedWord/>
      <trackRevisions>false</trackRevisions>
    </reviewItem>
    <reviewItem>
      <errorID>9357a8b0-c3f8-4863-bcd9-2217ac33665d</errorID>
      <errorWord>:</errorWord>
      <group>L1_Format</group>
      <groupName>格式问题</groupName>
      <ability>L2_HalfPunc_CN</ability>
      <abilityName/>
      <candidateList>
        <item>：</item>
      </candidateList>
      <explain>文本全半角错误。</explain>
      <paraID>74281D8C</paraID>
      <start>7049</start>
      <end>7050</end>
      <status>unmodified</status>
      <modifiedWord/>
      <trackRevisions>false</trackRevisions>
    </reviewItem>
    <reviewItem>
      <errorID>040c99e3-0ee5-4c4b-9b7d-0058c2f53f45</errorID>
      <errorWord>:</errorWord>
      <group>L1_Format</group>
      <groupName>格式问题</groupName>
      <ability>L2_HalfPunc_CN</ability>
      <abilityName/>
      <candidateList>
        <item>：</item>
      </candidateList>
      <explain>文本全半角错误。</explain>
      <paraID>74281D8C</paraID>
      <start>7147</start>
      <end>7148</end>
      <status>unmodified</status>
      <modifiedWord/>
      <trackRevisions>false</trackRevisions>
    </reviewItem>
    <reviewItem>
      <errorID>fe73e86d-6867-40ea-a329-c3635d54649b</errorID>
      <errorWord>:</errorWord>
      <group>L1_Format</group>
      <groupName>格式问题</groupName>
      <ability>L2_HalfPunc_CN</ability>
      <abilityName/>
      <candidateList>
        <item>：</item>
      </candidateList>
      <explain>文本全半角错误。</explain>
      <paraID>74281D8C</paraID>
      <start>7215</start>
      <end>7216</end>
      <status>unmodified</status>
      <modifiedWord/>
      <trackRevisions>false</trackRevisions>
    </reviewItem>
    <reviewItem>
      <errorID>06af3c56-8f10-42c0-a781-1e720f429a4c</errorID>
      <errorWord>:</errorWord>
      <group>L1_Format</group>
      <groupName>格式问题</groupName>
      <ability>L2_HalfPunc_CN</ability>
      <abilityName/>
      <candidateList>
        <item>：</item>
      </candidateList>
      <explain>文本全半角错误。</explain>
      <paraID>74281D8C</paraID>
      <start>7322</start>
      <end>7323</end>
      <status>unmodified</status>
      <modifiedWord/>
      <trackRevisions>false</trackRevisions>
    </reviewItem>
    <reviewItem>
      <errorID>78373403-05bb-4d18-be3f-edc78959bad8</errorID>
      <errorWord>:</errorWord>
      <group>L1_Format</group>
      <groupName>格式问题</groupName>
      <ability>L2_HalfPunc_CN</ability>
      <abilityName/>
      <candidateList>
        <item>：</item>
      </candidateList>
      <explain>文本全半角错误。</explain>
      <paraID>74281D8C</paraID>
      <start>7370</start>
      <end>7371</end>
      <status>unmodified</status>
      <modifiedWord/>
      <trackRevisions>false</trackRevisions>
    </reviewItem>
    <reviewItem>
      <errorID>a64b26da-abb0-4a7c-be65-c4dea7e33359</errorID>
      <errorWord>:</errorWord>
      <group>L1_Format</group>
      <groupName>格式问题</groupName>
      <ability>L2_HalfPunc_CN</ability>
      <abilityName/>
      <candidateList>
        <item>：</item>
      </candidateList>
      <explain>文本全半角错误。</explain>
      <paraID>74281D8C</paraID>
      <start>7378</start>
      <end>7379</end>
      <status>unmodified</status>
      <modifiedWord/>
      <trackRevisions>false</trackRevisions>
    </reviewItem>
    <reviewItem>
      <errorID>982aade0-c28d-44c1-96f9-d6b6d165f52f</errorID>
      <errorWord>:</errorWord>
      <group>L1_Format</group>
      <groupName>格式问题</groupName>
      <ability>L2_HalfPunc_CN</ability>
      <abilityName/>
      <candidateList>
        <item>：</item>
      </candidateList>
      <explain>文本全半角错误。</explain>
      <paraID>74281D8C</paraID>
      <start>7477</start>
      <end>7478</end>
      <status>unmodified</status>
      <modifiedWord/>
      <trackRevisions>false</trackRevisions>
    </reviewItem>
    <reviewItem>
      <errorID>b199cf6f-5386-4f59-aeb7-06e54b664840</errorID>
      <errorWord>:</errorWord>
      <group>L1_Format</group>
      <groupName>格式问题</groupName>
      <ability>L2_HalfPunc_CN</ability>
      <abilityName/>
      <candidateList>
        <item>：</item>
      </candidateList>
      <explain>文本全半角错误。</explain>
      <paraID>74281D8C</paraID>
      <start>7576</start>
      <end>7577</end>
      <status>unmodified</status>
      <modifiedWord/>
      <trackRevisions>false</trackRevisions>
    </reviewItem>
    <reviewItem>
      <errorID>096cd299-c826-4347-ad55-fe2acf5f9875</errorID>
      <errorWord>:</errorWord>
      <group>L1_Format</group>
      <groupName>格式问题</groupName>
      <ability>L2_HalfPunc_CN</ability>
      <abilityName/>
      <candidateList>
        <item>：</item>
      </candidateList>
      <explain>文本全半角错误。</explain>
      <paraID>74281D8C</paraID>
      <start>7641</start>
      <end>7642</end>
      <status>unmodified</status>
      <modifiedWord/>
      <trackRevisions>false</trackRevisions>
    </reviewItem>
    <reviewItem>
      <errorID>1e24eb4a-453a-40e8-91e8-3de24e737c2e</errorID>
      <errorWord>:</errorWord>
      <group>L1_Format</group>
      <groupName>格式问题</groupName>
      <ability>L2_HalfPunc_CN</ability>
      <abilityName/>
      <candidateList>
        <item>：</item>
      </candidateList>
      <explain>文本全半角错误。</explain>
      <paraID>74281D8C</paraID>
      <start>7681</start>
      <end>7682</end>
      <status>unmodified</status>
      <modifiedWord/>
      <trackRevisions>false</trackRevisions>
    </reviewItem>
    <reviewItem>
      <errorID>f7f61d94-10df-499c-b786-bbce0d745650</errorID>
      <errorWord>:</errorWord>
      <group>L1_Format</group>
      <groupName>格式问题</groupName>
      <ability>L2_HalfPunc_CN</ability>
      <abilityName/>
      <candidateList>
        <item>：</item>
      </candidateList>
      <explain>文本全半角错误。</explain>
      <paraID>74281D8C</paraID>
      <start>7776</start>
      <end>7777</end>
      <status>unmodified</status>
      <modifiedWord/>
      <trackRevisions>false</trackRevisions>
    </reviewItem>
    <reviewItem>
      <errorID>4dd602c2-7cfb-45af-b262-5d2e2bbca346</errorID>
      <errorWord>:</errorWord>
      <group>L1_Format</group>
      <groupName>格式问题</groupName>
      <ability>L2_HalfPunc_CN</ability>
      <abilityName/>
      <candidateList>
        <item>：</item>
      </candidateList>
      <explain>文本全半角错误。</explain>
      <paraID>74281D8C</paraID>
      <start>7847</start>
      <end>7848</end>
      <status>unmodified</status>
      <modifiedWord/>
      <trackRevisions>false</trackRevisions>
    </reviewItem>
    <reviewItem>
      <errorID>cffef538-0e68-4297-ba97-4ed6fd0df34b</errorID>
      <errorWord>:</errorWord>
      <group>L1_Format</group>
      <groupName>格式问题</groupName>
      <ability>L2_HalfPunc_CN</ability>
      <abilityName/>
      <candidateList>
        <item>：</item>
      </candidateList>
      <explain>文本全半角错误。</explain>
      <paraID>74281D8C</paraID>
      <start>7920</start>
      <end>7921</end>
      <status>unmodified</status>
      <modifiedWord/>
      <trackRevisions>false</trackRevisions>
    </reviewItem>
    <reviewItem>
      <errorID>ad167c51-56d1-4c2a-9346-f0cbdb758434</errorID>
      <errorWord>:</errorWord>
      <group>L1_Format</group>
      <groupName>格式问题</groupName>
      <ability>L2_HalfPunc_CN</ability>
      <abilityName/>
      <candidateList>
        <item>：</item>
      </candidateList>
      <explain>文本全半角错误。</explain>
      <paraID>74281D8C</paraID>
      <start>7984</start>
      <end>7985</end>
      <status>unmodified</status>
      <modifiedWord/>
      <trackRevisions>false</trackRevisions>
    </reviewItem>
    <reviewItem>
      <errorID>52ee63da-7ba8-433b-b165-6c5f351d1963</errorID>
      <errorWord>:</errorWord>
      <group>L1_Format</group>
      <groupName>格式问题</groupName>
      <ability>L2_HalfPunc_CN</ability>
      <abilityName/>
      <candidateList>
        <item>：</item>
      </candidateList>
      <explain>文本全半角错误。</explain>
      <paraID>74281D8C</paraID>
      <start>7992</start>
      <end>7993</end>
      <status>unmodified</status>
      <modifiedWord/>
      <trackRevisions>false</trackRevisions>
    </reviewItem>
    <reviewItem>
      <errorID>b0fb0526-6c06-4fe8-b282-20ab63d49b90</errorID>
      <errorWord>:</errorWord>
      <group>L1_Format</group>
      <groupName>格式问题</groupName>
      <ability>L2_HalfPunc_CN</ability>
      <abilityName/>
      <candidateList>
        <item>：</item>
      </candidateList>
      <explain>文本全半角错误。</explain>
      <paraID>74281D8C</paraID>
      <start>8079</start>
      <end>8080</end>
      <status>unmodified</status>
      <modifiedWord/>
      <trackRevisions>false</trackRevisions>
    </reviewItem>
    <reviewItem>
      <errorID>2bbd14ef-59b4-4b60-80ad-64f97f49f5ef</errorID>
      <errorWord>到</errorWord>
      <group>L1_Grammar</group>
      <groupName>语法问题</groupName>
      <ability>L2_Grammar</ability>
      <abilityName>语法错误</abilityName>
      <candidateList>
        <item>的方式添加到</item>
      </candidateList>
      <explain/>
      <paraID>74281D8C</paraID>
      <start>8158</start>
      <end>8159</end>
      <status>unmodified</status>
      <modifiedWord/>
      <trackRevisions>false</trackRevisions>
    </reviewItem>
    <reviewItem>
      <errorID>c4964814-d5f5-4487-b05b-5b92f8724f3a</errorID>
      <errorWord>:</errorWord>
      <group>L1_Format</group>
      <groupName>格式问题</groupName>
      <ability>L2_HalfPunc_CN</ability>
      <abilityName/>
      <candidateList>
        <item>：</item>
      </candidateList>
      <explain>文本全半角错误。</explain>
      <paraID>74281D8C</paraID>
      <start>8188</start>
      <end>8189</end>
      <status>unmodified</status>
      <modifiedWord/>
      <trackRevisions>false</trackRevisions>
    </reviewItem>
    <reviewItem>
      <errorID>9388e840-b932-42e4-93ba-60a4a775c685</errorID>
      <errorWord>:</errorWord>
      <group>L1_Format</group>
      <groupName>格式问题</groupName>
      <ability>L2_HalfPunc_CN</ability>
      <abilityName/>
      <candidateList>
        <item>：</item>
      </candidateList>
      <explain>文本全半角错误。</explain>
      <paraID>74281D8C</paraID>
      <start>8289</start>
      <end>8290</end>
      <status>unmodified</status>
      <modifiedWord/>
      <trackRevisions>false</trackRevisions>
    </reviewItem>
    <reviewItem>
      <errorID>fb38d383-2ed3-4492-a9a5-4317d5428b74</errorID>
      <errorWord>:</errorWord>
      <group>L1_Format</group>
      <groupName>格式问题</groupName>
      <ability>L2_HalfPunc_CN</ability>
      <abilityName/>
      <candidateList>
        <item>：</item>
      </candidateList>
      <explain>文本全半角错误。</explain>
      <paraID>74281D8C</paraID>
      <start>8365</start>
      <end>8366</end>
      <status>unmodified</status>
      <modifiedWord/>
      <trackRevisions>false</trackRevisions>
    </reviewItem>
    <reviewItem>
      <errorID>79184d32-fa3a-47e0-98b5-0dd4053feef2</errorID>
      <errorWord>预案</errorWord>
      <group>L1_Word</group>
      <groupName>字词问题</groupName>
      <ability>L2_Typo</ability>
      <abilityName>字词错误</abilityName>
      <candidateList>
        <item>对预案</item>
      </candidateList>
      <explain/>
      <paraID>74281D8C</paraID>
      <start>8384</start>
      <end>8386</end>
      <status>unmodified</status>
      <modifiedWord/>
      <trackRevisions>false</trackRevisions>
    </reviewItem>
    <reviewItem>
      <errorID>1eade62e-df4e-4477-a1dc-06bd072a97bc</errorID>
      <errorWord>:</errorWord>
      <group>L1_Format</group>
      <groupName>格式问题</groupName>
      <ability>L2_HalfPunc_CN</ability>
      <abilityName/>
      <candidateList>
        <item>：</item>
      </candidateList>
      <explain>文本全半角错误。</explain>
      <paraID>74281D8C</paraID>
      <start>8430</start>
      <end>8431</end>
      <status>unmodified</status>
      <modifiedWord/>
      <trackRevisions>false</trackRevisions>
    </reviewItem>
    <reviewItem>
      <errorID>c174c79c-789a-48cf-9c55-8f49846008dc</errorID>
      <errorWord>:</errorWord>
      <group>L1_Format</group>
      <groupName>格式问题</groupName>
      <ability>L2_HalfPunc_CN</ability>
      <abilityName/>
      <candidateList>
        <item>：</item>
      </candidateList>
      <explain>文本全半角错误。</explain>
      <paraID>74281D8C</paraID>
      <start>8530</start>
      <end>8531</end>
      <status>unmodified</status>
      <modifiedWord/>
      <trackRevisions>false</trackRevisions>
    </reviewItem>
    <reviewItem>
      <errorID>e59cde11-8648-4c17-a5ab-db67ce55849d</errorID>
      <errorWord>:</errorWord>
      <group>L1_Format</group>
      <groupName>格式问题</groupName>
      <ability>L2_HalfPunc_CN</ability>
      <abilityName/>
      <candidateList>
        <item>：</item>
      </candidateList>
      <explain>文本全半角错误。</explain>
      <paraID>74281D8C</paraID>
      <start>8742</start>
      <end>8743</end>
      <status>unmodified</status>
      <modifiedWord/>
      <trackRevisions>false</trackRevisions>
    </reviewItem>
    <reviewItem>
      <errorID>571255d3-d598-4352-b2b6-2d1c14f8fd2a</errorID>
      <errorWord>:</errorWord>
      <group>L1_Format</group>
      <groupName>格式问题</groupName>
      <ability>L2_HalfPunc_CN</ability>
      <abilityName/>
      <candidateList>
        <item>：</item>
      </candidateList>
      <explain>文本全半角错误。</explain>
      <paraID>74281D8C</paraID>
      <start>8989</start>
      <end>8990</end>
      <status>unmodified</status>
      <modifiedWord/>
      <trackRevisions>false</trackRevisions>
    </reviewItem>
    <reviewItem>
      <errorID>19935071-60ca-4536-8a4f-97f87978b4d9</errorID>
      <errorWord>:</errorWord>
      <group>L1_Format</group>
      <groupName>格式问题</groupName>
      <ability>L2_HalfPunc_CN</ability>
      <abilityName/>
      <candidateList>
        <item>：</item>
      </candidateList>
      <explain>文本全半角错误。</explain>
      <paraID>3A4C36A2</paraID>
      <start>8</start>
      <end>9</end>
      <status>unmodified</status>
      <modifiedWord/>
      <trackRevisions>false</trackRevisions>
    </reviewItem>
    <reviewItem>
      <errorID>cba2ada5-1320-4f9e-9ee7-9c7520b8ba01</errorID>
      <errorWord>:</errorWord>
      <group>L1_Format</group>
      <groupName>格式问题</groupName>
      <ability>L2_HalfPunc_CN</ability>
      <abilityName/>
      <candidateList>
        <item>：</item>
      </candidateList>
      <explain>文本全半角错误。</explain>
      <paraID>3A4C36A2</paraID>
      <start>128</start>
      <end>129</end>
      <status>unmodified</status>
      <modifiedWord/>
      <trackRevisions>false</trackRevisions>
    </reviewItem>
    <reviewItem>
      <errorID>0d549253-6f32-47cf-8599-0b5d4b0a8b6f</errorID>
      <errorWord>:</errorWord>
      <group>L1_Format</group>
      <groupName>格式问题</groupName>
      <ability>L2_HalfPunc_CN</ability>
      <abilityName/>
      <candidateList>
        <item>：</item>
      </candidateList>
      <explain>文本全半角错误。</explain>
      <paraID>3A4C36A2</paraID>
      <start>190</start>
      <end>191</end>
      <status>unmodified</status>
      <modifiedWord/>
      <trackRevisions>false</trackRevisions>
    </reviewItem>
    <reviewItem>
      <errorID>c5bd5f24-5ea9-487c-8d31-efd76fa138d1</errorID>
      <errorWord>。</errorWord>
      <group>L1_Grammar</group>
      <groupName>语法问题</groupName>
      <ability>L2_Grammar</ability>
      <abilityName>语法错误</abilityName>
      <candidateList>
        <item>的功能。</item>
      </candidateList>
      <explain/>
      <paraID>3A4C36A2</paraID>
      <start>231</start>
      <end>232</end>
      <status>unmodified</status>
      <modifiedWord/>
      <trackRevisions>false</trackRevisions>
    </reviewItem>
    <reviewItem>
      <errorID>bc0e5b14-f972-4a3e-a849-0e26f6464b08</errorID>
      <errorWord>:</errorWord>
      <group>L1_Format</group>
      <groupName>格式问题</groupName>
      <ability>L2_HalfPunc_CN</ability>
      <abilityName/>
      <candidateList>
        <item>：</item>
      </candidateList>
      <explain>文本全半角错误。</explain>
      <paraID>3A4C36A2</paraID>
      <start>244</start>
      <end>245</end>
      <status>unmodified</status>
      <modifiedWord/>
      <trackRevisions>false</trackRevisions>
    </reviewItem>
    <reviewItem>
      <errorID>c52608ed-65ea-42bc-b0d0-d88fa2d5bec5</errorID>
      <errorWord>:</errorWord>
      <group>L1_Format</group>
      <groupName>格式问题</groupName>
      <ability>L2_HalfPunc_CN</ability>
      <abilityName/>
      <candidateList>
        <item>：</item>
      </candidateList>
      <explain>文本全半角错误。</explain>
      <paraID>3A4C36A2</paraID>
      <start>324</start>
      <end>325</end>
      <status>unmodified</status>
      <modifiedWord/>
      <trackRevisions>false</trackRevisions>
    </reviewItem>
    <reviewItem>
      <errorID>9e44c802-187f-483e-89f1-9c0a9d598e85</errorID>
      <errorWord>:</errorWord>
      <group>L1_Format</group>
      <groupName>格式问题</groupName>
      <ability>L2_HalfPunc_CN</ability>
      <abilityName/>
      <candidateList>
        <item>：</item>
      </candidateList>
      <explain>文本全半角错误。</explain>
      <paraID>3A4C36A2</paraID>
      <start>365</start>
      <end>366</end>
      <status>unmodified</status>
      <modifiedWord/>
      <trackRevisions>false</trackRevisions>
    </reviewItem>
    <reviewItem>
      <errorID>6791ceee-3386-46bb-b748-9095dd1cd57b</errorID>
      <errorWord>进行</errorWord>
      <group>L1_Word</group>
      <groupName>字词问题</groupName>
      <ability>L2_Typo</ability>
      <abilityName>字词错误</abilityName>
      <candidateList>
        <item>的</item>
      </candidateList>
      <explain/>
      <paraID>3A4C36A2</paraID>
      <start>375</start>
      <end>377</end>
      <status>unmodified</status>
      <modifiedWord/>
      <trackRevisions>false</trackRevisions>
    </reviewItem>
    <reviewItem>
      <errorID>daf19159-c87f-46de-9195-364e999166f0</errorID>
      <errorWord>:</errorWord>
      <group>L1_Format</group>
      <groupName>格式问题</groupName>
      <ability>L2_HalfPunc_CN</ability>
      <abilityName/>
      <candidateList>
        <item>：</item>
      </candidateList>
      <explain>文本全半角错误。</explain>
      <paraID>3A4C36A2</paraID>
      <start>463</start>
      <end>464</end>
      <status>unmodified</status>
      <modifiedWord/>
      <trackRevisions>false</trackRevisions>
    </reviewItem>
    <reviewItem>
      <errorID>1b8de6c7-4715-4fe9-a4d3-8a056a88fbe8</errorID>
      <errorWord>系统</errorWord>
      <group>L1_Word</group>
      <groupName>字词问题</groupName>
      <ability>L2_Typo</ability>
      <abilityName>字词错误</abilityName>
      <candidateList>
        <item>对系统</item>
      </candidateList>
      <explain/>
      <paraID>3A4C36A2</paraID>
      <start>464</start>
      <end>466</end>
      <status>unmodified</status>
      <modifiedWord/>
      <trackRevisions>false</trackRevisions>
    </reviewItem>
    <reviewItem>
      <errorID>09550419-6989-4165-888b-b7d129017b19</errorID>
      <errorWord>:</errorWord>
      <group>L1_Format</group>
      <groupName>格式问题</groupName>
      <ability>L2_HalfPunc_CN</ability>
      <abilityName/>
      <candidateList>
        <item>：</item>
      </candidateList>
      <explain>文本全半角错误。</explain>
      <paraID>3A4C36A2</paraID>
      <start>523</start>
      <end>524</end>
      <status>unmodified</status>
      <modifiedWord/>
      <trackRevisions>false</trackRevisions>
    </reviewItem>
    <reviewItem>
      <errorID>ba33cfaf-2dea-448d-94a0-f7691243a363</errorID>
      <errorWord>进行</errorWord>
      <group>L1_Word</group>
      <groupName>字词问题</groupName>
      <ability>L2_Typo</ability>
      <abilityName>字词错误</abilityName>
      <candidateList>
        <item>的</item>
      </candidateList>
      <explain/>
      <paraID>3A4C36A2</paraID>
      <start>537</start>
      <end>539</end>
      <status>unmodified</status>
      <modifiedWord/>
      <trackRevisions>false</trackRevisions>
    </reviewItem>
    <reviewItem>
      <errorID>d45ea409-7689-4305-b5f3-478df6076f01</errorID>
      <errorWord>:</errorWord>
      <group>L1_Format</group>
      <groupName>格式问题</groupName>
      <ability>L2_HalfPunc_CN</ability>
      <abilityName/>
      <candidateList>
        <item>：</item>
      </candidateList>
      <explain>文本全半角错误。</explain>
      <paraID>3A4C36A2</paraID>
      <start>588</start>
      <end>589</end>
      <status>unmodified</status>
      <modifiedWord/>
      <trackRevisions>false</trackRevisions>
    </reviewItem>
    <reviewItem>
      <errorID>edec4438-51ce-4394-90bd-0ff3eeccb762</errorID>
      <errorWord>监测</errorWord>
      <group>L1_Word</group>
      <groupName>字词问题</groupName>
      <ability>L2_Typo</ability>
      <abilityName>字词错误</abilityName>
      <candidateList>
        <item>的监测</item>
      </candidateList>
      <explain/>
      <paraID>3A4C36A2</paraID>
      <start>649</start>
      <end>651</end>
      <status>unmodified</status>
      <modifiedWord/>
      <trackRevisions>false</trackRevisions>
    </reviewItem>
    <reviewItem>
      <errorID>e909c603-b4f3-44e9-8cf8-bd97be161371</errorID>
      <errorWord>:</errorWord>
      <group>L1_Format</group>
      <groupName>格式问题</groupName>
      <ability>L2_HalfPunc_CN</ability>
      <abilityName/>
      <candidateList>
        <item>：</item>
      </candidateList>
      <explain>文本全半角错误。</explain>
      <paraID>3A4C36A2</paraID>
      <start>697</start>
      <end>698</end>
      <status>unmodified</status>
      <modifiedWord/>
      <trackRevisions>false</trackRevisions>
    </reviewItem>
    <reviewItem>
      <errorID>c0e6bcd4-f89d-46e0-801b-87994f1cb5f9</errorID>
      <errorWord>:</errorWord>
      <group>L1_Format</group>
      <groupName>格式问题</groupName>
      <ability>L2_HalfPunc_CN</ability>
      <abilityName/>
      <candidateList>
        <item>：</item>
      </candidateList>
      <explain>文本全半角错误。</explain>
      <paraID>3A4C36A2</paraID>
      <start>756</start>
      <end>757</end>
      <status>unmodified</status>
      <modifiedWord/>
      <trackRevisions>false</trackRevisions>
    </reviewItem>
    <reviewItem>
      <errorID>3c074500-d0da-461e-b3a0-b4557b87c1b9</errorID>
      <errorWord>:</errorWord>
      <group>L1_Format</group>
      <groupName>格式问题</groupName>
      <ability>L2_HalfPunc_CN</ability>
      <abilityName/>
      <candidateList>
        <item>：</item>
      </candidateList>
      <explain>文本全半角错误。</explain>
      <paraID>3A4C36A2</paraID>
      <start>834</start>
      <end>835</end>
      <status>unmodified</status>
      <modifiedWord/>
      <trackRevisions>false</trackRevisions>
    </reviewItem>
    <reviewItem>
      <errorID>e0c3d66e-0657-4d23-8f13-49c417af497a</errorID>
      <errorWord>监测</errorWord>
      <group>L1_Word</group>
      <groupName>字词问题</groupName>
      <ability>L2_Typo</ability>
      <abilityName>字词错误</abilityName>
      <candidateList>
        <item>的监测</item>
      </candidateList>
      <explain/>
      <paraID>3A4C36A2</paraID>
      <start>843</start>
      <end>845</end>
      <status>unmodified</status>
      <modifiedWord/>
      <trackRevisions>false</trackRevisions>
    </reviewItem>
    <reviewItem>
      <errorID>8201d6f5-b9af-40e4-8d02-61839ac36525</errorID>
      <errorWord>、</errorWord>
      <group>L1_Word</group>
      <groupName>字词问题</groupName>
      <ability>L2_Typo</ability>
      <abilityName>字词错误</abilityName>
      <candidateList>
        <item>和</item>
      </candidateList>
      <explain/>
      <paraID>3A4C36A2</paraID>
      <start>853</start>
      <end>854</end>
      <status>unmodified</status>
      <modifiedWord/>
      <trackRevisions>false</trackRevisions>
    </reviewItem>
    <reviewItem>
      <errorID>0d7bcd55-700d-4945-a62c-fdf9bc80d6d7</errorID>
      <errorWord>:</errorWord>
      <group>L1_Format</group>
      <groupName>格式问题</groupName>
      <ability>L2_HalfPunc_CN</ability>
      <abilityName/>
      <candidateList>
        <item>：</item>
      </candidateList>
      <explain>文本全半角错误。</explain>
      <paraID>3A4C36A2</paraID>
      <start>866</start>
      <end>867</end>
      <status>unmodified</status>
      <modifiedWord/>
      <trackRevisions>false</trackRevisions>
    </reviewItem>
    <reviewItem>
      <errorID>2d2d18a7-a06c-45e3-813c-0449c82da918</errorID>
      <errorWord>实现对</errorWord>
      <group>L1_Word</group>
      <groupName>字词问题</groupName>
      <ability>L2_Typo</ability>
      <abilityName>字词错误</abilityName>
      <candidateList>
        <item>实现</item>
      </candidateList>
      <explain/>
      <paraID>3A4C36A2</paraID>
      <start>867</start>
      <end>870</end>
      <status>unmodified</status>
      <modifiedWord/>
      <trackRevisions>false</trackRevisions>
    </reviewItem>
    <reviewItem>
      <errorID>7bd9b933-d56c-4996-a22d-6874e266c86a</errorID>
      <errorWord>进行</errorWord>
      <group>L1_Word</group>
      <groupName>字词问题</groupName>
      <ability>L2_Typo</ability>
      <abilityName>字词错误</abilityName>
      <candidateList>
        <item>的</item>
      </candidateList>
      <explain/>
      <paraID>3A4C36A2</paraID>
      <start>872</start>
      <end>874</end>
      <status>unmodified</status>
      <modifiedWord/>
      <trackRevisions>false</trackRevisions>
    </reviewItem>
    <reviewItem>
      <errorID>79f8d026-50d2-417c-be52-e853ab1d9b33</errorID>
      <errorWord>:</errorWord>
      <group>L1_Format</group>
      <groupName>格式问题</groupName>
      <ability>L2_HalfPunc_CN</ability>
      <abilityName/>
      <candidateList>
        <item>：</item>
      </candidateList>
      <explain>文本全半角错误。</explain>
      <paraID>3A4C36A2</paraID>
      <start>989</start>
      <end>990</end>
      <status>unmodified</status>
      <modifiedWord/>
      <trackRevisions>false</trackRevisions>
    </reviewItem>
    <reviewItem>
      <errorID>8df4d3ef-c1e7-4d5d-840c-21b6d004d8c9</errorID>
      <errorWord>:</errorWord>
      <group>L1_Format</group>
      <groupName>格式问题</groupName>
      <ability>L2_HalfPunc_CN</ability>
      <abilityName/>
      <candidateList>
        <item>：</item>
      </candidateList>
      <explain>文本全半角错误。</explain>
      <paraID>3A4C36A2</paraID>
      <start>1149</start>
      <end>1150</end>
      <status>unmodified</status>
      <modifiedWord/>
      <trackRevisions>false</trackRevisions>
    </reviewItem>
    <reviewItem>
      <errorID>710335a5-8f2f-4144-a95f-d9330007d630</errorID>
      <errorWord>:</errorWord>
      <group>L1_Format</group>
      <groupName>格式问题</groupName>
      <ability>L2_HalfPunc_CN</ability>
      <abilityName/>
      <candidateList>
        <item>：</item>
      </candidateList>
      <explain>文本全半角错误。</explain>
      <paraID>3A4C36A2</paraID>
      <start>1179</start>
      <end>1180</end>
      <status>unmodified</status>
      <modifiedWord/>
      <trackRevisions>false</trackRevisions>
    </reviewItem>
    <reviewItem>
      <errorID>ec5c620f-6076-49cc-878c-8f8e8be9751b</errorID>
      <errorWord>:</errorWord>
      <group>L1_Format</group>
      <groupName>格式问题</groupName>
      <ability>L2_HalfPunc_CN</ability>
      <abilityName/>
      <candidateList>
        <item>：</item>
      </candidateList>
      <explain>文本全半角错误。</explain>
      <paraID>3A4C36A2</paraID>
      <start>1342</start>
      <end>1343</end>
      <status>unmodified</status>
      <modifiedWord/>
      <trackRevisions>false</trackRevisions>
    </reviewItem>
    <reviewItem>
      <errorID>c0f6510f-fd8b-4233-99b5-0ee796c39164</errorID>
      <errorWord>:</errorWord>
      <group>L1_Format</group>
      <groupName>格式问题</groupName>
      <ability>L2_HalfPunc_CN</ability>
      <abilityName/>
      <candidateList>
        <item>：</item>
      </candidateList>
      <explain>文本全半角错误。</explain>
      <paraID>3A4C36A2</paraID>
      <start>1370</start>
      <end>1371</end>
      <status>unmodified</status>
      <modifiedWord/>
      <trackRevisions>false</trackRevisions>
    </reviewItem>
    <reviewItem>
      <errorID>0ea59d5a-51e5-49e5-935a-462fa252dad0</errorID>
      <errorWord>、导入</errorWord>
      <group>L1_Grammar</group>
      <groupName>语法问题</groupName>
      <ability>L2_Grammar</ability>
      <abilityName>语法错误</abilityName>
      <candidateList>
        <item>、</item>
      </candidateList>
      <explain/>
      <paraID>3A4C36A2</paraID>
      <start>1380</start>
      <end>1383</end>
      <status>unmodified</status>
      <modifiedWord/>
      <trackRevisions>false</trackRevisions>
    </reviewItem>
    <reviewItem>
      <errorID>ebc39ad4-5cca-4ca1-a806-80792916a766</errorID>
      <errorWord>:</errorWord>
      <group>L1_Format</group>
      <groupName>格式问题</groupName>
      <ability>L2_HalfPunc_CN</ability>
      <abilityName/>
      <candidateList>
        <item>：</item>
      </candidateList>
      <explain>文本全半角错误。</explain>
      <paraID>3A4C36A2</paraID>
      <start>1419</start>
      <end>1420</end>
      <status>unmodified</status>
      <modifiedWord/>
      <trackRevisions>false</trackRevisions>
    </reviewItem>
    <reviewItem>
      <errorID>cbedc5b4-ab66-423f-a342-18e6f825183f</errorID>
      <errorWord>:</errorWord>
      <group>L1_Format</group>
      <groupName>格式问题</groupName>
      <ability>L2_HalfPunc_CN</ability>
      <abilityName/>
      <candidateList>
        <item>：</item>
      </candidateList>
      <explain>文本全半角错误。</explain>
      <paraID>3A4C36A2</paraID>
      <start>1526</start>
      <end>1527</end>
      <status>unmodified</status>
      <modifiedWord/>
      <trackRevisions>false</trackRevisions>
    </reviewItem>
    <reviewItem>
      <errorID>1c15f857-5e1b-4668-820b-8483ae9282b5</errorID>
      <errorWord>:</errorWord>
      <group>L1_Format</group>
      <groupName>格式问题</groupName>
      <ability>L2_HalfPunc_CN</ability>
      <abilityName/>
      <candidateList>
        <item>：</item>
      </candidateList>
      <explain>文本全半角错误。</explain>
      <paraID>3A4C36A2</paraID>
      <start>1677</start>
      <end>1678</end>
      <status>unmodified</status>
      <modifiedWord/>
      <trackRevisions>false</trackRevisions>
    </reviewItem>
    <reviewItem>
      <errorID>b54b6771-0c98-4a01-883f-4230f09850ff</errorID>
      <errorWord>:</errorWord>
      <group>L1_Format</group>
      <groupName>格式问题</groupName>
      <ability>L2_HalfPunc_CN</ability>
      <abilityName/>
      <candidateList>
        <item>：</item>
      </candidateList>
      <explain>文本全半角错误。</explain>
      <paraID>3A4C36A2</paraID>
      <start>1778</start>
      <end>1779</end>
      <status>unmodified</status>
      <modifiedWord/>
      <trackRevisions>false</trackRevisions>
    </reviewItem>
    <reviewItem>
      <errorID>576d7be4-d984-4bb3-98d3-718e2916a369</errorID>
      <errorWord>:</errorWord>
      <group>L1_Format</group>
      <groupName>格式问题</groupName>
      <ability>L2_HalfPunc_CN</ability>
      <abilityName/>
      <candidateList>
        <item>：</item>
      </candidateList>
      <explain>文本全半角错误。</explain>
      <paraID>3A4C36A2</paraID>
      <start>1868</start>
      <end>1869</end>
      <status>unmodified</status>
      <modifiedWord/>
      <trackRevisions>false</trackRevisions>
    </reviewItem>
    <reviewItem>
      <errorID>177507b9-036c-4508-a01e-63be346fea72</errorID>
      <errorWord>:</errorWord>
      <group>L1_Format</group>
      <groupName>格式问题</groupName>
      <ability>L2_HalfPunc_CN</ability>
      <abilityName/>
      <candidateList>
        <item>：</item>
      </candidateList>
      <explain>文本全半角错误。</explain>
      <paraID>3A4C36A2</paraID>
      <start>1941</start>
      <end>1942</end>
      <status>unmodified</status>
      <modifiedWord/>
      <trackRevisions>false</trackRevisions>
    </reviewItem>
    <reviewItem>
      <errorID>40c13ad6-7748-432e-9bd3-e11c1b6f5ef9</errorID>
      <errorWord>:</errorWord>
      <group>L1_Format</group>
      <groupName>格式问题</groupName>
      <ability>L2_HalfPunc_CN</ability>
      <abilityName/>
      <candidateList>
        <item>：</item>
      </candidateList>
      <explain>文本全半角错误。</explain>
      <paraID>3A4C36A2</paraID>
      <start>2007</start>
      <end>2008</end>
      <status>unmodified</status>
      <modifiedWord/>
      <trackRevisions>false</trackRevisions>
    </reviewItem>
    <reviewItem>
      <errorID>57ad0919-1501-4551-a4dd-8b083fa3c6f9</errorID>
      <errorWord>（</errorWord>
      <group>L1_Punc</group>
      <groupName>标点问题</groupName>
      <ability>L2_Punc_CN</ability>
      <abilityName/>
      <candidateList/>
      <explain>此处标点可能未正确匹配，请检查句子中是否存在标点冗余、缺失或使用错误的情况。</explain>
      <paraID>3A4C36A2</paraID>
      <start>2020</start>
      <end>2021</end>
      <status>unmodified</status>
      <modifiedWord/>
      <trackRevisions>false</trackRevisions>
    </reviewItem>
    <reviewItem>
      <errorID>6ff84672-32e5-4981-8d80-a36a4e970d92</errorID>
      <errorWord>）</errorWord>
      <group>L1_Punc</group>
      <groupName>标点问题</groupName>
      <ability>L2_Punc_CN</ability>
      <abilityName/>
      <candidateList/>
      <explain>此处标点可能未正确匹配，请检查句子中是否存在标点冗余、缺失或使用错误的情况。</explain>
      <paraID>3A4C36A2</paraID>
      <start>2052</start>
      <end>2053</end>
      <status>unmodified</status>
      <modifiedWord/>
      <trackRevisions>false</trackRevisions>
    </reviewItem>
    <reviewItem>
      <errorID>9bda1004-1471-4da4-976b-6581bd8f8ec2</errorID>
      <errorWord>:</errorWord>
      <group>L1_Format</group>
      <groupName>格式问题</groupName>
      <ability>L2_HalfPunc_CN</ability>
      <abilityName/>
      <candidateList>
        <item>：</item>
      </candidateList>
      <explain>文本全半角错误。</explain>
      <paraID>3A4C36A2</paraID>
      <start>2087</start>
      <end>2088</end>
      <status>unmodified</status>
      <modifiedWord/>
      <trackRevisions>false</trackRevisions>
    </reviewItem>
    <reviewItem>
      <errorID>10234beb-e412-4ddd-9135-998a2d184af4</errorID>
      <errorWord>、</errorWord>
      <group>L1_Grammar</group>
      <groupName>语法问题</groupName>
      <ability>L2_Grammar</ability>
      <abilityName>语法错误</abilityName>
      <candidateList>
        <item>，进行</item>
      </candidateList>
      <explain/>
      <paraID>3A4C36A2</paraID>
      <start>2179</start>
      <end>2180</end>
      <status>unmodified</status>
      <modifiedWord/>
      <trackRevisions>false</trackRevisions>
    </reviewItem>
    <reviewItem>
      <errorID>2b955ff6-fd79-41d5-977f-7ec8a84a0b56</errorID>
      <errorWord>与</errorWord>
      <group>L1_Word</group>
      <groupName>字词问题</groupName>
      <ability>L2_Typo</ability>
      <abilityName>字词错误</abilityName>
      <candidateList>
        <item>可与</item>
      </candidateList>
      <explain/>
      <paraID>3A4C36A2</paraID>
      <start>2302</start>
      <end>2303</end>
      <status>unmodified</status>
      <modifiedWord/>
      <trackRevisions>false</trackRevisions>
    </reviewItem>
    <reviewItem>
      <errorID>09954e4e-c72d-4030-a528-c01e342e1841</errorID>
      <errorWord>:</errorWord>
      <group>L1_Format</group>
      <groupName>格式问题</groupName>
      <ability>L2_HalfPunc_CN</ability>
      <abilityName/>
      <candidateList>
        <item>：</item>
      </candidateList>
      <explain>文本全半角错误。</explain>
      <paraID>3A4C36A2</paraID>
      <start>2350</start>
      <end>2351</end>
      <status>unmodified</status>
      <modifiedWord/>
      <trackRevisions>false</trackRevisions>
    </reviewItem>
    <reviewItem>
      <errorID>ad92f547-7c96-49e4-982e-573f2dce6a4a</errorID>
      <errorWord>:</errorWord>
      <group>L1_Format</group>
      <groupName>格式问题</groupName>
      <ability>L2_HalfPunc_CN</ability>
      <abilityName/>
      <candidateList>
        <item>：</item>
      </candidateList>
      <explain>文本全半角错误。</explain>
      <paraID>3A4C36A2</paraID>
      <start>2395</start>
      <end>2396</end>
      <status>unmodified</status>
      <modifiedWord/>
      <trackRevisions>false</trackRevisions>
    </reviewItem>
    <reviewItem>
      <errorID>36ad92dc-b5b2-44fa-9aa4-cfaf507d0906</errorID>
      <errorWord>:</errorWord>
      <group>L1_Format</group>
      <groupName>格式问题</groupName>
      <ability>L2_HalfPunc_CN</ability>
      <abilityName/>
      <candidateList>
        <item>：</item>
      </candidateList>
      <explain>文本全半角错误。</explain>
      <paraID>3A4C36A2</paraID>
      <start>2476</start>
      <end>2477</end>
      <status>unmodified</status>
      <modifiedWord/>
      <trackRevisions>false</trackRevisions>
    </reviewItem>
    <reviewItem>
      <errorID>037abf85-8aa0-4aad-ade8-25b70fbcc470</errorID>
      <errorWord>:</errorWord>
      <group>L1_Format</group>
      <groupName>格式问题</groupName>
      <ability>L2_HalfPunc_CN</ability>
      <abilityName/>
      <candidateList>
        <item>：</item>
      </candidateList>
      <explain>文本全半角错误。</explain>
      <paraID>3A4C36A2</paraID>
      <start>2593</start>
      <end>2594</end>
      <status>unmodified</status>
      <modifiedWord/>
      <trackRevisions>false</trackRevisions>
    </reviewItem>
    <reviewItem>
      <errorID>b3bf74b0-6e56-4966-b932-1726de8ba004</errorID>
      <errorWord>:</errorWord>
      <group>L1_Format</group>
      <groupName>格式问题</groupName>
      <ability>L2_HalfPunc_CN</ability>
      <abilityName/>
      <candidateList>
        <item>：</item>
      </candidateList>
      <explain>文本全半角错误。</explain>
      <paraID>3A4C36A2</paraID>
      <start>2748</start>
      <end>2749</end>
      <status>unmodified</status>
      <modifiedWord/>
      <trackRevisions>false</trackRevisions>
    </reviewItem>
    <reviewItem>
      <errorID>0fc3cfea-281a-411f-a84e-722092090861</errorID>
      <errorWord>:</errorWord>
      <group>L1_Format</group>
      <groupName>格式问题</groupName>
      <ability>L2_HalfPunc_CN</ability>
      <abilityName/>
      <candidateList>
        <item>：</item>
      </candidateList>
      <explain>文本全半角错误。</explain>
      <paraID>3A4C36A2</paraID>
      <start>2794</start>
      <end>2795</end>
      <status>unmodified</status>
      <modifiedWord/>
      <trackRevisions>false</trackRevisions>
    </reviewItem>
    <reviewItem>
      <errorID>a51f4407-f25b-40eb-9ddb-e088c312f304</errorID>
      <errorWord>：</errorWord>
      <group>L1_Word</group>
      <groupName>字词问题</groupName>
      <ability>L2_Typo</ability>
      <abilityName>字词错误</abilityName>
      <candidateList>
        <item>，对</item>
      </candidateList>
      <explain/>
      <paraID>3A4C36A2</paraID>
      <start>2802</start>
      <end>2803</end>
      <status>unmodified</status>
      <modifiedWord/>
      <trackRevisions>false</trackRevisions>
    </reviewItem>
    <reviewItem>
      <errorID>d54a3e87-ea4e-42b0-a179-74c931c036dc</errorID>
      <errorWord>:</errorWord>
      <group>L1_Format</group>
      <groupName>格式问题</groupName>
      <ability>L2_HalfPunc_CN</ability>
      <abilityName/>
      <candidateList>
        <item>：</item>
      </candidateList>
      <explain>文本全半角错误。</explain>
      <paraID>3A4C36A2</paraID>
      <start>2873</start>
      <end>2874</end>
      <status>unmodified</status>
      <modifiedWord/>
      <trackRevisions>false</trackRevisions>
    </reviewItem>
    <reviewItem>
      <errorID>8f54f756-d747-43d9-997a-c47d266a09d6</errorID>
      <errorWord>实现</errorWord>
      <group>L1_Word</group>
      <groupName>字词问题</groupName>
      <ability>L2_Typo</ability>
      <abilityName>字词错误</abilityName>
      <candidateList>
        <item>支持</item>
      </candidateList>
      <explain/>
      <paraID>3A4C36A2</paraID>
      <start>2898</start>
      <end>2900</end>
      <status>unmodified</status>
      <modifiedWord/>
      <trackRevisions>false</trackRevisions>
    </reviewItem>
    <reviewItem>
      <errorID>12b05684-2cec-4d63-b924-4e55e4d93f4a</errorID>
      <errorWord>:</errorWord>
      <group>L1_Format</group>
      <groupName>格式问题</groupName>
      <ability>L2_HalfPunc_CN</ability>
      <abilityName/>
      <candidateList>
        <item>：</item>
      </candidateList>
      <explain>文本全半角错误。</explain>
      <paraID>3A4C36A2</paraID>
      <start>2918</start>
      <end>2919</end>
      <status>unmodified</status>
      <modifiedWord/>
      <trackRevisions>false</trackRevisions>
    </reviewItem>
    <reviewItem>
      <errorID>42988f9b-6bdb-4805-854b-ab2e486086de</errorID>
      <errorWord>:</errorWord>
      <group>L1_Format</group>
      <groupName>格式问题</groupName>
      <ability>L2_HalfPunc_CN</ability>
      <abilityName/>
      <candidateList>
        <item>：</item>
      </candidateList>
      <explain>文本全半角错误。</explain>
      <paraID>3A4C36A2</paraID>
      <start>3011</start>
      <end>3012</end>
      <status>unmodified</status>
      <modifiedWord/>
      <trackRevisions>false</trackRevisions>
    </reviewItem>
    <reviewItem>
      <errorID>fb620e92-3232-48a2-8a31-c4f1efc82b82</errorID>
      <errorWord>:</errorWord>
      <group>L1_Format</group>
      <groupName>格式问题</groupName>
      <ability>L2_HalfPunc_CN</ability>
      <abilityName/>
      <candidateList>
        <item>：</item>
      </candidateList>
      <explain>文本全半角错误。</explain>
      <paraID>3A4C36A2</paraID>
      <start>3063</start>
      <end>3064</end>
      <status>unmodified</status>
      <modifiedWord/>
      <trackRevisions>false</trackRevisions>
    </reviewItem>
    <reviewItem>
      <errorID>a8a55a6a-f078-4520-8596-05efe8961333</errorID>
      <errorWord>:</errorWord>
      <group>L1_Format</group>
      <groupName>格式问题</groupName>
      <ability>L2_HalfPunc_CN</ability>
      <abilityName/>
      <candidateList>
        <item>：</item>
      </candidateList>
      <explain>文本全半角错误。</explain>
      <paraID>3A4C36A2</paraID>
      <start>3186</start>
      <end>3187</end>
      <status>unmodified</status>
      <modifiedWord/>
      <trackRevisions>false</trackRevisions>
    </reviewItem>
    <reviewItem>
      <errorID>ff4378cc-0edd-4e73-9b54-a644b269f9f5</errorID>
      <errorWord>:</errorWord>
      <group>L1_Format</group>
      <groupName>格式问题</groupName>
      <ability>L2_HalfPunc_CN</ability>
      <abilityName/>
      <candidateList>
        <item>：</item>
      </candidateList>
      <explain>文本全半角错误。</explain>
      <paraID>3A4C36A2</paraID>
      <start>3273</start>
      <end>3274</end>
      <status>unmodified</status>
      <modifiedWord/>
      <trackRevisions>false</trackRevisions>
    </reviewItem>
    <reviewItem>
      <errorID>88bac5fb-d4e2-43d5-be74-cc3bc33d5468</errorID>
      <errorWord>:</errorWord>
      <group>L1_Format</group>
      <groupName>格式问题</groupName>
      <ability>L2_HalfPunc_CN</ability>
      <abilityName/>
      <candidateList>
        <item>：</item>
      </candidateList>
      <explain>文本全半角错误。</explain>
      <paraID>3A4C36A2</paraID>
      <start>3328</start>
      <end>3329</end>
      <status>unmodified</status>
      <modifiedWord/>
      <trackRevisions>false</trackRevisions>
    </reviewItem>
    <reviewItem>
      <errorID>fce9b47e-1bfe-42ce-beda-6b8be76bf421</errorID>
      <errorWord>:</errorWord>
      <group>L1_Format</group>
      <groupName>格式问题</groupName>
      <ability>L2_HalfPunc_CN</ability>
      <abilityName/>
      <candidateList>
        <item>：</item>
      </candidateList>
      <explain>文本全半角错误。</explain>
      <paraID> 2D3F62F</paraID>
      <start>6</start>
      <end>7</end>
      <status>unmodified</status>
      <modifiedWord/>
      <trackRevisions>false</trackRevisions>
    </reviewItem>
    <reviewItem>
      <errorID>a5b3e337-53e1-4916-9cd1-96caff57e741</errorID>
      <errorWord>:</errorWord>
      <group>L1_Format</group>
      <groupName>格式问题</groupName>
      <ability>L2_HalfPunc_CN</ability>
      <abilityName/>
      <candidateList>
        <item>：</item>
      </candidateList>
      <explain>文本全半角错误。</explain>
      <paraID> 2D3F62F</paraID>
      <start>33</start>
      <end>34</end>
      <status>unmodified</status>
      <modifiedWord/>
      <trackRevisions>false</trackRevisions>
    </reviewItem>
    <reviewItem>
      <errorID>8672017c-3686-49e1-8a9d-04d8dc9bc3e3</errorID>
      <errorWord>:</errorWord>
      <group>L1_Format</group>
      <groupName>格式问题</groupName>
      <ability>L2_HalfPunc_CN</ability>
      <abilityName/>
      <candidateList>
        <item>：</item>
      </candidateList>
      <explain>文本全半角错误。</explain>
      <paraID> 2D3F62F</paraID>
      <start>147</start>
      <end>148</end>
      <status>unmodified</status>
      <modifiedWord/>
      <trackRevisions>false</trackRevisions>
    </reviewItem>
    <reviewItem>
      <errorID>178e45d7-5ffd-4e8f-8594-78a31270dc84</errorID>
      <errorWord>:</errorWord>
      <group>L1_Format</group>
      <groupName>格式问题</groupName>
      <ability>L2_HalfPunc_CN</ability>
      <abilityName/>
      <candidateList>
        <item>：</item>
      </candidateList>
      <explain>文本全半角错误。</explain>
      <paraID> 2D3F62F</paraID>
      <start>292</start>
      <end>293</end>
      <status>unmodified</status>
      <modifiedWord/>
      <trackRevisions>false</trackRevisions>
    </reviewItem>
    <reviewItem>
      <errorID>01e56d1f-ce88-4d22-8412-8fd4feea5a7b</errorID>
      <errorWord>:</errorWord>
      <group>L1_Format</group>
      <groupName>格式问题</groupName>
      <ability>L2_HalfPunc_CN</ability>
      <abilityName/>
      <candidateList>
        <item>：</item>
      </candidateList>
      <explain>文本全半角错误。</explain>
      <paraID> 2D3F62F</paraID>
      <start>344</start>
      <end>345</end>
      <status>unmodified</status>
      <modifiedWord/>
      <trackRevisions>false</trackRevisions>
    </reviewItem>
    <reviewItem>
      <errorID>9fccea60-c4e2-48da-a761-acbc47ac949f</errorID>
      <errorWord>:</errorWord>
      <group>L1_Format</group>
      <groupName>格式问题</groupName>
      <ability>L2_HalfPunc_CN</ability>
      <abilityName/>
      <candidateList>
        <item>：</item>
      </candidateList>
      <explain>文本全半角错误。</explain>
      <paraID> 2D3F62F</paraID>
      <start>439</start>
      <end>440</end>
      <status>unmodified</status>
      <modifiedWord/>
      <trackRevisions>false</trackRevisions>
    </reviewItem>
    <reviewItem>
      <errorID>c482dfa8-1dbb-451d-942f-dacf165711ec</errorID>
      <errorWord>:</errorWord>
      <group>L1_Format</group>
      <groupName>格式问题</groupName>
      <ability>L2_HalfPunc_CN</ability>
      <abilityName/>
      <candidateList>
        <item>：</item>
      </candidateList>
      <explain>文本全半角错误。</explain>
      <paraID> 2D3F62F</paraID>
      <start>522</start>
      <end>523</end>
      <status>unmodified</status>
      <modifiedWord/>
      <trackRevisions>false</trackRevisions>
    </reviewItem>
    <reviewItem>
      <errorID>5b4480fe-06e3-47be-a720-052efa546d32</errorID>
      <errorWord>数据类型进行监控</errorWord>
      <group>L1_Grammar</group>
      <groupName>语法问题</groupName>
      <ability>L2_Grammar</ability>
      <abilityName>语法错误</abilityName>
      <candidateList>
        <item>数据类型</item>
      </candidateList>
      <explain/>
      <paraID> 2D3F62F</paraID>
      <start>576</start>
      <end>584</end>
      <status>unmodified</status>
      <modifiedWord/>
      <trackRevisions>false</trackRevisions>
    </reviewItem>
    <reviewItem>
      <errorID>1c6edf0c-344a-452f-afe9-1814cd1444ce</errorID>
      <errorWord>:</errorWord>
      <group>L1_Format</group>
      <groupName>格式问题</groupName>
      <ability>L2_HalfPunc_CN</ability>
      <abilityName/>
      <candidateList>
        <item>：</item>
      </candidateList>
      <explain>文本全半角错误。</explain>
      <paraID> 2D3F62F</paraID>
      <start>593</start>
      <end>594</end>
      <status>unmodified</status>
      <modifiedWord/>
      <trackRevisions>false</trackRevisions>
    </reviewItem>
    <reviewItem>
      <errorID>8e594bd8-15f5-42a8-aef9-93a2855b0ef4</errorID>
      <errorWord>处理率进行监控</errorWord>
      <group>L1_Grammar</group>
      <groupName>语法问题</groupName>
      <ability>L2_Grammar</ability>
      <abilityName>语法错误</abilityName>
      <candidateList>
        <item>处理率</item>
      </candidateList>
      <explain/>
      <paraID> 2D3F62F</paraID>
      <start>635</start>
      <end>642</end>
      <status>unmodified</status>
      <modifiedWord/>
      <trackRevisions>false</trackRevisions>
    </reviewItem>
    <reviewItem>
      <errorID>67557d22-cfc7-4e78-a8a5-30cf13541e8e</errorID>
      <errorWord>:</errorWord>
      <group>L1_Format</group>
      <groupName>格式问题</groupName>
      <ability>L2_HalfPunc_CN</ability>
      <abilityName/>
      <candidateList>
        <item>：</item>
      </candidateList>
      <explain>文本全半角错误。</explain>
      <paraID> 2D3F62F</paraID>
      <start>652</start>
      <end>653</end>
      <status>unmodified</status>
      <modifiedWord/>
      <trackRevisions>false</trackRevisions>
    </reviewItem>
    <reviewItem>
      <errorID>a35e5bfb-d774-4dc0-932a-3088b53a4890</errorID>
      <errorWord>:</errorWord>
      <group>L1_Format</group>
      <groupName>格式问题</groupName>
      <ability>L2_HalfPunc_CN</ability>
      <abilityName/>
      <candidateList>
        <item>：</item>
      </candidateList>
      <explain>文本全半角错误。</explain>
      <paraID> 2D3F62F</paraID>
      <start>685</start>
      <end>686</end>
      <status>unmodified</status>
      <modifiedWord/>
      <trackRevisions>false</trackRevisions>
    </reviewItem>
    <reviewItem>
      <errorID>ab332984-4907-406a-9fc0-fdd1085910fb</errorID>
      <errorWord>:</errorWord>
      <group>L1_Format</group>
      <groupName>格式问题</groupName>
      <ability>L2_HalfPunc_CN</ability>
      <abilityName/>
      <candidateList>
        <item>：</item>
      </candidateList>
      <explain>文本全半角错误。</explain>
      <paraID> 2D3F62F</paraID>
      <start>714</start>
      <end>715</end>
      <status>unmodified</status>
      <modifiedWord/>
      <trackRevisions>false</trackRevisions>
    </reviewItem>
    <reviewItem>
      <errorID>9791f2e9-e2e4-4b4c-b2da-e3f875cacc1f</errorID>
      <errorWord>:</errorWord>
      <group>L1_Format</group>
      <groupName>格式问题</groupName>
      <ability>L2_HalfPunc_CN</ability>
      <abilityName/>
      <candidateList>
        <item>：</item>
      </candidateList>
      <explain>文本全半角错误。</explain>
      <paraID> 2D3F62F</paraID>
      <start>754</start>
      <end>755</end>
      <status>unmodified</status>
      <modifiedWord/>
      <trackRevisions>false</trackRevisions>
    </reviewItem>
    <reviewItem>
      <errorID>c354ec58-d3ab-4914-a1c6-27510f079723</errorID>
      <errorWord>:</errorWord>
      <group>L1_Format</group>
      <groupName>格式问题</groupName>
      <ability>L2_HalfPunc_CN</ability>
      <abilityName/>
      <candidateList>
        <item>：</item>
      </candidateList>
      <explain>文本全半角错误。</explain>
      <paraID> 2D3F62F</paraID>
      <start>820</start>
      <end>821</end>
      <status>unmodified</status>
      <modifiedWord/>
      <trackRevisions>false</trackRevisions>
    </reviewItem>
    <reviewItem>
      <errorID>9a1c3061-95d6-47d9-84df-d65b343f3fa2</errorID>
      <errorWord>linux </errorWord>
      <group>L1_Word</group>
      <groupName>字词问题</groupName>
      <ability>L2_Typo</ability>
      <abilityName>字词错误</abilityName>
      <candidateList>
        <item>Linux</item>
      </candidateList>
      <explain/>
      <paraID> 2D3F62F</paraID>
      <start>835</start>
      <end>841</end>
      <status>unmodified</status>
      <modifiedWord/>
      <trackRevisions>false</trackRevisions>
    </reviewItem>
    <reviewItem>
      <errorID>237fb154-9fee-418c-980b-ac961841300d</errorID>
      <errorWord>windows </errorWord>
      <group>L1_Word</group>
      <groupName>字词问题</groupName>
      <ability>L2_Typo</ability>
      <abilityName>字词错误</abilityName>
      <candidateList>
        <item>Windows</item>
      </candidateList>
      <explain/>
      <paraID> 2D3F62F</paraID>
      <start>845</start>
      <end>853</end>
      <status>unmodified</status>
      <modifiedWord/>
      <trackRevisions>false</trackRevisions>
    </reviewItem>
    <reviewItem>
      <errorID>8d8cee79-4999-4c46-aeff-715cf00fc595</errorID>
      <errorWord>ddos </errorWord>
      <group>L1_Word</group>
      <groupName>字词问题</groupName>
      <ability>L2_Typo</ability>
      <abilityName>字词错误</abilityName>
      <candidateList>
        <item>DDoS</item>
      </candidateList>
      <explain/>
      <paraID> 2D3F62F</paraID>
      <start>903</start>
      <end>908</end>
      <status>unmodified</status>
      <modifiedWord/>
      <trackRevisions>false</trackRevisions>
    </reviewItem>
    <reviewItem>
      <errorID>ddd4ac11-6f9e-468b-8606-66301838cb28</errorID>
      <errorWord>:</errorWord>
      <group>L1_Format</group>
      <groupName>格式问题</groupName>
      <ability>L2_HalfPunc_CN</ability>
      <abilityName/>
      <candidateList>
        <item>：</item>
      </candidateList>
      <explain>文本全半角错误。</explain>
      <paraID> 2D3F62F</paraID>
      <start>930</start>
      <end>931</end>
      <status>unmodified</status>
      <modifiedWord/>
      <trackRevisions>false</trackRevisions>
    </reviewItem>
    <reviewItem>
      <errorID>c4e9c080-835d-4d79-bf99-ce2ca91d5291</errorID>
      <errorWord>:</errorWord>
      <group>L1_Format</group>
      <groupName>格式问题</groupName>
      <ability>L2_HalfPunc_CN</ability>
      <abilityName/>
      <candidateList>
        <item>：</item>
      </candidateList>
      <explain>文本全半角错误。</explain>
      <paraID> 2D3F62F</paraID>
      <start>956</start>
      <end>957</end>
      <status>unmodified</status>
      <modifiedWord/>
      <trackRevisions>false</trackRevisions>
    </reviewItem>
    <reviewItem>
      <errorID>4a22baec-d31b-4fa7-b5ab-39e3a17d4f84</errorID>
      <errorWord>:</errorWord>
      <group>L1_Format</group>
      <groupName>格式问题</groupName>
      <ability>L2_HalfPunc_CN</ability>
      <abilityName/>
      <candidateList>
        <item>：</item>
      </candidateList>
      <explain>文本全半角错误。</explain>
      <paraID> 2D3F62F</paraID>
      <start>1009</start>
      <end>1010</end>
      <status>unmodified</status>
      <modifiedWord/>
      <trackRevisions>false</trackRevisions>
    </reviewItem>
    <reviewItem>
      <errorID>90c525a2-d5af-4e96-9299-b86f439e0bf7</errorID>
      <errorWord>:</errorWord>
      <group>L1_Format</group>
      <groupName>格式问题</groupName>
      <ability>L2_HalfPunc_CN</ability>
      <abilityName/>
      <candidateList>
        <item>：</item>
      </candidateList>
      <explain>文本全半角错误。</explain>
      <paraID> 2D3F62F</paraID>
      <start>1100</start>
      <end>1101</end>
      <status>unmodified</status>
      <modifiedWord/>
      <trackRevisions>false</trackRevisions>
    </reviewItem>
    <reviewItem>
      <errorID>0e6bc016-ba91-4471-b6e1-1b7dcb868206</errorID>
      <errorWord>:</errorWord>
      <group>L1_Format</group>
      <groupName>格式问题</groupName>
      <ability>L2_HalfPunc_CN</ability>
      <abilityName/>
      <candidateList>
        <item>：</item>
      </candidateList>
      <explain>文本全半角错误。</explain>
      <paraID> 2D3F62F</paraID>
      <start>1143</start>
      <end>1144</end>
      <status>unmodified</status>
      <modifiedWord/>
      <trackRevisions>false</trackRevisions>
    </reviewItem>
    <reviewItem>
      <errorID>9ee2ca8e-6c22-4fba-adbe-4ed3575a77c2</errorID>
      <errorWord>:</errorWord>
      <group>L1_Format</group>
      <groupName>格式问题</groupName>
      <ability>L2_HalfPunc_CN</ability>
      <abilityName/>
      <candidateList>
        <item>：</item>
      </candidateList>
      <explain>文本全半角错误。</explain>
      <paraID> 2D3F62F</paraID>
      <start>1312</start>
      <end>1313</end>
      <status>unmodified</status>
      <modifiedWord/>
      <trackRevisions>false</trackRevisions>
    </reviewItem>
    <reviewItem>
      <errorID>70827470-823a-4c98-9cae-8978509eba1d</errorID>
      <errorWord>:</errorWord>
      <group>L1_Format</group>
      <groupName>格式问题</groupName>
      <ability>L2_HalfPunc_CN</ability>
      <abilityName/>
      <candidateList>
        <item>：</item>
      </candidateList>
      <explain>文本全半角错误。</explain>
      <paraID> 2D3F62F</paraID>
      <start>1355</start>
      <end>1356</end>
      <status>unmodified</status>
      <modifiedWord/>
      <trackRevisions>false</trackRevisions>
    </reviewItem>
    <reviewItem>
      <errorID>0a298fd4-03ec-4a77-8127-ea851d9b604d</errorID>
      <errorWord>:</errorWord>
      <group>L1_Format</group>
      <groupName>格式问题</groupName>
      <ability>L2_HalfPunc_CN</ability>
      <abilityName/>
      <candidateList>
        <item>：</item>
      </candidateList>
      <explain>文本全半角错误。</explain>
      <paraID> 2D3F62F</paraID>
      <start>1401</start>
      <end>1402</end>
      <status>unmodified</status>
      <modifiedWord/>
      <trackRevisions>false</trackRevisions>
    </reviewItem>
    <reviewItem>
      <errorID>4c0de894-00ec-4706-9d04-6757a2f1f98e</errorID>
      <errorWord>:</errorWord>
      <group>L1_Format</group>
      <groupName>格式问题</groupName>
      <ability>L2_HalfPunc_CN</ability>
      <abilityName/>
      <candidateList>
        <item>：</item>
      </candidateList>
      <explain>文本全半角错误。</explain>
      <paraID> 2D3F62F</paraID>
      <start>1434</start>
      <end>1435</end>
      <status>unmodified</status>
      <modifiedWord/>
      <trackRevisions>false</trackRevisions>
    </reviewItem>
    <reviewItem>
      <errorID>415463be-a7fe-4cda-984a-7ab4a9c46c82</errorID>
      <errorWord>:</errorWord>
      <group>L1_Format</group>
      <groupName>格式问题</groupName>
      <ability>L2_HalfPunc_CN</ability>
      <abilityName/>
      <candidateList>
        <item>：</item>
      </candidateList>
      <explain>文本全半角错误。</explain>
      <paraID> 2D3F62F</paraID>
      <start>1463</start>
      <end>1464</end>
      <status>unmodified</status>
      <modifiedWord/>
      <trackRevisions>false</trackRevisions>
    </reviewItem>
    <reviewItem>
      <errorID>52d22177-a678-465d-acf1-60d78cc0e76b</errorID>
      <errorWord>:</errorWord>
      <group>L1_Format</group>
      <groupName>格式问题</groupName>
      <ability>L2_HalfPunc_CN</ability>
      <abilityName/>
      <candidateList>
        <item>：</item>
      </candidateList>
      <explain>文本全半角错误。</explain>
      <paraID> 2D3F62F</paraID>
      <start>1496</start>
      <end>1497</end>
      <status>unmodified</status>
      <modifiedWord/>
      <trackRevisions>false</trackRevisions>
    </reviewItem>
    <reviewItem>
      <errorID>40cf0c45-c50c-4106-a17e-c488ee68db5f</errorID>
      <errorWord>:</errorWord>
      <group>L1_Format</group>
      <groupName>格式问题</groupName>
      <ability>L2_HalfPunc_CN</ability>
      <abilityName/>
      <candidateList>
        <item>：</item>
      </candidateList>
      <explain>文本全半角错误。</explain>
      <paraID> 2D3F62F</paraID>
      <start>1569</start>
      <end>1570</end>
      <status>unmodified</status>
      <modifiedWord/>
      <trackRevisions>false</trackRevisions>
    </reviewItem>
    <reviewItem>
      <errorID>e689342d-75b7-45cb-98fd-2d0a977a54c6</errorID>
      <errorWord>:</errorWord>
      <group>L1_Format</group>
      <groupName>格式问题</groupName>
      <ability>L2_HalfPunc_CN</ability>
      <abilityName/>
      <candidateList>
        <item>：</item>
      </candidateList>
      <explain>文本全半角错误。</explain>
      <paraID> 2D3F62F</paraID>
      <start>1621</start>
      <end>1622</end>
      <status>unmodified</status>
      <modifiedWord/>
      <trackRevisions>false</trackRevisions>
    </reviewItem>
    <reviewItem>
      <errorID>e2744d22-493c-4c48-95a7-d90a6d57afa4</errorID>
      <errorWord>:</errorWord>
      <group>L1_Format</group>
      <groupName>格式问题</groupName>
      <ability>L2_HalfPunc_CN</ability>
      <abilityName/>
      <candidateList>
        <item>：</item>
      </candidateList>
      <explain>文本全半角错误。</explain>
      <paraID> 2D3F62F</paraID>
      <start>1668</start>
      <end>1669</end>
      <status>unmodified</status>
      <modifiedWord/>
      <trackRevisions>false</trackRevisions>
    </reviewItem>
    <reviewItem>
      <errorID>2a960e75-e277-454b-93fe-976578907905</errorID>
      <errorWord>:</errorWord>
      <group>L1_Format</group>
      <groupName>格式问题</groupName>
      <ability>L2_HalfPunc_CN</ability>
      <abilityName/>
      <candidateList>
        <item>：</item>
      </candidateList>
      <explain>文本全半角错误。</explain>
      <paraID> 2D3F62F</paraID>
      <start>1693</start>
      <end>1694</end>
      <status>unmodified</status>
      <modifiedWord/>
      <trackRevisions>false</trackRevisions>
    </reviewItem>
    <reviewItem>
      <errorID>ae745332-225d-45ae-8bc7-e472811247be</errorID>
      <errorWord>、记录</errorWord>
      <group>L1_Grammar</group>
      <groupName>语法问题</groupName>
      <ability>L2_Grammar</ability>
      <abilityName>语法错误</abilityName>
      <candidateList>
        <item>、</item>
      </candidateList>
      <explain/>
      <paraID> 2D3F62F</paraID>
      <start>1702</start>
      <end>1705</end>
      <status>unmodified</status>
      <modifiedWord/>
      <trackRevisions>false</trackRevisions>
    </reviewItem>
    <reviewItem>
      <errorID>c4a69a4c-0102-495d-bf13-8d8efa49c7ad</errorID>
      <errorWord>:</errorWord>
      <group>L1_Format</group>
      <groupName>格式问题</groupName>
      <ability>L2_HalfPunc_CN</ability>
      <abilityName/>
      <candidateList>
        <item>：</item>
      </candidateList>
      <explain>文本全半角错误。</explain>
      <paraID> 2D3F62F</paraID>
      <start>1724</start>
      <end>1725</end>
      <status>unmodified</status>
      <modifiedWord/>
      <trackRevisions>false</trackRevisions>
    </reviewItem>
    <reviewItem>
      <errorID>564f3cb1-ffe9-4aa1-9211-473dde945f28</errorID>
      <errorWord>:</errorWord>
      <group>L1_Format</group>
      <groupName>格式问题</groupName>
      <ability>L2_HalfPunc_CN</ability>
      <abilityName/>
      <candidateList>
        <item>：</item>
      </candidateList>
      <explain>文本全半角错误。</explain>
      <paraID> 2D3F62F</paraID>
      <start>1840</start>
      <end>1841</end>
      <status>unmodified</status>
      <modifiedWord/>
      <trackRevisions>false</trackRevisions>
    </reviewItem>
    <reviewItem>
      <errorID>a1d3109e-f035-4cc3-b8f0-d7c422e32927</errorID>
      <errorWord>:</errorWord>
      <group>L1_Format</group>
      <groupName>格式问题</groupName>
      <ability>L2_HalfPunc_CN</ability>
      <abilityName/>
      <candidateList>
        <item>：</item>
      </candidateList>
      <explain>文本全半角错误。</explain>
      <paraID>7356121F</paraID>
      <start>6</start>
      <end>7</end>
      <status>unmodified</status>
      <modifiedWord/>
      <trackRevisions>false</trackRevisions>
    </reviewItem>
    <reviewItem>
      <errorID>47198f07-b186-4764-900b-320700189181</errorID>
      <errorWord>:</errorWord>
      <group>L1_Format</group>
      <groupName>格式问题</groupName>
      <ability>L2_HalfPunc_CN</ability>
      <abilityName/>
      <candidateList>
        <item>：</item>
      </candidateList>
      <explain>文本全半角错误。</explain>
      <paraID>7356121F</paraID>
      <start>100</start>
      <end>101</end>
      <status>unmodified</status>
      <modifiedWord/>
      <trackRevisions>false</trackRevisions>
    </reviewItem>
    <reviewItem>
      <errorID>9c1b0bde-0e15-46e3-a7e0-23811d42d058</errorID>
      <errorWord>:</errorWord>
      <group>L1_Format</group>
      <groupName>格式问题</groupName>
      <ability>L2_HalfPunc_CN</ability>
      <abilityName/>
      <candidateList>
        <item>：</item>
      </candidateList>
      <explain>文本全半角错误。</explain>
      <paraID>7356121F</paraID>
      <start>143</start>
      <end>144</end>
      <status>unmodified</status>
      <modifiedWord/>
      <trackRevisions>false</trackRevisions>
    </reviewItem>
    <reviewItem>
      <errorID>1c3b3847-796d-48c0-bee5-b8b16af6f97f</errorID>
      <errorWord>:</errorWord>
      <group>L1_Format</group>
      <groupName>格式问题</groupName>
      <ability>L2_HalfPunc_CN</ability>
      <abilityName/>
      <candidateList>
        <item>：</item>
      </candidateList>
      <explain>文本全半角错误。</explain>
      <paraID>7356121F</paraID>
      <start>217</start>
      <end>218</end>
      <status>unmodified</status>
      <modifiedWord/>
      <trackRevisions>false</trackRevisions>
    </reviewItem>
    <reviewItem>
      <errorID>be5509b2-3215-4f42-821f-9203136c9d47</errorID>
      <errorWord>:</errorWord>
      <group>L1_Format</group>
      <groupName>格式问题</groupName>
      <ability>L2_HalfPunc_CN</ability>
      <abilityName/>
      <candidateList>
        <item>：</item>
      </candidateList>
      <explain>文本全半角错误。</explain>
      <paraID>7356121F</paraID>
      <start>269</start>
      <end>270</end>
      <status>unmodified</status>
      <modifiedWord/>
      <trackRevisions>false</trackRevisions>
    </reviewItem>
    <reviewItem>
      <errorID>9ad8b6fd-0a46-4fab-87ca-ffd0f155bccd</errorID>
      <errorWord>:</errorWord>
      <group>L1_Format</group>
      <groupName>格式问题</groupName>
      <ability>L2_HalfPunc_CN</ability>
      <abilityName/>
      <candidateList>
        <item>：</item>
      </candidateList>
      <explain>文本全半角错误。</explain>
      <paraID>7356121F</paraID>
      <start>313</start>
      <end>314</end>
      <status>unmodified</status>
      <modifiedWord/>
      <trackRevisions>false</trackRevisions>
    </reviewItem>
    <reviewItem>
      <errorID>e3179df4-e44e-48d5-812d-3aed3f0d7355</errorID>
      <errorWord>:</errorWord>
      <group>L1_Format</group>
      <groupName>格式问题</groupName>
      <ability>L2_HalfPunc_CN</ability>
      <abilityName/>
      <candidateList>
        <item>：</item>
      </candidateList>
      <explain>文本全半角错误。</explain>
      <paraID>7356121F</paraID>
      <start>390</start>
      <end>391</end>
      <status>unmodified</status>
      <modifiedWord/>
      <trackRevisions>false</trackRevisions>
    </reviewItem>
    <reviewItem>
      <errorID>94683bbf-b9ba-415d-b990-08784dfdc5ca</errorID>
      <errorWord>:</errorWord>
      <group>L1_Format</group>
      <groupName>格式问题</groupName>
      <ability>L2_HalfPunc_CN</ability>
      <abilityName/>
      <candidateList>
        <item>：</item>
      </candidateList>
      <explain>文本全半角错误。</explain>
      <paraID>7356121F</paraID>
      <start>435</start>
      <end>436</end>
      <status>unmodified</status>
      <modifiedWord/>
      <trackRevisions>false</trackRevisions>
    </reviewItem>
    <reviewItem>
      <errorID>3d5b1365-801b-43ee-866b-3906f56545fb</errorID>
      <errorWord>:</errorWord>
      <group>L1_Format</group>
      <groupName>格式问题</groupName>
      <ability>L2_HalfPunc_CN</ability>
      <abilityName/>
      <candidateList>
        <item>：</item>
      </candidateList>
      <explain>文本全半角错误。</explain>
      <paraID>7356121F</paraID>
      <start>503</start>
      <end>504</end>
      <status>unmodified</status>
      <modifiedWord/>
      <trackRevisions>false</trackRevisions>
    </reviewItem>
    <reviewItem>
      <errorID>8370db98-0469-4a91-9b01-5cc29df9e1c3</errorID>
      <errorWord>:</errorWord>
      <group>L1_Format</group>
      <groupName>格式问题</groupName>
      <ability>L2_HalfPunc_CN</ability>
      <abilityName/>
      <candidateList>
        <item>：</item>
      </candidateList>
      <explain>文本全半角错误。</explain>
      <paraID>7356121F</paraID>
      <start>556</start>
      <end>557</end>
      <status>unmodified</status>
      <modifiedWord/>
      <trackRevisions>false</trackRevisions>
    </reviewItem>
    <reviewItem>
      <errorID>a23a146f-388d-4e21-bc2b-2bb2a2a5d34d</errorID>
      <errorWord>:</errorWord>
      <group>L1_Format</group>
      <groupName>格式问题</groupName>
      <ability>L2_HalfPunc_CN</ability>
      <abilityName/>
      <candidateList>
        <item>：</item>
      </candidateList>
      <explain>文本全半角错误。</explain>
      <paraID>7356121F</paraID>
      <start>606</start>
      <end>607</end>
      <status>unmodified</status>
      <modifiedWord/>
      <trackRevisions>false</trackRevisions>
    </reviewItem>
    <reviewItem>
      <errorID>6702f767-1297-4489-9e4e-2cc652b6f987</errorID>
      <errorWord>:</errorWord>
      <group>L1_Format</group>
      <groupName>格式问题</groupName>
      <ability>L2_HalfPunc_CN</ability>
      <abilityName/>
      <candidateList>
        <item>：</item>
      </candidateList>
      <explain>文本全半角错误。</explain>
      <paraID>7356121F</paraID>
      <start>670</start>
      <end>671</end>
      <status>unmodified</status>
      <modifiedWord/>
      <trackRevisions>false</trackRevisions>
    </reviewItem>
    <reviewItem>
      <errorID>4e91a4a1-1483-4707-aad7-3613ac73b074</errorID>
      <errorWord>等操作</errorWord>
      <group>L1_Grammar</group>
      <groupName>语法问题</groupName>
      <ability>L2_Grammar</ability>
      <abilityName>语法错误</abilityName>
      <candidateList>
        <item>等</item>
      </candidateList>
      <explain/>
      <paraID>7356121F</paraID>
      <start>815</start>
      <end>818</end>
      <status>unmodified</status>
      <modifiedWord/>
      <trackRevisions>false</trackRevisions>
    </reviewItem>
    <reviewItem>
      <errorID>80e77362-fab6-4934-9702-f315277cdc6e</errorID>
      <errorWord>:</errorWord>
      <group>L1_Format</group>
      <groupName>格式问题</groupName>
      <ability>L2_HalfPunc_CN</ability>
      <abilityName/>
      <candidateList>
        <item>：</item>
      </candidateList>
      <explain>文本全半角错误。</explain>
      <paraID>7356121F</paraID>
      <start>828</start>
      <end>829</end>
      <status>unmodified</status>
      <modifiedWord/>
      <trackRevisions>false</trackRevisions>
    </reviewItem>
    <reviewItem>
      <errorID>b6b45ebf-0833-4fac-a3d2-8623546d2456</errorID>
      <errorWord>:</errorWord>
      <group>L1_Format</group>
      <groupName>格式问题</groupName>
      <ability>L2_HalfPunc_CN</ability>
      <abilityName/>
      <candidateList>
        <item>：</item>
      </candidateList>
      <explain>文本全半角错误。</explain>
      <paraID>7356121F</paraID>
      <start>896</start>
      <end>897</end>
      <status>unmodified</status>
      <modifiedWord/>
      <trackRevisions>false</trackRevisions>
    </reviewItem>
    <reviewItem>
      <errorID>08396c09-24b7-439f-8c6b-2ca616a7526c</errorID>
      <errorWord>:</errorWord>
      <group>L1_Format</group>
      <groupName>格式问题</groupName>
      <ability>L2_HalfPunc_CN</ability>
      <abilityName/>
      <candidateList>
        <item>：</item>
      </candidateList>
      <explain>文本全半角错误。</explain>
      <paraID>7356121F</paraID>
      <start>922</start>
      <end>923</end>
      <status>unmodified</status>
      <modifiedWord/>
      <trackRevisions>false</trackRevisions>
    </reviewItem>
    <reviewItem>
      <errorID>b80fbf50-15c8-4609-b61a-79e2fa7eb159</errorID>
      <errorWord>:</errorWord>
      <group>L1_Format</group>
      <groupName>格式问题</groupName>
      <ability>L2_HalfPunc_CN</ability>
      <abilityName/>
      <candidateList>
        <item>：</item>
      </candidateList>
      <explain>文本全半角错误。</explain>
      <paraID>7356121F</paraID>
      <start>989</start>
      <end>990</end>
      <status>unmodified</status>
      <modifiedWord/>
      <trackRevisions>false</trackRevisions>
    </reviewItem>
    <reviewItem>
      <errorID>f2fc09b3-8f2f-461e-94ad-a1efe05ac88a</errorID>
      <errorWord>:</errorWord>
      <group>L1_Format</group>
      <groupName>格式问题</groupName>
      <ability>L2_HalfPunc_CN</ability>
      <abilityName/>
      <candidateList>
        <item>：</item>
      </candidateList>
      <explain>文本全半角错误。</explain>
      <paraID>7356121F</paraID>
      <start>1053</start>
      <end>1054</end>
      <status>unmodified</status>
      <modifiedWord/>
      <trackRevisions>false</trackRevisions>
    </reviewItem>
    <reviewItem>
      <errorID>cc07141c-592d-4523-9fb5-f3b25f31bbaa</errorID>
      <errorWord>及</errorWord>
      <group>L1_Grammar</group>
      <groupName>语法问题</groupName>
      <ability>L2_Grammar</ability>
      <abilityName>语法错误</abilityName>
      <candidateList>
        <item>，以及</item>
      </candidateList>
      <explain/>
      <paraID>7356121F</paraID>
      <start>1102</start>
      <end>1103</end>
      <status>unmodified</status>
      <modifiedWord/>
      <trackRevisions>false</trackRevisions>
    </reviewItem>
    <reviewItem>
      <errorID>ce4179fa-7766-449d-8b67-9881b08590d1</errorID>
      <errorWord>:</errorWord>
      <group>L1_Format</group>
      <groupName>格式问题</groupName>
      <ability>L2_HalfPunc_CN</ability>
      <abilityName/>
      <candidateList>
        <item>：</item>
      </candidateList>
      <explain>文本全半角错误。</explain>
      <paraID>7356121F</paraID>
      <start>1166</start>
      <end>1167</end>
      <status>unmodified</status>
      <modifiedWord/>
      <trackRevisions>false</trackRevisions>
    </reviewItem>
    <reviewItem>
      <errorID>d82cbcac-b72a-48fb-895a-8e867eacfe3a</errorID>
      <errorWord>:</errorWord>
      <group>L1_Format</group>
      <groupName>格式问题</groupName>
      <ability>L2_HalfPunc_CN</ability>
      <abilityName/>
      <candidateList>
        <item>：</item>
      </candidateList>
      <explain>文本全半角错误。</explain>
      <paraID>7356121F</paraID>
      <start>1204</start>
      <end>1205</end>
      <status>unmodified</status>
      <modifiedWord/>
      <trackRevisions>false</trackRevisions>
    </reviewItem>
    <reviewItem>
      <errorID>08a240c1-102b-4ecc-8d5a-fc4b70ab1a37</errorID>
      <errorWord>:</errorWord>
      <group>L1_Format</group>
      <groupName>格式问题</groupName>
      <ability>L2_HalfPunc_CN</ability>
      <abilityName/>
      <candidateList>
        <item>：</item>
      </candidateList>
      <explain>文本全半角错误。</explain>
      <paraID>7356121F</paraID>
      <start>1272</start>
      <end>1273</end>
      <status>unmodified</status>
      <modifiedWord/>
      <trackRevisions>false</trackRevisions>
    </reviewItem>
    <reviewItem>
      <errorID>60b21acc-d0c1-4fe3-9174-d31ec90217e2</errorID>
      <errorWord>:</errorWord>
      <group>L1_Format</group>
      <groupName>格式问题</groupName>
      <ability>L2_HalfPunc_CN</ability>
      <abilityName/>
      <candidateList>
        <item>：</item>
      </candidateList>
      <explain>文本全半角错误。</explain>
      <paraID>1353E5B9</paraID>
      <start>9</start>
      <end>10</end>
      <status>unmodified</status>
      <modifiedWord/>
      <trackRevisions>false</trackRevisions>
    </reviewItem>
    <reviewItem>
      <errorID>e44d16ad-7a72-43ce-ab41-9d75fea314dc</errorID>
      <errorWord>:</errorWord>
      <group>L1_Format</group>
      <groupName>格式问题</groupName>
      <ability>L2_HalfPunc_CN</ability>
      <abilityName/>
      <candidateList>
        <item>：</item>
      </candidateList>
      <explain>文本全半角错误。</explain>
      <paraID>1353E5B9</paraID>
      <start>85</start>
      <end>86</end>
      <status>unmodified</status>
      <modifiedWord/>
      <trackRevisions>false</trackRevisions>
    </reviewItem>
    <reviewItem>
      <errorID>eb251737-c6bc-4915-abbb-4e6cc65b5ecd</errorID>
      <errorWord>:</errorWord>
      <group>L1_Format</group>
      <groupName>格式问题</groupName>
      <ability>L2_HalfPunc_CN</ability>
      <abilityName/>
      <candidateList>
        <item>：</item>
      </candidateList>
      <explain>文本全半角错误。</explain>
      <paraID>1353E5B9</paraID>
      <start>142</start>
      <end>143</end>
      <status>unmodified</status>
      <modifiedWord/>
      <trackRevisions>false</trackRevisions>
    </reviewItem>
    <reviewItem>
      <errorID>d470b864-fee5-4f1d-9d4b-d23f11ad95c0</errorID>
      <errorWord>方进行选择</errorWord>
      <group>L1_Grammar</group>
      <groupName>语法问题</groupName>
      <ability>L2_Grammar</ability>
      <abilityName>语法错误</abilityName>
      <candidateList>
        <item>方</item>
      </candidateList>
      <explain/>
      <paraID>1353E5B9</paraID>
      <start>170</start>
      <end>175</end>
      <status>unmodified</status>
      <modifiedWord/>
      <trackRevisions>false</trackRevisions>
    </reviewItem>
    <reviewItem>
      <errorID>58ad3e8b-e186-4f8f-96fd-3a2563939b06</errorID>
      <errorWord>:</errorWord>
      <group>L1_Format</group>
      <groupName>格式问题</groupName>
      <ability>L2_HalfPunc_CN</ability>
      <abilityName/>
      <candidateList>
        <item>：</item>
      </candidateList>
      <explain>文本全半角错误。</explain>
      <paraID>1353E5B9</paraID>
      <start>184</start>
      <end>185</end>
      <status>unmodified</status>
      <modifiedWord/>
      <trackRevisions>false</trackRevisions>
    </reviewItem>
    <reviewItem>
      <errorID>04a14cd8-e417-487b-be71-d93781905c7c</errorID>
      <errorWord>:</errorWord>
      <group>L1_Format</group>
      <groupName>格式问题</groupName>
      <ability>L2_HalfPunc_CN</ability>
      <abilityName/>
      <candidateList>
        <item>：</item>
      </candidateList>
      <explain>文本全半角错误。</explain>
      <paraID>1353E5B9</paraID>
      <start>218</start>
      <end>219</end>
      <status>unmodified</status>
      <modifiedWord/>
      <trackRevisions>false</trackRevisions>
    </reviewItem>
    <reviewItem>
      <errorID>9d21f6c1-a4d4-4691-b6e1-fa9620bb11ec</errorID>
      <errorWord>:</errorWord>
      <group>L1_Format</group>
      <groupName>格式问题</groupName>
      <ability>L2_HalfPunc_CN</ability>
      <abilityName/>
      <candidateList>
        <item>：</item>
      </candidateList>
      <explain>文本全半角错误。</explain>
      <paraID>1353E5B9</paraID>
      <start>271</start>
      <end>272</end>
      <status>unmodified</status>
      <modifiedWord/>
      <trackRevisions>false</trackRevisions>
    </reviewItem>
    <reviewItem>
      <errorID>2ba71a2d-3254-4976-835c-17b11ed3bd97</errorID>
      <errorWord>:</errorWord>
      <group>L1_Format</group>
      <groupName>格式问题</groupName>
      <ability>L2_HalfPunc_CN</ability>
      <abilityName/>
      <candidateList>
        <item>：</item>
      </candidateList>
      <explain>文本全半角错误。</explain>
      <paraID>1353E5B9</paraID>
      <start>341</start>
      <end>342</end>
      <status>unmodified</status>
      <modifiedWord/>
      <trackRevisions>false</trackRevisions>
    </reviewItem>
    <reviewItem>
      <errorID>508af862-4d97-4e69-a9c4-1a5b58013eb4</errorID>
      <errorWord>:</errorWord>
      <group>L1_Format</group>
      <groupName>格式问题</groupName>
      <ability>L2_HalfPunc_CN</ability>
      <abilityName/>
      <candidateList>
        <item>：</item>
      </candidateList>
      <explain>文本全半角错误。</explain>
      <paraID>1353E5B9</paraID>
      <start>384</start>
      <end>385</end>
      <status>unmodified</status>
      <modifiedWord/>
      <trackRevisions>false</trackRevisions>
    </reviewItem>
    <reviewItem>
      <errorID>9e4bb0a3-bebb-451b-a67c-65307d619311</errorID>
      <errorWord>:</errorWord>
      <group>L1_Format</group>
      <groupName>格式问题</groupName>
      <ability>L2_HalfPunc_CN</ability>
      <abilityName/>
      <candidateList>
        <item>：</item>
      </candidateList>
      <explain>文本全半角错误。</explain>
      <paraID>1353E5B9</paraID>
      <start>425</start>
      <end>426</end>
      <status>unmodified</status>
      <modifiedWord/>
      <trackRevisions>false</trackRevisions>
    </reviewItem>
    <reviewItem>
      <errorID>f8969008-b16b-443e-841b-baed6f6fd814</errorID>
      <errorWord>:</errorWord>
      <group>L1_Format</group>
      <groupName>格式问题</groupName>
      <ability>L2_HalfPunc_CN</ability>
      <abilityName/>
      <candidateList>
        <item>：</item>
      </candidateList>
      <explain>文本全半角错误。</explain>
      <paraID>1353E5B9</paraID>
      <start>505</start>
      <end>506</end>
      <status>unmodified</status>
      <modifiedWord/>
      <trackRevisions>false</trackRevisions>
    </reviewItem>
    <reviewItem>
      <errorID>5bc29d5d-9559-4757-9c6a-be89eaba38b3</errorID>
      <errorWord>:</errorWord>
      <group>L1_Format</group>
      <groupName>格式问题</groupName>
      <ability>L2_HalfPunc_CN</ability>
      <abilityName/>
      <candidateList>
        <item>：</item>
      </candidateList>
      <explain>文本全半角错误。</explain>
      <paraID>1353E5B9</paraID>
      <start>546</start>
      <end>547</end>
      <status>unmodified</status>
      <modifiedWord/>
      <trackRevisions>false</trackRevisions>
    </reviewItem>
    <reviewItem>
      <errorID>4dda306f-fa25-4701-99cc-42b666e0caa8</errorID>
      <errorWord>:</errorWord>
      <group>L1_Format</group>
      <groupName>格式问题</groupName>
      <ability>L2_HalfPunc_CN</ability>
      <abilityName/>
      <candidateList>
        <item>：</item>
      </candidateList>
      <explain>文本全半角错误。</explain>
      <paraID>1353E5B9</paraID>
      <start>578</start>
      <end>579</end>
      <status>unmodified</status>
      <modifiedWord/>
      <trackRevisions>false</trackRevisions>
    </reviewItem>
    <reviewItem>
      <errorID>d5611022-b3c9-48eb-8bd5-89db79f02b5f</errorID>
      <errorWord>:</errorWord>
      <group>L1_Format</group>
      <groupName>格式问题</groupName>
      <ability>L2_HalfPunc_CN</ability>
      <abilityName/>
      <candidateList>
        <item>：</item>
      </candidateList>
      <explain>文本全半角错误。</explain>
      <paraID>1353E5B9</paraID>
      <start>609</start>
      <end>610</end>
      <status>unmodified</status>
      <modifiedWord/>
      <trackRevisions>false</trackRevisions>
    </reviewItem>
    <reviewItem>
      <errorID>b264c42f-bf0e-4d24-bd83-c3259739dd32</errorID>
      <errorWord>:</errorWord>
      <group>L1_Format</group>
      <groupName>格式问题</groupName>
      <ability>L2_HalfPunc_CN</ability>
      <abilityName/>
      <candidateList>
        <item>：</item>
      </candidateList>
      <explain>文本全半角错误。</explain>
      <paraID>1353E5B9</paraID>
      <start>659</start>
      <end>660</end>
      <status>unmodified</status>
      <modifiedWord/>
      <trackRevisions>false</trackRevisions>
    </reviewItem>
    <reviewItem>
      <errorID>294d9f73-5168-41c9-83f7-0b33d257345c</errorID>
      <errorWord>:</errorWord>
      <group>L1_Format</group>
      <groupName>格式问题</groupName>
      <ability>L2_HalfPunc_CN</ability>
      <abilityName/>
      <candidateList>
        <item>：</item>
      </candidateList>
      <explain>文本全半角错误。</explain>
      <paraID>1353E5B9</paraID>
      <start>724</start>
      <end>725</end>
      <status>unmodified</status>
      <modifiedWord/>
      <trackRevisions>false</trackRevisions>
    </reviewItem>
    <reviewItem>
      <errorID>a0bde586-88e8-4333-9887-a24f44d04243</errorID>
      <errorWord>:</errorWord>
      <group>L1_Format</group>
      <groupName>格式问题</groupName>
      <ability>L2_HalfPunc_CN</ability>
      <abilityName/>
      <candidateList>
        <item>：</item>
      </candidateList>
      <explain>文本全半角错误。</explain>
      <paraID>1353E5B9</paraID>
      <start>790</start>
      <end>791</end>
      <status>unmodified</status>
      <modifiedWord/>
      <trackRevisions>false</trackRevisions>
    </reviewItem>
    <reviewItem>
      <errorID>2e3f76c3-4964-400a-a530-67e587fb7dab</errorID>
      <errorWord>:</errorWord>
      <group>L1_Format</group>
      <groupName>格式问题</groupName>
      <ability>L2_HalfPunc_CN</ability>
      <abilityName/>
      <candidateList>
        <item>：</item>
      </candidateList>
      <explain>文本全半角错误。</explain>
      <paraID>1353E5B9</paraID>
      <start>844</start>
      <end>845</end>
      <status>unmodified</status>
      <modifiedWord/>
      <trackRevisions>false</trackRevisions>
    </reviewItem>
    <reviewItem>
      <errorID>88c07d46-03ea-4633-badf-7b6595fb4dc5</errorID>
      <errorWord>:</errorWord>
      <group>L1_Format</group>
      <groupName>格式问题</groupName>
      <ability>L2_HalfPunc_CN</ability>
      <abilityName/>
      <candidateList>
        <item>：</item>
      </candidateList>
      <explain>文本全半角错误。</explain>
      <paraID>1353E5B9</paraID>
      <start>894</start>
      <end>895</end>
      <status>unmodified</status>
      <modifiedWord/>
      <trackRevisions>false</trackRevisions>
    </reviewItem>
    <reviewItem>
      <errorID>d7b9cc74-5a98-4a80-b66f-e82b32c457c8</errorID>
      <errorWord>:</errorWord>
      <group>L1_Format</group>
      <groupName>格式问题</groupName>
      <ability>L2_HalfPunc_CN</ability>
      <abilityName/>
      <candidateList>
        <item>：</item>
      </candidateList>
      <explain>文本全半角错误。</explain>
      <paraID>1353E5B9</paraID>
      <start>922</start>
      <end>923</end>
      <status>unmodified</status>
      <modifiedWord/>
      <trackRevisions>false</trackRevisions>
    </reviewItem>
    <reviewItem>
      <errorID>7d06ebbb-df08-4165-9419-8878c8cb12e4</errorID>
      <errorWord>:</errorWord>
      <group>L1_Format</group>
      <groupName>格式问题</groupName>
      <ability>L2_HalfPunc_CN</ability>
      <abilityName/>
      <candidateList>
        <item>：</item>
      </candidateList>
      <explain>文本全半角错误。</explain>
      <paraID>1353E5B9</paraID>
      <start>971</start>
      <end>972</end>
      <status>unmodified</status>
      <modifiedWord/>
      <trackRevisions>false</trackRevisions>
    </reviewItem>
    <reviewItem>
      <errorID>2904bc27-36af-4266-b37b-09ca2be64e64</errorID>
      <errorWord>:</errorWord>
      <group>L1_Format</group>
      <groupName>格式问题</groupName>
      <ability>L2_HalfPunc_CN</ability>
      <abilityName/>
      <candidateList>
        <item>：</item>
      </candidateList>
      <explain>文本全半角错误。</explain>
      <paraID>1353E5B9</paraID>
      <start>1011</start>
      <end>1012</end>
      <status>unmodified</status>
      <modifiedWord/>
      <trackRevisions>false</trackRevisions>
    </reviewItem>
    <reviewItem>
      <errorID>c585ecc1-96b5-4eda-b6a9-bae8cc770bbd</errorID>
      <errorWord>:</errorWord>
      <group>L1_Format</group>
      <groupName>格式问题</groupName>
      <ability>L2_HalfPunc_CN</ability>
      <abilityName/>
      <candidateList>
        <item>：</item>
      </candidateList>
      <explain>文本全半角错误。</explain>
      <paraID>1353E5B9</paraID>
      <start>1075</start>
      <end>1076</end>
      <status>unmodified</status>
      <modifiedWord/>
      <trackRevisions>false</trackRevisions>
    </reviewItem>
    <reviewItem>
      <errorID>a116feba-bcc9-47b8-89c3-c9378203be92</errorID>
      <errorWord>:</errorWord>
      <group>L1_Format</group>
      <groupName>格式问题</groupName>
      <ability>L2_HalfPunc_CN</ability>
      <abilityName/>
      <candidateList>
        <item>：</item>
      </candidateList>
      <explain>文本全半角错误。</explain>
      <paraID>1353E5B9</paraID>
      <start>1145</start>
      <end>1146</end>
      <status>unmodified</status>
      <modifiedWord/>
      <trackRevisions>false</trackRevisions>
    </reviewItem>
    <reviewItem>
      <errorID>e3f86b2b-17fa-4d35-bc0f-609f291be710</errorID>
      <errorWord>:</errorWord>
      <group>L1_Format</group>
      <groupName>格式问题</groupName>
      <ability>L2_HalfPunc_CN</ability>
      <abilityName/>
      <candidateList>
        <item>：</item>
      </candidateList>
      <explain>文本全半角错误。</explain>
      <paraID>1353E5B9</paraID>
      <start>1236</start>
      <end>1237</end>
      <status>unmodified</status>
      <modifiedWord/>
      <trackRevisions>false</trackRevisions>
    </reviewItem>
    <reviewItem>
      <errorID>cc119571-873b-41c4-8395-610b5fed7543</errorID>
      <errorWord>:</errorWord>
      <group>L1_Format</group>
      <groupName>格式问题</groupName>
      <ability>L2_HalfPunc_CN</ability>
      <abilityName/>
      <candidateList>
        <item>：</item>
      </candidateList>
      <explain>文本全半角错误。</explain>
      <paraID>1353E5B9</paraID>
      <start>1294</start>
      <end>1295</end>
      <status>unmodified</status>
      <modifiedWord/>
      <trackRevisions>false</trackRevisions>
    </reviewItem>
    <reviewItem>
      <errorID>2a4a9e00-3dac-43ee-8945-d41a510cebe4</errorID>
      <errorWord>:</errorWord>
      <group>L1_Format</group>
      <groupName>格式问题</groupName>
      <ability>L2_HalfPunc_CN</ability>
      <abilityName/>
      <candidateList>
        <item>：</item>
      </candidateList>
      <explain>文本全半角错误。</explain>
      <paraID>1353E5B9</paraID>
      <start>1357</start>
      <end>1358</end>
      <status>unmodified</status>
      <modifiedWord/>
      <trackRevisions>false</trackRevisions>
    </reviewItem>
    <reviewItem>
      <errorID>8125c886-7910-41cd-ad2b-4ba305a32c24</errorID>
      <errorWord>:</errorWord>
      <group>L1_Format</group>
      <groupName>格式问题</groupName>
      <ability>L2_HalfPunc_CN</ability>
      <abilityName/>
      <candidateList>
        <item>：</item>
      </candidateList>
      <explain>文本全半角错误。</explain>
      <paraID>1353E5B9</paraID>
      <start>1494</start>
      <end>1495</end>
      <status>unmodified</status>
      <modifiedWord/>
      <trackRevisions>false</trackRevisions>
    </reviewItem>
    <reviewItem>
      <errorID>ebc9a33e-c67a-4d28-ae73-942b5f12bee8</errorID>
      <errorWord>:</errorWord>
      <group>L1_Format</group>
      <groupName>格式问题</groupName>
      <ability>L2_HalfPunc_CN</ability>
      <abilityName/>
      <candidateList>
        <item>：</item>
      </candidateList>
      <explain>文本全半角错误。</explain>
      <paraID>1353E5B9</paraID>
      <start>1586</start>
      <end>1587</end>
      <status>unmodified</status>
      <modifiedWord/>
      <trackRevisions>false</trackRevisions>
    </reviewItem>
    <reviewItem>
      <errorID>3517ee10-29f1-4af3-b96d-c04d59a2161f</errorID>
      <errorWord>:</errorWord>
      <group>L1_Format</group>
      <groupName>格式问题</groupName>
      <ability>L2_HalfPunc_CN</ability>
      <abilityName/>
      <candidateList>
        <item>：</item>
      </candidateList>
      <explain>文本全半角错误。</explain>
      <paraID>1353E5B9</paraID>
      <start>1685</start>
      <end>1686</end>
      <status>unmodified</status>
      <modifiedWord/>
      <trackRevisions>false</trackRevisions>
    </reviewItem>
    <reviewItem>
      <errorID>04981af8-ba25-428e-8f58-d8c16f011f23</errorID>
      <errorWord>:</errorWord>
      <group>L1_Format</group>
      <groupName>格式问题</groupName>
      <ability>L2_HalfPunc_CN</ability>
      <abilityName/>
      <candidateList>
        <item>：</item>
      </candidateList>
      <explain>文本全半角错误。</explain>
      <paraID>1353E5B9</paraID>
      <start>1747</start>
      <end>1748</end>
      <status>unmodified</status>
      <modifiedWord/>
      <trackRevisions>false</trackRevisions>
    </reviewItem>
    <reviewItem>
      <errorID>93001429-a999-411f-b763-d8abbdf7b9de</errorID>
      <errorWord>:</errorWord>
      <group>L1_Format</group>
      <groupName>格式问题</groupName>
      <ability>L2_HalfPunc_CN</ability>
      <abilityName/>
      <candidateList>
        <item>：</item>
      </candidateList>
      <explain>文本全半角错误。</explain>
      <paraID>1353E5B9</paraID>
      <start>1814</start>
      <end>1815</end>
      <status>unmodified</status>
      <modifiedWord/>
      <trackRevisions>false</trackRevisions>
    </reviewItem>
    <reviewItem>
      <errorID>960a4ba3-e62d-45b4-be3c-235b652989bb</errorID>
      <errorWord>:</errorWord>
      <group>L1_Format</group>
      <groupName>格式问题</groupName>
      <ability>L2_HalfPunc_CN</ability>
      <abilityName/>
      <candidateList>
        <item>：</item>
      </candidateList>
      <explain>文本全半角错误。</explain>
      <paraID>1E3973C5</paraID>
      <start>7</start>
      <end>8</end>
      <status>unmodified</status>
      <modifiedWord/>
      <trackRevisions>false</trackRevisions>
    </reviewItem>
    <reviewItem>
      <errorID>14535dc6-ca1a-4f55-bbaa-107e53191488</errorID>
      <errorWord>:</errorWord>
      <group>L1_Format</group>
      <groupName>格式问题</groupName>
      <ability>L2_HalfPunc_CN</ability>
      <abilityName/>
      <candidateList>
        <item>：</item>
      </candidateList>
      <explain>文本全半角错误。</explain>
      <paraID>1E3973C5</paraID>
      <start>49</start>
      <end>50</end>
      <status>unmodified</status>
      <modifiedWord/>
      <trackRevisions>false</trackRevisions>
    </reviewItem>
    <reviewItem>
      <errorID>e834c197-8722-44d5-9d98-92eceda6b6c8</errorID>
      <errorWord>:</errorWord>
      <group>L1_Format</group>
      <groupName>格式问题</groupName>
      <ability>L2_HalfPunc_CN</ability>
      <abilityName/>
      <candidateList>
        <item>：</item>
      </candidateList>
      <explain>文本全半角错误。</explain>
      <paraID>1E3973C5</paraID>
      <start>179</start>
      <end>180</end>
      <status>unmodified</status>
      <modifiedWord/>
      <trackRevisions>false</trackRevisions>
    </reviewItem>
    <reviewItem>
      <errorID>03ce91ba-a366-4254-914b-002cd4e65bfd</errorID>
      <errorWord>:</errorWord>
      <group>L1_Format</group>
      <groupName>格式问题</groupName>
      <ability>L2_HalfPunc_CN</ability>
      <abilityName/>
      <candidateList>
        <item>：</item>
      </candidateList>
      <explain>文本全半角错误。</explain>
      <paraID>1E3973C5</paraID>
      <start>226</start>
      <end>227</end>
      <status>unmodified</status>
      <modifiedWord/>
      <trackRevisions>false</trackRevisions>
    </reviewItem>
    <reviewItem>
      <errorID>9ff9743b-94dd-4459-a504-0e09c85e7733</errorID>
      <errorWord>:</errorWord>
      <group>L1_Format</group>
      <groupName>格式问题</groupName>
      <ability>L2_HalfPunc_CN</ability>
      <abilityName/>
      <candidateList>
        <item>：</item>
      </candidateList>
      <explain>文本全半角错误。</explain>
      <paraID>1E3973C5</paraID>
      <start>314</start>
      <end>315</end>
      <status>unmodified</status>
      <modifiedWord/>
      <trackRevisions>false</trackRevisions>
    </reviewItem>
    <reviewItem>
      <errorID>b44767e6-0a9f-4b03-85a0-6653f79c0c98</errorID>
      <errorWord>:</errorWord>
      <group>L1_Format</group>
      <groupName>格式问题</groupName>
      <ability>L2_HalfPunc_CN</ability>
      <abilityName/>
      <candidateList>
        <item>：</item>
      </candidateList>
      <explain>文本全半角错误。</explain>
      <paraID>1E3973C5</paraID>
      <start>348</start>
      <end>349</end>
      <status>unmodified</status>
      <modifiedWord/>
      <trackRevisions>false</trackRevisions>
    </reviewItem>
    <reviewItem>
      <errorID>5a30f917-5b13-4549-b8c3-cd7f9af89c5e</errorID>
      <errorWord>:</errorWord>
      <group>L1_Format</group>
      <groupName>格式问题</groupName>
      <ability>L2_HalfPunc_CN</ability>
      <abilityName/>
      <candidateList>
        <item>：</item>
      </candidateList>
      <explain>文本全半角错误。</explain>
      <paraID>1E3973C5</paraID>
      <start>394</start>
      <end>395</end>
      <status>unmodified</status>
      <modifiedWord/>
      <trackRevisions>false</trackRevisions>
    </reviewItem>
    <reviewItem>
      <errorID>46b13331-3eed-432a-87b8-1153dbabffe1</errorID>
      <errorWord>:</errorWord>
      <group>L1_Format</group>
      <groupName>格式问题</groupName>
      <ability>L2_HalfPunc_CN</ability>
      <abilityName/>
      <candidateList>
        <item>：</item>
      </candidateList>
      <explain>文本全半角错误。</explain>
      <paraID>1E3973C5</paraID>
      <start>553</start>
      <end>554</end>
      <status>unmodified</status>
      <modifiedWord/>
      <trackRevisions>false</trackRevisions>
    </reviewItem>
    <reviewItem>
      <errorID>4e92b6ee-9aab-46d5-b00c-ae487159c442</errorID>
      <errorWord>:</errorWord>
      <group>L1_Format</group>
      <groupName>格式问题</groupName>
      <ability>L2_HalfPunc_CN</ability>
      <abilityName/>
      <candidateList>
        <item>：</item>
      </candidateList>
      <explain>文本全半角错误。</explain>
      <paraID>1E3973C5</paraID>
      <start>637</start>
      <end>638</end>
      <status>unmodified</status>
      <modifiedWord/>
      <trackRevisions>false</trackRevisions>
    </reviewItem>
    <reviewItem>
      <errorID>0f8fde1d-0cca-46b7-935a-76b663ba5d12</errorID>
      <errorWord>:</errorWord>
      <group>L1_Format</group>
      <groupName>格式问题</groupName>
      <ability>L2_HalfPunc_CN</ability>
      <abilityName/>
      <candidateList>
        <item>：</item>
      </candidateList>
      <explain>文本全半角错误。</explain>
      <paraID>1E3973C5</paraID>
      <start>720</start>
      <end>721</end>
      <status>unmodified</status>
      <modifiedWord/>
      <trackRevisions>false</trackRevisions>
    </reviewItem>
    <reviewItem>
      <errorID>48d08aea-22a3-435a-8133-f1a73d09431d</errorID>
      <errorWord>:</errorWord>
      <group>L1_Format</group>
      <groupName>格式问题</groupName>
      <ability>L2_HalfPunc_CN</ability>
      <abilityName/>
      <candidateList>
        <item>：</item>
      </candidateList>
      <explain>文本全半角错误。</explain>
      <paraID>1E3973C5</paraID>
      <start>788</start>
      <end>789</end>
      <status>unmodified</status>
      <modifiedWord/>
      <trackRevisions>false</trackRevisions>
    </reviewItem>
    <reviewItem>
      <errorID>0008723c-4870-43db-9a6e-34f45fd8845a</errorID>
      <errorWord>:</errorWord>
      <group>L1_Format</group>
      <groupName>格式问题</groupName>
      <ability>L2_HalfPunc_CN</ability>
      <abilityName/>
      <candidateList>
        <item>：</item>
      </candidateList>
      <explain>文本全半角错误。</explain>
      <paraID>1E3973C5</paraID>
      <start>837</start>
      <end>838</end>
      <status>unmodified</status>
      <modifiedWord/>
      <trackRevisions>false</trackRevisions>
    </reviewItem>
    <reviewItem>
      <errorID>bc46a840-cb00-46b6-8d15-5aec6ec8bd7d</errorID>
      <errorWord>:</errorWord>
      <group>L1_Format</group>
      <groupName>格式问题</groupName>
      <ability>L2_HalfPunc_CN</ability>
      <abilityName/>
      <candidateList>
        <item>：</item>
      </candidateList>
      <explain>文本全半角错误。</explain>
      <paraID>1E3973C5</paraID>
      <start>882</start>
      <end>883</end>
      <status>unmodified</status>
      <modifiedWord/>
      <trackRevisions>false</trackRevisions>
    </reviewItem>
    <reviewItem>
      <errorID>d50e44aa-091a-4ce2-90d8-1f16f26c6104</errorID>
      <errorWord>:</errorWord>
      <group>L1_Format</group>
      <groupName>格式问题</groupName>
      <ability>L2_HalfPunc_CN</ability>
      <abilityName/>
      <candidateList>
        <item>：</item>
      </candidateList>
      <explain>文本全半角错误。</explain>
      <paraID>6816415F</paraID>
      <start>10</start>
      <end>11</end>
      <status>unmodified</status>
      <modifiedWord/>
      <trackRevisions>false</trackRevisions>
    </reviewItem>
    <reviewItem>
      <errorID>0d056c88-985d-4a85-bc4a-57861639792c</errorID>
      <errorWord>:</errorWord>
      <group>L1_Format</group>
      <groupName>格式问题</groupName>
      <ability>L2_HalfPunc_CN</ability>
      <abilityName/>
      <candidateList>
        <item>：</item>
      </candidateList>
      <explain>文本全半角错误。</explain>
      <paraID>6816415F</paraID>
      <start>98</start>
      <end>99</end>
      <status>unmodified</status>
      <modifiedWord/>
      <trackRevisions>false</trackRevisions>
    </reviewItem>
    <reviewItem>
      <errorID>c534c8c8-0865-4ff2-90cd-fb783810f245</errorID>
      <errorWord>:</errorWord>
      <group>L1_Format</group>
      <groupName>格式问题</groupName>
      <ability>L2_HalfPunc_CN</ability>
      <abilityName/>
      <candidateList>
        <item>：</item>
      </candidateList>
      <explain>文本全半角错误。</explain>
      <paraID>6816415F</paraID>
      <start>166</start>
      <end>167</end>
      <status>unmodified</status>
      <modifiedWord/>
      <trackRevisions>false</trackRevisions>
    </reviewItem>
    <reviewItem>
      <errorID>75ee13df-c4a9-429f-868a-ee88c8d22aec</errorID>
      <errorWord>:</errorWord>
      <group>L1_Format</group>
      <groupName>格式问题</groupName>
      <ability>L2_HalfPunc_CN</ability>
      <abilityName/>
      <candidateList>
        <item>：</item>
      </candidateList>
      <explain>文本全半角错误。</explain>
      <paraID>6816415F</paraID>
      <start>227</start>
      <end>228</end>
      <status>unmodified</status>
      <modifiedWord/>
      <trackRevisions>false</trackRevisions>
    </reviewItem>
    <reviewItem>
      <errorID>87ba9528-b7f8-4ae9-b8fe-a30016d05a79</errorID>
      <errorWord>:</errorWord>
      <group>L1_Format</group>
      <groupName>格式问题</groupName>
      <ability>L2_HalfPunc_CN</ability>
      <abilityName/>
      <candidateList>
        <item>：</item>
      </candidateList>
      <explain>文本全半角错误。</explain>
      <paraID>6816415F</paraID>
      <start>286</start>
      <end>287</end>
      <status>unmodified</status>
      <modifiedWord/>
      <trackRevisions>false</trackRevisions>
    </reviewItem>
    <reviewItem>
      <errorID>450f7775-3370-4277-a2fe-5d1c0f89d6f3</errorID>
      <errorWord>:</errorWord>
      <group>L1_Format</group>
      <groupName>格式问题</groupName>
      <ability>L2_HalfPunc_CN</ability>
      <abilityName/>
      <candidateList>
        <item>：</item>
      </candidateList>
      <explain>文本全半角错误。</explain>
      <paraID>6816415F</paraID>
      <start>365</start>
      <end>366</end>
      <status>unmodified</status>
      <modifiedWord/>
      <trackRevisions>false</trackRevisions>
    </reviewItem>
    <reviewItem>
      <errorID>4e89a86c-31cb-4ef6-b519-b1abf132216f</errorID>
      <errorWord>:</errorWord>
      <group>L1_Format</group>
      <groupName>格式问题</groupName>
      <ability>L2_HalfPunc_CN</ability>
      <abilityName/>
      <candidateList>
        <item>：</item>
      </candidateList>
      <explain>文本全半角错误。</explain>
      <paraID>6816415F</paraID>
      <start>482</start>
      <end>483</end>
      <status>unmodified</status>
      <modifiedWord/>
      <trackRevisions>false</trackRevisions>
    </reviewItem>
    <reviewItem>
      <errorID>7eed210e-c14c-469b-9387-9be6d54f2e2d</errorID>
      <errorWord>:</errorWord>
      <group>L1_Format</group>
      <groupName>格式问题</groupName>
      <ability>L2_HalfPunc_CN</ability>
      <abilityName/>
      <candidateList>
        <item>：</item>
      </candidateList>
      <explain>文本全半角错误。</explain>
      <paraID>6816415F</paraID>
      <start>574</start>
      <end>575</end>
      <status>unmodified</status>
      <modifiedWord/>
      <trackRevisions>false</trackRevisions>
    </reviewItem>
    <reviewItem>
      <errorID>be1813a9-64e0-466b-889f-05cfbfa81cc2</errorID>
      <errorWord>:</errorWord>
      <group>L1_Format</group>
      <groupName>格式问题</groupName>
      <ability>L2_HalfPunc_CN</ability>
      <abilityName/>
      <candidateList>
        <item>：</item>
      </candidateList>
      <explain>文本全半角错误。</explain>
      <paraID>6816415F</paraID>
      <start>681</start>
      <end>682</end>
      <status>unmodified</status>
      <modifiedWord/>
      <trackRevisions>false</trackRevisions>
    </reviewItem>
    <reviewItem>
      <errorID>f1e7941b-1db0-469b-b6ea-82cf26562989</errorID>
      <errorWord>:</errorWord>
      <group>L1_Format</group>
      <groupName>格式问题</groupName>
      <ability>L2_HalfPunc_CN</ability>
      <abilityName/>
      <candidateList>
        <item>：</item>
      </candidateList>
      <explain>文本全半角错误。</explain>
      <paraID>6816415F</paraID>
      <start>752</start>
      <end>753</end>
      <status>unmodified</status>
      <modifiedWord/>
      <trackRevisions>false</trackRevisions>
    </reviewItem>
    <reviewItem>
      <errorID>d265248b-fa23-43be-843a-bee8113195ea</errorID>
      <errorWord>:</errorWord>
      <group>L1_Format</group>
      <groupName>格式问题</groupName>
      <ability>L2_HalfPunc_CN</ability>
      <abilityName/>
      <candidateList>
        <item>：</item>
      </candidateList>
      <explain>文本全半角错误。</explain>
      <paraID>6816415F</paraID>
      <start>867</start>
      <end>868</end>
      <status>unmodified</status>
      <modifiedWord/>
      <trackRevisions>false</trackRevisions>
    </reviewItem>
    <reviewItem>
      <errorID>12155cf6-690b-4dad-91e5-e5bfc9642d89</errorID>
      <errorWord>:</errorWord>
      <group>L1_Format</group>
      <groupName>格式问题</groupName>
      <ability>L2_HalfPunc_CN</ability>
      <abilityName/>
      <candidateList>
        <item>：</item>
      </candidateList>
      <explain>文本全半角错误。</explain>
      <paraID>6816415F</paraID>
      <start>914</start>
      <end>915</end>
      <status>unmodified</status>
      <modifiedWord/>
      <trackRevisions>false</trackRevisions>
    </reviewItem>
    <reviewItem>
      <errorID>579a992a-179c-48bc-bc1f-9090b67db544</errorID>
      <errorWord>:</errorWord>
      <group>L1_Format</group>
      <groupName>格式问题</groupName>
      <ability>L2_HalfPunc_CN</ability>
      <abilityName/>
      <candidateList>
        <item>：</item>
      </candidateList>
      <explain>文本全半角错误。</explain>
      <paraID>6816415F</paraID>
      <start>982</start>
      <end>983</end>
      <status>unmodified</status>
      <modifiedWord/>
      <trackRevisions>false</trackRevisions>
    </reviewItem>
    <reviewItem>
      <errorID>1528b5a0-235c-4b4e-868a-b7689dd2be6b</errorID>
      <errorWord>:</errorWord>
      <group>L1_Format</group>
      <groupName>格式问题</groupName>
      <ability>L2_HalfPunc_CN</ability>
      <abilityName/>
      <candidateList>
        <item>：</item>
      </candidateList>
      <explain>文本全半角错误。</explain>
      <paraID>6816415F</paraID>
      <start>1059</start>
      <end>1060</end>
      <status>unmodified</status>
      <modifiedWord/>
      <trackRevisions>false</trackRevisions>
    </reviewItem>
    <reviewItem>
      <errorID>133806ef-6ee4-45ad-ad93-0a9384d7d965</errorID>
      <errorWord>:</errorWord>
      <group>L1_Format</group>
      <groupName>格式问题</groupName>
      <ability>L2_HalfPunc_CN</ability>
      <abilityName/>
      <candidateList>
        <item>：</item>
      </candidateList>
      <explain>文本全半角错误。</explain>
      <paraID>6816415F</paraID>
      <start>1093</start>
      <end>1094</end>
      <status>unmodified</status>
      <modifiedWord/>
      <trackRevisions>false</trackRevisions>
    </reviewItem>
    <reviewItem>
      <errorID>e21a25e2-7a57-451c-b2a0-29e1accbe962</errorID>
      <errorWord>:</errorWord>
      <group>L1_Format</group>
      <groupName>格式问题</groupName>
      <ability>L2_HalfPunc_CN</ability>
      <abilityName/>
      <candidateList>
        <item>：</item>
      </candidateList>
      <explain>文本全半角错误。</explain>
      <paraID>6816415F</paraID>
      <start>1207</start>
      <end>1208</end>
      <status>unmodified</status>
      <modifiedWord/>
      <trackRevisions>false</trackRevisions>
    </reviewItem>
    <reviewItem>
      <errorID>29573859-98a2-4f25-82c2-a3848a287c93</errorID>
      <errorWord>:</errorWord>
      <group>L1_Format</group>
      <groupName>格式问题</groupName>
      <ability>L2_HalfPunc_CN</ability>
      <abilityName/>
      <candidateList>
        <item>：</item>
      </candidateList>
      <explain>文本全半角错误。</explain>
      <paraID>6816415F</paraID>
      <start>1247</start>
      <end>1248</end>
      <status>unmodified</status>
      <modifiedWord/>
      <trackRevisions>false</trackRevisions>
    </reviewItem>
    <reviewItem>
      <errorID>70e81e0a-29a6-4f29-b83e-68070052498a</errorID>
      <errorWord>:</errorWord>
      <group>L1_Format</group>
      <groupName>格式问题</groupName>
      <ability>L2_HalfPunc_CN</ability>
      <abilityName/>
      <candidateList>
        <item>：</item>
      </candidateList>
      <explain>文本全半角错误。</explain>
      <paraID>6816415F</paraID>
      <start>1338</start>
      <end>1339</end>
      <status>unmodified</status>
      <modifiedWord/>
      <trackRevisions>false</trackRevisions>
    </reviewItem>
    <reviewItem>
      <errorID>e8070741-cd50-4f98-a191-b968e6d152f8</errorID>
      <errorWord>:</errorWord>
      <group>L1_Format</group>
      <groupName>格式问题</groupName>
      <ability>L2_HalfPunc_CN</ability>
      <abilityName/>
      <candidateList>
        <item>：</item>
      </candidateList>
      <explain>文本全半角错误。</explain>
      <paraID>6816415F</paraID>
      <start>1384</start>
      <end>1385</end>
      <status>unmodified</status>
      <modifiedWord/>
      <trackRevisions>false</trackRevisions>
    </reviewItem>
    <reviewItem>
      <errorID>52ba8295-87bf-4f5e-bc19-a4c878935bfb</errorID>
      <errorWord>:</errorWord>
      <group>L1_Format</group>
      <groupName>格式问题</groupName>
      <ability>L2_HalfPunc_CN</ability>
      <abilityName/>
      <candidateList>
        <item>：</item>
      </candidateList>
      <explain>文本全半角错误。</explain>
      <paraID>6816415F</paraID>
      <start>1489</start>
      <end>1490</end>
      <status>unmodified</status>
      <modifiedWord/>
      <trackRevisions>false</trackRevisions>
    </reviewItem>
    <reviewItem>
      <errorID>e9e2aa63-3fd0-42f6-bda2-d6caf91fdb75</errorID>
      <errorWord>:</errorWord>
      <group>L1_Format</group>
      <groupName>格式问题</groupName>
      <ability>L2_HalfPunc_CN</ability>
      <abilityName/>
      <candidateList>
        <item>：</item>
      </candidateList>
      <explain>文本全半角错误。</explain>
      <paraID>6816415F</paraID>
      <start>1588</start>
      <end>1589</end>
      <status>unmodified</status>
      <modifiedWord/>
      <trackRevisions>false</trackRevisions>
    </reviewItem>
    <reviewItem>
      <errorID>e3aa55d8-b804-4577-8b8f-2e8d6cf9019f</errorID>
      <errorWord>:</errorWord>
      <group>L1_Format</group>
      <groupName>格式问题</groupName>
      <ability>L2_HalfPunc_CN</ability>
      <abilityName/>
      <candidateList>
        <item>：</item>
      </candidateList>
      <explain>文本全半角错误。</explain>
      <paraID>6816415F</paraID>
      <start>1700</start>
      <end>1701</end>
      <status>unmodified</status>
      <modifiedWord/>
      <trackRevisions>false</trackRevisions>
    </reviewItem>
    <reviewItem>
      <errorID>974cb7e9-acff-4c83-b6c5-a66c5ab7ad4c</errorID>
      <errorWord>:</errorWord>
      <group>L1_Format</group>
      <groupName>格式问题</groupName>
      <ability>L2_HalfPunc_CN</ability>
      <abilityName/>
      <candidateList>
        <item>：</item>
      </candidateList>
      <explain>文本全半角错误。</explain>
      <paraID>6816415F</paraID>
      <start>1762</start>
      <end>1763</end>
      <status>unmodified</status>
      <modifiedWord/>
      <trackRevisions>false</trackRevisions>
    </reviewItem>
    <reviewItem>
      <errorID>8f47315a-8f78-468a-9d48-f887dff379c7</errorID>
      <errorWord>:</errorWord>
      <group>L1_Format</group>
      <groupName>格式问题</groupName>
      <ability>L2_HalfPunc_CN</ability>
      <abilityName/>
      <candidateList>
        <item>：</item>
      </candidateList>
      <explain>文本全半角错误。</explain>
      <paraID>6816415F</paraID>
      <start>1805</start>
      <end>1806</end>
      <status>unmodified</status>
      <modifiedWord/>
      <trackRevisions>false</trackRevisions>
    </reviewItem>
    <reviewItem>
      <errorID>440e1547-5a2e-4614-ac40-7a004632ed0e</errorID>
      <errorWord>:</errorWord>
      <group>L1_Format</group>
      <groupName>格式问题</groupName>
      <ability>L2_HalfPunc_CN</ability>
      <abilityName/>
      <candidateList>
        <item>：</item>
      </candidateList>
      <explain>文本全半角错误。</explain>
      <paraID>6816415F</paraID>
      <start>1904</start>
      <end>1905</end>
      <status>unmodified</status>
      <modifiedWord/>
      <trackRevisions>false</trackRevisions>
    </reviewItem>
    <reviewItem>
      <errorID>fcd436a6-4fb2-4510-9b1d-c9bb22a1e0b9</errorID>
      <errorWord>:</errorWord>
      <group>L1_Format</group>
      <groupName>格式问题</groupName>
      <ability>L2_HalfPunc_CN</ability>
      <abilityName/>
      <candidateList>
        <item>：</item>
      </candidateList>
      <explain>文本全半角错误。</explain>
      <paraID>6816415F</paraID>
      <start>1939</start>
      <end>1940</end>
      <status>unmodified</status>
      <modifiedWord/>
      <trackRevisions>false</trackRevisions>
    </reviewItem>
    <reviewItem>
      <errorID>50297fc7-4253-464b-814f-5405c6e16138</errorID>
      <errorWord>:</errorWord>
      <group>L1_Format</group>
      <groupName>格式问题</groupName>
      <ability>L2_HalfPunc_CN</ability>
      <abilityName/>
      <candidateList>
        <item>：</item>
      </candidateList>
      <explain>文本全半角错误。</explain>
      <paraID>6816415F</paraID>
      <start>1988</start>
      <end>1989</end>
      <status>unmodified</status>
      <modifiedWord/>
      <trackRevisions>false</trackRevisions>
    </reviewItem>
    <reviewItem>
      <errorID>ccefd68d-6be9-4976-8fe0-8147bd59eb82</errorID>
      <errorWord>:</errorWord>
      <group>L1_Format</group>
      <groupName>格式问题</groupName>
      <ability>L2_HalfPunc_CN</ability>
      <abilityName/>
      <candidateList>
        <item>：</item>
      </candidateList>
      <explain>文本全半角错误。</explain>
      <paraID>6816415F</paraID>
      <start>2061</start>
      <end>2062</end>
      <status>unmodified</status>
      <modifiedWord/>
      <trackRevisions>false</trackRevisions>
    </reviewItem>
    <reviewItem>
      <errorID>df992742-c1e5-40e1-b6e3-97bbdbca077f</errorID>
      <errorWord>:</errorWord>
      <group>L1_Format</group>
      <groupName>格式问题</groupName>
      <ability>L2_HalfPunc_CN</ability>
      <abilityName/>
      <candidateList>
        <item>：</item>
      </candidateList>
      <explain>文本全半角错误。</explain>
      <paraID>6816415F</paraID>
      <start>2164</start>
      <end>2165</end>
      <status>unmodified</status>
      <modifiedWord/>
      <trackRevisions>false</trackRevisions>
    </reviewItem>
    <reviewItem>
      <errorID>96f79a18-e1d9-4336-ae96-b5c73025c401</errorID>
      <errorWord>:</errorWord>
      <group>L1_Format</group>
      <groupName>格式问题</groupName>
      <ability>L2_HalfPunc_CN</ability>
      <abilityName/>
      <candidateList>
        <item>：</item>
      </candidateList>
      <explain>文本全半角错误。</explain>
      <paraID>6816415F</paraID>
      <start>2192</start>
      <end>2193</end>
      <status>unmodified</status>
      <modifiedWord/>
      <trackRevisions>false</trackRevisions>
    </reviewItem>
    <reviewItem>
      <errorID>526ba645-7909-4f67-b262-ac5879312059</errorID>
      <errorWord>:</errorWord>
      <group>L1_Format</group>
      <groupName>格式问题</groupName>
      <ability>L2_HalfPunc_CN</ability>
      <abilityName/>
      <candidateList>
        <item>：</item>
      </candidateList>
      <explain>文本全半角错误。</explain>
      <paraID>6816415F</paraID>
      <start>2246</start>
      <end>2247</end>
      <status>unmodified</status>
      <modifiedWord/>
      <trackRevisions>false</trackRevisions>
    </reviewItem>
    <reviewItem>
      <errorID>46479f6d-b2ad-4318-a47b-b713d6425a77</errorID>
      <errorWord>:</errorWord>
      <group>L1_Format</group>
      <groupName>格式问题</groupName>
      <ability>L2_HalfPunc_CN</ability>
      <abilityName/>
      <candidateList>
        <item>：</item>
      </candidateList>
      <explain>文本全半角错误。</explain>
      <paraID>6816415F</paraID>
      <start>2356</start>
      <end>2357</end>
      <status>unmodified</status>
      <modifiedWord/>
      <trackRevisions>false</trackRevisions>
    </reviewItem>
    <reviewItem>
      <errorID>94325e2d-640e-42a6-8320-99df6a626b0e</errorID>
      <errorWord>:</errorWord>
      <group>L1_Format</group>
      <groupName>格式问题</groupName>
      <ability>L2_HalfPunc_CN</ability>
      <abilityName/>
      <candidateList>
        <item>：</item>
      </candidateList>
      <explain>文本全半角错误。</explain>
      <paraID>6816415F</paraID>
      <start>2417</start>
      <end>2418</end>
      <status>unmodified</status>
      <modifiedWord/>
      <trackRevisions>false</trackRevisions>
    </reviewItem>
    <reviewItem>
      <errorID>ddff6e7f-5ffa-4afc-8307-15803069905e</errorID>
      <errorWord>:</errorWord>
      <group>L1_Format</group>
      <groupName>格式问题</groupName>
      <ability>L2_HalfPunc_CN</ability>
      <abilityName/>
      <candidateList>
        <item>：</item>
      </candidateList>
      <explain>文本全半角错误。</explain>
      <paraID>6816415F</paraID>
      <start>2459</start>
      <end>2460</end>
      <status>unmodified</status>
      <modifiedWord/>
      <trackRevisions>false</trackRevisions>
    </reviewItem>
    <reviewItem>
      <errorID>552d4556-dafa-40f1-a603-66b369c70d88</errorID>
      <errorWord>:</errorWord>
      <group>L1_Format</group>
      <groupName>格式问题</groupName>
      <ability>L2_HalfPunc_CN</ability>
      <abilityName/>
      <candidateList>
        <item>：</item>
      </candidateList>
      <explain>文本全半角错误。</explain>
      <paraID>6816415F</paraID>
      <start>2563</start>
      <end>2564</end>
      <status>unmodified</status>
      <modifiedWord/>
      <trackRevisions>false</trackRevisions>
    </reviewItem>
    <reviewItem>
      <errorID>f8f052d0-3231-4be9-b976-88c77ccb8db4</errorID>
      <errorWord>:</errorWord>
      <group>L1_Format</group>
      <groupName>格式问题</groupName>
      <ability>L2_HalfPunc_CN</ability>
      <abilityName/>
      <candidateList>
        <item>：</item>
      </candidateList>
      <explain>文本全半角错误。</explain>
      <paraID>6816415F</paraID>
      <start>2627</start>
      <end>2628</end>
      <status>unmodified</status>
      <modifiedWord/>
      <trackRevisions>false</trackRevisions>
    </reviewItem>
    <reviewItem>
      <errorID>ccae74bf-3900-4eb4-bd14-8e14f3396aac</errorID>
      <errorWord>:</errorWord>
      <group>L1_Format</group>
      <groupName>格式问题</groupName>
      <ability>L2_HalfPunc_CN</ability>
      <abilityName/>
      <candidateList>
        <item>：</item>
      </candidateList>
      <explain>文本全半角错误。</explain>
      <paraID>6816415F</paraID>
      <start>2706</start>
      <end>2707</end>
      <status>unmodified</status>
      <modifiedWord/>
      <trackRevisions>false</trackRevisions>
    </reviewItem>
    <reviewItem>
      <errorID>9696f2f0-fe0a-4fec-b470-e17d0b475d41</errorID>
      <errorWord>:</errorWord>
      <group>L1_Format</group>
      <groupName>格式问题</groupName>
      <ability>L2_HalfPunc_CN</ability>
      <abilityName/>
      <candidateList>
        <item>：</item>
      </candidateList>
      <explain>文本全半角错误。</explain>
      <paraID>6816415F</paraID>
      <start>2821</start>
      <end>2822</end>
      <status>unmodified</status>
      <modifiedWord/>
      <trackRevisions>false</trackRevisions>
    </reviewItem>
    <reviewItem>
      <errorID>aff0f9bf-a0c0-4660-bb0b-7f6fbc5c670c</errorID>
      <errorWord>:</errorWord>
      <group>L1_Format</group>
      <groupName>格式问题</groupName>
      <ability>L2_HalfPunc_CN</ability>
      <abilityName/>
      <candidateList>
        <item>：</item>
      </candidateList>
      <explain>文本全半角错误。</explain>
      <paraID>6816415F</paraID>
      <start>2925</start>
      <end>2926</end>
      <status>unmodified</status>
      <modifiedWord/>
      <trackRevisions>false</trackRevisions>
    </reviewItem>
    <reviewItem>
      <errorID>10ba0159-a515-4b69-b1ad-e61f23ffc4ea</errorID>
      <errorWord>:</errorWord>
      <group>L1_Format</group>
      <groupName>格式问题</groupName>
      <ability>L2_HalfPunc_CN</ability>
      <abilityName/>
      <candidateList>
        <item>：</item>
      </candidateList>
      <explain>文本全半角错误。</explain>
      <paraID>6816415F</paraID>
      <start>3135</start>
      <end>3136</end>
      <status>unmodified</status>
      <modifiedWord/>
      <trackRevisions>false</trackRevisions>
    </reviewItem>
    <reviewItem>
      <errorID>829172b8-7bf9-4fac-9d3f-7f208e5f1ffa</errorID>
      <errorWord>:</errorWord>
      <group>L1_Format</group>
      <groupName>格式问题</groupName>
      <ability>L2_HalfPunc_CN</ability>
      <abilityName/>
      <candidateList>
        <item>：</item>
      </candidateList>
      <explain>文本全半角错误。</explain>
      <paraID>2150AB6A</paraID>
      <start>8</start>
      <end>9</end>
      <status>unmodified</status>
      <modifiedWord/>
      <trackRevisions>false</trackRevisions>
    </reviewItem>
    <reviewItem>
      <errorID>7f66ab96-8fe3-4765-80a1-78fc6913eaf6</errorID>
      <errorWord>:</errorWord>
      <group>L1_Format</group>
      <groupName>格式问题</groupName>
      <ability>L2_HalfPunc_CN</ability>
      <abilityName/>
      <candidateList>
        <item>：</item>
      </candidateList>
      <explain>文本全半角错误。</explain>
      <paraID>2150AB6A</paraID>
      <start>64</start>
      <end>65</end>
      <status>unmodified</status>
      <modifiedWord/>
      <trackRevisions>false</trackRevisions>
    </reviewItem>
    <reviewItem>
      <errorID>1353ecc7-b596-4e83-a086-e86d3ffa0c31</errorID>
      <errorWord>:</errorWord>
      <group>L1_Format</group>
      <groupName>格式问题</groupName>
      <ability>L2_HalfPunc_CN</ability>
      <abilityName/>
      <candidateList>
        <item>：</item>
      </candidateList>
      <explain>文本全半角错误。</explain>
      <paraID>2150AB6A</paraID>
      <start>135</start>
      <end>136</end>
      <status>unmodified</status>
      <modifiedWord/>
      <trackRevisions>false</trackRevisions>
    </reviewItem>
    <reviewItem>
      <errorID>be28e0b8-e7fe-4fb1-be58-acd03b4406e0</errorID>
      <errorWord>:</errorWord>
      <group>L1_Format</group>
      <groupName>格式问题</groupName>
      <ability>L2_HalfPunc_CN</ability>
      <abilityName/>
      <candidateList>
        <item>：</item>
      </candidateList>
      <explain>文本全半角错误。</explain>
      <paraID>2150AB6A</paraID>
      <start>178</start>
      <end>179</end>
      <status>unmodified</status>
      <modifiedWord/>
      <trackRevisions>false</trackRevisions>
    </reviewItem>
    <reviewItem>
      <errorID>0ae14221-0857-4209-bde5-1eda04c0b277</errorID>
      <errorWord>:</errorWord>
      <group>L1_Format</group>
      <groupName>格式问题</groupName>
      <ability>L2_HalfPunc_CN</ability>
      <abilityName/>
      <candidateList>
        <item>：</item>
      </candidateList>
      <explain>文本全半角错误。</explain>
      <paraID>2150AB6A</paraID>
      <start>252</start>
      <end>253</end>
      <status>unmodified</status>
      <modifiedWord/>
      <trackRevisions>false</trackRevisions>
    </reviewItem>
    <reviewItem>
      <errorID>b4defb52-7d5e-48d2-9ad7-f390ca45ebf4</errorID>
      <errorWord>:</errorWord>
      <group>L1_Format</group>
      <groupName>格式问题</groupName>
      <ability>L2_HalfPunc_CN</ability>
      <abilityName/>
      <candidateList>
        <item>：</item>
      </candidateList>
      <explain>文本全半角错误。</explain>
      <paraID>2150AB6A</paraID>
      <start>302</start>
      <end>303</end>
      <status>unmodified</status>
      <modifiedWord/>
      <trackRevisions>false</trackRevisions>
    </reviewItem>
    <reviewItem>
      <errorID>6b180ce9-1d3c-40e1-960f-d0b8b8ce44af</errorID>
      <errorWord>:</errorWord>
      <group>L1_Format</group>
      <groupName>格式问题</groupName>
      <ability>L2_HalfPunc_CN</ability>
      <abilityName/>
      <candidateList>
        <item>：</item>
      </candidateList>
      <explain>文本全半角错误。</explain>
      <paraID>2150AB6A</paraID>
      <start>341</start>
      <end>342</end>
      <status>unmodified</status>
      <modifiedWord/>
      <trackRevisions>false</trackRevisions>
    </reviewItem>
    <reviewItem>
      <errorID>ca89699e-72bb-4317-a413-d4f1c314b258</errorID>
      <errorWord>:</errorWord>
      <group>L1_Format</group>
      <groupName>格式问题</groupName>
      <ability>L2_HalfPunc_CN</ability>
      <abilityName/>
      <candidateList>
        <item>：</item>
      </candidateList>
      <explain>文本全半角错误。</explain>
      <paraID>2150AB6A</paraID>
      <start>390</start>
      <end>391</end>
      <status>unmodified</status>
      <modifiedWord/>
      <trackRevisions>false</trackRevisions>
    </reviewItem>
    <reviewItem>
      <errorID>ccced20e-3e4a-458c-878d-dbbae18fa3ca</errorID>
      <errorWord>:</errorWord>
      <group>L1_Format</group>
      <groupName>格式问题</groupName>
      <ability>L2_HalfPunc_CN</ability>
      <abilityName/>
      <candidateList>
        <item>：</item>
      </candidateList>
      <explain>文本全半角错误。</explain>
      <paraID>2150AB6A</paraID>
      <start>431</start>
      <end>432</end>
      <status>unmodified</status>
      <modifiedWord/>
      <trackRevisions>false</trackRevisions>
    </reviewItem>
    <reviewItem>
      <errorID>3def32b9-f6dd-4e71-8e69-f3afdfcde647</errorID>
      <errorWord>:</errorWord>
      <group>L1_Format</group>
      <groupName>格式问题</groupName>
      <ability>L2_HalfPunc_CN</ability>
      <abilityName/>
      <candidateList>
        <item>：</item>
      </candidateList>
      <explain>文本全半角错误。</explain>
      <paraID>2150AB6A</paraID>
      <start>479</start>
      <end>480</end>
      <status>unmodified</status>
      <modifiedWord/>
      <trackRevisions>false</trackRevisions>
    </reviewItem>
    <reviewItem>
      <errorID>9b64b0dc-c6e7-4b1b-90fe-1d6e64c73276</errorID>
      <errorWord>:</errorWord>
      <group>L1_Format</group>
      <groupName>格式问题</groupName>
      <ability>L2_HalfPunc_CN</ability>
      <abilityName/>
      <candidateList>
        <item>：</item>
      </candidateList>
      <explain>文本全半角错误。</explain>
      <paraID>2150AB6A</paraID>
      <start>516</start>
      <end>517</end>
      <status>unmodified</status>
      <modifiedWord/>
      <trackRevisions>false</trackRevisions>
    </reviewItem>
    <reviewItem>
      <errorID>e1cf546f-eae7-48ee-b01f-58eae6ba9791</errorID>
      <errorWord>:</errorWord>
      <group>L1_Format</group>
      <groupName>格式问题</groupName>
      <ability>L2_HalfPunc_CN</ability>
      <abilityName/>
      <candidateList>
        <item>：</item>
      </candidateList>
      <explain>文本全半角错误。</explain>
      <paraID>2150AB6A</paraID>
      <start>548</start>
      <end>549</end>
      <status>unmodified</status>
      <modifiedWord/>
      <trackRevisions>false</trackRevisions>
    </reviewItem>
    <reviewItem>
      <errorID>c49fbfd7-ee3f-472a-aa4c-6509f77ec39c</errorID>
      <errorWord>:</errorWord>
      <group>L1_Format</group>
      <groupName>格式问题</groupName>
      <ability>L2_HalfPunc_CN</ability>
      <abilityName/>
      <candidateList>
        <item>：</item>
      </candidateList>
      <explain>文本全半角错误。</explain>
      <paraID>2150AB6A</paraID>
      <start>600</start>
      <end>601</end>
      <status>unmodified</status>
      <modifiedWord/>
      <trackRevisions>false</trackRevisions>
    </reviewItem>
    <reviewItem>
      <errorID>5934141e-6ec0-4fc1-9bbc-a65004cf554e</errorID>
      <errorWord>:</errorWord>
      <group>L1_Format</group>
      <groupName>格式问题</groupName>
      <ability>L2_HalfPunc_CN</ability>
      <abilityName/>
      <candidateList>
        <item>：</item>
      </candidateList>
      <explain>文本全半角错误。</explain>
      <paraID>2150AB6A</paraID>
      <start>662</start>
      <end>663</end>
      <status>unmodified</status>
      <modifiedWord/>
      <trackRevisions>false</trackRevisions>
    </reviewItem>
    <reviewItem>
      <errorID>ba179af9-014c-46fa-b939-1ad32eb195a3</errorID>
      <errorWord>:</errorWord>
      <group>L1_Format</group>
      <groupName>格式问题</groupName>
      <ability>L2_HalfPunc_CN</ability>
      <abilityName/>
      <candidateList>
        <item>：</item>
      </candidateList>
      <explain>文本全半角错误。</explain>
      <paraID>2150AB6A</paraID>
      <start>699</start>
      <end>700</end>
      <status>unmodified</status>
      <modifiedWord/>
      <trackRevisions>false</trackRevisions>
    </reviewItem>
    <reviewItem>
      <errorID>5a9830b3-fe41-4ff8-bd4b-bc121035246f</errorID>
      <errorWord>:</errorWord>
      <group>L1_Format</group>
      <groupName>格式问题</groupName>
      <ability>L2_HalfPunc_CN</ability>
      <abilityName/>
      <candidateList>
        <item>：</item>
      </candidateList>
      <explain>文本全半角错误。</explain>
      <paraID>2150AB6A</paraID>
      <start>727</start>
      <end>728</end>
      <status>unmodified</status>
      <modifiedWord/>
      <trackRevisions>false</trackRevisions>
    </reviewItem>
    <reviewItem>
      <errorID>984a55cb-0825-420a-92fd-66d50e4314b1</errorID>
      <errorWord>:</errorWord>
      <group>L1_Format</group>
      <groupName>格式问题</groupName>
      <ability>L2_HalfPunc_CN</ability>
      <abilityName/>
      <candidateList>
        <item>：</item>
      </candidateList>
      <explain>文本全半角错误。</explain>
      <paraID>2150AB6A</paraID>
      <start>818</start>
      <end>819</end>
      <status>unmodified</status>
      <modifiedWord/>
      <trackRevisions>false</trackRevisions>
    </reviewItem>
    <reviewItem>
      <errorID>645ca7d8-17ba-4574-a9fd-3fb251317195</errorID>
      <errorWord>:</errorWord>
      <group>L1_Format</group>
      <groupName>格式问题</groupName>
      <ability>L2_HalfPunc_CN</ability>
      <abilityName/>
      <candidateList>
        <item>：</item>
      </candidateList>
      <explain>文本全半角错误。</explain>
      <paraID>2150AB6A</paraID>
      <start>893</start>
      <end>894</end>
      <status>unmodified</status>
      <modifiedWord/>
      <trackRevisions>false</trackRevisions>
    </reviewItem>
    <reviewItem>
      <errorID>08291b95-1307-4b31-8c7a-621026f29b00</errorID>
      <errorWord>:</errorWord>
      <group>L1_Format</group>
      <groupName>格式问题</groupName>
      <ability>L2_HalfPunc_CN</ability>
      <abilityName/>
      <candidateList>
        <item>：</item>
      </candidateList>
      <explain>文本全半角错误。</explain>
      <paraID>2150AB6A</paraID>
      <start>965</start>
      <end>966</end>
      <status>unmodified</status>
      <modifiedWord/>
      <trackRevisions>false</trackRevisions>
    </reviewItem>
    <reviewItem>
      <errorID>f90bee72-49c0-4a81-8dfb-3092814679af</errorID>
      <errorWord>:</errorWord>
      <group>L1_Format</group>
      <groupName>格式问题</groupName>
      <ability>L2_HalfPunc_CN</ability>
      <abilityName/>
      <candidateList>
        <item>：</item>
      </candidateList>
      <explain>文本全半角错误。</explain>
      <paraID>2150AB6A</paraID>
      <start>1044</start>
      <end>1045</end>
      <status>unmodified</status>
      <modifiedWord/>
      <trackRevisions>false</trackRevisions>
    </reviewItem>
    <reviewItem>
      <errorID>4e2ac586-971a-442c-88c6-ae75d16922f6</errorID>
      <errorWord>:</errorWord>
      <group>L1_Format</group>
      <groupName>格式问题</groupName>
      <ability>L2_HalfPunc_CN</ability>
      <abilityName/>
      <candidateList>
        <item>：</item>
      </candidateList>
      <explain>文本全半角错误。</explain>
      <paraID>2150AB6A</paraID>
      <start>1134</start>
      <end>1135</end>
      <status>unmodified</status>
      <modifiedWord/>
      <trackRevisions>false</trackRevisions>
    </reviewItem>
    <reviewItem>
      <errorID>fc8d5250-c846-4f42-b874-d6739cf28516</errorID>
      <errorWord>:</errorWord>
      <group>L1_Format</group>
      <groupName>格式问题</groupName>
      <ability>L2_HalfPunc_CN</ability>
      <abilityName/>
      <candidateList>
        <item>：</item>
      </candidateList>
      <explain>文本全半角错误。</explain>
      <paraID>2D4CB783</paraID>
      <start>10</start>
      <end>11</end>
      <status>unmodified</status>
      <modifiedWord/>
      <trackRevisions>false</trackRevisions>
    </reviewItem>
    <reviewItem>
      <errorID>df7478f2-e283-4bc8-870c-0f582108ee11</errorID>
      <errorWord>:</errorWord>
      <group>L1_Format</group>
      <groupName>格式问题</groupName>
      <ability>L2_HalfPunc_CN</ability>
      <abilityName/>
      <candidateList>
        <item>：</item>
      </candidateList>
      <explain>文本全半角错误。</explain>
      <paraID>2D4CB783</paraID>
      <start>90</start>
      <end>91</end>
      <status>unmodified</status>
      <modifiedWord/>
      <trackRevisions>false</trackRevisions>
    </reviewItem>
    <reviewItem>
      <errorID>527a119f-b558-4b8a-ba70-7369be8f0c71</errorID>
      <errorWord>:</errorWord>
      <group>L1_Format</group>
      <groupName>格式问题</groupName>
      <ability>L2_HalfPunc_CN</ability>
      <abilityName/>
      <candidateList>
        <item>：</item>
      </candidateList>
      <explain>文本全半角错误。</explain>
      <paraID>2D4CB783</paraID>
      <start>128</start>
      <end>129</end>
      <status>unmodified</status>
      <modifiedWord/>
      <trackRevisions>false</trackRevisions>
    </reviewItem>
    <reviewItem>
      <errorID>8ddb668e-f046-402e-8058-abffcbe110b3</errorID>
      <errorWord>:</errorWord>
      <group>L1_Format</group>
      <groupName>格式问题</groupName>
      <ability>L2_HalfPunc_CN</ability>
      <abilityName/>
      <candidateList>
        <item>：</item>
      </candidateList>
      <explain>文本全半角错误。</explain>
      <paraID>2D4CB783</paraID>
      <start>264</start>
      <end>265</end>
      <status>unmodified</status>
      <modifiedWord/>
      <trackRevisions>false</trackRevisions>
    </reviewItem>
    <reviewItem>
      <errorID>d5cf68ce-b657-418e-ba9d-239d0e9e3f34</errorID>
      <errorWord>:</errorWord>
      <group>L1_Format</group>
      <groupName>格式问题</groupName>
      <ability>L2_HalfPunc_CN</ability>
      <abilityName/>
      <candidateList>
        <item>：</item>
      </candidateList>
      <explain>文本全半角错误。</explain>
      <paraID>2D4CB783</paraID>
      <start>294</start>
      <end>295</end>
      <status>unmodified</status>
      <modifiedWord/>
      <trackRevisions>false</trackRevisions>
    </reviewItem>
    <reviewItem>
      <errorID>541c26fe-3fb8-4296-b6bb-1f1d629db3ed</errorID>
      <errorWord>:</errorWord>
      <group>L1_Format</group>
      <groupName>格式问题</groupName>
      <ability>L2_HalfPunc_CN</ability>
      <abilityName/>
      <candidateList>
        <item>：</item>
      </candidateList>
      <explain>文本全半角错误。</explain>
      <paraID>2D4CB783</paraID>
      <start>375</start>
      <end>376</end>
      <status>unmodified</status>
      <modifiedWord/>
      <trackRevisions>false</trackRevisions>
    </reviewItem>
    <reviewItem>
      <errorID>9afbb0db-5fed-4982-a451-fb67efc3fb37</errorID>
      <errorWord>:</errorWord>
      <group>L1_Format</group>
      <groupName>格式问题</groupName>
      <ability>L2_HalfPunc_CN</ability>
      <abilityName/>
      <candidateList>
        <item>：</item>
      </candidateList>
      <explain>文本全半角错误。</explain>
      <paraID>2D4CB783</paraID>
      <start>456</start>
      <end>457</end>
      <status>unmodified</status>
      <modifiedWord/>
      <trackRevisions>false</trackRevisions>
    </reviewItem>
    <reviewItem>
      <errorID>fcef4cb6-4c92-4de1-b2e1-9ccc7050e556</errorID>
      <errorWord>:</errorWord>
      <group>L1_Format</group>
      <groupName>格式问题</groupName>
      <ability>L2_HalfPunc_CN</ability>
      <abilityName/>
      <candidateList>
        <item>：</item>
      </candidateList>
      <explain>文本全半角错误。</explain>
      <paraID>2D4CB783</paraID>
      <start>627</start>
      <end>628</end>
      <status>unmodified</status>
      <modifiedWord/>
      <trackRevisions>false</trackRevisions>
    </reviewItem>
    <reviewItem>
      <errorID>2e0c173e-75c5-4ace-9154-5f0c23a70491</errorID>
      <errorWord>:</errorWord>
      <group>L1_Format</group>
      <groupName>格式问题</groupName>
      <ability>L2_HalfPunc_CN</ability>
      <abilityName/>
      <candidateList>
        <item>：</item>
      </candidateList>
      <explain>文本全半角错误。</explain>
      <paraID>2D4CB783</paraID>
      <start>703</start>
      <end>704</end>
      <status>unmodified</status>
      <modifiedWord/>
      <trackRevisions>false</trackRevisions>
    </reviewItem>
    <reviewItem>
      <errorID>4ccfde40-3f2f-4de6-95cf-654bd4674dca</errorID>
      <errorWord>:</errorWord>
      <group>L1_Format</group>
      <groupName>格式问题</groupName>
      <ability>L2_HalfPunc_CN</ability>
      <abilityName/>
      <candidateList>
        <item>：</item>
      </candidateList>
      <explain>文本全半角错误。</explain>
      <paraID>2D4CB783</paraID>
      <start>768</start>
      <end>769</end>
      <status>unmodified</status>
      <modifiedWord/>
      <trackRevisions>false</trackRevisions>
    </reviewItem>
    <reviewItem>
      <errorID>b9862545-743e-4ab6-a188-91c7e638ef51</errorID>
      <errorWord>:</errorWord>
      <group>L1_Format</group>
      <groupName>格式问题</groupName>
      <ability>L2_HalfPunc_CN</ability>
      <abilityName/>
      <candidateList>
        <item>：</item>
      </candidateList>
      <explain>文本全半角错误。</explain>
      <paraID>2D4CB783</paraID>
      <start>817</start>
      <end>818</end>
      <status>unmodified</status>
      <modifiedWord/>
      <trackRevisions>false</trackRevisions>
    </reviewItem>
    <reviewItem>
      <errorID>e1396d35-e946-4457-8e04-89137076d84a</errorID>
      <errorWord>:</errorWord>
      <group>L1_Format</group>
      <groupName>格式问题</groupName>
      <ability>L2_HalfPunc_CN</ability>
      <abilityName/>
      <candidateList>
        <item>：</item>
      </candidateList>
      <explain>文本全半角错误。</explain>
      <paraID>2D4CB783</paraID>
      <start>850</start>
      <end>851</end>
      <status>unmodified</status>
      <modifiedWord/>
      <trackRevisions>false</trackRevisions>
    </reviewItem>
    <reviewItem>
      <errorID>0aa8efcf-8f3a-4f1d-ae83-06d1c69ccad7</errorID>
      <errorWord>:</errorWord>
      <group>L1_Format</group>
      <groupName>格式问题</groupName>
      <ability>L2_HalfPunc_CN</ability>
      <abilityName/>
      <candidateList>
        <item>：</item>
      </candidateList>
      <explain>文本全半角错误。</explain>
      <paraID>2D4CB783</paraID>
      <start>943</start>
      <end>944</end>
      <status>unmodified</status>
      <modifiedWord/>
      <trackRevisions>false</trackRevisions>
    </reviewItem>
    <reviewItem>
      <errorID>97cde38e-5a3e-48fb-9c4f-34e03a1901ec</errorID>
      <errorWord>:</errorWord>
      <group>L1_Format</group>
      <groupName>格式问题</groupName>
      <ability>L2_HalfPunc_CN</ability>
      <abilityName/>
      <candidateList>
        <item>：</item>
      </candidateList>
      <explain>文本全半角错误。</explain>
      <paraID>2D4CB783</paraID>
      <start>1004</start>
      <end>1005</end>
      <status>unmodified</status>
      <modifiedWord/>
      <trackRevisions>false</trackRevisions>
    </reviewItem>
    <reviewItem>
      <errorID>f6631857-ff93-4936-ac42-da95e17ecdd5</errorID>
      <errorWord>:</errorWord>
      <group>L1_Format</group>
      <groupName>格式问题</groupName>
      <ability>L2_HalfPunc_CN</ability>
      <abilityName/>
      <candidateList>
        <item>：</item>
      </candidateList>
      <explain>文本全半角错误。</explain>
      <paraID>2D4CB783</paraID>
      <start>1057</start>
      <end>1058</end>
      <status>unmodified</status>
      <modifiedWord/>
      <trackRevisions>false</trackRevisions>
    </reviewItem>
    <reviewItem>
      <errorID>dc5c3e63-3373-4232-939a-56086f24d960</errorID>
      <errorWord>:</errorWord>
      <group>L1_Format</group>
      <groupName>格式问题</groupName>
      <ability>L2_HalfPunc_CN</ability>
      <abilityName/>
      <candidateList>
        <item>：</item>
      </candidateList>
      <explain>文本全半角错误。</explain>
      <paraID>2D4CB783</paraID>
      <start>1129</start>
      <end>1130</end>
      <status>unmodified</status>
      <modifiedWord/>
      <trackRevisions>false</trackRevisions>
    </reviewItem>
    <reviewItem>
      <errorID>97b3ba60-20be-4c09-969e-90e702422adc</errorID>
      <errorWord>:</errorWord>
      <group>L1_Format</group>
      <groupName>格式问题</groupName>
      <ability>L2_HalfPunc_CN</ability>
      <abilityName/>
      <candidateList>
        <item>：</item>
      </candidateList>
      <explain>文本全半角错误。</explain>
      <paraID>2D4CB783</paraID>
      <start>1230</start>
      <end>1231</end>
      <status>unmodified</status>
      <modifiedWord/>
      <trackRevisions>false</trackRevisions>
    </reviewItem>
    <reviewItem>
      <errorID>000adcb4-b9b6-43c4-b7c3-78c1c7a67f53</errorID>
      <errorWord>:</errorWord>
      <group>L1_Format</group>
      <groupName>格式问题</groupName>
      <ability>L2_HalfPunc_CN</ability>
      <abilityName/>
      <candidateList>
        <item>：</item>
      </candidateList>
      <explain>文本全半角错误。</explain>
      <paraID>2D4CB783</paraID>
      <start>1335</start>
      <end>1336</end>
      <status>unmodified</status>
      <modifiedWord/>
      <trackRevisions>false</trackRevisions>
    </reviewItem>
    <reviewItem>
      <errorID>453c8367-f0bc-4855-bc62-e52aac7c424e</errorID>
      <errorWord>:</errorWord>
      <group>L1_Format</group>
      <groupName>格式问题</groupName>
      <ability>L2_HalfPunc_CN</ability>
      <abilityName/>
      <candidateList>
        <item>：</item>
      </candidateList>
      <explain>文本全半角错误。</explain>
      <paraID>2D4CB783</paraID>
      <start>1442</start>
      <end>1443</end>
      <status>unmodified</status>
      <modifiedWord/>
      <trackRevisions>false</trackRevisions>
    </reviewItem>
    <reviewItem>
      <errorID>4af807d9-09e9-4cd6-9f88-0975282a981b</errorID>
      <errorWord>:</errorWord>
      <group>L1_Format</group>
      <groupName>格式问题</groupName>
      <ability>L2_HalfPunc_CN</ability>
      <abilityName/>
      <candidateList>
        <item>：</item>
      </candidateList>
      <explain>文本全半角错误。</explain>
      <paraID>2D4CB783</paraID>
      <start>1564</start>
      <end>1565</end>
      <status>unmodified</status>
      <modifiedWord/>
      <trackRevisions>false</trackRevisions>
    </reviewItem>
    <reviewItem>
      <errorID>79321c69-ea8f-46c4-ad17-fe07f65ecd48</errorID>
      <errorWord>:</errorWord>
      <group>L1_Format</group>
      <groupName>格式问题</groupName>
      <ability>L2_HalfPunc_CN</ability>
      <abilityName/>
      <candidateList>
        <item>：</item>
      </candidateList>
      <explain>文本全半角错误。</explain>
      <paraID>2D4CB783</paraID>
      <start>1644</start>
      <end>1645</end>
      <status>unmodified</status>
      <modifiedWord/>
      <trackRevisions>false</trackRevisions>
    </reviewItem>
    <reviewItem>
      <errorID>98d6fd84-69a4-4f98-83a0-e16419175e4b</errorID>
      <errorWord>泄露</errorWord>
      <group>L1_Word</group>
      <groupName>字词问题</groupName>
      <ability>L2_Typo</ability>
      <abilityName>字词错误</abilityName>
      <candidateList>
        <item>泄漏</item>
      </candidateList>
      <explain/>
      <paraID>2D4CB783</paraID>
      <start>1685</start>
      <end>1687</end>
      <status>unmodified</status>
      <modifiedWord/>
      <trackRevisions>false</trackRevisions>
    </reviewItem>
    <reviewItem>
      <errorID>3591e45d-00ad-4ddd-b2fb-9030506738b4</errorID>
      <errorWord>:</errorWord>
      <group>L1_Format</group>
      <groupName>格式问题</groupName>
      <ability>L2_HalfPunc_CN</ability>
      <abilityName/>
      <candidateList>
        <item>：</item>
      </candidateList>
      <explain>文本全半角错误。</explain>
      <paraID>2D4CB783</paraID>
      <start>1723</start>
      <end>1724</end>
      <status>unmodified</status>
      <modifiedWord/>
      <trackRevisions>false</trackRevisions>
    </reviewItem>
    <reviewItem>
      <errorID>2e2a4da1-8062-4bf7-ae1d-ab6c1be522d9</errorID>
      <errorWord>:</errorWord>
      <group>L1_Format</group>
      <groupName>格式问题</groupName>
      <ability>L2_HalfPunc_CN</ability>
      <abilityName/>
      <candidateList>
        <item>：</item>
      </candidateList>
      <explain>文本全半角错误。</explain>
      <paraID>2D4CB783</paraID>
      <start>1795</start>
      <end>1796</end>
      <status>unmodified</status>
      <modifiedWord/>
      <trackRevisions>false</trackRevisions>
    </reviewItem>
    <reviewItem>
      <errorID>6c236973-2774-49c6-8bc5-f7e3e62d23bd</errorID>
      <errorWord>:</errorWord>
      <group>L1_Format</group>
      <groupName>格式问题</groupName>
      <ability>L2_HalfPunc_CN</ability>
      <abilityName/>
      <candidateList>
        <item>：</item>
      </candidateList>
      <explain>文本全半角错误。</explain>
      <paraID>2D4CB783</paraID>
      <start>1852</start>
      <end>1853</end>
      <status>unmodified</status>
      <modifiedWord/>
      <trackRevisions>false</trackRevisions>
    </reviewItem>
    <reviewItem>
      <errorID>0acfcb88-3f2d-400c-aa37-8c76a403b8d2</errorID>
      <errorWord>:</errorWord>
      <group>L1_Format</group>
      <groupName>格式问题</groupName>
      <ability>L2_HalfPunc_CN</ability>
      <abilityName/>
      <candidateList>
        <item>：</item>
      </candidateList>
      <explain>文本全半角错误。</explain>
      <paraID>2D4CB783</paraID>
      <start>1927</start>
      <end>1928</end>
      <status>unmodified</status>
      <modifiedWord/>
      <trackRevisions>false</trackRevisions>
    </reviewItem>
    <reviewItem>
      <errorID>5ee13621-cba4-458d-aa4c-f589da034cca</errorID>
      <errorWord>:</errorWord>
      <group>L1_Format</group>
      <groupName>格式问题</groupName>
      <ability>L2_HalfPunc_CN</ability>
      <abilityName/>
      <candidateList>
        <item>：</item>
      </candidateList>
      <explain>文本全半角错误。</explain>
      <paraID>2D4CB783</paraID>
      <start>2003</start>
      <end>2004</end>
      <status>unmodified</status>
      <modifiedWord/>
      <trackRevisions>false</trackRevisions>
    </reviewItem>
    <reviewItem>
      <errorID>21f9bb92-1d51-4f30-bdea-bb1315ffec17</errorID>
      <errorWord>:</errorWord>
      <group>L1_Format</group>
      <groupName>格式问题</groupName>
      <ability>L2_HalfPunc_CN</ability>
      <abilityName/>
      <candidateList>
        <item>：</item>
      </candidateList>
      <explain>文本全半角错误。</explain>
      <paraID>2D4CB783</paraID>
      <start>2059</start>
      <end>2060</end>
      <status>unmodified</status>
      <modifiedWord/>
      <trackRevisions>false</trackRevisions>
    </reviewItem>
    <reviewItem>
      <errorID>e5c22e22-fcdd-40dc-9583-6a41b92da776</errorID>
      <errorWord>:</errorWord>
      <group>L1_Format</group>
      <groupName>格式问题</groupName>
      <ability>L2_HalfPunc_CN</ability>
      <abilityName/>
      <candidateList>
        <item>：</item>
      </candidateList>
      <explain>文本全半角错误。</explain>
      <paraID>2D4CB783</paraID>
      <start>2140</start>
      <end>2141</end>
      <status>unmodified</status>
      <modifiedWord/>
      <trackRevisions>false</trackRevisions>
    </reviewItem>
    <reviewItem>
      <errorID>095301f5-62d9-480b-be45-5ca91f0ebc6c</errorID>
      <errorWord>:</errorWord>
      <group>L1_Format</group>
      <groupName>格式问题</groupName>
      <ability>L2_HalfPunc_CN</ability>
      <abilityName/>
      <candidateList>
        <item>：</item>
      </candidateList>
      <explain>文本全半角错误。</explain>
      <paraID>2D4CB783</paraID>
      <start>2181</start>
      <end>2182</end>
      <status>unmodified</status>
      <modifiedWord/>
      <trackRevisions>false</trackRevisions>
    </reviewItem>
    <reviewItem>
      <errorID>03dfbde2-cffe-436a-ada7-7bdb9d859ec6</errorID>
      <errorWord>:</errorWord>
      <group>L1_Format</group>
      <groupName>格式问题</groupName>
      <ability>L2_HalfPunc_CN</ability>
      <abilityName/>
      <candidateList>
        <item>：</item>
      </candidateList>
      <explain>文本全半角错误。</explain>
      <paraID>2D4CB783</paraID>
      <start>2227</start>
      <end>2228</end>
      <status>unmodified</status>
      <modifiedWord/>
      <trackRevisions>false</trackRevisions>
    </reviewItem>
    <reviewItem>
      <errorID>5146385f-9eb0-4268-982a-2739d3a7452b</errorID>
      <errorWord>:</errorWord>
      <group>L1_Format</group>
      <groupName>格式问题</groupName>
      <ability>L2_HalfPunc_CN</ability>
      <abilityName/>
      <candidateList>
        <item>：</item>
      </candidateList>
      <explain>文本全半角错误。</explain>
      <paraID>2D4CB783</paraID>
      <start>2311</start>
      <end>2312</end>
      <status>unmodified</status>
      <modifiedWord/>
      <trackRevisions>false</trackRevisions>
    </reviewItem>
    <reviewItem>
      <errorID>e2cf142a-4526-472c-adc2-f40c164b472c</errorID>
      <errorWord>:</errorWord>
      <group>L1_Format</group>
      <groupName>格式问题</groupName>
      <ability>L2_HalfPunc_CN</ability>
      <abilityName/>
      <candidateList>
        <item>：</item>
      </candidateList>
      <explain>文本全半角错误。</explain>
      <paraID>2D4CB783</paraID>
      <start>2352</start>
      <end>2353</end>
      <status>unmodified</status>
      <modifiedWord/>
      <trackRevisions>false</trackRevisions>
    </reviewItem>
    <reviewItem>
      <errorID>916b22cf-7217-442e-9a33-84e00d1a862f</errorID>
      <errorWord>:</errorWord>
      <group>L1_Format</group>
      <groupName>格式问题</groupName>
      <ability>L2_HalfPunc_CN</ability>
      <abilityName/>
      <candidateList>
        <item>：</item>
      </candidateList>
      <explain>文本全半角错误。</explain>
      <paraID>2D4CB783</paraID>
      <start>2415</start>
      <end>2416</end>
      <status>unmodified</status>
      <modifiedWord/>
      <trackRevisions>false</trackRevisions>
    </reviewItem>
    <reviewItem>
      <errorID>ea8b8d33-7c92-4cd9-82c2-9e68b95a0fca</errorID>
      <errorWord>:</errorWord>
      <group>L1_Format</group>
      <groupName>格式问题</groupName>
      <ability>L2_HalfPunc_CN</ability>
      <abilityName/>
      <candidateList>
        <item>：</item>
      </candidateList>
      <explain>文本全半角错误。</explain>
      <paraID>2D4CB783</paraID>
      <start>2472</start>
      <end>2473</end>
      <status>unmodified</status>
      <modifiedWord/>
      <trackRevisions>false</trackRevisions>
    </reviewItem>
    <reviewItem>
      <errorID>27b7fa33-6d01-439e-8155-96a1dcd69274</errorID>
      <errorWord>:</errorWord>
      <group>L1_Format</group>
      <groupName>格式问题</groupName>
      <ability>L2_HalfPunc_CN</ability>
      <abilityName/>
      <candidateList>
        <item>：</item>
      </candidateList>
      <explain>文本全半角错误。</explain>
      <paraID>2D4CB783</paraID>
      <start>2524</start>
      <end>2525</end>
      <status>unmodified</status>
      <modifiedWord/>
      <trackRevisions>false</trackRevisions>
    </reviewItem>
    <reviewItem>
      <errorID>1de7967b-74e7-46ba-8940-5d436ad6f4d4</errorID>
      <errorWord>:</errorWord>
      <group>L1_Format</group>
      <groupName>格式问题</groupName>
      <ability>L2_HalfPunc_CN</ability>
      <abilityName/>
      <candidateList>
        <item>：</item>
      </candidateList>
      <explain>文本全半角错误。</explain>
      <paraID>2D4CB783</paraID>
      <start>2578</start>
      <end>2579</end>
      <status>unmodified</status>
      <modifiedWord/>
      <trackRevisions>false</trackRevisions>
    </reviewItem>
    <reviewItem>
      <errorID>95ff189e-a45a-42fc-95a6-a052bbf73e0d</errorID>
      <errorWord>:</errorWord>
      <group>L1_Format</group>
      <groupName>格式问题</groupName>
      <ability>L2_HalfPunc_CN</ability>
      <abilityName/>
      <candidateList>
        <item>：</item>
      </candidateList>
      <explain>文本全半角错误。</explain>
      <paraID>2D4CB783</paraID>
      <start>2653</start>
      <end>2654</end>
      <status>unmodified</status>
      <modifiedWord/>
      <trackRevisions>false</trackRevisions>
    </reviewItem>
    <reviewItem>
      <errorID>960505e3-35e7-4fd9-a94c-f8d4f59cddc4</errorID>
      <errorWord>:</errorWord>
      <group>L1_Format</group>
      <groupName>格式问题</groupName>
      <ability>L2_HalfPunc_CN</ability>
      <abilityName/>
      <candidateList>
        <item>：</item>
      </candidateList>
      <explain>文本全半角错误。</explain>
      <paraID>2D4CB783</paraID>
      <start>2740</start>
      <end>2741</end>
      <status>unmodified</status>
      <modifiedWord/>
      <trackRevisions>false</trackRevisions>
    </reviewItem>
    <reviewItem>
      <errorID>4238292f-4f04-4c9d-9213-0bcc9d0f605c</errorID>
      <errorWord>:</errorWord>
      <group>L1_Format</group>
      <groupName>格式问题</groupName>
      <ability>L2_HalfPunc_CN</ability>
      <abilityName/>
      <candidateList>
        <item>：</item>
      </candidateList>
      <explain>文本全半角错误。</explain>
      <paraID>2D4CB783</paraID>
      <start>2779</start>
      <end>2780</end>
      <status>unmodified</status>
      <modifiedWord/>
      <trackRevisions>false</trackRevisions>
    </reviewItem>
    <reviewItem>
      <errorID>c3480eb1-2ac8-4cf1-8974-0c2c88cf06e8</errorID>
      <errorWord>:</errorWord>
      <group>L1_Format</group>
      <groupName>格式问题</groupName>
      <ability>L2_HalfPunc_CN</ability>
      <abilityName/>
      <candidateList>
        <item>：</item>
      </candidateList>
      <explain>文本全半角错误。</explain>
      <paraID>2D4CB783</paraID>
      <start>2825</start>
      <end>2826</end>
      <status>unmodified</status>
      <modifiedWord/>
      <trackRevisions>false</trackRevisions>
    </reviewItem>
    <reviewItem>
      <errorID>f9aeb121-9c28-4c2c-8c3a-71bfaff12db9</errorID>
      <errorWord>:</errorWord>
      <group>L1_Format</group>
      <groupName>格式问题</groupName>
      <ability>L2_HalfPunc_CN</ability>
      <abilityName/>
      <candidateList>
        <item>：</item>
      </candidateList>
      <explain>文本全半角错误。</explain>
      <paraID>2D4CB783</paraID>
      <start>2903</start>
      <end>2904</end>
      <status>unmodified</status>
      <modifiedWord/>
      <trackRevisions>false</trackRevisions>
    </reviewItem>
    <reviewItem>
      <errorID>3d814b73-93d8-44db-9896-a12d14a2fc0b</errorID>
      <errorWord>:</errorWord>
      <group>L1_Format</group>
      <groupName>格式问题</groupName>
      <ability>L2_HalfPunc_CN</ability>
      <abilityName/>
      <candidateList>
        <item>：</item>
      </candidateList>
      <explain>文本全半角错误。</explain>
      <paraID>2D4CB783</paraID>
      <start>2951</start>
      <end>2952</end>
      <status>unmodified</status>
      <modifiedWord/>
      <trackRevisions>false</trackRevisions>
    </reviewItem>
    <reviewItem>
      <errorID>e2e9e8bc-857d-40a7-aa47-1de01e20975e</errorID>
      <errorWord>:</errorWord>
      <group>L1_Format</group>
      <groupName>格式问题</groupName>
      <ability>L2_HalfPunc_CN</ability>
      <abilityName/>
      <candidateList>
        <item>：</item>
      </candidateList>
      <explain>文本全半角错误。</explain>
      <paraID>2D4CB783</paraID>
      <start>3022</start>
      <end>3023</end>
      <status>unmodified</status>
      <modifiedWord/>
      <trackRevisions>false</trackRevisions>
    </reviewItem>
    <reviewItem>
      <errorID>65465255-e919-475a-90f5-966e19753ce7</errorID>
      <errorWord>:</errorWord>
      <group>L1_Format</group>
      <groupName>格式问题</groupName>
      <ability>L2_HalfPunc_CN</ability>
      <abilityName/>
      <candidateList>
        <item>：</item>
      </candidateList>
      <explain>文本全半角错误。</explain>
      <paraID>2D4CB783</paraID>
      <start>3136</start>
      <end>3137</end>
      <status>unmodified</status>
      <modifiedWord/>
      <trackRevisions>false</trackRevisions>
    </reviewItem>
    <reviewItem>
      <errorID>bd655805-a9e1-446c-9689-80d8a655a91b</errorID>
      <errorWord>:</errorWord>
      <group>L1_Format</group>
      <groupName>格式问题</groupName>
      <ability>L2_HalfPunc_CN</ability>
      <abilityName/>
      <candidateList>
        <item>：</item>
      </candidateList>
      <explain>文本全半角错误。</explain>
      <paraID>2D4CB783</paraID>
      <start>3227</start>
      <end>3228</end>
      <status>unmodified</status>
      <modifiedWord/>
      <trackRevisions>false</trackRevisions>
    </reviewItem>
    <reviewItem>
      <errorID>a15dbf3e-b835-4f12-8716-46a1d792617e</errorID>
      <errorWord>:</errorWord>
      <group>L1_Format</group>
      <groupName>格式问题</groupName>
      <ability>L2_HalfPunc_CN</ability>
      <abilityName/>
      <candidateList>
        <item>：</item>
      </candidateList>
      <explain>文本全半角错误。</explain>
      <paraID>2D4CB783</paraID>
      <start>3273</start>
      <end>3274</end>
      <status>unmodified</status>
      <modifiedWord/>
      <trackRevisions>false</trackRevisions>
    </reviewItem>
    <reviewItem>
      <errorID>cb441e30-a13b-4c82-891b-7f2471c6bb12</errorID>
      <errorWord>:</errorWord>
      <group>L1_Format</group>
      <groupName>格式问题</groupName>
      <ability>L2_HalfPunc_CN</ability>
      <abilityName/>
      <candidateList>
        <item>：</item>
      </candidateList>
      <explain>文本全半角错误。</explain>
      <paraID>2D4CB783</paraID>
      <start>3323</start>
      <end>3324</end>
      <status>unmodified</status>
      <modifiedWord/>
      <trackRevisions>false</trackRevisions>
    </reviewItem>
    <reviewItem>
      <errorID>92e9f6c5-6df9-40dc-8de6-e5fc21acb86f</errorID>
      <errorWord>:</errorWord>
      <group>L1_Format</group>
      <groupName>格式问题</groupName>
      <ability>L2_HalfPunc_CN</ability>
      <abilityName/>
      <candidateList>
        <item>：</item>
      </candidateList>
      <explain>文本全半角错误。</explain>
      <paraID>2D4CB783</paraID>
      <start>3360</start>
      <end>3361</end>
      <status>unmodified</status>
      <modifiedWord/>
      <trackRevisions>false</trackRevisions>
    </reviewItem>
    <reviewItem>
      <errorID>a13c9618-1334-479e-8d34-137991b1c1ee</errorID>
      <errorWord>:</errorWord>
      <group>L1_Format</group>
      <groupName>格式问题</groupName>
      <ability>L2_HalfPunc_CN</ability>
      <abilityName/>
      <candidateList>
        <item>：</item>
      </candidateList>
      <explain>文本全半角错误。</explain>
      <paraID>2D4CB783</paraID>
      <start>3407</start>
      <end>3408</end>
      <status>unmodified</status>
      <modifiedWord/>
      <trackRevisions>false</trackRevisions>
    </reviewItem>
    <reviewItem>
      <errorID>7d14d0b6-5439-4a44-8c59-4dae8ae36fa1</errorID>
      <errorWord>:</errorWord>
      <group>L1_Format</group>
      <groupName>格式问题</groupName>
      <ability>L2_HalfPunc_CN</ability>
      <abilityName/>
      <candidateList>
        <item>：</item>
      </candidateList>
      <explain>文本全半角错误。</explain>
      <paraID>2D4CB783</paraID>
      <start>3447</start>
      <end>3448</end>
      <status>unmodified</status>
      <modifiedWord/>
      <trackRevisions>false</trackRevisions>
    </reviewItem>
    <reviewItem>
      <errorID>e46ce749-cbcb-4c9b-a2bc-0e592d434be6</errorID>
      <errorWord>:</errorWord>
      <group>L1_Format</group>
      <groupName>格式问题</groupName>
      <ability>L2_HalfPunc_CN</ability>
      <abilityName/>
      <candidateList>
        <item>：</item>
      </candidateList>
      <explain>文本全半角错误。</explain>
      <paraID>2D4CB783</paraID>
      <start>3518</start>
      <end>3519</end>
      <status>unmodified</status>
      <modifiedWord/>
      <trackRevisions>false</trackRevisions>
    </reviewItem>
    <reviewItem>
      <errorID>aa7dfc61-11da-4eb0-bbcc-c8705e56be41</errorID>
      <errorWord>:</errorWord>
      <group>L1_Format</group>
      <groupName>格式问题</groupName>
      <ability>L2_HalfPunc_CN</ability>
      <abilityName/>
      <candidateList>
        <item>：</item>
      </candidateList>
      <explain>文本全半角错误。</explain>
      <paraID>2D4CB783</paraID>
      <start>3612</start>
      <end>3613</end>
      <status>unmodified</status>
      <modifiedWord/>
      <trackRevisions>false</trackRevisions>
    </reviewItem>
    <reviewItem>
      <errorID>d7b92f67-5d8d-4c2d-8763-a19f75801e58</errorID>
      <errorWord>:</errorWord>
      <group>L1_Format</group>
      <groupName>格式问题</groupName>
      <ability>L2_HalfPunc_CN</ability>
      <abilityName/>
      <candidateList>
        <item>：</item>
      </candidateList>
      <explain>文本全半角错误。</explain>
      <paraID>2D4CB783</paraID>
      <start>3685</start>
      <end>3686</end>
      <status>unmodified</status>
      <modifiedWord/>
      <trackRevisions>false</trackRevisions>
    </reviewItem>
    <reviewItem>
      <errorID>770dcbad-0fbc-4eb4-a971-d5d8aa156adf</errorID>
      <errorWord>:</errorWord>
      <group>L1_Format</group>
      <groupName>格式问题</groupName>
      <ability>L2_HalfPunc_CN</ability>
      <abilityName/>
      <candidateList>
        <item>：</item>
      </candidateList>
      <explain>文本全半角错误。</explain>
      <paraID>2D4CB783</paraID>
      <start>3771</start>
      <end>3772</end>
      <status>unmodified</status>
      <modifiedWord/>
      <trackRevisions>false</trackRevisions>
    </reviewItem>
    <reviewItem>
      <errorID>b9af8fce-c010-4e75-9bc7-89f19e36e7b5</errorID>
      <errorWord>:</errorWord>
      <group>L1_Format</group>
      <groupName>格式问题</groupName>
      <ability>L2_HalfPunc_CN</ability>
      <abilityName/>
      <candidateList>
        <item>：</item>
      </candidateList>
      <explain>文本全半角错误。</explain>
      <paraID>2D4CB783</paraID>
      <start>3856</start>
      <end>3857</end>
      <status>unmodified</status>
      <modifiedWord/>
      <trackRevisions>false</trackRevisions>
    </reviewItem>
    <reviewItem>
      <errorID>ff0d2362-abaa-4f64-8036-18befa7b23ed</errorID>
      <errorWord>:</errorWord>
      <group>L1_Format</group>
      <groupName>格式问题</groupName>
      <ability>L2_HalfPunc_CN</ability>
      <abilityName/>
      <candidateList>
        <item>：</item>
      </candidateList>
      <explain>文本全半角错误。</explain>
      <paraID>2D4CB783</paraID>
      <start>3896</start>
      <end>3897</end>
      <status>unmodified</status>
      <modifiedWord/>
      <trackRevisions>false</trackRevisions>
    </reviewItem>
    <reviewItem>
      <errorID>d26a0b79-a00f-4783-b1dc-1493619a3382</errorID>
      <errorWord>:</errorWord>
      <group>L1_Format</group>
      <groupName>格式问题</groupName>
      <ability>L2_HalfPunc_CN</ability>
      <abilityName/>
      <candidateList>
        <item>：</item>
      </candidateList>
      <explain>文本全半角错误。</explain>
      <paraID>2D4CB783</paraID>
      <start>3939</start>
      <end>3940</end>
      <status>unmodified</status>
      <modifiedWord/>
      <trackRevisions>false</trackRevisions>
    </reviewItem>
    <reviewItem>
      <errorID>8f097543-ca8c-4324-bcdb-01e3c6f91811</errorID>
      <errorWord>:</errorWord>
      <group>L1_Format</group>
      <groupName>格式问题</groupName>
      <ability>L2_HalfPunc_CN</ability>
      <abilityName/>
      <candidateList>
        <item>：</item>
      </candidateList>
      <explain>文本全半角错误。</explain>
      <paraID>2D4CB783</paraID>
      <start>4011</start>
      <end>4012</end>
      <status>unmodified</status>
      <modifiedWord/>
      <trackRevisions>false</trackRevisions>
    </reviewItem>
    <reviewItem>
      <errorID>50ee10a6-a76e-4b66-bdfd-7223418a880f</errorID>
      <errorWord>:</errorWord>
      <group>L1_Format</group>
      <groupName>格式问题</groupName>
      <ability>L2_HalfPunc_CN</ability>
      <abilityName/>
      <candidateList>
        <item>：</item>
      </candidateList>
      <explain>文本全半角错误。</explain>
      <paraID>2D4CB783</paraID>
      <start>4101</start>
      <end>4102</end>
      <status>unmodified</status>
      <modifiedWord/>
      <trackRevisions>false</trackRevisions>
    </reviewItem>
    <reviewItem>
      <errorID>cf305d17-9681-4606-a0d9-171976ece64b</errorID>
      <errorWord>:</errorWord>
      <group>L1_Format</group>
      <groupName>格式问题</groupName>
      <ability>L2_HalfPunc_CN</ability>
      <abilityName/>
      <candidateList>
        <item>：</item>
      </candidateList>
      <explain>文本全半角错误。</explain>
      <paraID>2D4CB783</paraID>
      <start>4148</start>
      <end>4149</end>
      <status>unmodified</status>
      <modifiedWord/>
      <trackRevisions>false</trackRevisions>
    </reviewItem>
    <reviewItem>
      <errorID>63cff878-1b44-40a4-8d9d-667a9567343e</errorID>
      <errorWord>:</errorWord>
      <group>L1_Format</group>
      <groupName>格式问题</groupName>
      <ability>L2_HalfPunc_CN</ability>
      <abilityName/>
      <candidateList>
        <item>：</item>
      </candidateList>
      <explain>文本全半角错误。</explain>
      <paraID>2D4CB783</paraID>
      <start>4180</start>
      <end>4181</end>
      <status>unmodified</status>
      <modifiedWord/>
      <trackRevisions>false</trackRevisions>
    </reviewItem>
    <reviewItem>
      <errorID>f3e07eb0-0d5d-4bcb-b581-b38eb4c264c1</errorID>
      <errorWord>:</errorWord>
      <group>L1_Format</group>
      <groupName>格式问题</groupName>
      <ability>L2_HalfPunc_CN</ability>
      <abilityName/>
      <candidateList>
        <item>：</item>
      </candidateList>
      <explain>文本全半角错误。</explain>
      <paraID>2D4CB783</paraID>
      <start>4257</start>
      <end>4258</end>
      <status>unmodified</status>
      <modifiedWord/>
      <trackRevisions>false</trackRevisions>
    </reviewItem>
    <reviewItem>
      <errorID>bd45347c-a667-4f3b-90b1-2bb012420192</errorID>
      <errorWord>:</errorWord>
      <group>L1_Format</group>
      <groupName>格式问题</groupName>
      <ability>L2_HalfPunc_CN</ability>
      <abilityName/>
      <candidateList>
        <item>：</item>
      </candidateList>
      <explain>文本全半角错误。</explain>
      <paraID>2D4CB783</paraID>
      <start>4333</start>
      <end>4334</end>
      <status>unmodified</status>
      <modifiedWord/>
      <trackRevisions>false</trackRevisions>
    </reviewItem>
    <reviewItem>
      <errorID>5b845c2e-bbd7-458d-8007-2e668b67a81f</errorID>
      <errorWord>:</errorWord>
      <group>L1_Format</group>
      <groupName>格式问题</groupName>
      <ability>L2_HalfPunc_CN</ability>
      <abilityName/>
      <candidateList>
        <item>：</item>
      </candidateList>
      <explain>文本全半角错误。</explain>
      <paraID>2D4CB783</paraID>
      <start>4403</start>
      <end>4404</end>
      <status>unmodified</status>
      <modifiedWord/>
      <trackRevisions>false</trackRevisions>
    </reviewItem>
    <reviewItem>
      <errorID>2d815b09-be7c-4916-a52c-b5e0b6959023</errorID>
      <errorWord>:</errorWord>
      <group>L1_Format</group>
      <groupName>格式问题</groupName>
      <ability>L2_HalfPunc_CN</ability>
      <abilityName/>
      <candidateList>
        <item>：</item>
      </candidateList>
      <explain>文本全半角错误。</explain>
      <paraID>2D4CB783</paraID>
      <start>4457</start>
      <end>4458</end>
      <status>unmodified</status>
      <modifiedWord/>
      <trackRevisions>false</trackRevisions>
    </reviewItem>
    <reviewItem>
      <errorID>fac7a1e6-c1d8-43cd-9ca0-84842eb1dd48</errorID>
      <errorWord>:</errorWord>
      <group>L1_Format</group>
      <groupName>格式问题</groupName>
      <ability>L2_HalfPunc_CN</ability>
      <abilityName/>
      <candidateList>
        <item>：</item>
      </candidateList>
      <explain>文本全半角错误。</explain>
      <paraID>2D4CB783</paraID>
      <start>4538</start>
      <end>4539</end>
      <status>unmodified</status>
      <modifiedWord/>
      <trackRevisions>false</trackRevisions>
    </reviewItem>
    <reviewItem>
      <errorID>20a5bdc2-3d71-4463-b9d9-72620efad42b</errorID>
      <errorWord>:</errorWord>
      <group>L1_Format</group>
      <groupName>格式问题</groupName>
      <ability>L2_HalfPunc_CN</ability>
      <abilityName/>
      <candidateList>
        <item>：</item>
      </candidateList>
      <explain>文本全半角错误。</explain>
      <paraID>2D4CB783</paraID>
      <start>4624</start>
      <end>4625</end>
      <status>unmodified</status>
      <modifiedWord/>
      <trackRevisions>false</trackRevisions>
    </reviewItem>
    <reviewItem>
      <errorID>a159dba6-f262-4cee-8162-c11191601883</errorID>
      <errorWord>:</errorWord>
      <group>L1_Format</group>
      <groupName>格式问题</groupName>
      <ability>L2_HalfPunc_CN</ability>
      <abilityName/>
      <candidateList>
        <item>：</item>
      </candidateList>
      <explain>文本全半角错误。</explain>
      <paraID>2D4CB783</paraID>
      <start>4710</start>
      <end>4711</end>
      <status>unmodified</status>
      <modifiedWord/>
      <trackRevisions>false</trackRevisions>
    </reviewItem>
    <reviewItem>
      <errorID>d21adb75-814d-4aa3-bb11-cf9601e987de</errorID>
      <errorWord>:</errorWord>
      <group>L1_Format</group>
      <groupName>格式问题</groupName>
      <ability>L2_HalfPunc_CN</ability>
      <abilityName/>
      <candidateList>
        <item>：</item>
      </candidateList>
      <explain>文本全半角错误。</explain>
      <paraID>2D4CB783</paraID>
      <start>4794</start>
      <end>4795</end>
      <status>unmodified</status>
      <modifiedWord/>
      <trackRevisions>false</trackRevisions>
    </reviewItem>
    <reviewItem>
      <errorID>6d8efef0-97b0-4663-88b4-4d673418e5d0</errorID>
      <errorWord>:</errorWord>
      <group>L1_Format</group>
      <groupName>格式问题</groupName>
      <ability>L2_HalfPunc_CN</ability>
      <abilityName/>
      <candidateList>
        <item>：</item>
      </candidateList>
      <explain>文本全半角错误。</explain>
      <paraID>2D4CB783</paraID>
      <start>4877</start>
      <end>4878</end>
      <status>unmodified</status>
      <modifiedWord/>
      <trackRevisions>false</trackRevisions>
    </reviewItem>
    <reviewItem>
      <errorID>84afa49b-b00a-47cf-90ab-27c27df01e34</errorID>
      <errorWord>:</errorWord>
      <group>L1_Format</group>
      <groupName>格式问题</groupName>
      <ability>L2_HalfPunc_CN</ability>
      <abilityName/>
      <candidateList>
        <item>：</item>
      </candidateList>
      <explain>文本全半角错误。</explain>
      <paraID>2D4CB783</paraID>
      <start>4930</start>
      <end>4931</end>
      <status>unmodified</status>
      <modifiedWord/>
      <trackRevisions>false</trackRevisions>
    </reviewItem>
    <reviewItem>
      <errorID>919aef5d-fe10-4ee0-81cb-eecc6f5a1d03</errorID>
      <errorWord>:</errorWord>
      <group>L1_Format</group>
      <groupName>格式问题</groupName>
      <ability>L2_HalfPunc_CN</ability>
      <abilityName/>
      <candidateList>
        <item>：</item>
      </candidateList>
      <explain>文本全半角错误。</explain>
      <paraID>2D4CB783</paraID>
      <start>4969</start>
      <end>4970</end>
      <status>unmodified</status>
      <modifiedWord/>
      <trackRevisions>false</trackRevisions>
    </reviewItem>
    <reviewItem>
      <errorID>21b19ffb-ad83-486c-83dd-ae87e2d32881</errorID>
      <errorWord>:</errorWord>
      <group>L1_Format</group>
      <groupName>格式问题</groupName>
      <ability>L2_HalfPunc_CN</ability>
      <abilityName/>
      <candidateList>
        <item>：</item>
      </candidateList>
      <explain>文本全半角错误。</explain>
      <paraID>2D4CB783</paraID>
      <start>5069</start>
      <end>5070</end>
      <status>unmodified</status>
      <modifiedWord/>
      <trackRevisions>false</trackRevisions>
    </reviewItem>
    <reviewItem>
      <errorID>e1aab8dd-b206-4674-a44e-a8d51795174c</errorID>
      <errorWord>:</errorWord>
      <group>L1_Format</group>
      <groupName>格式问题</groupName>
      <ability>L2_HalfPunc_CN</ability>
      <abilityName/>
      <candidateList>
        <item>：</item>
      </candidateList>
      <explain>文本全半角错误。</explain>
      <paraID>2D4CB783</paraID>
      <start>5117</start>
      <end>5118</end>
      <status>unmodified</status>
      <modifiedWord/>
      <trackRevisions>false</trackRevisions>
    </reviewItem>
    <reviewItem>
      <errorID>2734427d-8e89-4ab4-9d21-22b937ce750e</errorID>
      <errorWord>:</errorWord>
      <group>L1_Format</group>
      <groupName>格式问题</groupName>
      <ability>L2_HalfPunc_CN</ability>
      <abilityName/>
      <candidateList>
        <item>：</item>
      </candidateList>
      <explain>文本全半角错误。</explain>
      <paraID>2D4CB783</paraID>
      <start>5189</start>
      <end>5190</end>
      <status>unmodified</status>
      <modifiedWord/>
      <trackRevisions>false</trackRevisions>
    </reviewItem>
    <reviewItem>
      <errorID>4a8f112e-12f4-47ce-b1a8-777381710e93</errorID>
      <errorWord>:</errorWord>
      <group>L1_Format</group>
      <groupName>格式问题</groupName>
      <ability>L2_HalfPunc_CN</ability>
      <abilityName/>
      <candidateList>
        <item>：</item>
      </candidateList>
      <explain>文本全半角错误。</explain>
      <paraID>2D4CB783</paraID>
      <start>5268</start>
      <end>5269</end>
      <status>unmodified</status>
      <modifiedWord/>
      <trackRevisions>false</trackRevisions>
    </reviewItem>
    <reviewItem>
      <errorID>ece88869-1a5a-4d1d-be74-770dac536b42</errorID>
      <errorWord>:</errorWord>
      <group>L1_Format</group>
      <groupName>格式问题</groupName>
      <ability>L2_HalfPunc_CN</ability>
      <abilityName/>
      <candidateList>
        <item>：</item>
      </candidateList>
      <explain>文本全半角错误。</explain>
      <paraID>2D4CB783</paraID>
      <start>5336</start>
      <end>5337</end>
      <status>unmodified</status>
      <modifiedWord/>
      <trackRevisions>false</trackRevisions>
    </reviewItem>
    <reviewItem>
      <errorID>47cbf63b-c5e5-41c7-9d87-977870c9b8f8</errorID>
      <errorWord>:</errorWord>
      <group>L1_Format</group>
      <groupName>格式问题</groupName>
      <ability>L2_HalfPunc_CN</ability>
      <abilityName/>
      <candidateList>
        <item>：</item>
      </candidateList>
      <explain>文本全半角错误。</explain>
      <paraID>2D4CB783</paraID>
      <start>5398</start>
      <end>5399</end>
      <status>unmodified</status>
      <modifiedWord/>
      <trackRevisions>false</trackRevisions>
    </reviewItem>
    <reviewItem>
      <errorID>effd156e-d3a0-4c58-b3df-cc44acb17574</errorID>
      <errorWord>:</errorWord>
      <group>L1_Format</group>
      <groupName>格式问题</groupName>
      <ability>L2_HalfPunc_CN</ability>
      <abilityName/>
      <candidateList>
        <item>：</item>
      </candidateList>
      <explain>文本全半角错误。</explain>
      <paraID>2D4CB783</paraID>
      <start>5484</start>
      <end>5485</end>
      <status>unmodified</status>
      <modifiedWord/>
      <trackRevisions>false</trackRevisions>
    </reviewItem>
    <reviewItem>
      <errorID>a2b2bddb-0431-412c-b6e5-23f65136d429</errorID>
      <errorWord>:</errorWord>
      <group>L1_Format</group>
      <groupName>格式问题</groupName>
      <ability>L2_HalfPunc_CN</ability>
      <abilityName/>
      <candidateList>
        <item>：</item>
      </candidateList>
      <explain>文本全半角错误。</explain>
      <paraID>2D4CB783</paraID>
      <start>5549</start>
      <end>5550</end>
      <status>unmodified</status>
      <modifiedWord/>
      <trackRevisions>false</trackRevisions>
    </reviewItem>
    <reviewItem>
      <errorID>05646913-036e-4aab-8531-29c786965484</errorID>
      <errorWord>:</errorWord>
      <group>L1_Format</group>
      <groupName>格式问题</groupName>
      <ability>L2_HalfPunc_CN</ability>
      <abilityName/>
      <candidateList>
        <item>：</item>
      </candidateList>
      <explain>文本全半角错误。</explain>
      <paraID>2D4CB783</paraID>
      <start>5603</start>
      <end>5604</end>
      <status>unmodified</status>
      <modifiedWord/>
      <trackRevisions>false</trackRevisions>
    </reviewItem>
    <reviewItem>
      <errorID>c090a0ba-32fe-41f5-943b-b81f0e30d5e2</errorID>
      <errorWord>:</errorWord>
      <group>L1_Format</group>
      <groupName>格式问题</groupName>
      <ability>L2_HalfPunc_CN</ability>
      <abilityName/>
      <candidateList>
        <item>：</item>
      </candidateList>
      <explain>文本全半角错误。</explain>
      <paraID>2D4CB783</paraID>
      <start>5682</start>
      <end>5683</end>
      <status>unmodified</status>
      <modifiedWord/>
      <trackRevisions>false</trackRevisions>
    </reviewItem>
    <reviewItem>
      <errorID>87368fb5-b6b0-420c-9fa3-e2df53bc490b</errorID>
      <errorWord>:</errorWord>
      <group>L1_Format</group>
      <groupName>格式问题</groupName>
      <ability>L2_HalfPunc_CN</ability>
      <abilityName/>
      <candidateList>
        <item>：</item>
      </candidateList>
      <explain>文本全半角错误。</explain>
      <paraID>2D4CB783</paraID>
      <start>5766</start>
      <end>5767</end>
      <status>unmodified</status>
      <modifiedWord/>
      <trackRevisions>false</trackRevisions>
    </reviewItem>
    <reviewItem>
      <errorID>f149e8e6-dc6b-41a0-8be2-4b954d297e6b</errorID>
      <errorWord>:</errorWord>
      <group>L1_Format</group>
      <groupName>格式问题</groupName>
      <ability>L2_HalfPunc_CN</ability>
      <abilityName/>
      <candidateList>
        <item>：</item>
      </candidateList>
      <explain>文本全半角错误。</explain>
      <paraID>2D4CB783</paraID>
      <start>5846</start>
      <end>5847</end>
      <status>unmodified</status>
      <modifiedWord/>
      <trackRevisions>false</trackRevisions>
    </reviewItem>
    <reviewItem>
      <errorID>648daf82-c82f-461f-ae75-88df646e3e57</errorID>
      <errorWord>:</errorWord>
      <group>L1_Format</group>
      <groupName>格式问题</groupName>
      <ability>L2_HalfPunc_CN</ability>
      <abilityName/>
      <candidateList>
        <item>：</item>
      </candidateList>
      <explain>文本全半角错误。</explain>
      <paraID>2D4CB783</paraID>
      <start>5909</start>
      <end>5910</end>
      <status>unmodified</status>
      <modifiedWord/>
      <trackRevisions>false</trackRevisions>
    </reviewItem>
    <reviewItem>
      <errorID>d201ac92-e941-40b8-b490-534735062be7</errorID>
      <errorWord>:</errorWord>
      <group>L1_Format</group>
      <groupName>格式问题</groupName>
      <ability>L2_HalfPunc_CN</ability>
      <abilityName/>
      <candidateList>
        <item>：</item>
      </candidateList>
      <explain>文本全半角错误。</explain>
      <paraID>2D4CB783</paraID>
      <start>6018</start>
      <end>6019</end>
      <status>unmodified</status>
      <modifiedWord/>
      <trackRevisions>false</trackRevisions>
    </reviewItem>
    <reviewItem>
      <errorID>6d153345-b0e3-4552-8a96-089fe95e7479</errorID>
      <errorWord>:</errorWord>
      <group>L1_Format</group>
      <groupName>格式问题</groupName>
      <ability>L2_HalfPunc_CN</ability>
      <abilityName/>
      <candidateList>
        <item>：</item>
      </candidateList>
      <explain>文本全半角错误。</explain>
      <paraID>2D4CB783</paraID>
      <start>6091</start>
      <end>6092</end>
      <status>unmodified</status>
      <modifiedWord/>
      <trackRevisions>false</trackRevisions>
    </reviewItem>
    <reviewItem>
      <errorID>b3e0d144-04bd-46ea-a871-983f3594d48b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2D4CB783</paraID>
      <start>6098</start>
      <end>6100</end>
      <status>unmodified</status>
      <modifiedWord/>
      <trackRevisions>false</trackRevisions>
    </reviewItem>
    <reviewItem>
      <errorID>e6df57a3-3b36-40ae-b781-b1b905800a5b</errorID>
      <errorWord>:</errorWord>
      <group>L1_Format</group>
      <groupName>格式问题</groupName>
      <ability>L2_HalfPunc_CN</ability>
      <abilityName/>
      <candidateList>
        <item>：</item>
      </candidateList>
      <explain>文本全半角错误。</explain>
      <paraID>2D4CB783</paraID>
      <start>6165</start>
      <end>6166</end>
      <status>unmodified</status>
      <modifiedWord/>
      <trackRevisions>false</trackRevisions>
    </reviewItem>
    <reviewItem>
      <errorID>eec56545-139d-4afd-b35b-240751d72060</errorID>
      <errorWord>:</errorWord>
      <group>L1_Format</group>
      <groupName>格式问题</groupName>
      <ability>L2_HalfPunc_CN</ability>
      <abilityName/>
      <candidateList>
        <item>：</item>
      </candidateList>
      <explain>文本全半角错误。</explain>
      <paraID>2D4CB783</paraID>
      <start>6255</start>
      <end>6256</end>
      <status>unmodified</status>
      <modifiedWord/>
      <trackRevisions>false</trackRevisions>
    </reviewItem>
    <reviewItem>
      <errorID>88e25e8d-6c64-41bf-98a8-79c030199667</errorID>
      <errorWord>:</errorWord>
      <group>L1_Format</group>
      <groupName>格式问题</groupName>
      <ability>L2_HalfPunc_CN</ability>
      <abilityName/>
      <candidateList>
        <item>：</item>
      </candidateList>
      <explain>文本全半角错误。</explain>
      <paraID>2D4CB783</paraID>
      <start>6362</start>
      <end>6363</end>
      <status>unmodified</status>
      <modifiedWord/>
      <trackRevisions>false</trackRevisions>
    </reviewItem>
    <reviewItem>
      <errorID>d39d7558-b788-4f8e-897b-b6328bb489e3</errorID>
      <errorWord>:</errorWord>
      <group>L1_Format</group>
      <groupName>格式问题</groupName>
      <ability>L2_HalfPunc_CN</ability>
      <abilityName/>
      <candidateList>
        <item>：</item>
      </candidateList>
      <explain>文本全半角错误。</explain>
      <paraID>2D4CB783</paraID>
      <start>6468</start>
      <end>6469</end>
      <status>unmodified</status>
      <modifiedWord/>
      <trackRevisions>false</trackRevisions>
    </reviewItem>
    <reviewItem>
      <errorID>e634e1ba-0f10-47f5-90af-4b73cf817b75</errorID>
      <errorWord>:</errorWord>
      <group>L1_Format</group>
      <groupName>格式问题</groupName>
      <ability>L2_HalfPunc_CN</ability>
      <abilityName/>
      <candidateList>
        <item>：</item>
      </candidateList>
      <explain>文本全半角错误。</explain>
      <paraID>2D4CB783</paraID>
      <start>6567</start>
      <end>6568</end>
      <status>unmodified</status>
      <modifiedWord/>
      <trackRevisions>false</trackRevisions>
    </reviewItem>
    <reviewItem>
      <errorID>ae1539ab-aa0a-4d45-a3db-bf0117414149</errorID>
      <errorWord>:</errorWord>
      <group>L1_Format</group>
      <groupName>格式问题</groupName>
      <ability>L2_HalfPunc_CN</ability>
      <abilityName/>
      <candidateList>
        <item>：</item>
      </candidateList>
      <explain>文本全半角错误。</explain>
      <paraID>2D4CB783</paraID>
      <start>6643</start>
      <end>6644</end>
      <status>unmodified</status>
      <modifiedWord/>
      <trackRevisions>false</trackRevisions>
    </reviewItem>
    <reviewItem>
      <errorID>94c9418b-ef4b-4774-b4ab-03f1a6c97cc7</errorID>
      <errorWord>:</errorWord>
      <group>L1_Format</group>
      <groupName>格式问题</groupName>
      <ability>L2_HalfPunc_CN</ability>
      <abilityName/>
      <candidateList>
        <item>：</item>
      </candidateList>
      <explain>文本全半角错误。</explain>
      <paraID>2D4CB783</paraID>
      <start>6726</start>
      <end>6727</end>
      <status>unmodified</status>
      <modifiedWord/>
      <trackRevisions>false</trackRevisions>
    </reviewItem>
    <reviewItem>
      <errorID>91be8343-5fc0-480d-9e62-9247e1f7f9b1</errorID>
      <errorWord>:</errorWord>
      <group>L1_Format</group>
      <groupName>格式问题</groupName>
      <ability>L2_HalfPunc_CN</ability>
      <abilityName/>
      <candidateList>
        <item>：</item>
      </candidateList>
      <explain>文本全半角错误。</explain>
      <paraID>2D4CB783</paraID>
      <start>6830</start>
      <end>6831</end>
      <status>unmodified</status>
      <modifiedWord/>
      <trackRevisions>false</trackRevisions>
    </reviewItem>
    <reviewItem>
      <errorID>5015fede-b1ca-4dce-9811-6f6f257bdd92</errorID>
      <errorWord>:</errorWord>
      <group>L1_Format</group>
      <groupName>格式问题</groupName>
      <ability>L2_HalfPunc_CN</ability>
      <abilityName/>
      <candidateList>
        <item>：</item>
      </candidateList>
      <explain>文本全半角错误。</explain>
      <paraID>2D4CB783</paraID>
      <start>6916</start>
      <end>6917</end>
      <status>unmodified</status>
      <modifiedWord/>
      <trackRevisions>false</trackRevisions>
    </reviewItem>
    <reviewItem>
      <errorID>4f434816-0975-49d3-996f-44126b8d2d31</errorID>
      <errorWord>:</errorWord>
      <group>L1_Format</group>
      <groupName>格式问题</groupName>
      <ability>L2_HalfPunc_CN</ability>
      <abilityName/>
      <candidateList>
        <item>：</item>
      </candidateList>
      <explain>文本全半角错误。</explain>
      <paraID>2D4CB783</paraID>
      <start>7060</start>
      <end>7061</end>
      <status>unmodified</status>
      <modifiedWord/>
      <trackRevisions>false</trackRevisions>
    </reviewItem>
    <reviewItem>
      <errorID>a72adcb3-f53e-433d-898d-3786520e24f9</errorID>
      <errorWord>:</errorWord>
      <group>L1_Format</group>
      <groupName>格式问题</groupName>
      <ability>L2_HalfPunc_CN</ability>
      <abilityName/>
      <candidateList>
        <item>：</item>
      </candidateList>
      <explain>文本全半角错误。</explain>
      <paraID>2D4CB783</paraID>
      <start>7155</start>
      <end>7156</end>
      <status>unmodified</status>
      <modifiedWord/>
      <trackRevisions>false</trackRevisions>
    </reviewItem>
    <reviewItem>
      <errorID>2dff7d4a-32bd-49cd-85ad-926650ffca19</errorID>
      <errorWord>:</errorWord>
      <group>L1_Format</group>
      <groupName>格式问题</groupName>
      <ability>L2_HalfPunc_CN</ability>
      <abilityName/>
      <candidateList>
        <item>：</item>
      </candidateList>
      <explain>文本全半角错误。</explain>
      <paraID>2D4CB783</paraID>
      <start>7200</start>
      <end>7201</end>
      <status>unmodified</status>
      <modifiedWord/>
      <trackRevisions>false</trackRevisions>
    </reviewItem>
    <reviewItem>
      <errorID>b18de536-80e9-4f5b-8b36-da45d1b753b2</errorID>
      <errorWord>:</errorWord>
      <group>L1_Format</group>
      <groupName>格式问题</groupName>
      <ability>L2_HalfPunc_CN</ability>
      <abilityName/>
      <candidateList>
        <item>：</item>
      </candidateList>
      <explain>文本全半角错误。</explain>
      <paraID>2D4CB783</paraID>
      <start>7250</start>
      <end>7251</end>
      <status>unmodified</status>
      <modifiedWord/>
      <trackRevisions>false</trackRevisions>
    </reviewItem>
    <reviewItem>
      <errorID>b6b3dc57-cb62-400b-a260-3025619e298d</errorID>
      <errorWord>:</errorWord>
      <group>L1_Format</group>
      <groupName>格式问题</groupName>
      <ability>L2_HalfPunc_CN</ability>
      <abilityName/>
      <candidateList>
        <item>：</item>
      </candidateList>
      <explain>文本全半角错误。</explain>
      <paraID>2D4CB783</paraID>
      <start>7365</start>
      <end>7366</end>
      <status>unmodified</status>
      <modifiedWord/>
      <trackRevisions>false</trackRevisions>
    </reviewItem>
    <reviewItem>
      <errorID>87ef021f-9f04-4429-9191-b858b8098a12</errorID>
      <errorWord>:</errorWord>
      <group>L1_Format</group>
      <groupName>格式问题</groupName>
      <ability>L2_HalfPunc_CN</ability>
      <abilityName/>
      <candidateList>
        <item>：</item>
      </candidateList>
      <explain>文本全半角错误。</explain>
      <paraID>2D4CB783</paraID>
      <start>7444</start>
      <end>7445</end>
      <status>unmodified</status>
      <modifiedWord/>
      <trackRevisions>false</trackRevisions>
    </reviewItem>
    <reviewItem>
      <errorID>3c9c4318-5109-40fa-985c-36c635fc761a</errorID>
      <errorWord>:</errorWord>
      <group>L1_Format</group>
      <groupName>格式问题</groupName>
      <ability>L2_HalfPunc_CN</ability>
      <abilityName/>
      <candidateList>
        <item>：</item>
      </candidateList>
      <explain>文本全半角错误。</explain>
      <paraID>2D4CB783</paraID>
      <start>7515</start>
      <end>7516</end>
      <status>unmodified</status>
      <modifiedWord/>
      <trackRevisions>false</trackRevisions>
    </reviewItem>
    <reviewItem>
      <errorID>092effa0-d717-4ce3-ad34-094139d1135d</errorID>
      <errorWord>:</errorWord>
      <group>L1_Format</group>
      <groupName>格式问题</groupName>
      <ability>L2_HalfPunc_CN</ability>
      <abilityName/>
      <candidateList>
        <item>：</item>
      </candidateList>
      <explain>文本全半角错误。</explain>
      <paraID>2D4CB783</paraID>
      <start>7611</start>
      <end>7612</end>
      <status>unmodified</status>
      <modifiedWord/>
      <trackRevisions>false</trackRevisions>
    </reviewItem>
    <reviewItem>
      <errorID>26229d6f-678c-49dc-b97e-d7cb95ac8d8e</errorID>
      <errorWord>:</errorWord>
      <group>L1_Format</group>
      <groupName>格式问题</groupName>
      <ability>L2_HalfPunc_CN</ability>
      <abilityName/>
      <candidateList>
        <item>：</item>
      </candidateList>
      <explain>文本全半角错误。</explain>
      <paraID>2D4CB783</paraID>
      <start>7695</start>
      <end>7696</end>
      <status>unmodified</status>
      <modifiedWord/>
      <trackRevisions>false</trackRevisions>
    </reviewItem>
    <reviewItem>
      <errorID>3a7f6445-4fb8-46bc-bf71-508b9026b271</errorID>
      <errorWord>:</errorWord>
      <group>L1_Format</group>
      <groupName>格式问题</groupName>
      <ability>L2_HalfPunc_CN</ability>
      <abilityName/>
      <candidateList>
        <item>：</item>
      </candidateList>
      <explain>文本全半角错误。</explain>
      <paraID>2D4CB783</paraID>
      <start>7758</start>
      <end>7759</end>
      <status>unmodified</status>
      <modifiedWord/>
      <trackRevisions>false</trackRevisions>
    </reviewItem>
    <reviewItem>
      <errorID>525551dc-2ef3-4609-8b6f-6f821746d12a</errorID>
      <errorWord>:</errorWord>
      <group>L1_Format</group>
      <groupName>格式问题</groupName>
      <ability>L2_HalfPunc_CN</ability>
      <abilityName/>
      <candidateList>
        <item>：</item>
      </candidateList>
      <explain>文本全半角错误。</explain>
      <paraID>2D4CB783</paraID>
      <start>7789</start>
      <end>7790</end>
      <status>unmodified</status>
      <modifiedWord/>
      <trackRevisions>false</trackRevisions>
    </reviewItem>
    <reviewItem>
      <errorID>457c4d1b-e0b8-43ae-80e0-22cb32f64faa</errorID>
      <errorWord>:</errorWord>
      <group>L1_Format</group>
      <groupName>格式问题</groupName>
      <ability>L2_HalfPunc_CN</ability>
      <abilityName/>
      <candidateList>
        <item>：</item>
      </candidateList>
      <explain>文本全半角错误。</explain>
      <paraID>2D4CB783</paraID>
      <start>7869</start>
      <end>7870</end>
      <status>unmodified</status>
      <modifiedWord/>
      <trackRevisions>false</trackRevisions>
    </reviewItem>
    <reviewItem>
      <errorID>0eb0fe61-294d-4539-b6fa-bf8218b430d0</errorID>
      <errorWord>:</errorWord>
      <group>L1_Format</group>
      <groupName>格式问题</groupName>
      <ability>L2_HalfPunc_CN</ability>
      <abilityName/>
      <candidateList>
        <item>：</item>
      </candidateList>
      <explain>文本全半角错误。</explain>
      <paraID>2D4CB783</paraID>
      <start>7945</start>
      <end>7946</end>
      <status>unmodified</status>
      <modifiedWord/>
      <trackRevisions>false</trackRevisions>
    </reviewItem>
    <reviewItem>
      <errorID>f3fdb815-a57d-494d-938e-b3457c2120ee</errorID>
      <errorWord>:</errorWord>
      <group>L1_Format</group>
      <groupName>格式问题</groupName>
      <ability>L2_HalfPunc_CN</ability>
      <abilityName/>
      <candidateList>
        <item>：</item>
      </candidateList>
      <explain>文本全半角错误。</explain>
      <paraID>2D4CB783</paraID>
      <start>8025</start>
      <end>8026</end>
      <status>unmodified</status>
      <modifiedWord/>
      <trackRevisions>false</trackRevisions>
    </reviewItem>
    <reviewItem>
      <errorID>5529f6e8-8879-4a87-a658-cf98461c06eb</errorID>
      <errorWord>:</errorWord>
      <group>L1_Format</group>
      <groupName>格式问题</groupName>
      <ability>L2_HalfPunc_CN</ability>
      <abilityName/>
      <candidateList>
        <item>：</item>
      </candidateList>
      <explain>文本全半角错误。</explain>
      <paraID>2D4CB783</paraID>
      <start>8105</start>
      <end>8106</end>
      <status>unmodified</status>
      <modifiedWord/>
      <trackRevisions>false</trackRevisions>
    </reviewItem>
    <reviewItem>
      <errorID>a2544352-4380-4796-b452-b7ef46117a4c</errorID>
      <errorWord>:</errorWord>
      <group>L1_Format</group>
      <groupName>格式问题</groupName>
      <ability>L2_HalfPunc_CN</ability>
      <abilityName/>
      <candidateList>
        <item>：</item>
      </candidateList>
      <explain>文本全半角错误。</explain>
      <paraID>2D4CB783</paraID>
      <start>8199</start>
      <end>8200</end>
      <status>unmodified</status>
      <modifiedWord/>
      <trackRevisions>false</trackRevisions>
    </reviewItem>
    <reviewItem>
      <errorID>785b8220-ead9-408a-b264-d58040a557e2</errorID>
      <errorWord>:</errorWord>
      <group>L1_Format</group>
      <groupName>格式问题</groupName>
      <ability>L2_HalfPunc_CN</ability>
      <abilityName/>
      <candidateList>
        <item>：</item>
      </candidateList>
      <explain>文本全半角错误。</explain>
      <paraID>2D4CB783</paraID>
      <start>8283</start>
      <end>8284</end>
      <status>unmodified</status>
      <modifiedWord/>
      <trackRevisions>false</trackRevisions>
    </reviewItem>
    <reviewItem>
      <errorID>7438e4a7-2a27-4329-a78e-0891ac38292d</errorID>
      <errorWord>:</errorWord>
      <group>L1_Format</group>
      <groupName>格式问题</groupName>
      <ability>L2_HalfPunc_CN</ability>
      <abilityName/>
      <candidateList>
        <item>：</item>
      </candidateList>
      <explain>文本全半角错误。</explain>
      <paraID>2D4CB783</paraID>
      <start>8355</start>
      <end>8356</end>
      <status>unmodified</status>
      <modifiedWord/>
      <trackRevisions>false</trackRevisions>
    </reviewItem>
    <reviewItem>
      <errorID>bc4d8462-b906-40dc-91b4-f36d59612359</errorID>
      <errorWord>:</errorWord>
      <group>L1_Format</group>
      <groupName>格式问题</groupName>
      <ability>L2_HalfPunc_CN</ability>
      <abilityName/>
      <candidateList>
        <item>：</item>
      </candidateList>
      <explain>文本全半角错误。</explain>
      <paraID>2D4CB783</paraID>
      <start>8465</start>
      <end>8466</end>
      <status>unmodified</status>
      <modifiedWord/>
      <trackRevisions>false</trackRevisions>
    </reviewItem>
    <reviewItem>
      <errorID>b4bf70e7-6bb3-4983-b7e0-c07457e072d6</errorID>
      <errorWord>:</errorWord>
      <group>L1_Format</group>
      <groupName>格式问题</groupName>
      <ability>L2_HalfPunc_CN</ability>
      <abilityName/>
      <candidateList>
        <item>：</item>
      </candidateList>
      <explain>文本全半角错误。</explain>
      <paraID>2D4CB783</paraID>
      <start>8565</start>
      <end>8566</end>
      <status>unmodified</status>
      <modifiedWord/>
      <trackRevisions>false</trackRevisions>
    </reviewItem>
    <reviewItem>
      <errorID>06b8de1e-2c1e-474a-ab3f-33fde349de17</errorID>
      <errorWord>:</errorWord>
      <group>L1_Format</group>
      <groupName>格式问题</groupName>
      <ability>L2_HalfPunc_CN</ability>
      <abilityName/>
      <candidateList>
        <item>：</item>
      </candidateList>
      <explain>文本全半角错误。</explain>
      <paraID>2D4CB783</paraID>
      <start>8635</start>
      <end>8636</end>
      <status>unmodified</status>
      <modifiedWord/>
      <trackRevisions>false</trackRevisions>
    </reviewItem>
    <reviewItem>
      <errorID>d828adcb-fc2f-4aec-890e-f9d8a9032eee</errorID>
      <errorWord>:</errorWord>
      <group>L1_Format</group>
      <groupName>格式问题</groupName>
      <ability>L2_HalfPunc_CN</ability>
      <abilityName/>
      <candidateList>
        <item>：</item>
      </candidateList>
      <explain>文本全半角错误。</explain>
      <paraID>2D4CB783</paraID>
      <start>8728</start>
      <end>8729</end>
      <status>unmodified</status>
      <modifiedWord/>
      <trackRevisions>false</trackRevisions>
    </reviewItem>
    <reviewItem>
      <errorID>994d7ec0-3221-40e3-8f05-69810e7f3b4d</errorID>
      <errorWord>:</errorWord>
      <group>L1_Format</group>
      <groupName>格式问题</groupName>
      <ability>L2_HalfPunc_CN</ability>
      <abilityName/>
      <candidateList>
        <item>：</item>
      </candidateList>
      <explain>文本全半角错误。</explain>
      <paraID>2D4CB783</paraID>
      <start>8832</start>
      <end>8833</end>
      <status>unmodified</status>
      <modifiedWord/>
      <trackRevisions>false</trackRevisions>
    </reviewItem>
    <reviewItem>
      <errorID>31521d27-fe67-4d9c-acea-fefbad1aaf71</errorID>
      <errorWord>:</errorWord>
      <group>L1_Format</group>
      <groupName>格式问题</groupName>
      <ability>L2_HalfPunc_CN</ability>
      <abilityName/>
      <candidateList>
        <item>：</item>
      </candidateList>
      <explain>文本全半角错误。</explain>
      <paraID>2D4CB783</paraID>
      <start>8902</start>
      <end>8903</end>
      <status>unmodified</status>
      <modifiedWord/>
      <trackRevisions>false</trackRevisions>
    </reviewItem>
    <reviewItem>
      <errorID>d69ffd74-82f4-4a35-a757-fef90f0a1051</errorID>
      <errorWord>:</errorWord>
      <group>L1_Format</group>
      <groupName>格式问题</groupName>
      <ability>L2_HalfPunc_CN</ability>
      <abilityName/>
      <candidateList>
        <item>：</item>
      </candidateList>
      <explain>文本全半角错误。</explain>
      <paraID>2D4CB783</paraID>
      <start>8947</start>
      <end>8948</end>
      <status>unmodified</status>
      <modifiedWord/>
      <trackRevisions>false</trackRevisions>
    </reviewItem>
    <reviewItem>
      <errorID>f810b216-72fc-4e96-9ccb-75682e907c0f</errorID>
      <errorWord>:</errorWord>
      <group>L1_Format</group>
      <groupName>格式问题</groupName>
      <ability>L2_HalfPunc_CN</ability>
      <abilityName/>
      <candidateList>
        <item>：</item>
      </candidateList>
      <explain>文本全半角错误。</explain>
      <paraID>2D4CB783</paraID>
      <start>9064</start>
      <end>9065</end>
      <status>unmodified</status>
      <modifiedWord/>
      <trackRevisions>false</trackRevisions>
    </reviewItem>
    <reviewItem>
      <errorID>c0437cca-d876-4dff-991c-45637fe176e7</errorID>
      <errorWord>:</errorWord>
      <group>L1_Format</group>
      <groupName>格式问题</groupName>
      <ability>L2_HalfPunc_CN</ability>
      <abilityName/>
      <candidateList>
        <item>：</item>
      </candidateList>
      <explain>文本全半角错误。</explain>
      <paraID>2D4CB783</paraID>
      <start>9154</start>
      <end>9155</end>
      <status>unmodified</status>
      <modifiedWord/>
      <trackRevisions>false</trackRevisions>
    </reviewItem>
    <reviewItem>
      <errorID>d6d5eeeb-7b25-4ff1-83e3-f7741ab5f532</errorID>
      <errorWord>:</errorWord>
      <group>L1_Format</group>
      <groupName>格式问题</groupName>
      <ability>L2_HalfPunc_CN</ability>
      <abilityName/>
      <candidateList>
        <item>：</item>
      </candidateList>
      <explain>文本全半角错误。</explain>
      <paraID>2D4CB783</paraID>
      <start>9195</start>
      <end>9196</end>
      <status>unmodified</status>
      <modifiedWord/>
      <trackRevisions>false</trackRevisions>
    </reviewItem>
    <reviewItem>
      <errorID>f96055ca-daaa-4e99-aa36-5732685daf8f</errorID>
      <errorWord>制定</errorWord>
      <group>L1_Word</group>
      <groupName>字词问题</groupName>
      <ability>L2_Typo</ability>
      <abilityName>字词错误</abilityName>
      <candidateList>
        <item>制订</item>
      </candidateList>
      <explain/>
      <paraID>2D4CB783</paraID>
      <start>9309</start>
      <end>9311</end>
      <status>unmodified</status>
      <modifiedWord/>
      <trackRevisions>false</trackRevisions>
    </reviewItem>
    <reviewItem>
      <errorID>3c2f9e6e-2bd4-4c80-b2d2-dd88a873576c</errorID>
      <errorWord>:</errorWord>
      <group>L1_Format</group>
      <groupName>格式问题</groupName>
      <ability>L2_HalfPunc_CN</ability>
      <abilityName/>
      <candidateList>
        <item>：</item>
      </candidateList>
      <explain>文本全半角错误。</explain>
      <paraID>2D4CB783</paraID>
      <start>9311</start>
      <end>9312</end>
      <status>unmodified</status>
      <modifiedWord/>
      <trackRevisions>false</trackRevisions>
    </reviewItem>
    <reviewItem>
      <errorID>77de8dab-1f6f-45fa-ad79-f1f56b9d1a1e</errorID>
      <errorWord>:</errorWord>
      <group>L1_Format</group>
      <groupName>格式问题</groupName>
      <ability>L2_HalfPunc_CN</ability>
      <abilityName/>
      <candidateList>
        <item>：</item>
      </candidateList>
      <explain>文本全半角错误。</explain>
      <paraID>2D4CB783</paraID>
      <start>9380</start>
      <end>9381</end>
      <status>unmodified</status>
      <modifiedWord/>
      <trackRevisions>false</trackRevisions>
    </reviewItem>
    <reviewItem>
      <errorID>8f831c2c-b5c2-4b34-b5c0-b5487da63d1e</errorID>
      <errorWord>:</errorWord>
      <group>L1_Format</group>
      <groupName>格式问题</groupName>
      <ability>L2_HalfPunc_CN</ability>
      <abilityName/>
      <candidateList>
        <item>：</item>
      </candidateList>
      <explain>文本全半角错误。</explain>
      <paraID>532CF5DB</paraID>
      <start>13</start>
      <end>14</end>
      <status>unmodified</status>
      <modifiedWord/>
      <trackRevisions>false</trackRevisions>
    </reviewItem>
    <reviewItem>
      <errorID>32074279-ae17-40f9-99ed-58d12fb28f29</errorID>
      <errorWord>:</errorWord>
      <group>L1_Format</group>
      <groupName>格式问题</groupName>
      <ability>L2_HalfPunc_CN</ability>
      <abilityName/>
      <candidateList>
        <item>：</item>
      </candidateList>
      <explain>文本全半角错误。</explain>
      <paraID>532CF5DB</paraID>
      <start>85</start>
      <end>86</end>
      <status>unmodified</status>
      <modifiedWord/>
      <trackRevisions>false</trackRevisions>
    </reviewItem>
    <reviewItem>
      <errorID>b3d1c0a4-e9f8-492e-84cf-884a4a7f8172</errorID>
      <errorWord>:</errorWord>
      <group>L1_Format</group>
      <groupName>格式问题</groupName>
      <ability>L2_HalfPunc_CN</ability>
      <abilityName/>
      <candidateList>
        <item>：</item>
      </candidateList>
      <explain>文本全半角错误。</explain>
      <paraID>532CF5DB</paraID>
      <start>156</start>
      <end>157</end>
      <status>unmodified</status>
      <modifiedWord/>
      <trackRevisions>false</trackRevisions>
    </reviewItem>
    <reviewItem>
      <errorID>08339607-6ee9-4a22-b329-368f37cb1277</errorID>
      <errorWord>:</errorWord>
      <group>L1_Format</group>
      <groupName>格式问题</groupName>
      <ability>L2_HalfPunc_CN</ability>
      <abilityName/>
      <candidateList>
        <item>：</item>
      </candidateList>
      <explain>文本全半角错误。</explain>
      <paraID>532CF5DB</paraID>
      <start>200</start>
      <end>201</end>
      <status>unmodified</status>
      <modifiedWord/>
      <trackRevisions>false</trackRevisions>
    </reviewItem>
    <reviewItem>
      <errorID>95f529ff-78c0-47c0-afa5-2475cc2d57ea</errorID>
      <errorWord>:</errorWord>
      <group>L1_Format</group>
      <groupName>格式问题</groupName>
      <ability>L2_HalfPunc_CN</ability>
      <abilityName/>
      <candidateList>
        <item>：</item>
      </candidateList>
      <explain>文本全半角错误。</explain>
      <paraID>532CF5DB</paraID>
      <start>283</start>
      <end>284</end>
      <status>unmodified</status>
      <modifiedWord/>
      <trackRevisions>false</trackRevisions>
    </reviewItem>
    <reviewItem>
      <errorID>f7882f3c-0288-43e4-886a-760407b1d7a1</errorID>
      <errorWord>:</errorWord>
      <group>L1_Format</group>
      <groupName>格式问题</groupName>
      <ability>L2_HalfPunc_CN</ability>
      <abilityName/>
      <candidateList>
        <item>：</item>
      </candidateList>
      <explain>文本全半角错误。</explain>
      <paraID>532CF5DB</paraID>
      <start>367</start>
      <end>368</end>
      <status>unmodified</status>
      <modifiedWord/>
      <trackRevisions>false</trackRevisions>
    </reviewItem>
    <reviewItem>
      <errorID>beb96e5d-f23a-4c08-a23f-63b995fa8b42</errorID>
      <errorWord>:</errorWord>
      <group>L1_Format</group>
      <groupName>格式问题</groupName>
      <ability>L2_HalfPunc_CN</ability>
      <abilityName/>
      <candidateList>
        <item>：</item>
      </candidateList>
      <explain>文本全半角错误。</explain>
      <paraID>532CF5DB</paraID>
      <start>422</start>
      <end>423</end>
      <status>unmodified</status>
      <modifiedWord/>
      <trackRevisions>false</trackRevisions>
    </reviewItem>
    <reviewItem>
      <errorID>0af07a01-9aa2-44f1-9460-c88a14be41cf</errorID>
      <errorWord>:</errorWord>
      <group>L1_Format</group>
      <groupName>格式问题</groupName>
      <ability>L2_HalfPunc_CN</ability>
      <abilityName/>
      <candidateList>
        <item>：</item>
      </candidateList>
      <explain>文本全半角错误。</explain>
      <paraID>532CF5DB</paraID>
      <start>504</start>
      <end>505</end>
      <status>unmodified</status>
      <modifiedWord/>
      <trackRevisions>false</trackRevisions>
    </reviewItem>
    <reviewItem>
      <errorID>3c0124df-2482-4377-89ae-e77cc4703d4c</errorID>
      <errorWord>:</errorWord>
      <group>L1_Format</group>
      <groupName>格式问题</groupName>
      <ability>L2_HalfPunc_CN</ability>
      <abilityName/>
      <candidateList>
        <item>：</item>
      </candidateList>
      <explain>文本全半角错误。</explain>
      <paraID>532CF5DB</paraID>
      <start>584</start>
      <end>585</end>
      <status>unmodified</status>
      <modifiedWord/>
      <trackRevisions>false</trackRevisions>
    </reviewItem>
    <reviewItem>
      <errorID>9da6c089-6208-40bd-8455-f89fe65736f5</errorID>
      <errorWord>:</errorWord>
      <group>L1_Format</group>
      <groupName>格式问题</groupName>
      <ability>L2_HalfPunc_CN</ability>
      <abilityName/>
      <candidateList>
        <item>：</item>
      </candidateList>
      <explain>文本全半角错误。</explain>
      <paraID>532CF5DB</paraID>
      <start>671</start>
      <end>672</end>
      <status>unmodified</status>
      <modifiedWord/>
      <trackRevisions>false</trackRevisions>
    </reviewItem>
    <reviewItem>
      <errorID>98cb7353-0f76-4f88-af5a-c2e469de3e0d</errorID>
      <errorWord>:</errorWord>
      <group>L1_Format</group>
      <groupName>格式问题</groupName>
      <ability>L2_HalfPunc_CN</ability>
      <abilityName/>
      <candidateList>
        <item>：</item>
      </candidateList>
      <explain>文本全半角错误。</explain>
      <paraID>532CF5DB</paraID>
      <start>753</start>
      <end>754</end>
      <status>unmodified</status>
      <modifiedWord/>
      <trackRevisions>false</trackRevisions>
    </reviewItem>
    <reviewItem>
      <errorID>5144fe0d-cfdc-40d2-b0ac-90b76890ab8f</errorID>
      <errorWord>:</errorWord>
      <group>L1_Format</group>
      <groupName>格式问题</groupName>
      <ability>L2_HalfPunc_CN</ability>
      <abilityName/>
      <candidateList>
        <item>：</item>
      </candidateList>
      <explain>文本全半角错误。</explain>
      <paraID>532CF5DB</paraID>
      <start>834</start>
      <end>835</end>
      <status>unmodified</status>
      <modifiedWord/>
      <trackRevisions>false</trackRevisions>
    </reviewItem>
    <reviewItem>
      <errorID>0d62fa2b-8095-409c-a274-aa5452899dc5</errorID>
      <errorWord>:</errorWord>
      <group>L1_Format</group>
      <groupName>格式问题</groupName>
      <ability>L2_HalfPunc_CN</ability>
      <abilityName/>
      <candidateList>
        <item>：</item>
      </candidateList>
      <explain>文本全半角错误。</explain>
      <paraID>532CF5DB</paraID>
      <start>926</start>
      <end>927</end>
      <status>unmodified</status>
      <modifiedWord/>
      <trackRevisions>false</trackRevisions>
    </reviewItem>
    <reviewItem>
      <errorID>004bf09f-37b2-4e7d-93d1-cac59144ab20</errorID>
      <errorWord>:</errorWord>
      <group>L1_Format</group>
      <groupName>格式问题</groupName>
      <ability>L2_HalfPunc_CN</ability>
      <abilityName/>
      <candidateList>
        <item>：</item>
      </candidateList>
      <explain>文本全半角错误。</explain>
      <paraID>532CF5DB</paraID>
      <start>1008</start>
      <end>1009</end>
      <status>unmodified</status>
      <modifiedWord/>
      <trackRevisions>false</trackRevisions>
    </reviewItem>
    <reviewItem>
      <errorID>9133f9aa-e939-4abc-b936-d960bcf75d78</errorID>
      <errorWord>:</errorWord>
      <group>L1_Format</group>
      <groupName>格式问题</groupName>
      <ability>L2_HalfPunc_CN</ability>
      <abilityName/>
      <candidateList>
        <item>：</item>
      </candidateList>
      <explain>文本全半角错误。</explain>
      <paraID>532CF5DB</paraID>
      <start>1098</start>
      <end>1099</end>
      <status>unmodified</status>
      <modifiedWord/>
      <trackRevisions>false</trackRevisions>
    </reviewItem>
    <reviewItem>
      <errorID>04111dbb-3e56-4cad-89fd-027858d2450e</errorID>
      <errorWord>:</errorWord>
      <group>L1_Format</group>
      <groupName>格式问题</groupName>
      <ability>L2_HalfPunc_CN</ability>
      <abilityName/>
      <candidateList>
        <item>：</item>
      </candidateList>
      <explain>文本全半角错误。</explain>
      <paraID>532CF5DB</paraID>
      <start>1185</start>
      <end>1186</end>
      <status>unmodified</status>
      <modifiedWord/>
      <trackRevisions>false</trackRevisions>
    </reviewItem>
    <reviewItem>
      <errorID>3324373a-7ccb-49f8-8f40-7e1f382d81e6</errorID>
      <errorWord>:</errorWord>
      <group>L1_Format</group>
      <groupName>格式问题</groupName>
      <ability>L2_HalfPunc_CN</ability>
      <abilityName/>
      <candidateList>
        <item>：</item>
      </candidateList>
      <explain>文本全半角错误。</explain>
      <paraID>532CF5DB</paraID>
      <start>1277</start>
      <end>1278</end>
      <status>unmodified</status>
      <modifiedWord/>
      <trackRevisions>false</trackRevisions>
    </reviewItem>
    <reviewItem>
      <errorID>9a496b7a-c8e3-40a9-99ff-f4df706f1365</errorID>
      <errorWord>:</errorWord>
      <group>L1_Format</group>
      <groupName>格式问题</groupName>
      <ability>L2_HalfPunc_CN</ability>
      <abilityName/>
      <candidateList>
        <item>：</item>
      </candidateList>
      <explain>文本全半角错误。</explain>
      <paraID>532CF5DB</paraID>
      <start>1362</start>
      <end>1363</end>
      <status>unmodified</status>
      <modifiedWord/>
      <trackRevisions>false</trackRevisions>
    </reviewItem>
    <reviewItem>
      <errorID>cbd2f521-d53a-4c16-931f-98f9e8e88547</errorID>
      <errorWord>:</errorWord>
      <group>L1_Format</group>
      <groupName>格式问题</groupName>
      <ability>L2_HalfPunc_CN</ability>
      <abilityName/>
      <candidateList>
        <item>：</item>
      </candidateList>
      <explain>文本全半角错误。</explain>
      <paraID>532CF5DB</paraID>
      <start>1445</start>
      <end>1446</end>
      <status>unmodified</status>
      <modifiedWord/>
      <trackRevisions>false</trackRevisions>
    </reviewItem>
    <reviewItem>
      <errorID>0cb7b223-4388-425b-9cbc-65ee084d6649</errorID>
      <errorWord>:</errorWord>
      <group>L1_Format</group>
      <groupName>格式问题</groupName>
      <ability>L2_HalfPunc_CN</ability>
      <abilityName/>
      <candidateList>
        <item>：</item>
      </candidateList>
      <explain>文本全半角错误。</explain>
      <paraID>532CF5DB</paraID>
      <start>1538</start>
      <end>1539</end>
      <status>unmodified</status>
      <modifiedWord/>
      <trackRevisions>false</trackRevisions>
    </reviewItem>
    <reviewItem>
      <errorID>9e738927-afd5-4dd4-884e-a536e0b5c07d</errorID>
      <errorWord>:</errorWord>
      <group>L1_Format</group>
      <groupName>格式问题</groupName>
      <ability>L2_HalfPunc_CN</ability>
      <abilityName/>
      <candidateList>
        <item>：</item>
      </candidateList>
      <explain>文本全半角错误。</explain>
      <paraID>532CF5DB</paraID>
      <start>1624</start>
      <end>1625</end>
      <status>unmodified</status>
      <modifiedWord/>
      <trackRevisions>false</trackRevisions>
    </reviewItem>
    <reviewItem>
      <errorID>fa5e8eec-c588-44e1-8c29-bdd26b22f730</errorID>
      <errorWord>:</errorWord>
      <group>L1_Format</group>
      <groupName>格式问题</groupName>
      <ability>L2_HalfPunc_CN</ability>
      <abilityName/>
      <candidateList>
        <item>：</item>
      </candidateList>
      <explain>文本全半角错误。</explain>
      <paraID>532CF5DB</paraID>
      <start>1707</start>
      <end>1708</end>
      <status>unmodified</status>
      <modifiedWord/>
      <trackRevisions>false</trackRevisions>
    </reviewItem>
    <reviewItem>
      <errorID>e9accaac-d50d-4968-a910-d7b1b9b3b425</errorID>
      <errorWord>:</errorWord>
      <group>L1_Format</group>
      <groupName>格式问题</groupName>
      <ability>L2_HalfPunc_CN</ability>
      <abilityName/>
      <candidateList>
        <item>：</item>
      </candidateList>
      <explain>文本全半角错误。</explain>
      <paraID>532CF5DB</paraID>
      <start>1801</start>
      <end>1802</end>
      <status>unmodified</status>
      <modifiedWord/>
      <trackRevisions>false</trackRevisions>
    </reviewItem>
    <reviewItem>
      <errorID>3b1d66f5-5842-40d3-8d96-3d3776ae401a</errorID>
      <errorWord>:</errorWord>
      <group>L1_Format</group>
      <groupName>格式问题</groupName>
      <ability>L2_HalfPunc_CN</ability>
      <abilityName/>
      <candidateList>
        <item>：</item>
      </candidateList>
      <explain>文本全半角错误。</explain>
      <paraID>532CF5DB</paraID>
      <start>1885</start>
      <end>1886</end>
      <status>unmodified</status>
      <modifiedWord/>
      <trackRevisions>false</trackRevisions>
    </reviewItem>
    <reviewItem>
      <errorID>5d36ce40-73bb-4aec-8c67-66faaf0e7544</errorID>
      <errorWord>:</errorWord>
      <group>L1_Format</group>
      <groupName>格式问题</groupName>
      <ability>L2_HalfPunc_CN</ability>
      <abilityName/>
      <candidateList>
        <item>：</item>
      </candidateList>
      <explain>文本全半角错误。</explain>
      <paraID>532CF5DB</paraID>
      <start>1965</start>
      <end>1966</end>
      <status>unmodified</status>
      <modifiedWord/>
      <trackRevisions>false</trackRevisions>
    </reviewItem>
    <reviewItem>
      <errorID>3d62a804-c6ed-441c-a1f2-aae586814f03</errorID>
      <errorWord>:</errorWord>
      <group>L1_Format</group>
      <groupName>格式问题</groupName>
      <ability>L2_HalfPunc_CN</ability>
      <abilityName/>
      <candidateList>
        <item>：</item>
      </candidateList>
      <explain>文本全半角错误。</explain>
      <paraID>532CF5DB</paraID>
      <start>2052</start>
      <end>2053</end>
      <status>unmodified</status>
      <modifiedWord/>
      <trackRevisions>false</trackRevisions>
    </reviewItem>
    <reviewItem>
      <errorID>438943b4-70d5-42cb-ad38-84fcc7b23e5b</errorID>
      <errorWord>:</errorWord>
      <group>L1_Format</group>
      <groupName>格式问题</groupName>
      <ability>L2_HalfPunc_CN</ability>
      <abilityName/>
      <candidateList>
        <item>：</item>
      </candidateList>
      <explain>文本全半角错误。</explain>
      <paraID>532CF5DB</paraID>
      <start>2145</start>
      <end>2146</end>
      <status>unmodified</status>
      <modifiedWord/>
      <trackRevisions>false</trackRevisions>
    </reviewItem>
    <reviewItem>
      <errorID>9e3dde4f-9576-4152-b643-93f2f5468ab1</errorID>
      <errorWord>:</errorWord>
      <group>L1_Format</group>
      <groupName>格式问题</groupName>
      <ability>L2_HalfPunc_CN</ability>
      <abilityName/>
      <candidateList>
        <item>：</item>
      </candidateList>
      <explain>文本全半角错误。</explain>
      <paraID>532CF5DB</paraID>
      <start>2242</start>
      <end>2243</end>
      <status>unmodified</status>
      <modifiedWord/>
      <trackRevisions>false</trackRevisions>
    </reviewItem>
    <reviewItem>
      <errorID>c1d4489c-c12d-4a25-943f-3f404a42564e</errorID>
      <errorWord>:</errorWord>
      <group>L1_Format</group>
      <groupName>格式问题</groupName>
      <ability>L2_HalfPunc_CN</ability>
      <abilityName/>
      <candidateList>
        <item>：</item>
      </candidateList>
      <explain>文本全半角错误。</explain>
      <paraID>372D2F4D</paraID>
      <start>8</start>
      <end>9</end>
      <status>unmodified</status>
      <modifiedWord/>
      <trackRevisions>false</trackRevisions>
    </reviewItem>
    <reviewItem>
      <errorID>bda7c1fb-8909-4586-8897-f129fd59ca0f</errorID>
      <errorWord>:</errorWord>
      <group>L1_Format</group>
      <groupName>格式问题</groupName>
      <ability>L2_HalfPunc_CN</ability>
      <abilityName/>
      <candidateList>
        <item>：</item>
      </candidateList>
      <explain>文本全半角错误。</explain>
      <paraID>372D2F4D</paraID>
      <start>48</start>
      <end>49</end>
      <status>unmodified</status>
      <modifiedWord/>
      <trackRevisions>false</trackRevisions>
    </reviewItem>
    <reviewItem>
      <errorID>c687c6ed-90bf-493b-8ff3-99cd22f68e6c</errorID>
      <errorWord>:</errorWord>
      <group>L1_Format</group>
      <groupName>格式问题</groupName>
      <ability>L2_HalfPunc_CN</ability>
      <abilityName/>
      <candidateList>
        <item>：</item>
      </candidateList>
      <explain>文本全半角错误。</explain>
      <paraID>372D2F4D</paraID>
      <start>115</start>
      <end>116</end>
      <status>unmodified</status>
      <modifiedWord/>
      <trackRevisions>false</trackRevisions>
    </reviewItem>
    <reviewItem>
      <errorID>10f950ca-90d9-41f7-b5ae-14e490290411</errorID>
      <errorWord>:</errorWord>
      <group>L1_Format</group>
      <groupName>格式问题</groupName>
      <ability>L2_HalfPunc_CN</ability>
      <abilityName/>
      <candidateList>
        <item>：</item>
      </candidateList>
      <explain>文本全半角错误。</explain>
      <paraID>372D2F4D</paraID>
      <start>177</start>
      <end>178</end>
      <status>unmodified</status>
      <modifiedWord/>
      <trackRevisions>false</trackRevisions>
    </reviewItem>
    <reviewItem>
      <errorID>847dd6b5-d47c-43ba-a15d-7401692e9d39</errorID>
      <errorWord>:</errorWord>
      <group>L1_Format</group>
      <groupName>格式问题</groupName>
      <ability>L2_HalfPunc_CN</ability>
      <abilityName/>
      <candidateList>
        <item>：</item>
      </candidateList>
      <explain>文本全半角错误。</explain>
      <paraID>372D2F4D</paraID>
      <start>247</start>
      <end>248</end>
      <status>unmodified</status>
      <modifiedWord/>
      <trackRevisions>false</trackRevisions>
    </reviewItem>
    <reviewItem>
      <errorID>554c2c12-e35c-419a-9bd1-92950fa55c56</errorID>
      <errorWord>:</errorWord>
      <group>L1_Format</group>
      <groupName>格式问题</groupName>
      <ability>L2_HalfPunc_CN</ability>
      <abilityName/>
      <candidateList>
        <item>：</item>
      </candidateList>
      <explain>文本全半角错误。</explain>
      <paraID>372D2F4D</paraID>
      <start>287</start>
      <end>288</end>
      <status>unmodified</status>
      <modifiedWord/>
      <trackRevisions>false</trackRevisions>
    </reviewItem>
    <reviewItem>
      <errorID>926aec52-e360-4f79-8fb7-a8ced4925f59</errorID>
      <errorWord>泄露</errorWord>
      <group>L1_Word</group>
      <groupName>字词问题</groupName>
      <ability>L2_Typo</ability>
      <abilityName>字词错误</abilityName>
      <candidateList>
        <item>泄漏</item>
      </candidateList>
      <explain/>
      <paraID>372D2F4D</paraID>
      <start>306</start>
      <end>308</end>
      <status>unmodified</status>
      <modifiedWord/>
      <trackRevisions>false</trackRevisions>
    </reviewItem>
    <reviewItem>
      <errorID>9a9fffd2-8630-4b26-a990-cd8400244243</errorID>
      <errorWord>:</errorWord>
      <group>L1_Format</group>
      <groupName>格式问题</groupName>
      <ability>L2_HalfPunc_CN</ability>
      <abilityName/>
      <candidateList>
        <item>：</item>
      </candidateList>
      <explain>文本全半角错误。</explain>
      <paraID>372D2F4D</paraID>
      <start>352</start>
      <end>353</end>
      <status>unmodified</status>
      <modifiedWord/>
      <trackRevisions>false</trackRevisions>
    </reviewItem>
    <reviewItem>
      <errorID>a4899196-b688-4c03-869e-170117435b9c</errorID>
      <errorWord>:</errorWord>
      <group>L1_Format</group>
      <groupName>格式问题</groupName>
      <ability>L2_HalfPunc_CN</ability>
      <abilityName/>
      <candidateList>
        <item>：</item>
      </candidateList>
      <explain>文本全半角错误。</explain>
      <paraID>372D2F4D</paraID>
      <start>451</start>
      <end>452</end>
      <status>unmodified</status>
      <modifiedWord/>
      <trackRevisions>false</trackRevisions>
    </reviewItem>
    <reviewItem>
      <errorID>23bfddb7-13f8-46e2-b047-e5984829e9d6</errorID>
      <errorWord>:</errorWord>
      <group>L1_Format</group>
      <groupName>格式问题</groupName>
      <ability>L2_HalfPunc_CN</ability>
      <abilityName/>
      <candidateList>
        <item>：</item>
      </candidateList>
      <explain>文本全半角错误。</explain>
      <paraID>372D2F4D</paraID>
      <start>551</start>
      <end>552</end>
      <status>unmodified</status>
      <modifiedWord/>
      <trackRevisions>false</trackRevisions>
    </reviewItem>
    <reviewItem>
      <errorID>74e8cdc5-9311-4d5e-9bf2-69cee3e3ce02</errorID>
      <errorWord>:</errorWord>
      <group>L1_Format</group>
      <groupName>格式问题</groupName>
      <ability>L2_HalfPunc_CN</ability>
      <abilityName/>
      <candidateList>
        <item>：</item>
      </candidateList>
      <explain>文本全半角错误。</explain>
      <paraID>372D2F4D</paraID>
      <start>611</start>
      <end>612</end>
      <status>unmodified</status>
      <modifiedWord/>
      <trackRevisions>false</trackRevisions>
    </reviewItem>
    <reviewItem>
      <errorID>536c4f3a-6ddb-478c-9e3d-ceb5fee8ac36</errorID>
      <errorWord>:</errorWord>
      <group>L1_Format</group>
      <groupName>格式问题</groupName>
      <ability>L2_HalfPunc_CN</ability>
      <abilityName/>
      <candidateList>
        <item>：</item>
      </candidateList>
      <explain>文本全半角错误。</explain>
      <paraID>372D2F4D</paraID>
      <start>671</start>
      <end>672</end>
      <status>unmodified</status>
      <modifiedWord/>
      <trackRevisions>false</trackRevisions>
    </reviewItem>
    <reviewItem>
      <errorID>d79a0b87-b297-490f-8126-ae7297186625</errorID>
      <errorWord>:</errorWord>
      <group>L1_Format</group>
      <groupName>格式问题</groupName>
      <ability>L2_HalfPunc_CN</ability>
      <abilityName/>
      <candidateList>
        <item>：</item>
      </candidateList>
      <explain>文本全半角错误。</explain>
      <paraID>372D2F4D</paraID>
      <start>734</start>
      <end>735</end>
      <status>unmodified</status>
      <modifiedWord/>
      <trackRevisions>false</trackRevisions>
    </reviewItem>
    <reviewItem>
      <errorID>d6ede8ad-ab56-441d-9807-d5889683c867</errorID>
      <errorWord>:</errorWord>
      <group>L1_Format</group>
      <groupName>格式问题</groupName>
      <ability>L2_HalfPunc_CN</ability>
      <abilityName/>
      <candidateList>
        <item>：</item>
      </candidateList>
      <explain>文本全半角错误。</explain>
      <paraID>372D2F4D</paraID>
      <start>792</start>
      <end>793</end>
      <status>unmodified</status>
      <modifiedWord/>
      <trackRevisions>false</trackRevisions>
    </reviewItem>
    <reviewItem>
      <errorID>1536cd8b-fb5e-4ad4-a60f-e033c7ccc041</errorID>
      <errorWord>:</errorWord>
      <group>L1_Format</group>
      <groupName>格式问题</groupName>
      <ability>L2_HalfPunc_CN</ability>
      <abilityName/>
      <candidateList>
        <item>：</item>
      </candidateList>
      <explain>文本全半角错误。</explain>
      <paraID>372D2F4D</paraID>
      <start>854</start>
      <end>855</end>
      <status>unmodified</status>
      <modifiedWord/>
      <trackRevisions>false</trackRevisions>
    </reviewItem>
    <reviewItem>
      <errorID>c6d45c00-c440-463e-b1cd-5d65de2bf47a</errorID>
      <errorWord>，应</errorWord>
      <group>L1_Word</group>
      <groupName>字词问题</groupName>
      <ability>L2_Typo</ability>
      <abilityName>字词错误</abilityName>
      <candidateList>
        <item>，</item>
      </candidateList>
      <explain/>
      <paraID>372D2F4D</paraID>
      <start>881</start>
      <end>883</end>
      <status>unmodified</status>
      <modifiedWord/>
      <trackRevisions>false</trackRevisions>
    </reviewItem>
    <reviewItem>
      <errorID>339d5b66-aa64-419c-9cd4-d5d7d87b0383</errorID>
      <errorWord>:</errorWord>
      <group>L1_Format</group>
      <groupName>格式问题</groupName>
      <ability>L2_HalfPunc_CN</ability>
      <abilityName/>
      <candidateList>
        <item>：</item>
      </candidateList>
      <explain>文本全半角错误。</explain>
      <paraID>372D2F4D</paraID>
      <start>900</start>
      <end>901</end>
      <status>unmodified</status>
      <modifiedWord/>
      <trackRevisions>false</trackRevisions>
    </reviewItem>
    <reviewItem>
      <errorID>4abf0737-b721-4e50-bc25-fb3130ab87e6</errorID>
      <errorWord>:</errorWord>
      <group>L1_Format</group>
      <groupName>格式问题</groupName>
      <ability>L2_HalfPunc_CN</ability>
      <abilityName/>
      <candidateList>
        <item>：</item>
      </candidateList>
      <explain>文本全半角错误。</explain>
      <paraID>372D2F4D</paraID>
      <start>931</start>
      <end>932</end>
      <status>unmodified</status>
      <modifiedWord/>
      <trackRevisions>false</trackRevisions>
    </reviewItem>
    <reviewItem>
      <errorID>4140d284-3144-4c6d-bfa3-de725da0b1b7</errorID>
      <errorWord>:</errorWord>
      <group>L1_Format</group>
      <groupName>格式问题</groupName>
      <ability>L2_HalfPunc_CN</ability>
      <abilityName/>
      <candidateList>
        <item>：</item>
      </candidateList>
      <explain>文本全半角错误。</explain>
      <paraID>372D2F4D</paraID>
      <start>964</start>
      <end>965</end>
      <status>unmodified</status>
      <modifiedWord/>
      <trackRevisions>false</trackRevisions>
    </reviewItem>
    <reviewItem>
      <errorID>f6807e36-e9b7-4eca-a2eb-0bb3115b7064</errorID>
      <errorWord>:</errorWord>
      <group>L1_Format</group>
      <groupName>格式问题</groupName>
      <ability>L2_HalfPunc_CN</ability>
      <abilityName/>
      <candidateList>
        <item>：</item>
      </candidateList>
      <explain>文本全半角错误。</explain>
      <paraID>372D2F4D</paraID>
      <start>1027</start>
      <end>1028</end>
      <status>unmodified</status>
      <modifiedWord/>
      <trackRevisions>false</trackRevisions>
    </reviewItem>
    <reviewItem>
      <errorID>3c2261bf-470e-4565-a1ca-809ea3698f8d</errorID>
      <errorWord>:</errorWord>
      <group>L1_Format</group>
      <groupName>格式问题</groupName>
      <ability>L2_HalfPunc_CN</ability>
      <abilityName/>
      <candidateList>
        <item>：</item>
      </candidateList>
      <explain>文本全半角错误。</explain>
      <paraID>372D2F4D</paraID>
      <start>1096</start>
      <end>1097</end>
      <status>unmodified</status>
      <modifiedWord/>
      <trackRevisions>false</trackRevisions>
    </reviewItem>
    <reviewItem>
      <errorID>1a8c96c4-5f47-415c-b038-f5e12834bae0</errorID>
      <errorWord>:</errorWord>
      <group>L1_Format</group>
      <groupName>格式问题</groupName>
      <ability>L2_HalfPunc_CN</ability>
      <abilityName/>
      <candidateList>
        <item>：</item>
      </candidateList>
      <explain>文本全半角错误。</explain>
      <paraID>372D2F4D</paraID>
      <start>1160</start>
      <end>1161</end>
      <status>unmodified</status>
      <modifiedWord/>
      <trackRevisions>false</trackRevisions>
    </reviewItem>
    <reviewItem>
      <errorID>8ebdfa08-6e52-40cb-9dc1-6a9aca2bedd3</errorID>
      <errorWord>:</errorWord>
      <group>L1_Format</group>
      <groupName>格式问题</groupName>
      <ability>L2_HalfPunc_CN</ability>
      <abilityName/>
      <candidateList>
        <item>：</item>
      </candidateList>
      <explain>文本全半角错误。</explain>
      <paraID>372D2F4D</paraID>
      <start>1222</start>
      <end>1223</end>
      <status>unmodified</status>
      <modifiedWord/>
      <trackRevisions>false</trackRevisions>
    </reviewItem>
    <reviewItem>
      <errorID>741222e5-cf34-43b6-8e04-add06994eb66</errorID>
      <errorWord>:</errorWord>
      <group>L1_Format</group>
      <groupName>格式问题</groupName>
      <ability>L2_HalfPunc_CN</ability>
      <abilityName/>
      <candidateList>
        <item>：</item>
      </candidateList>
      <explain>文本全半角错误。</explain>
      <paraID>372D2F4D</paraID>
      <start>1300</start>
      <end>1301</end>
      <status>unmodified</status>
      <modifiedWord/>
      <trackRevisions>false</trackRevisions>
    </reviewItem>
    <reviewItem>
      <errorID>62903ed2-d4ac-460a-84bc-4b9b6d8deecb</errorID>
      <errorWord>:</errorWord>
      <group>L1_Format</group>
      <groupName>格式问题</groupName>
      <ability>L2_HalfPunc_CN</ability>
      <abilityName/>
      <candidateList>
        <item>：</item>
      </candidateList>
      <explain>文本全半角错误。</explain>
      <paraID>372D2F4D</paraID>
      <start>1384</start>
      <end>1385</end>
      <status>unmodified</status>
      <modifiedWord/>
      <trackRevisions>false</trackRevisions>
    </reviewItem>
    <reviewItem>
      <errorID>1769e6bc-c31e-4db5-924a-1d98ba799b7b</errorID>
      <errorWord>:</errorWord>
      <group>L1_Format</group>
      <groupName>格式问题</groupName>
      <ability>L2_HalfPunc_CN</ability>
      <abilityName/>
      <candidateList>
        <item>：</item>
      </candidateList>
      <explain>文本全半角错误。</explain>
      <paraID>372D2F4D</paraID>
      <start>1486</start>
      <end>1487</end>
      <status>unmodified</status>
      <modifiedWord/>
      <trackRevisions>false</trackRevisions>
    </reviewItem>
    <reviewItem>
      <errorID>ef39e47d-29ef-476a-875a-818b987ec072</errorID>
      <errorWord>:</errorWord>
      <group>L1_Format</group>
      <groupName>格式问题</groupName>
      <ability>L2_HalfPunc_CN</ability>
      <abilityName/>
      <candidateList>
        <item>：</item>
      </candidateList>
      <explain>文本全半角错误。</explain>
      <paraID>372D2F4D</paraID>
      <start>1553</start>
      <end>1554</end>
      <status>unmodified</status>
      <modifiedWord/>
      <trackRevisions>false</trackRevisions>
    </reviewItem>
    <reviewItem>
      <errorID>feaf6f64-3bba-4f56-9f6a-3da83427c7cb</errorID>
      <errorWord>:</errorWord>
      <group>L1_Format</group>
      <groupName>格式问题</groupName>
      <ability>L2_HalfPunc_CN</ability>
      <abilityName/>
      <candidateList>
        <item>：</item>
      </candidateList>
      <explain>文本全半角错误。</explain>
      <paraID>372D2F4D</paraID>
      <start>1660</start>
      <end>1661</end>
      <status>unmodified</status>
      <modifiedWord/>
      <trackRevisions>false</trackRevisions>
    </reviewItem>
    <reviewItem>
      <errorID>f8385733-9b39-40c5-8838-4311f8e5e237</errorID>
      <errorWord>:</errorWord>
      <group>L1_Format</group>
      <groupName>格式问题</groupName>
      <ability>L2_HalfPunc_CN</ability>
      <abilityName/>
      <candidateList>
        <item>：</item>
      </candidateList>
      <explain>文本全半角错误。</explain>
      <paraID>372D2F4D</paraID>
      <start>1777</start>
      <end>1778</end>
      <status>unmodified</status>
      <modifiedWord/>
      <trackRevisions>false</trackRevisions>
    </reviewItem>
    <reviewItem>
      <errorID>22e61092-0046-44b7-b8a5-8df8345dcea3</errorID>
      <errorWord>:</errorWord>
      <group>L1_Format</group>
      <groupName>格式问题</groupName>
      <ability>L2_HalfPunc_CN</ability>
      <abilityName/>
      <candidateList>
        <item>：</item>
      </candidateList>
      <explain>文本全半角错误。</explain>
      <paraID>372D2F4D</paraID>
      <start>1887</start>
      <end>1888</end>
      <status>unmodified</status>
      <modifiedWord/>
      <trackRevisions>false</trackRevisions>
    </reviewItem>
    <reviewItem>
      <errorID>ec62fd9f-4f16-4031-88d6-d2ba18496d03</errorID>
      <errorWord>:</errorWord>
      <group>L1_Format</group>
      <groupName>格式问题</groupName>
      <ability>L2_HalfPunc_CN</ability>
      <abilityName/>
      <candidateList>
        <item>：</item>
      </candidateList>
      <explain>文本全半角错误。</explain>
      <paraID>372D2F4D</paraID>
      <start>2044</start>
      <end>2045</end>
      <status>unmodified</status>
      <modifiedWord/>
      <trackRevisions>false</trackRevisions>
    </reviewItem>
    <reviewItem>
      <errorID>fb12a7fd-fa73-4a51-ac5a-0d8f6db3b78b</errorID>
      <errorWord>:</errorWord>
      <group>L1_Format</group>
      <groupName>格式问题</groupName>
      <ability>L2_HalfPunc_CN</ability>
      <abilityName/>
      <candidateList>
        <item>：</item>
      </candidateList>
      <explain>文本全半角错误。</explain>
      <paraID>372D2F4D</paraID>
      <start>2116</start>
      <end>2117</end>
      <status>unmodified</status>
      <modifiedWord/>
      <trackRevisions>false</trackRevisions>
    </reviewItem>
    <reviewItem>
      <errorID>ba7ab1be-e362-4e7b-b9ee-0880003c4b18</errorID>
      <errorWord>:</errorWord>
      <group>L1_Format</group>
      <groupName>格式问题</groupName>
      <ability>L2_HalfPunc_CN</ability>
      <abilityName/>
      <candidateList>
        <item>：</item>
      </candidateList>
      <explain>文本全半角错误。</explain>
      <paraID>372D2F4D</paraID>
      <start>2219</start>
      <end>2220</end>
      <status>unmodified</status>
      <modifiedWord/>
      <trackRevisions>false</trackRevisions>
    </reviewItem>
    <reviewItem>
      <errorID>49cbce8d-377c-4f01-8708-b75e43a5d85c</errorID>
      <errorWord>:</errorWord>
      <group>L1_Format</group>
      <groupName>格式问题</groupName>
      <ability>L2_HalfPunc_CN</ability>
      <abilityName/>
      <candidateList>
        <item>：</item>
      </candidateList>
      <explain>文本全半角错误。</explain>
      <paraID>372D2F4D</paraID>
      <start>2286</start>
      <end>2287</end>
      <status>unmodified</status>
      <modifiedWord/>
      <trackRevisions>false</trackRevisions>
    </reviewItem>
    <reviewItem>
      <errorID>2a435065-5dee-4afc-bf1c-a3cec77ac30c</errorID>
      <errorWord>:</errorWord>
      <group>L1_Format</group>
      <groupName>格式问题</groupName>
      <ability>L2_HalfPunc_CN</ability>
      <abilityName/>
      <candidateList>
        <item>：</item>
      </candidateList>
      <explain>文本全半角错误。</explain>
      <paraID>372D2F4D</paraID>
      <start>2412</start>
      <end>2413</end>
      <status>unmodified</status>
      <modifiedWord/>
      <trackRevisions>false</trackRevisions>
    </reviewItem>
    <reviewItem>
      <errorID>f5b943e0-2462-40d1-a26e-6a58dc05c072</errorID>
      <errorWord>:</errorWord>
      <group>L1_Format</group>
      <groupName>格式问题</groupName>
      <ability>L2_HalfPunc_CN</ability>
      <abilityName/>
      <candidateList>
        <item>：</item>
      </candidateList>
      <explain>文本全半角错误。</explain>
      <paraID>372D2F4D</paraID>
      <start>2479</start>
      <end>2480</end>
      <status>unmodified</status>
      <modifiedWord/>
      <trackRevisions>false</trackRevisions>
    </reviewItem>
    <reviewItem>
      <errorID>d107ef8f-e3be-4760-8928-f7f236cd5b2a</errorID>
      <errorWord>:</errorWord>
      <group>L1_Format</group>
      <groupName>格式问题</groupName>
      <ability>L2_HalfPunc_CN</ability>
      <abilityName/>
      <candidateList>
        <item>：</item>
      </candidateList>
      <explain>文本全半角错误。</explain>
      <paraID>372D2F4D</paraID>
      <start>2585</start>
      <end>2586</end>
      <status>unmodified</status>
      <modifiedWord/>
      <trackRevisions>false</trackRevisions>
    </reviewItem>
    <reviewItem>
      <errorID>cdfc9af4-9d21-422b-98e9-ffd86e45fb6b</errorID>
      <errorWord>:</errorWord>
      <group>L1_Format</group>
      <groupName>格式问题</groupName>
      <ability>L2_HalfPunc_CN</ability>
      <abilityName/>
      <candidateList>
        <item>：</item>
      </candidateList>
      <explain>文本全半角错误。</explain>
      <paraID>372D2F4D</paraID>
      <start>2667</start>
      <end>2668</end>
      <status>unmodified</status>
      <modifiedWord/>
      <trackRevisions>false</trackRevisions>
    </reviewItem>
    <reviewItem>
      <errorID>b4f53f00-993c-4b7b-8b6a-cb628e8a08da</errorID>
      <errorWord>:</errorWord>
      <group>L1_Format</group>
      <groupName>格式问题</groupName>
      <ability>L2_HalfPunc_CN</ability>
      <abilityName/>
      <candidateList>
        <item>：</item>
      </candidateList>
      <explain>文本全半角错误。</explain>
      <paraID>372D2F4D</paraID>
      <start>2735</start>
      <end>2736</end>
      <status>unmodified</status>
      <modifiedWord/>
      <trackRevisions>false</trackRevisions>
    </reviewItem>
    <reviewItem>
      <errorID>b0a51aae-f279-4297-b162-e98f21e0728f</errorID>
      <errorWord>:</errorWord>
      <group>L1_Format</group>
      <groupName>格式问题</groupName>
      <ability>L2_HalfPunc_CN</ability>
      <abilityName/>
      <candidateList>
        <item>：</item>
      </candidateList>
      <explain>文本全半角错误。</explain>
      <paraID>372D2F4D</paraID>
      <start>2804</start>
      <end>2805</end>
      <status>unmodified</status>
      <modifiedWord/>
      <trackRevisions>false</trackRevisions>
    </reviewItem>
    <reviewItem>
      <errorID>46d22d0c-ed3a-4ef2-9ff1-94001192c599</errorID>
      <errorWord>:</errorWord>
      <group>L1_Format</group>
      <groupName>格式问题</groupName>
      <ability>L2_HalfPunc_CN</ability>
      <abilityName/>
      <candidateList>
        <item>：</item>
      </candidateList>
      <explain>文本全半角错误。</explain>
      <paraID>372D2F4D</paraID>
      <start>2853</start>
      <end>2854</end>
      <status>unmodified</status>
      <modifiedWord/>
      <trackRevisions>false</trackRevisions>
    </reviewItem>
    <reviewItem>
      <errorID>83d8b0b7-fe1c-4054-9276-fde637e3734c</errorID>
      <errorWord>:</errorWord>
      <group>L1_Format</group>
      <groupName>格式问题</groupName>
      <ability>L2_HalfPunc_CN</ability>
      <abilityName/>
      <candidateList>
        <item>：</item>
      </candidateList>
      <explain>文本全半角错误。</explain>
      <paraID>372D2F4D</paraID>
      <start>2937</start>
      <end>2938</end>
      <status>unmodified</status>
      <modifiedWord/>
      <trackRevisions>false</trackRevisions>
    </reviewItem>
    <reviewItem>
      <errorID>bbbbc42a-3d29-4210-9c1c-9ffdc43d0850</errorID>
      <errorWord>:</errorWord>
      <group>L1_Format</group>
      <groupName>格式问题</groupName>
      <ability>L2_HalfPunc_CN</ability>
      <abilityName/>
      <candidateList>
        <item>：</item>
      </candidateList>
      <explain>文本全半角错误。</explain>
      <paraID>372D2F4D</paraID>
      <start>3005</start>
      <end>3006</end>
      <status>unmodified</status>
      <modifiedWord/>
      <trackRevisions>false</trackRevisions>
    </reviewItem>
    <reviewItem>
      <errorID>8c1c0649-de74-40f5-8b9c-7efa690c530a</errorID>
      <errorWord>:</errorWord>
      <group>L1_Format</group>
      <groupName>格式问题</groupName>
      <ability>L2_HalfPunc_CN</ability>
      <abilityName/>
      <candidateList>
        <item>：</item>
      </candidateList>
      <explain>文本全半角错误。</explain>
      <paraID>372D2F4D</paraID>
      <start>3059</start>
      <end>3060</end>
      <status>unmodified</status>
      <modifiedWord/>
      <trackRevisions>false</trackRevisions>
    </reviewItem>
    <reviewItem>
      <errorID>09d4c989-02ae-4a1d-a86e-d992e3ca5d47</errorID>
      <errorWord>:</errorWord>
      <group>L1_Format</group>
      <groupName>格式问题</groupName>
      <ability>L2_HalfPunc_CN</ability>
      <abilityName/>
      <candidateList>
        <item>：</item>
      </candidateList>
      <explain>文本全半角错误。</explain>
      <paraID>372D2F4D</paraID>
      <start>3119</start>
      <end>3120</end>
      <status>unmodified</status>
      <modifiedWord/>
      <trackRevisions>false</trackRevisions>
    </reviewItem>
    <reviewItem>
      <errorID>ae41a589-8e48-4c2a-a29e-cf23646dea03</errorID>
      <errorWord>:</errorWord>
      <group>L1_Format</group>
      <groupName>格式问题</groupName>
      <ability>L2_HalfPunc_CN</ability>
      <abilityName/>
      <candidateList>
        <item>：</item>
      </candidateList>
      <explain>文本全半角错误。</explain>
      <paraID>372D2F4D</paraID>
      <start>3176</start>
      <end>3177</end>
      <status>unmodified</status>
      <modifiedWord/>
      <trackRevisions>false</trackRevisions>
    </reviewItem>
    <reviewItem>
      <errorID>497ee283-4a05-4f6d-b009-77fbdc327b8a</errorID>
      <errorWord>:</errorWord>
      <group>L1_Format</group>
      <groupName>格式问题</groupName>
      <ability>L2_HalfPunc_CN</ability>
      <abilityName/>
      <candidateList>
        <item>：</item>
      </candidateList>
      <explain>文本全半角错误。</explain>
      <paraID>372D2F4D</paraID>
      <start>3242</start>
      <end>3243</end>
      <status>unmodified</status>
      <modifiedWord/>
      <trackRevisions>false</trackRevisions>
    </reviewItem>
    <reviewItem>
      <errorID>64d508e8-5ad8-4638-9557-21cab4bba9d2</errorID>
      <errorWord>:</errorWord>
      <group>L1_Format</group>
      <groupName>格式问题</groupName>
      <ability>L2_HalfPunc_CN</ability>
      <abilityName/>
      <candidateList>
        <item>：</item>
      </candidateList>
      <explain>文本全半角错误。</explain>
      <paraID>372D2F4D</paraID>
      <start>3397</start>
      <end>3398</end>
      <status>unmodified</status>
      <modifiedWord/>
      <trackRevisions>false</trackRevisions>
    </reviewItem>
    <reviewItem>
      <errorID>f943fa0a-62fe-49bc-a839-c67b3d37e38d</errorID>
      <errorWord>:</errorWord>
      <group>L1_Format</group>
      <groupName>格式问题</groupName>
      <ability>L2_HalfPunc_CN</ability>
      <abilityName/>
      <candidateList>
        <item>：</item>
      </candidateList>
      <explain>文本全半角错误。</explain>
      <paraID>372D2F4D</paraID>
      <start>3438</start>
      <end>3439</end>
      <status>unmodified</status>
      <modifiedWord/>
      <trackRevisions>false</trackRevisions>
    </reviewItem>
    <reviewItem>
      <errorID>666c329c-0030-42b2-b674-252c80e8bdf5</errorID>
      <errorWord>:</errorWord>
      <group>L1_Format</group>
      <groupName>格式问题</groupName>
      <ability>L2_HalfPunc_CN</ability>
      <abilityName/>
      <candidateList>
        <item>：</item>
      </candidateList>
      <explain>文本全半角错误。</explain>
      <paraID>372D2F4D</paraID>
      <start>3554</start>
      <end>3555</end>
      <status>unmodified</status>
      <modifiedWord/>
      <trackRevisions>false</trackRevisions>
    </reviewItem>
    <reviewItem>
      <errorID>684ca159-68c3-498b-8f55-9295df3ebbd1</errorID>
      <errorWord>:</errorWord>
      <group>L1_Format</group>
      <groupName>格式问题</groupName>
      <ability>L2_HalfPunc_CN</ability>
      <abilityName/>
      <candidateList>
        <item>：</item>
      </candidateList>
      <explain>文本全半角错误。</explain>
      <paraID>372D2F4D</paraID>
      <start>3605</start>
      <end>3606</end>
      <status>unmodified</status>
      <modifiedWord/>
      <trackRevisions>false</trackRevisions>
    </reviewItem>
    <reviewItem>
      <errorID>0ad19585-6421-44b7-b0ea-482c4d15c70e</errorID>
      <errorWord>:</errorWord>
      <group>L1_Format</group>
      <groupName>格式问题</groupName>
      <ability>L2_HalfPunc_CN</ability>
      <abilityName/>
      <candidateList>
        <item>：</item>
      </candidateList>
      <explain>文本全半角错误。</explain>
      <paraID>372D2F4D</paraID>
      <start>3761</start>
      <end>3762</end>
      <status>unmodified</status>
      <modifiedWord/>
      <trackRevisions>false</trackRevisions>
    </reviewItem>
    <reviewItem>
      <errorID>b0952142-7198-460b-9a03-d7e9d60f8823</errorID>
      <errorWord>:</errorWord>
      <group>L1_Format</group>
      <groupName>格式问题</groupName>
      <ability>L2_HalfPunc_CN</ability>
      <abilityName/>
      <candidateList>
        <item>：</item>
      </candidateList>
      <explain>文本全半角错误。</explain>
      <paraID>372D2F4D</paraID>
      <start>3877</start>
      <end>3878</end>
      <status>unmodified</status>
      <modifiedWord/>
      <trackRevisions>false</trackRevisions>
    </reviewItem>
    <reviewItem>
      <errorID>a0b3e13b-923c-4e56-a612-6c6a5321f5b7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372D2F4D</paraID>
      <start>4010</start>
      <end>4012</end>
      <status>unmodified</status>
      <modifiedWord/>
      <trackRevisions>false</trackRevisions>
    </reviewItem>
    <reviewItem>
      <errorID>2a5479dc-8e50-4878-acf2-7264e9272668</errorID>
      <errorWord>:</errorWord>
      <group>L1_Format</group>
      <groupName>格式问题</groupName>
      <ability>L2_HalfPunc_CN</ability>
      <abilityName/>
      <candidateList>
        <item>：</item>
      </candidateList>
      <explain>文本全半角错误。</explain>
      <paraID>372D2F4D</paraID>
      <start>4053</start>
      <end>4054</end>
      <status>unmodified</status>
      <modifiedWord/>
      <trackRevisions>false</trackRevisions>
    </reviewItem>
    <reviewItem>
      <errorID>223bde7f-134e-4704-b829-f32380c2bdae</errorID>
      <errorWord>:</errorWord>
      <group>L1_Format</group>
      <groupName>格式问题</groupName>
      <ability>L2_HalfPunc_CN</ability>
      <abilityName/>
      <candidateList>
        <item>：</item>
      </candidateList>
      <explain>文本全半角错误。</explain>
      <paraID>372D2F4D</paraID>
      <start>4110</start>
      <end>4111</end>
      <status>unmodified</status>
      <modifiedWord/>
      <trackRevisions>false</trackRevisions>
    </reviewItem>
    <reviewItem>
      <errorID>bf9d9e8c-da34-494f-9582-c83660b8b574</errorID>
      <errorWord>:</errorWord>
      <group>L1_Format</group>
      <groupName>格式问题</groupName>
      <ability>L2_HalfPunc_CN</ability>
      <abilityName/>
      <candidateList>
        <item>：</item>
      </candidateList>
      <explain>文本全半角错误。</explain>
      <paraID>372D2F4D</paraID>
      <start>4189</start>
      <end>4190</end>
      <status>unmodified</status>
      <modifiedWord/>
      <trackRevisions>false</trackRevisions>
    </reviewItem>
    <reviewItem>
      <errorID>cff16caa-cb68-4774-943a-feca5917014d</errorID>
      <errorWord>:</errorWord>
      <group>L1_Format</group>
      <groupName>格式问题</groupName>
      <ability>L2_HalfPunc_CN</ability>
      <abilityName/>
      <candidateList>
        <item>：</item>
      </candidateList>
      <explain>文本全半角错误。</explain>
      <paraID>372D2F4D</paraID>
      <start>4272</start>
      <end>4273</end>
      <status>unmodified</status>
      <modifiedWord/>
      <trackRevisions>false</trackRevisions>
    </reviewItem>
    <reviewItem>
      <errorID>956134d3-546b-4e67-8b20-c3e05dbdc571</errorID>
      <errorWord>根据事件处置流程状态分类显示</errorWord>
      <group>L1_Grammar</group>
      <groupName>语法问题</groupName>
      <ability>L2_Grammar</ability>
      <abilityName>语法错误</abilityName>
      <candidateList>
        <item>根据事件处置流程状态分类</item>
      </candidateList>
      <explain/>
      <paraID>372D2F4D</paraID>
      <start>4277</start>
      <end>4291</end>
      <status>unmodified</status>
      <modifiedWord/>
      <trackRevisions>false</trackRevisions>
    </reviewItem>
    <reviewItem>
      <errorID>7649c293-e67a-4933-9b9e-459ef3c29f69</errorID>
      <errorWord>:</errorWord>
      <group>L1_Format</group>
      <groupName>格式问题</groupName>
      <ability>L2_HalfPunc_CN</ability>
      <abilityName/>
      <candidateList>
        <item>：</item>
      </candidateList>
      <explain>文本全半角错误。</explain>
      <paraID>372D2F4D</paraID>
      <start>4332</start>
      <end>4333</end>
      <status>unmodified</status>
      <modifiedWord/>
      <trackRevisions>false</trackRevisions>
    </reviewItem>
    <reviewItem>
      <errorID>612369da-67c7-4ece-ba9e-d097c1600b06</errorID>
      <errorWord>:</errorWord>
      <group>L1_Format</group>
      <groupName>格式问题</groupName>
      <ability>L2_HalfPunc_CN</ability>
      <abilityName/>
      <candidateList>
        <item>：</item>
      </candidateList>
      <explain>文本全半角错误。</explain>
      <paraID>372D2F4D</paraID>
      <start>4416</start>
      <end>4417</end>
      <status>unmodified</status>
      <modifiedWord/>
      <trackRevisions>false</trackRevisions>
    </reviewItem>
    <reviewItem>
      <errorID>0c68f0ea-56dd-4bbb-92f7-2fdeeba59d55</errorID>
      <errorWord>:</errorWord>
      <group>L1_Format</group>
      <groupName>格式问题</groupName>
      <ability>L2_HalfPunc_CN</ability>
      <abilityName/>
      <candidateList>
        <item>：</item>
      </candidateList>
      <explain>文本全半角错误。</explain>
      <paraID>372D2F4D</paraID>
      <start>4438</start>
      <end>4439</end>
      <status>unmodified</status>
      <modifiedWord/>
      <trackRevisions>false</trackRevisions>
    </reviewItem>
    <reviewItem>
      <errorID>20ac3a76-21d7-493c-bb0d-5caa56e5d28e</errorID>
      <errorWord>:</errorWord>
      <group>L1_Format</group>
      <groupName>格式问题</groupName>
      <ability>L2_HalfPunc_CN</ability>
      <abilityName/>
      <candidateList>
        <item>：</item>
      </candidateList>
      <explain>文本全半角错误。</explain>
      <paraID>372D2F4D</paraID>
      <start>4528</start>
      <end>4529</end>
      <status>unmodified</status>
      <modifiedWord/>
      <trackRevisions>false</trackRevisions>
    </reviewItem>
    <reviewItem>
      <errorID>9fe46be6-e923-4967-99ea-5b57766901ef</errorID>
      <errorWord>:</errorWord>
      <group>L1_Format</group>
      <groupName>格式问题</groupName>
      <ability>L2_HalfPunc_CN</ability>
      <abilityName/>
      <candidateList>
        <item>：</item>
      </candidateList>
      <explain>文本全半角错误。</explain>
      <paraID>372D2F4D</paraID>
      <start>4602</start>
      <end>4603</end>
      <status>unmodified</status>
      <modifiedWord/>
      <trackRevisions>false</trackRevisions>
    </reviewItem>
    <reviewItem>
      <errorID>19043530-17ba-491e-bf14-3c30443f90dc</errorID>
      <errorWord>:</errorWord>
      <group>L1_Format</group>
      <groupName>格式问题</groupName>
      <ability>L2_HalfPunc_CN</ability>
      <abilityName/>
      <candidateList>
        <item>：</item>
      </candidateList>
      <explain>文本全半角错误。</explain>
      <paraID>372D2F4D</paraID>
      <start>4634</start>
      <end>4635</end>
      <status>unmodified</status>
      <modifiedWord/>
      <trackRevisions>false</trackRevisions>
    </reviewItem>
    <reviewItem>
      <errorID>5593386d-5c13-421f-94de-053aa4a081cb</errorID>
      <errorWord>:</errorWord>
      <group>L1_Format</group>
      <groupName>格式问题</groupName>
      <ability>L2_HalfPunc_CN</ability>
      <abilityName/>
      <candidateList>
        <item>：</item>
      </candidateList>
      <explain>文本全半角错误。</explain>
      <paraID>372D2F4D</paraID>
      <start>4680</start>
      <end>4681</end>
      <status>unmodified</status>
      <modifiedWord/>
      <trackRevisions>false</trackRevisions>
    </reviewItem>
    <reviewItem>
      <errorID>4c7aebc5-a0b4-4e7d-bda5-0418ac0e3ad0</errorID>
      <errorWord>:</errorWord>
      <group>L1_Format</group>
      <groupName>格式问题</groupName>
      <ability>L2_HalfPunc_CN</ability>
      <abilityName/>
      <candidateList>
        <item>：</item>
      </candidateList>
      <explain>文本全半角错误。</explain>
      <paraID>372D2F4D</paraID>
      <start>4718</start>
      <end>4719</end>
      <status>unmodified</status>
      <modifiedWord/>
      <trackRevisions>false</trackRevisions>
    </reviewItem>
    <reviewItem>
      <errorID>1708217a-be99-4694-8392-ace2d5ee3f86</errorID>
      <errorWord>:</errorWord>
      <group>L1_Format</group>
      <groupName>格式问题</groupName>
      <ability>L2_HalfPunc_CN</ability>
      <abilityName/>
      <candidateList>
        <item>：</item>
      </candidateList>
      <explain>文本全半角错误。</explain>
      <paraID>372D2F4D</paraID>
      <start>4779</start>
      <end>4780</end>
      <status>unmodified</status>
      <modifiedWord/>
      <trackRevisions>false</trackRevisions>
    </reviewItem>
    <reviewItem>
      <errorID>29188759-06dc-435b-abf0-1dd862fb2a00</errorID>
      <errorWord>:</errorWord>
      <group>L1_Format</group>
      <groupName>格式问题</groupName>
      <ability>L2_HalfPunc_CN</ability>
      <abilityName/>
      <candidateList>
        <item>：</item>
      </candidateList>
      <explain>文本全半角错误。</explain>
      <paraID>372D2F4D</paraID>
      <start>4815</start>
      <end>4816</end>
      <status>unmodified</status>
      <modifiedWord/>
      <trackRevisions>false</trackRevisions>
    </reviewItem>
    <reviewItem>
      <errorID>457305d5-38fb-451c-b9f0-170354c0ad56</errorID>
      <errorWord>:</errorWord>
      <group>L1_Format</group>
      <groupName>格式问题</groupName>
      <ability>L2_HalfPunc_CN</ability>
      <abilityName/>
      <candidateList>
        <item>：</item>
      </candidateList>
      <explain>文本全半角错误。</explain>
      <paraID>372D2F4D</paraID>
      <start>4930</start>
      <end>4931</end>
      <status>unmodified</status>
      <modifiedWord/>
      <trackRevisions>false</trackRevisions>
    </reviewItem>
    <reviewItem>
      <errorID>b75f5bb4-aa33-4a4d-8f86-db5956faacf7</errorID>
      <errorWord>:</errorWord>
      <group>L1_Format</group>
      <groupName>格式问题</groupName>
      <ability>L2_HalfPunc_CN</ability>
      <abilityName/>
      <candidateList>
        <item>：</item>
      </candidateList>
      <explain>文本全半角错误。</explain>
      <paraID>372D2F4D</paraID>
      <start>4974</start>
      <end>4975</end>
      <status>unmodified</status>
      <modifiedWord/>
      <trackRevisions>false</trackRevisions>
    </reviewItem>
    <reviewItem>
      <errorID>eca3533c-a8c3-46b9-a5fc-157cc708f3b4</errorID>
      <errorWord>:</errorWord>
      <group>L1_Format</group>
      <groupName>格式问题</groupName>
      <ability>L2_HalfPunc_CN</ability>
      <abilityName/>
      <candidateList>
        <item>：</item>
      </candidateList>
      <explain>文本全半角错误。</explain>
      <paraID>372D2F4D</paraID>
      <start>5093</start>
      <end>5094</end>
      <status>unmodified</status>
      <modifiedWord/>
      <trackRevisions>false</trackRevisions>
    </reviewItem>
    <reviewItem>
      <errorID>155b328d-521a-4a7b-9a5d-4f3f0a88a4bb</errorID>
      <errorWord>:</errorWord>
      <group>L1_Format</group>
      <groupName>格式问题</groupName>
      <ability>L2_HalfPunc_CN</ability>
      <abilityName/>
      <candidateList>
        <item>：</item>
      </candidateList>
      <explain>文本全半角错误。</explain>
      <paraID>6B55E09D</paraID>
      <start>114</start>
      <end>115</end>
      <status>unmodified</status>
      <modifiedWord/>
      <trackRevisions>false</trackRevisions>
    </reviewItem>
    <reviewItem>
      <errorID>cca0aeea-d8c0-42f5-a8af-d78cd1cbba9f</errorID>
      <errorWord>:</errorWord>
      <group>L1_Format</group>
      <groupName>格式问题</groupName>
      <ability>L2_HalfPunc_CN</ability>
      <abilityName/>
      <candidateList>
        <item>：</item>
      </candidateList>
      <explain>文本全半角错误。</explain>
      <paraID>6B55E09D</paraID>
      <start>176</start>
      <end>177</end>
      <status>unmodified</status>
      <modifiedWord/>
      <trackRevisions>false</trackRevisions>
    </reviewItem>
    <reviewItem>
      <errorID>78f3e2d4-a566-4f68-97c5-9ca80f94eb92</errorID>
      <errorWord>:</errorWord>
      <group>L1_Format</group>
      <groupName>格式问题</groupName>
      <ability>L2_HalfPunc_CN</ability>
      <abilityName/>
      <candidateList>
        <item>：</item>
      </candidateList>
      <explain>文本全半角错误。</explain>
      <paraID>6B55E09D</paraID>
      <start>224</start>
      <end>225</end>
      <status>unmodified</status>
      <modifiedWord/>
      <trackRevisions>false</trackRevisions>
    </reviewItem>
    <reviewItem>
      <errorID>91150e09-af93-4c23-90f7-413b47456ec8</errorID>
      <errorWord>:</errorWord>
      <group>L1_Format</group>
      <groupName>格式问题</groupName>
      <ability>L2_HalfPunc_CN</ability>
      <abilityName/>
      <candidateList>
        <item>：</item>
      </candidateList>
      <explain>文本全半角错误。</explain>
      <paraID>6B55E09D</paraID>
      <start>324</start>
      <end>325</end>
      <status>unmodified</status>
      <modifiedWord/>
      <trackRevisions>false</trackRevisions>
    </reviewItem>
    <reviewItem>
      <errorID>d4ed0a1e-45b4-42bc-8762-13e388e9bf9e</errorID>
      <errorWord>:</errorWord>
      <group>L1_Format</group>
      <groupName>格式问题</groupName>
      <ability>L2_HalfPunc_CN</ability>
      <abilityName/>
      <candidateList>
        <item>：</item>
      </candidateList>
      <explain>文本全半角错误。</explain>
      <paraID>6B55E09D</paraID>
      <start>428</start>
      <end>429</end>
      <status>unmodified</status>
      <modifiedWord/>
      <trackRevisions>false</trackRevisions>
    </reviewItem>
    <reviewItem>
      <errorID>a0a1779a-f9e5-4113-a96c-99da55755824</errorID>
      <errorWord>:</errorWord>
      <group>L1_Format</group>
      <groupName>格式问题</groupName>
      <ability>L2_HalfPunc_CN</ability>
      <abilityName/>
      <candidateList>
        <item>：</item>
      </candidateList>
      <explain>文本全半角错误。</explain>
      <paraID>6B55E09D</paraID>
      <start>1237</start>
      <end>1238</end>
      <status>unmodified</status>
      <modifiedWord/>
      <trackRevisions>false</trackRevisions>
    </reviewItem>
    <reviewItem>
      <errorID>0af832c1-a203-4e57-86da-67b80d229a15</errorID>
      <errorWord>:</errorWord>
      <group>L1_Format</group>
      <groupName>格式问题</groupName>
      <ability>L2_HalfPunc_CN</ability>
      <abilityName/>
      <candidateList>
        <item>：</item>
      </candidateList>
      <explain>文本全半角错误。</explain>
      <paraID>6B55E09D</paraID>
      <start>1421</start>
      <end>1422</end>
      <status>unmodified</status>
      <modifiedWord/>
      <trackRevisions>false</trackRevisions>
    </reviewItem>
    <reviewItem>
      <errorID>fd0ea18e-c913-4abf-8477-e01a9c51f1c9</errorID>
      <errorWord>:</errorWord>
      <group>L1_Format</group>
      <groupName>格式问题</groupName>
      <ability>L2_HalfPunc_CN</ability>
      <abilityName/>
      <candidateList>
        <item>：</item>
      </candidateList>
      <explain>文本全半角错误。</explain>
      <paraID>6B55E09D</paraID>
      <start>1589</start>
      <end>1590</end>
      <status>unmodified</status>
      <modifiedWord/>
      <trackRevisions>false</trackRevisions>
    </reviewItem>
    <reviewItem>
      <errorID>f72003cc-bfa4-4771-ab8a-9c721784bce4</errorID>
      <errorWord>:</errorWord>
      <group>L1_Format</group>
      <groupName>格式问题</groupName>
      <ability>L2_HalfPunc_CN</ability>
      <abilityName/>
      <candidateList>
        <item>：</item>
      </candidateList>
      <explain>文本全半角错误。</explain>
      <paraID>6B55E09D</paraID>
      <start>1737</start>
      <end>1738</end>
      <status>unmodified</status>
      <modifiedWord/>
      <trackRevisions>false</trackRevisions>
    </reviewItem>
    <reviewItem>
      <errorID>f875a1ed-c80f-42e3-a546-4be2f4226861</errorID>
      <errorWord>:</errorWord>
      <group>L1_Format</group>
      <groupName>格式问题</groupName>
      <ability>L2_HalfPunc_CN</ability>
      <abilityName/>
      <candidateList>
        <item>：</item>
      </candidateList>
      <explain>文本全半角错误。</explain>
      <paraID>5E8FB677</paraID>
      <start>7</start>
      <end>8</end>
      <status>unmodified</status>
      <modifiedWord/>
      <trackRevisions>false</trackRevisions>
    </reviewItem>
    <reviewItem>
      <errorID>905a0a5a-fed8-43f2-9aa0-34ab7fcb9015</errorID>
      <errorWord>:</errorWord>
      <group>L1_Format</group>
      <groupName>格式问题</groupName>
      <ability>L2_HalfPunc_CN</ability>
      <abilityName/>
      <candidateList>
        <item>：</item>
      </candidateList>
      <explain>文本全半角错误。</explain>
      <paraID>5E8FB677</paraID>
      <start>78</start>
      <end>79</end>
      <status>unmodified</status>
      <modifiedWord/>
      <trackRevisions>false</trackRevisions>
    </reviewItem>
    <reviewItem>
      <errorID>5d3552a8-3808-416f-8558-d0fee7c94d54</errorID>
      <errorWord>:</errorWord>
      <group>L1_Format</group>
      <groupName>格式问题</groupName>
      <ability>L2_HalfPunc_CN</ability>
      <abilityName/>
      <candidateList>
        <item>：</item>
      </candidateList>
      <explain>文本全半角错误。</explain>
      <paraID>5E8FB677</paraID>
      <start>211</start>
      <end>212</end>
      <status>unmodified</status>
      <modifiedWord/>
      <trackRevisions>false</trackRevisions>
    </reviewItem>
    <reviewItem>
      <errorID>2352ca6f-c035-44f4-8ac6-18b3d3a80b85</errorID>
      <errorWord>:</errorWord>
      <group>L1_Format</group>
      <groupName>格式问题</groupName>
      <ability>L2_HalfPunc_CN</ability>
      <abilityName/>
      <candidateList>
        <item>：</item>
      </candidateList>
      <explain>文本全半角错误。</explain>
      <paraID>5E8FB677</paraID>
      <start>413</start>
      <end>414</end>
      <status>unmodified</status>
      <modifiedWord/>
      <trackRevisions>false</trackRevisions>
    </reviewItem>
    <reviewItem>
      <errorID>ab6cc151-9317-4f69-8147-6204de7386d2</errorID>
      <errorWord>:</errorWord>
      <group>L1_Format</group>
      <groupName>格式问题</groupName>
      <ability>L2_HalfPunc_CN</ability>
      <abilityName/>
      <candidateList>
        <item>：</item>
      </candidateList>
      <explain>文本全半角错误。</explain>
      <paraID>63C6A2E5</paraID>
      <start>6</start>
      <end>7</end>
      <status>unmodified</status>
      <modifiedWord/>
      <trackRevisions>false</trackRevisions>
    </reviewItem>
    <reviewItem>
      <errorID>169378d9-bf52-4b9f-9bbe-0014d8ef94ac</errorID>
      <errorWord>:</errorWord>
      <group>L1_Format</group>
      <groupName>格式问题</groupName>
      <ability>L2_HalfPunc_CN</ability>
      <abilityName/>
      <candidateList>
        <item>：</item>
      </candidateList>
      <explain>文本全半角错误。</explain>
      <paraID>63C6A2E5</paraID>
      <start>23</start>
      <end>24</end>
      <status>unmodified</status>
      <modifiedWord/>
      <trackRevisions>false</trackRevisions>
    </reviewItem>
    <reviewItem>
      <errorID>913133b0-fcb8-4d63-b5fe-37409c6a535e</errorID>
      <errorWord>:</errorWord>
      <group>L1_Format</group>
      <groupName>格式问题</groupName>
      <ability>L2_HalfPunc_CN</ability>
      <abilityName/>
      <candidateList>
        <item>：</item>
      </candidateList>
      <explain>文本全半角错误。</explain>
      <paraID>63C6A2E5</paraID>
      <start>40</start>
      <end>41</end>
      <status>unmodified</status>
      <modifiedWord/>
      <trackRevisions>false</trackRevisions>
    </reviewItem>
    <reviewItem>
      <errorID>02801916-22c6-4e5d-bef3-9ac7fd51a884</errorID>
      <errorWord>:</errorWord>
      <group>L1_Format</group>
      <groupName>格式问题</groupName>
      <ability>L2_HalfPunc_CN</ability>
      <abilityName/>
      <candidateList>
        <item>：</item>
      </candidateList>
      <explain>文本全半角错误。</explain>
      <paraID>63C6A2E5</paraID>
      <start>64</start>
      <end>65</end>
      <status>unmodified</status>
      <modifiedWord/>
      <trackRevisions>false</trackRevisions>
    </reviewItem>
    <reviewItem>
      <errorID>5d169083-6fc0-440e-8e1a-fe724f92eaaf</errorID>
      <errorWord>:</errorWord>
      <group>L1_Format</group>
      <groupName>格式问题</groupName>
      <ability>L2_HalfPunc_CN</ability>
      <abilityName/>
      <candidateList>
        <item>：</item>
      </candidateList>
      <explain>文本全半角错误。</explain>
      <paraID>63C6A2E5</paraID>
      <start>108</start>
      <end>109</end>
      <status>unmodified</status>
      <modifiedWord/>
      <trackRevisions>false</trackRevisions>
    </reviewItem>
    <reviewItem>
      <errorID>5a885887-992f-45a6-97b2-4a76f264df1b</errorID>
      <errorWord>:</errorWord>
      <group>L1_Format</group>
      <groupName>格式问题</groupName>
      <ability>L2_HalfPunc_CN</ability>
      <abilityName/>
      <candidateList>
        <item>：</item>
      </candidateList>
      <explain>文本全半角错误。</explain>
      <paraID>63C6A2E5</paraID>
      <start>141</start>
      <end>142</end>
      <status>unmodified</status>
      <modifiedWord/>
      <trackRevisions>false</trackRevisions>
    </reviewItem>
    <reviewItem>
      <errorID>fc59b297-dc7e-4232-926d-9a85e1795fc9</errorID>
      <errorWord>:</errorWord>
      <group>L1_Format</group>
      <groupName>格式问题</groupName>
      <ability>L2_HalfPunc_CN</ability>
      <abilityName/>
      <candidateList>
        <item>：</item>
      </candidateList>
      <explain>文本全半角错误。</explain>
      <paraID>63C6A2E5</paraID>
      <start>416</start>
      <end>417</end>
      <status>unmodified</status>
      <modifiedWord/>
      <trackRevisions>false</trackRevisions>
    </reviewItem>
    <reviewItem>
      <errorID>ad7da105-5cf7-4c57-b9cb-cd91ad10c764</errorID>
      <errorWord>:</errorWord>
      <group>L1_Format</group>
      <groupName>格式问题</groupName>
      <ability>L2_HalfPunc_CN</ability>
      <abilityName/>
      <candidateList>
        <item>：</item>
      </candidateList>
      <explain>文本全半角错误。</explain>
      <paraID>63C6A2E5</paraID>
      <start>472</start>
      <end>473</end>
      <status>unmodified</status>
      <modifiedWord/>
      <trackRevisions>false</trackRevisions>
    </reviewItem>
    <reviewItem>
      <errorID>cac4153f-c0a2-4ac4-b2bc-da4d475e43d6</errorID>
      <errorWord>:</errorWord>
      <group>L1_Format</group>
      <groupName>格式问题</groupName>
      <ability>L2_HalfPunc_CN</ability>
      <abilityName/>
      <candidateList>
        <item>：</item>
      </candidateList>
      <explain>文本全半角错误。</explain>
      <paraID>63C6A2E5</paraID>
      <start>519</start>
      <end>520</end>
      <status>unmodified</status>
      <modifiedWord/>
      <trackRevisions>false</trackRevisions>
    </reviewItem>
    <reviewItem>
      <errorID>6277eb52-cd75-48ee-be47-d4eed4d666e1</errorID>
      <errorWord>:</errorWord>
      <group>L1_Format</group>
      <groupName>格式问题</groupName>
      <ability>L2_HalfPunc_CN</ability>
      <abilityName/>
      <candidateList>
        <item>：</item>
      </candidateList>
      <explain>文本全半角错误。</explain>
      <paraID>63C6A2E5</paraID>
      <start>554</start>
      <end>555</end>
      <status>unmodified</status>
      <modifiedWord/>
      <trackRevisions>false</trackRevisions>
    </reviewItem>
    <reviewItem>
      <errorID>c1c12ccb-70ff-4560-8e2e-3caf5cf1330e</errorID>
      <errorWord>:</errorWord>
      <group>L1_Format</group>
      <groupName>格式问题</groupName>
      <ability>L2_HalfPunc_CN</ability>
      <abilityName/>
      <candidateList>
        <item>：</item>
      </candidateList>
      <explain>文本全半角错误。</explain>
      <paraID>19CFAD29</paraID>
      <start>44</start>
      <end>45</end>
      <status>unmodified</status>
      <modifiedWord/>
      <trackRevisions>false</trackRevisions>
    </reviewItem>
    <reviewItem>
      <errorID>17633206-4707-4617-9516-6bac43d60fcd</errorID>
      <errorWord>:</errorWord>
      <group>L1_Format</group>
      <groupName>格式问题</groupName>
      <ability>L2_HalfPunc_CN</ability>
      <abilityName/>
      <candidateList>
        <item>：</item>
      </candidateList>
      <explain>文本全半角错误。</explain>
      <paraID>19CFAD29</paraID>
      <start>96</start>
      <end>97</end>
      <status>unmodified</status>
      <modifiedWord/>
      <trackRevisions>false</trackRevisions>
    </reviewItem>
    <reviewItem>
      <errorID>8dfd42f4-0fee-4233-a78e-5ba24e16f865</errorID>
      <errorWord>:</errorWord>
      <group>L1_Format</group>
      <groupName>格式问题</groupName>
      <ability>L2_HalfPunc_CN</ability>
      <abilityName/>
      <candidateList>
        <item>：</item>
      </candidateList>
      <explain>文本全半角错误。</explain>
      <paraID>19CFAD29</paraID>
      <start>138</start>
      <end>139</end>
      <status>unmodified</status>
      <modifiedWord/>
      <trackRevisions>false</trackRevisions>
    </reviewItem>
    <reviewItem>
      <errorID>1a5d653a-684e-4a9a-8ba4-f444eda81cee</errorID>
      <errorWord>:</errorWord>
      <group>L1_Format</group>
      <groupName>格式问题</groupName>
      <ability>L2_HalfPunc_CN</ability>
      <abilityName/>
      <candidateList>
        <item>：</item>
      </candidateList>
      <explain>文本全半角错误。</explain>
      <paraID>48006647</paraID>
      <start>123</start>
      <end>124</end>
      <status>unmodified</status>
      <modifiedWord/>
      <trackRevisions>false</trackRevisions>
    </reviewItem>
    <reviewItem>
      <errorID>cd980999-89b1-4a66-984b-82e011dc2d31</errorID>
      <errorWord>:</errorWord>
      <group>L1_Format</group>
      <groupName>格式问题</groupName>
      <ability>L2_HalfPunc_CN</ability>
      <abilityName/>
      <candidateList>
        <item>：</item>
      </candidateList>
      <explain>文本全半角错误。</explain>
      <paraID>48006647</paraID>
      <start>188</start>
      <end>189</end>
      <status>unmodified</status>
      <modifiedWord/>
      <trackRevisions>false</trackRevisions>
    </reviewItem>
    <reviewItem>
      <errorID>8edc99cb-f8e2-417e-8718-c8f757212959</errorID>
      <errorWord>:</errorWord>
      <group>L1_Format</group>
      <groupName>格式问题</groupName>
      <ability>L2_HalfPunc_CN</ability>
      <abilityName/>
      <candidateList>
        <item>：</item>
      </candidateList>
      <explain>文本全半角错误。</explain>
      <paraID>48006647</paraID>
      <start>250</start>
      <end>251</end>
      <status>unmodified</status>
      <modifiedWord/>
      <trackRevisions>false</trackRevisions>
    </reviewItem>
    <reviewItem>
      <errorID>e0f7840d-ea26-4c62-83fd-4aefd1047d7e</errorID>
      <errorWord>:</errorWord>
      <group>L1_Format</group>
      <groupName>格式问题</groupName>
      <ability>L2_HalfPunc_CN</ability>
      <abilityName/>
      <candidateList>
        <item>：</item>
      </candidateList>
      <explain>文本全半角错误。</explain>
      <paraID>6A499CC7</paraID>
      <start>124</start>
      <end>125</end>
      <status>unmodified</status>
      <modifiedWord/>
      <trackRevisions>false</trackRevisions>
    </reviewItem>
    <reviewItem>
      <errorID>597e8b5b-357e-4080-bfdd-77f11a68a3ba</errorID>
      <errorWord>:</errorWord>
      <group>L1_Format</group>
      <groupName>格式问题</groupName>
      <ability>L2_HalfPunc_CN</ability>
      <abilityName/>
      <candidateList>
        <item>：</item>
      </candidateList>
      <explain>文本全半角错误。</explain>
      <paraID>6A499CC7</paraID>
      <start>179</start>
      <end>180</end>
      <status>unmodified</status>
      <modifiedWord/>
      <trackRevisions>false</trackRevisions>
    </reviewItem>
    <reviewItem>
      <errorID>8a801547-d5be-4cfe-bc7b-d006d9a04067</errorID>
      <errorWord>:</errorWord>
      <group>L1_Format</group>
      <groupName>格式问题</groupName>
      <ability>L2_HalfPunc_CN</ability>
      <abilityName/>
      <candidateList>
        <item>：</item>
      </candidateList>
      <explain>文本全半角错误。</explain>
      <paraID>6A499CC7</paraID>
      <start>245</start>
      <end>246</end>
      <status>unmodified</status>
      <modifiedWord/>
      <trackRevisions>false</trackRevisions>
    </reviewItem>
    <reviewItem>
      <errorID>e32fadbe-793a-4b03-9198-dce76dd9fc00</errorID>
      <errorWord>:</errorWord>
      <group>L1_Format</group>
      <groupName>格式问题</groupName>
      <ability>L2_HalfPunc_CN</ability>
      <abilityName/>
      <candidateList>
        <item>：</item>
      </candidateList>
      <explain>文本全半角错误。</explain>
      <paraID>480FD821</paraID>
      <start>124</start>
      <end>125</end>
      <status>unmodified</status>
      <modifiedWord/>
      <trackRevisions>false</trackRevisions>
    </reviewItem>
    <reviewItem>
      <errorID>cd5d3bac-d872-4b0c-9094-cb5685b40942</errorID>
      <errorWord>:</errorWord>
      <group>L1_Format</group>
      <groupName>格式问题</groupName>
      <ability>L2_HalfPunc_CN</ability>
      <abilityName/>
      <candidateList>
        <item>：</item>
      </candidateList>
      <explain>文本全半角错误。</explain>
      <paraID>480FD821</paraID>
      <start>181</start>
      <end>182</end>
      <status>unmodified</status>
      <modifiedWord/>
      <trackRevisions>false</trackRevisions>
    </reviewItem>
    <reviewItem>
      <errorID>f05e1b39-a823-4ec9-b31d-aa38cf8cacfb</errorID>
      <errorWord>:</errorWord>
      <group>L1_Format</group>
      <groupName>格式问题</groupName>
      <ability>L2_HalfPunc_CN</ability>
      <abilityName/>
      <candidateList>
        <item>：</item>
      </candidateList>
      <explain>文本全半角错误。</explain>
      <paraID>480FD821</paraID>
      <start>244</start>
      <end>245</end>
      <status>unmodified</status>
      <modifiedWord/>
      <trackRevisions>false</trackRevisions>
    </reviewItem>
    <reviewItem>
      <errorID>43881cf3-42e2-457e-a4b2-671f7bde5ee8</errorID>
      <errorWord>:</errorWord>
      <group>L1_Format</group>
      <groupName>格式问题</groupName>
      <ability>L2_HalfPunc_CN</ability>
      <abilityName/>
      <candidateList>
        <item>：</item>
      </candidateList>
      <explain>文本全半角错误。</explain>
      <paraID>2584EC3E</paraID>
      <start>116</start>
      <end>117</end>
      <status>unmodified</status>
      <modifiedWord/>
      <trackRevisions>false</trackRevisions>
    </reviewItem>
    <reviewItem>
      <errorID>9534e4fa-a496-4b4e-acc4-3ab783d6efb3</errorID>
      <errorWord>:</errorWord>
      <group>L1_Format</group>
      <groupName>格式问题</groupName>
      <ability>L2_HalfPunc_CN</ability>
      <abilityName/>
      <candidateList>
        <item>：</item>
      </candidateList>
      <explain>文本全半角错误。</explain>
      <paraID>2584EC3E</paraID>
      <start>162</start>
      <end>163</end>
      <status>unmodified</status>
      <modifiedWord/>
      <trackRevisions>false</trackRevisions>
    </reviewItem>
    <reviewItem>
      <errorID>f9e6ede1-9124-4d6c-bbfb-84eabf0c8021</errorID>
      <errorWord>:</errorWord>
      <group>L1_Format</group>
      <groupName>格式问题</groupName>
      <ability>L2_HalfPunc_CN</ability>
      <abilityName/>
      <candidateList>
        <item>：</item>
      </candidateList>
      <explain>文本全半角错误。</explain>
      <paraID>2584EC3E</paraID>
      <start>209</start>
      <end>210</end>
      <status>unmodified</status>
      <modifiedWord/>
      <trackRevisions>false</trackRevisions>
    </reviewItem>
    <reviewItem>
      <errorID>6aec3ee1-9b3c-425e-b35f-a99f828fca55</errorID>
      <errorWord>:</errorWord>
      <group>L1_Format</group>
      <groupName>格式问题</groupName>
      <ability>L2_HalfPunc_CN</ability>
      <abilityName/>
      <candidateList>
        <item>：</item>
      </candidateList>
      <explain>文本全半角错误。</explain>
      <paraID>3CA50375</paraID>
      <start>116</start>
      <end>117</end>
      <status>unmodified</status>
      <modifiedWord/>
      <trackRevisions>false</trackRevisions>
    </reviewItem>
    <reviewItem>
      <errorID>0cceaaea-6fb2-4503-a455-c6fed57e5bca</errorID>
      <errorWord>:</errorWord>
      <group>L1_Format</group>
      <groupName>格式问题</groupName>
      <ability>L2_HalfPunc_CN</ability>
      <abilityName/>
      <candidateList>
        <item>：</item>
      </candidateList>
      <explain>文本全半角错误。</explain>
      <paraID>3CA50375</paraID>
      <start>187</start>
      <end>188</end>
      <status>unmodified</status>
      <modifiedWord/>
      <trackRevisions>false</trackRevisions>
    </reviewItem>
    <reviewItem>
      <errorID>4228ba22-3095-46bf-8558-9a60a4d14eb6</errorID>
      <errorWord>:</errorWord>
      <group>L1_Format</group>
      <groupName>格式问题</groupName>
      <ability>L2_HalfPunc_CN</ability>
      <abilityName/>
      <candidateList>
        <item>：</item>
      </candidateList>
      <explain>文本全半角错误。</explain>
      <paraID>502352A7</paraID>
      <start>131</start>
      <end>132</end>
      <status>unmodified</status>
      <modifiedWord/>
      <trackRevisions>false</trackRevisions>
    </reviewItem>
    <reviewItem>
      <errorID>c70c7614-0393-4ccf-846b-c2bd73072498</errorID>
      <errorWord>:</errorWord>
      <group>L1_Format</group>
      <groupName>格式问题</groupName>
      <ability>L2_HalfPunc_CN</ability>
      <abilityName/>
      <candidateList>
        <item>：</item>
      </candidateList>
      <explain>文本全半角错误。</explain>
      <paraID>502352A7</paraID>
      <start>212</start>
      <end>213</end>
      <status>unmodified</status>
      <modifiedWord/>
      <trackRevisions>false</trackRevisions>
    </reviewItem>
    <reviewItem>
      <errorID>cb7c1a5a-a024-4011-8a1a-a7bda33b2ab8</errorID>
      <errorWord>:</errorWord>
      <group>L1_Format</group>
      <groupName>格式问题</groupName>
      <ability>L2_HalfPunc_CN</ability>
      <abilityName/>
      <candidateList>
        <item>：</item>
      </candidateList>
      <explain>文本全半角错误。</explain>
      <paraID>502352A7</paraID>
      <start>282</start>
      <end>283</end>
      <status>unmodified</status>
      <modifiedWord/>
      <trackRevisions>false</trackRevisions>
    </reviewItem>
    <reviewItem>
      <errorID>32077437-f36d-473e-84f8-77cb9f17e4ca</errorID>
      <errorWord>:</errorWord>
      <group>L1_Format</group>
      <groupName>格式问题</groupName>
      <ability>L2_HalfPunc_CN</ability>
      <abilityName/>
      <candidateList>
        <item>：</item>
      </candidateList>
      <explain>文本全半角错误。</explain>
      <paraID>502352A7</paraID>
      <start>339</start>
      <end>340</end>
      <status>unmodified</status>
      <modifiedWord/>
      <trackRevisions>false</trackRevisions>
    </reviewItem>
    <reviewItem>
      <errorID>b46a0c96-1008-4868-9aed-344aba5952a4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331459F1</paraID>
      <start>0</start>
      <end>3</end>
      <status>unmodified</status>
      <modifiedWord/>
      <trackRevisions>false</trackRevisions>
    </reviewItem>
    <reviewItem>
      <errorID>cdef8e95-d5a6-4c5d-90c3-319141cddc3b</errorID>
      <errorWord>泄露检测</errorWord>
      <group>L1_Word</group>
      <groupName>字词问题</groupName>
      <ability>L2_Typo</ability>
      <abilityName>字词错误</abilityName>
      <candidateList>
        <item>泄漏检测</item>
      </candidateList>
      <explain/>
      <paraID>77082CA8</paraID>
      <start>36</start>
      <end>40</end>
      <status>unmodified</status>
      <modifiedWord/>
      <trackRevisions>false</trackRevisions>
    </reviewItem>
    <reviewItem>
      <errorID>9bcdeb39-c9f1-49e5-8a20-20f7f621f229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248687BD</paraID>
      <start>66</start>
      <end>68</end>
      <status>unmodified</status>
      <modifiedWord/>
      <trackRevisions>false</trackRevisions>
    </reviewItem>
    <reviewItem>
      <errorID>5d7f4e0e-470b-4f46-9f4a-3fbee1418f45</errorID>
      <errorWord>，</errorWord>
      <group>L1_Word</group>
      <groupName>字词问题</groupName>
      <ability>L2_Typo</ability>
      <abilityName>字词错误</abilityName>
      <candidateList>
        <item>，在</item>
      </candidateList>
      <explain/>
      <paraID> 5CC3E4E</paraID>
      <start>159</start>
      <end>160</end>
      <status>unmodified</status>
      <modifiedWord/>
      <trackRevisions>false</trackRevisions>
    </reviewItem>
    <reviewItem>
      <errorID>0a235fcc-57ba-4f31-857e-a76baae900b2</errorID>
      <errorWord>泄露</errorWord>
      <group>L1_Word</group>
      <groupName>字词问题</groupName>
      <ability>L2_Typo</ability>
      <abilityName>字词错误</abilityName>
      <candidateList>
        <item>泄漏</item>
      </candidateList>
      <explain/>
      <paraID>128729D6</paraID>
      <start>150</start>
      <end>152</end>
      <status>unmodified</status>
      <modifiedWord/>
      <trackRevisions>false</trackRevisions>
    </reviewItem>
    <reviewItem>
      <errorID>06f3feea-2491-4280-8b26-bec0b0fc23c7</errorID>
      <errorWord>晰</errorWord>
      <group>L1_Word</group>
      <groupName>字词问题</groupName>
      <ability>L2_Typo</ability>
      <abilityName>字词错误</abilityName>
      <candidateList>
        <item>晰地</item>
      </candidateList>
      <explain/>
      <paraID>525B32C1</paraID>
      <start>53</start>
      <end>54</end>
      <status>unmodified</status>
      <modifiedWord/>
      <trackRevisions>false</trackRevisions>
    </reviewItem>
    <reviewItem>
      <errorID>34d4b50f-034c-4700-b7b4-091de14ebfe2</errorID>
      <errorWord>,</errorWord>
      <group>L1_Format</group>
      <groupName>格式问题</groupName>
      <ability>L2_HalfPunc_CN</ability>
      <abilityName/>
      <candidateList>
        <item>，</item>
      </candidateList>
      <explain>文本全半角错误。</explain>
      <paraID>63D54B19</paraID>
      <start>38</start>
      <end>39</end>
      <status>unmodified</status>
      <modifiedWord/>
      <trackRevisions>false</trackRevisions>
    </reviewItem>
    <reviewItem>
      <errorID>7d98d665-b111-4332-af72-6193bfc2f598</errorID>
      <errorWord>Sorillus</errorWord>
      <group>L1_English</group>
      <groupName>英文问题</groupName>
      <ability>L2_Other_Grammar</ability>
      <abilityName>其他语法问题</abilityName>
      <candidateList>
        <item>Solaris</item>
      </candidateList>
      <explain>名词使用不当, 建议将Sorillus修改为Solaris</explain>
      <paraID>3079633E</paraID>
      <start>34</start>
      <end>42</end>
      <status>unmodified</status>
      <modifiedWord/>
      <trackRevisions>false</trackRevisions>
    </reviewItem>
    <reviewItem>
      <errorID>7e676956-4378-4541-95a5-6ab39f440528</errorID>
      <errorWord>DWservice</errorWord>
      <group>L1_English</group>
      <groupName>英文问题</groupName>
      <ability>L2_Case</ability>
      <abilityName>大小写问题</abilityName>
      <candidateList>
        <item>DWService</item>
      </candidateList>
      <explain>疑似单词大小写错误，建议将DWservice修改为DWService</explain>
      <paraID>3079633E</paraID>
      <start>61</start>
      <end>70</end>
      <status>unmodified</status>
      <modifiedWord/>
      <trackRevisions>false</trackRevisions>
    </reviewItem>
    <reviewItem>
      <errorID>37d60a27-15db-4128-9b63-610dca0b3c97</errorID>
      <errorWord>。，</errorWord>
      <group>L1_Punc</group>
      <groupName>标点问题</groupName>
      <ability>L2_Punc_CN</ability>
      <abilityName/>
      <candidateList>
        <item>。</item>
      </candidateList>
      <explain/>
      <paraID>634C733C</paraID>
      <start>7</start>
      <end>9</end>
      <status>unmodified</status>
      <modifiedWord/>
      <trackRevisions>false</trackRevisions>
    </reviewItem>
    <reviewItem>
      <errorID>45fb339f-8288-43db-8082-3a5399c64c60</errorID>
      <errorWord>泄露</errorWord>
      <group>L1_Word</group>
      <groupName>字词问题</groupName>
      <ability>L2_Typo</ability>
      <abilityName>字词错误</abilityName>
      <candidateList>
        <item>泄漏</item>
      </candidateList>
      <explain>存在发音相同字词的误用。</explain>
      <paraID>1A2CC203</paraID>
      <start>17</start>
      <end>19</end>
      <status>unmodified</status>
      <modifiedWord/>
      <trackRevisions>false</trackRevisions>
    </reviewItem>
    <reviewItem>
      <errorID>25d72191-e582-41f5-9edf-980a006b42bc</errorID>
      <errorWord>逐一地</errorWord>
      <group>L1_Word</group>
      <groupName>字词问题</groupName>
      <ability>L2_Typo</ability>
      <abilityName>字词错误</abilityName>
      <candidateList>
        <item>逐一</item>
      </candidateList>
      <explain/>
      <paraID>258E6234</paraID>
      <start>55</start>
      <end>58</end>
      <status>unmodified</status>
      <modifiedWord/>
      <trackRevisions>false</trackRevisions>
    </reviewItem>
    <reviewItem>
      <errorID>cd2b9bc2-720d-49fd-834e-7311e1a158bc</errorID>
      <errorWord>，</errorWord>
      <group>L1_Word</group>
      <groupName>字词问题</groupName>
      <ability>L2_Typo</ability>
      <abilityName>字词错误</abilityName>
      <candidateList>
        <item>，在</item>
      </candidateList>
      <explain/>
      <paraID>129F69DE</paraID>
      <start>39</start>
      <end>40</end>
      <status>unmodified</status>
      <modifiedWord/>
      <trackRevisions>false</trackRevisions>
    </reviewItem>
    <reviewItem>
      <errorID>c9c59eb7-8d16-45c5-9e2b-2246ce9cc858</errorID>
      <errorWord>Syslog </errorWord>
      <group>L1_English</group>
      <groupName>英文问题</groupName>
      <ability>L2_Case</ability>
      <abilityName>大小写问题</abilityName>
      <candidateList>
        <item>syslog</item>
      </candidateList>
      <explain>疑似单词大小写错误，建议将Syslog 修改为syslog</explain>
      <paraID>31D73EB4</paraID>
      <start>23</start>
      <end>30</end>
      <status>unmodified</status>
      <modifiedWord/>
      <trackRevisions>false</trackRevisions>
    </reviewItem>
    <reviewItem>
      <errorID>c34702a3-e093-42dd-b1a9-125f88656139</errorID>
      <errorWord>Syslog </errorWord>
      <group>L1_English</group>
      <groupName>英文问题</groupName>
      <ability>L2_Case</ability>
      <abilityName>大小写问题</abilityName>
      <candidateList>
        <item>syslog</item>
      </candidateList>
      <explain>疑似单词大小写错误，建议将Syslog 修改为syslog</explain>
      <paraID>61C712DC</paraID>
      <start>23</start>
      <end>30</end>
      <status>unmodified</status>
      <modifiedWord/>
      <trackRevisions>false</trackRevisions>
    </reviewItem>
    <reviewItem>
      <errorID>92adacdb-1f17-422f-9dd5-01eb4bf30f02</errorID>
      <errorWord>WiFi</errorWord>
      <group>L1_Punc</group>
      <groupName>标点问题</groupName>
      <ability>L2_Punc_CN</ability>
      <abilityName/>
      <candidateList>
        <item>Wi-Fi</item>
      </candidateList>
      <explain/>
      <paraID>24F89CAE</paraID>
      <start>241</start>
      <end>245</end>
      <status>unmodified</status>
      <modifiedWord/>
      <trackRevisions>false</trackRevisions>
    </reviewItem>
    <reviewItem>
      <errorID>ce6b59e6-6246-4231-b3ae-d3d6425bc7af</errorID>
      <errorWord>http</errorWord>
      <group>L1_English</group>
      <groupName>英文问题</groupName>
      <ability>L2_Case</ability>
      <abilityName>大小写问题</abilityName>
      <candidateList>
        <item>HTTP</item>
      </candidateList>
      <explain>疑似单词大小写错误，建议将http修改为HTTP</explain>
      <paraID>51DF75A4</paraID>
      <start>28</start>
      <end>32</end>
      <status>unmodified</status>
      <modifiedWord/>
      <trackRevisions>false</trackRevisions>
    </reviewItem>
    <reviewItem>
      <errorID>e9f577de-181f-487c-9500-a34afe918276</errorID>
      <errorWord>1千</errorWord>
      <group>L1_Knowledge</group>
      <groupName>知识性问题</groupName>
      <ability>L2_Knowledge</ability>
      <abilityName>其他知识</abilityName>
      <candidateList>
        <item>1000</item>
      </candidateList>
      <explain/>
      <paraID>69F74B55</paraID>
      <start>12</start>
      <end>14</end>
      <status>unmodified</status>
      <modifiedWord/>
      <trackRevisions>false</trackRevisions>
    </reviewItem>
    <reviewItem>
      <errorID>242b5c59-17a6-4706-9481-addca61e0bea</errorID>
      <errorWord>rapkt、*.cscpkt、*pkt、</errorWord>
      <group>L1_English</group>
      <groupName>英文问题</groupName>
      <ability>L2_Other_Grammar</ability>
      <abilityName>其他语法问题</abilityName>
      <candidateList>
        <item>rapt, *.cscpkt, *pkt, </item>
      </candidateList>
      <explain>疑似单词/词组使用不当, 建议将rapkt、*.cscpkt、*pkt、修改为rapt, *.cscpkt, *pkt, </explain>
      <paraID>69F74B55</paraID>
      <start>671</start>
      <end>691</end>
      <status>unmodified</status>
      <modifiedWord/>
      <trackRevisions>false</trackRevisions>
    </reviewItem>
    <reviewItem>
      <errorID>5af686d2-973e-43af-8d5d-c8bb9d34799b</errorID>
      <errorWord>1千</errorWord>
      <group>L1_Knowledge</group>
      <groupName>知识性问题</groupName>
      <ability>L2_Knowledge</ability>
      <abilityName>其他知识</abilityName>
      <candidateList>
        <item>1000</item>
      </candidateList>
      <explain/>
      <paraID>4DA62385</paraID>
      <start>11</start>
      <end>13</end>
      <status>unmodified</status>
      <modifiedWord/>
      <trackRevisions>false</trackRevisions>
    </reviewItem>
    <reviewItem>
      <errorID>cad9eaab-9a8b-44a2-bb21-42aea5f8f634</errorID>
      <errorWord>rapkt、*.cscpkt、*pkt、</errorWord>
      <group>L1_English</group>
      <groupName>英文问题</groupName>
      <ability>L2_Other_Grammar</ability>
      <abilityName>其他语法问题</abilityName>
      <candidateList>
        <item>rapt, *.cscpkt, *pkt, </item>
      </candidateList>
      <explain>疑似单词/词组使用不当, 建议将rapkt、*.cscpkt、*pkt、修改为rapt, *.cscpkt, *pkt, </explain>
      <paraID>4DA62385</paraID>
      <start>667</start>
      <end>687</end>
      <status>unmodified</status>
      <modifiedWord/>
      <trackRevisions>false</trackRevisions>
    </reviewItem>
    <reviewItem>
      <errorID>1c0c7734-93d4-4045-8493-8d6773259093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3290ADD6</paraID>
      <start>0</start>
      <end>2</end>
      <status>unmodified</status>
      <modifiedWord/>
      <trackRevisions>false</trackRevisions>
    </reviewItem>
    <reviewItem>
      <errorID>dcb243f6-50c6-4f93-a731-b52d34584037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3DDB26A7</paraID>
      <start>0</start>
      <end>2</end>
      <status>unmodified</status>
      <modifiedWord/>
      <trackRevisions>false</trackRevisions>
    </reviewItem>
    <reviewItem>
      <errorID>9f093c81-88f6-462c-95b7-286e4bf39117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4F4285EE</paraID>
      <start>0</start>
      <end>2</end>
      <status>unmodified</status>
      <modifiedWord/>
      <trackRevisions>false</trackRevisions>
    </reviewItem>
    <reviewItem>
      <errorID>09efcabf-804d-459d-a6d9-8520c794c795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4FDE939E</paraID>
      <start>0</start>
      <end>3</end>
      <status>unmodified</status>
      <modifiedWord/>
      <trackRevisions>false</trackRevisions>
    </reviewItem>
    <reviewItem>
      <errorID>21d57955-93e2-40c7-9d42-43ff8705bd57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304C64E2</paraID>
      <start>9</start>
      <end>12</end>
      <status>unmodified</status>
      <modifiedWord/>
      <trackRevisions>false</trackRevisions>
    </reviewItem>
    <reviewItem>
      <errorID>e728c535-d380-46a2-b45c-6fcd54a0d661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597BCAA</paraID>
      <start>10</start>
      <end>13</end>
      <status>unmodified</status>
      <modifiedWord/>
      <trackRevisions>false</trackRevisions>
    </reviewItem>
    <reviewItem>
      <errorID>7fc2a676-38ac-4192-85c1-5b30a0e0ad9f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61F03AA6</paraID>
      <start>15</start>
      <end>18</end>
      <status>unmodified</status>
      <modifiedWord/>
      <trackRevisions>false</trackRevisions>
    </reviewItem>
    <reviewItem>
      <errorID>ad286127-1b5e-4f51-b3f0-5aef645fe97a</errorID>
      <errorWord>，</errorWord>
      <group>L1_Word</group>
      <groupName>字词问题</groupName>
      <ability>L2_Typo</ability>
      <abilityName>字词错误</abilityName>
      <candidateList>
        <item>，必</item>
      </candidateList>
      <explain/>
      <paraID>225F0D53</paraID>
      <start>311</start>
      <end>312</end>
      <status>unmodified</status>
      <modifiedWord/>
      <trackRevisions>false</trackRevisions>
    </reviewItem>
    <reviewItem>
      <errorID>4f52fbe3-011a-4bf3-b542-98e14f0f2619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70F0D1CD</paraID>
      <start>10</start>
      <end>13</end>
      <status>unmodified</status>
      <modifiedWord/>
      <trackRevisions>false</trackRevisions>
    </reviewItem>
    <reviewItem>
      <errorID>f3bf7869-4d1a-4fbc-8a21-2e2513b5f0d4</errorID>
      <errorWord>生成式</errorWord>
      <group>L1_Word</group>
      <groupName>字词问题</groupName>
      <ability>L2_Typo</ability>
      <abilityName>字词错误</abilityName>
      <candidateList>
        <item>生成</item>
      </candidateList>
      <explain/>
      <paraID>25FCA38D</paraID>
      <start>287</start>
      <end>290</end>
      <status>unmodified</status>
      <modifiedWord/>
      <trackRevisions>false</trackRevisions>
    </reviewItem>
    <reviewItem>
      <errorID>07d6b934-4dc3-476e-b0af-5cfdd545bd05</errorID>
      <errorWord>生成式</errorWord>
      <group>L1_Word</group>
      <groupName>字词问题</groupName>
      <ability>L2_Typo</ability>
      <abilityName>字词错误</abilityName>
      <candidateList>
        <item>生成</item>
      </candidateList>
      <explain/>
      <paraID>337A1F6C</paraID>
      <start>10</start>
      <end>13</end>
      <status>unmodified</status>
      <modifiedWord/>
      <trackRevisions>false</trackRevisions>
    </reviewItem>
    <reviewItem>
      <errorID>3f861723-0628-4b0c-834d-43678b810a45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350C371C</paraID>
      <start>9</start>
      <end>12</end>
      <status>unmodified</status>
      <modifiedWord/>
      <trackRevisions>false</trackRevisions>
    </reviewItem>
    <reviewItem>
      <errorID>b9f0c28d-b8f0-4c53-8408-943318a3d3de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350C371C</paraID>
      <start>20</start>
      <end>23</end>
      <status>unmodified</status>
      <modifiedWord/>
      <trackRevisions>false</trackRevisions>
    </reviewItem>
    <reviewItem>
      <errorID>82f966a4-0e89-4fc9-bd10-e5ffed66e2d0</errorID>
      <errorWord>/.</errorWord>
      <group>L1_Punc</group>
      <groupName>标点问题</groupName>
      <ability>L2_Punc_CN</ability>
      <abilityName/>
      <candidateList>
        <item>/</item>
      </candidateList>
      <explain/>
      <paraID>6DFF686C</paraID>
      <start>104</start>
      <end>106</end>
      <status>unmodified</status>
      <modifiedWord/>
      <trackRevisions>false</trackRevisions>
    </reviewItem>
    <reviewItem>
      <errorID>6c892345-459f-4632-ab04-7a89f8ba773d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D51A3B0</paraID>
      <start>13</start>
      <end>16</end>
      <status>unmodified</status>
      <modifiedWord/>
      <trackRevisions>false</trackRevisions>
    </reviewItem>
    <reviewItem>
      <errorID>87811e84-4ee4-4f9b-8544-77275e11fb48</errorID>
      <errorWord>样本溯源</errorWord>
      <group>L1_Knowledge</group>
      <groupName>知识性问题</groupName>
      <ability>L2_Idiom</ability>
      <abilityName>成语和诗歌</abilityName>
      <candidateList>
        <item>追本溯源</item>
      </candidateList>
      <explain>追究事物产生的根源。也说追本穷源。</explain>
      <paraID>4FD34869</paraID>
      <start>16</start>
      <end>20</end>
      <status>unmodified</status>
      <modifiedWord/>
      <trackRevisions>false</trackRevisions>
    </reviewItem>
    <reviewItem>
      <errorID>17d433ea-bc11-4c29-9c9e-54528ae4d6c7</errorID>
      <errorWord>数据安全法</errorWord>
      <group>L1_Knowledge</group>
      <groupName>知识性问题</groupName>
      <ability>L2_Knowledge</ability>
      <abilityName>其他知识</abilityName>
      <candidateList>
        <item>中华人民共和国数据安全法</item>
      </candidateList>
      <explain>当前法律法规名称使用简称，请注意是否应当使用全称。</explain>
      <paraID> EAEB66E</paraID>
      <start>4</start>
      <end>9</end>
      <status>unmodified</status>
      <modifiedWord/>
      <trackRevisions>false</trackRevisions>
    </reviewItem>
    <reviewItem>
      <errorID>ddb0bba8-04ee-44fb-b5c3-6d5cb184c079</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 EAEB66E</paraID>
      <start>12</start>
      <end>19</end>
      <status>unmodified</status>
      <modifiedWord/>
      <trackRevisions>false</trackRevisions>
    </reviewItem>
    <reviewItem>
      <errorID>98937a6d-581c-4401-8430-a2d5da6c8849</errorID>
      <errorWord>体</errorWord>
      <group>L1_Word</group>
      <groupName>字词问题</groupName>
      <ability>L2_Typo</ability>
      <abilityName>字词错误</abilityName>
      <candidateList>
        <item>体化</item>
      </candidateList>
      <explain/>
      <paraID>2D7B7F5D</paraID>
      <start>7</start>
      <end>8</end>
      <status>unmodified</status>
      <modifiedWord/>
      <trackRevisions>false</trackRevisions>
    </reviewItem>
    <reviewItem>
      <errorID>bac85d85-ad89-4dac-8ba9-631aec7ccd21</errorID>
      <errorWord>:</errorWord>
      <group>L1_Format</group>
      <groupName>格式问题</groupName>
      <ability>L2_HalfPunc_CN</ability>
      <abilityName/>
      <candidateList>
        <item>：</item>
      </candidateList>
      <explain>文本全半角错误。</explain>
      <paraID>69C66E0C</paraID>
      <start>6</start>
      <end>7</end>
      <status>unmodified</status>
      <modifiedWord/>
      <trackRevisions>false</trackRevisions>
    </reviewItem>
    <reviewItem>
      <errorID>3e17ecb0-208e-4004-929d-dd84de8d0765</errorID>
      <errorWord>:</errorWord>
      <group>L1_Format</group>
      <groupName>格式问题</groupName>
      <ability>L2_HalfPunc_CN</ability>
      <abilityName/>
      <candidateList>
        <item>：</item>
      </candidateList>
      <explain>文本全半角错误。</explain>
      <paraID>2C7FD045</paraID>
      <start>15</start>
      <end>16</end>
      <status>unmodified</status>
      <modifiedWord/>
      <trackRevisions>false</trackRevisions>
    </reviewItem>
    <reviewItem>
      <errorID>3e29c13d-2cab-4af5-9c55-9c98374cc2c5</errorID>
      <errorWord>无须</errorWord>
      <group>L1_Word</group>
      <groupName>字词问题</groupName>
      <ability>L2_Typo</ability>
      <abilityName>字词错误</abilityName>
      <candidateList>
        <item>无需</item>
      </candidateList>
      <explain>同“无须”。</explain>
      <paraID>2C7FD045</paraID>
      <start>83</start>
      <end>85</end>
      <status>unmodified</status>
      <modifiedWord/>
      <trackRevisions>false</trackRevisions>
    </reviewItem>
    <reviewItem>
      <errorID>a5ef8f83-3512-4007-a52e-3f2a34301283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61DE17D0</paraID>
      <start>0</start>
      <end>2</end>
      <status>unmodified</status>
      <modifiedWord/>
      <trackRevisions>false</trackRevisions>
    </reviewItem>
    <reviewItem>
      <errorID>d204694d-b83e-4da5-9e85-f665e143d624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472CCADC</paraID>
      <start>0</start>
      <end>2</end>
      <status>unmodified</status>
      <modifiedWord/>
      <trackRevisions>false</trackRevisions>
    </reviewItem>
    <reviewItem>
      <errorID>80b55e40-c2d9-413f-b61b-0aba1da2a757</errorID>
      <errorWord>总览</errorWord>
      <group>L1_Word</group>
      <groupName>字词问题</groupName>
      <ability>L2_Typo</ability>
      <abilityName>字词错误</abilityName>
      <candidateList>
        <item>概览</item>
      </candidateList>
      <explain/>
      <paraID>3C3D025F</paraID>
      <start>951</start>
      <end>953</end>
      <status>unmodified</status>
      <modifiedWord/>
      <trackRevisions>false</trackRevisions>
    </reviewItem>
    <reviewItem>
      <errorID>bde69702-7ef0-4c57-af7e-f71a81af13d4</errorID>
      <errorWord>上报到</errorWord>
      <group>L1_Word</group>
      <groupName>字词问题</groupName>
      <ability>L2_Typo</ability>
      <abilityName>字词错误</abilityName>
      <candidateList>
        <item>上报</item>
      </candidateList>
      <explain/>
      <paraID>3C3D025F</paraID>
      <start>1237</start>
      <end>1240</end>
      <status>unmodified</status>
      <modifiedWord/>
      <trackRevisions>false</trackRevisions>
    </reviewItem>
    <reviewItem>
      <errorID>581a8f07-c5a6-47c7-a134-fb72a0437be4</errorID>
      <errorWord>:</errorWord>
      <group>L1_Format</group>
      <groupName>格式问题</groupName>
      <ability>L2_HalfPunc_CN</ability>
      <abilityName/>
      <candidateList>
        <item>：</item>
      </candidateList>
      <explain>文本全半角错误。</explain>
      <paraID>6422AB22</paraID>
      <start>21</start>
      <end>22</end>
      <status>unmodified</status>
      <modifiedWord/>
      <trackRevisions>false</trackRevisions>
    </reviewItem>
    <reviewItem>
      <errorID>5d6d059c-b920-49e2-a3c6-1a7bcdf140a0</errorID>
      <errorWord>:</errorWord>
      <group>L1_Format</group>
      <groupName>格式问题</groupName>
      <ability>L2_HalfPunc_CN</ability>
      <abilityName/>
      <candidateList>
        <item>：</item>
      </candidateList>
      <explain>文本全半角错误。</explain>
      <paraID>64517AB6</paraID>
      <start>28</start>
      <end>29</end>
      <status>unmodified</status>
      <modifiedWord/>
      <trackRevisions>false</trackRevisions>
    </reviewItem>
    <reviewItem>
      <errorID>f0467e10-bf51-48f6-b81a-09826d051165</errorID>
      <errorWord>:</errorWord>
      <group>L1_Format</group>
      <groupName>格式问题</groupName>
      <ability>L2_HalfPunc_CN</ability>
      <abilityName/>
      <candidateList>
        <item>：</item>
      </candidateList>
      <explain>文本全半角错误。</explain>
      <paraID>4369B6F0</paraID>
      <start>1</start>
      <end>2</end>
      <status>unmodified</status>
      <modifiedWord/>
      <trackRevisions>false</trackRevisions>
    </reviewItem>
    <reviewItem>
      <errorID>9b318550-74cd-40bf-8521-cc4c689992a8</errorID>
      <errorWord>:</errorWord>
      <group>L1_Format</group>
      <groupName>格式问题</groupName>
      <ability>L2_HalfPunc_CN</ability>
      <abilityName/>
      <candidateList>
        <item>：</item>
      </candidateList>
      <explain>文本全半角错误。</explain>
      <paraID>615A9020</paraID>
      <start>19</start>
      <end>20</end>
      <status>unmodified</status>
      <modifiedWord/>
      <trackRevisions>false</trackRevisions>
    </reviewItem>
    <reviewItem>
      <errorID>552b2c12-9ec3-4bc0-bb5b-8fc11472eb8e</errorID>
      <errorWord>网络安全法</errorWord>
      <group>L1_Knowledge</group>
      <groupName>知识性问题</groupName>
      <ability>L2_Knowledge</ability>
      <abilityName>其他知识</abilityName>
      <candidateList>
        <item>中华人民共和国网络安全法</item>
      </candidateList>
      <explain>当前法律法规名称使用简称，请注意是否应当使用全称。</explain>
      <paraID> 938DE51</paraID>
      <start>11</start>
      <end>16</end>
      <status>unmodified</status>
      <modifiedWord/>
      <trackRevisions>false</trackRevisions>
    </reviewItem>
    <reviewItem>
      <errorID>dd52943a-6d4d-4290-b150-8f1bb7f45aad</errorID>
      <errorWord>数据安全法</errorWord>
      <group>L1_Knowledge</group>
      <groupName>知识性问题</groupName>
      <ability>L2_Knowledge</ability>
      <abilityName>其他知识</abilityName>
      <candidateList>
        <item>中华人民共和国数据安全法</item>
      </candidateList>
      <explain>当前法律法规名称使用简称，请注意是否应当使用全称。</explain>
      <paraID> 938DE51</paraID>
      <start>18</start>
      <end>23</end>
      <status>unmodified</status>
      <modifiedWord/>
      <trackRevisions>false</trackRevisions>
    </reviewItem>
    <reviewItem>
      <errorID>d82bc9b9-ff0b-4817-a82d-582af016d7fc</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 938DE51</paraID>
      <start>25</start>
      <end>32</end>
      <status>unmodified</status>
      <modifiedWord/>
      <trackRevisions>false</trackRevisions>
    </reviewItem>
    <reviewItem>
      <errorID>36426c32-7e5f-481b-9f4e-7a9c3d3e4424</errorID>
      <errorWord>密码法</errorWord>
      <group>L1_Knowledge</group>
      <groupName>知识性问题</groupName>
      <ability>L2_Knowledge</ability>
      <abilityName>其他知识</abilityName>
      <candidateList>
        <item>中华人民共和国密码法</item>
      </candidateList>
      <explain>当前法律法规名称使用简称，请注意是否应当使用全称。</explain>
      <paraID> 938DE51</paraID>
      <start>34</start>
      <end>37</end>
      <status>unmodified</status>
      <modifiedWord/>
      <trackRevisions>false</trackRevisions>
    </reviewItem>
    <reviewItem>
      <errorID>8276d719-8d11-4adc-997e-d172fe339ea5</errorID>
      <errorWord>泄露</errorWord>
      <group>L1_Word</group>
      <groupName>字词问题</groupName>
      <ability>L2_Typo</ability>
      <abilityName>字词错误</abilityName>
      <candidateList>
        <item>泄漏</item>
      </candidateList>
      <explain/>
      <paraID>5B4792B8</paraID>
      <start>7</start>
      <end>9</end>
      <status>unmodified</status>
      <modifiedWord/>
      <trackRevisions>false</trackRevisions>
    </reviewItem>
    <reviewItem>
      <errorID>0304e3f3-9374-4f76-9a09-f4c3ac4e3b37</errorID>
      <errorWord>:</errorWord>
      <group>L1_Format</group>
      <groupName>格式问题</groupName>
      <ability>L2_HalfPunc_CN</ability>
      <abilityName/>
      <candidateList>
        <item>：</item>
      </candidateList>
      <explain>文本全半角错误。</explain>
      <paraID>458A7682</paraID>
      <start>4</start>
      <end>5</end>
      <status>unmodified</status>
      <modifiedWord/>
      <trackRevisions>false</trackRevisions>
    </reviewItem>
    <reviewItem>
      <errorID>80d687f7-8105-4eee-87bc-23270542f398</errorID>
      <errorWord>:</errorWord>
      <group>L1_Format</group>
      <groupName>格式问题</groupName>
      <ability>L2_HalfPunc_CN</ability>
      <abilityName/>
      <candidateList>
        <item>：</item>
      </candidateList>
      <explain>文本全半角错误。</explain>
      <paraID>7AA5A38B</paraID>
      <start>6</start>
      <end>7</end>
      <status>unmodified</status>
      <modifiedWord/>
      <trackRevisions>false</trackRevisions>
    </reviewItem>
    <reviewItem>
      <errorID>62b403cb-86cc-4098-a733-101798a56cb5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6618848</paraID>
      <start>0</start>
      <end>2</end>
      <status>unmodified</status>
      <modifiedWord/>
      <trackRevisions>false</trackRevisions>
    </reviewItem>
    <reviewItem>
      <errorID>cb1663fd-5072-402d-aeef-44c73dc4f12e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446C3BA4</paraID>
      <start>0</start>
      <end>2</end>
      <status>unmodified</status>
      <modifiedWord/>
      <trackRevisions>false</trackRevisions>
    </reviewItem>
    <reviewItem>
      <errorID>8175b854-bf2d-4b65-aca9-4752323d7faa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5F159151</paraID>
      <start>0</start>
      <end>2</end>
      <status>unmodified</status>
      <modifiedWord/>
      <trackRevisions>false</trackRevisions>
    </reviewItem>
    <reviewItem>
      <errorID>8ec3d6c0-cbb5-483d-b042-d9e65a840f00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5BEDBF7E</paraID>
      <start>0</start>
      <end>2</end>
      <status>unmodified</status>
      <modifiedWord/>
      <trackRevisions>false</trackRevisions>
    </reviewItem>
    <reviewItem>
      <errorID>610e53ff-eb10-4b29-938e-256d4ac321c0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4D11F94B</paraID>
      <start>0</start>
      <end>2</end>
      <status>unmodified</status>
      <modifiedWord/>
      <trackRevisions>false</trackRevisions>
    </reviewItem>
    <reviewItem>
      <errorID>198c1e65-5e71-48d8-b5a4-f3a1b32a8301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2CAEC377</paraID>
      <start>0</start>
      <end>2</end>
      <status>unmodified</status>
      <modifiedWord/>
      <trackRevisions>false</trackRevisions>
    </reviewItem>
    <reviewItem>
      <errorID>975a3348-bf77-432d-ab1a-28bb070396ce</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2394ECE7</paraID>
      <start>72</start>
      <end>74</end>
      <status>unmodified</status>
      <modifiedWord/>
      <trackRevisions>false</trackRevisions>
    </reviewItem>
    <reviewItem>
      <errorID>806e0856-3b51-4fbe-aa52-e1d6346a6687</errorID>
      <errorWord>（</errorWord>
      <group>L1_Format</group>
      <groupName>格式问题</groupName>
      <ability>L2_HalfPunc_CN</ability>
      <abilityName/>
      <candidateList>
        <item>(</item>
      </candidateList>
      <explain>文本全半角错误。</explain>
      <paraID>5D18301B</paraID>
      <start>4</start>
      <end>5</end>
      <status>unmodified</status>
      <modifiedWord/>
      <trackRevisions>false</trackRevisions>
    </reviewItem>
    <reviewItem>
      <errorID>54fd1d1a-2e72-489d-83d4-3fed0f7e72f5</errorID>
      <errorWord>）</errorWord>
      <group>L1_Format</group>
      <groupName>格式问题</groupName>
      <ability>L2_HalfPunc_CN</ability>
      <abilityName/>
      <candidateList>
        <item>)</item>
      </candidateList>
      <explain>文本全半角错误。</explain>
      <paraID>5D18301B</paraID>
      <start>6</start>
      <end>7</end>
      <status>unmodified</status>
      <modifiedWord/>
      <trackRevisions>false</trackRevisions>
    </reviewItem>
    <reviewItem>
      <errorID>347a5fe4-ca60-4a62-885d-4b4871c59868</errorID>
      <errorWord>下午15:00</errorWord>
      <group>L1_Knowledge</group>
      <groupName>知识性问题</groupName>
      <ability>L2_Time</ability>
      <abilityName>日期时间</abilityName>
      <candidateList>
        <item>15:00</item>
      </candidateList>
      <explain>24小时制的时间，不需要强调“下午”。</explain>
      <paraID> 17CC099</paraID>
      <start>30</start>
      <end>37</end>
      <status>unmodified</status>
      <modifiedWord/>
      <trackRevisions>false</trackRevisions>
    </reviewItem>
    <reviewItem>
      <errorID>d487b84c-af82-4b1b-8d18-581ec6bfd962</errorID>
      <errorWord>，</errorWord>
      <group>L1_Word</group>
      <groupName>字词问题</groupName>
      <ability>L2_Typo</ability>
      <abilityName>字词错误</abilityName>
      <candidateList>
        <item>，在</item>
      </candidateList>
      <explain/>
      <paraID>2C3F29A9</paraID>
      <start>38</start>
      <end>39</end>
      <status>unmodified</status>
      <modifiedWord/>
      <trackRevisions>false</trackRevisions>
    </reviewItem>
    <reviewItem>
      <errorID>877d56db-86f9-493c-b9b4-ab31bad82302</errorID>
      <errorWord>予以</errorWord>
      <group>L1_Word</group>
      <groupName>字词问题</groupName>
      <ability>L2_Typo</ability>
      <abilityName>字词错误</abilityName>
      <candidateList>
        <item>予</item>
      </candidateList>
      <explain/>
      <paraID>2C3F29A9</paraID>
      <start>82</start>
      <end>84</end>
      <status>unmodified</status>
      <modifiedWord/>
      <trackRevisions>false</trackRevisions>
    </reviewItem>
    <reviewItem>
      <errorID>b3b8b8c5-fd71-4daa-bff2-46356c920a90</errorID>
      <errorWord>，</errorWord>
      <group>L1_Word</group>
      <groupName>字词问题</groupName>
      <ability>L2_Typo</ability>
      <abilityName>字词错误</abilityName>
      <candidateList>
        <item>，使</item>
      </candidateList>
      <explain/>
      <paraID> 357088B</paraID>
      <start>32</start>
      <end>33</end>
      <status>unmodified</status>
      <modifiedWord/>
      <trackRevisions>false</trackRevisions>
    </reviewItem>
    <reviewItem>
      <errorID>fed616fa-b6d9-4790-910d-1c7c23fd12c3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59026D37</paraID>
      <start>51</start>
      <end>54</end>
      <status>unmodified</status>
      <modifiedWord/>
      <trackRevisions>false</trackRevisions>
    </reviewItem>
    <reviewItem>
      <errorID>7eaf206d-7c02-4a94-b2fc-2fe5f19cc11d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59026D37</paraID>
      <start>70</start>
      <end>73</end>
      <status>unmodified</status>
      <modifiedWord/>
      <trackRevisions>false</trackRevisions>
    </reviewItem>
    <reviewItem>
      <errorID>bea07c55-7586-4324-bf49-da7b1448d8a1</errorID>
      <errorWord>法律、法规</errorWord>
      <group>L1_Word</group>
      <groupName>字词问题</groupName>
      <ability>L2_Typo</ability>
      <abilityName>字词错误</abilityName>
      <candidateList>
        <item>法律法规</item>
      </candidateList>
      <explain/>
      <paraID>36AADF14</paraID>
      <start>25</start>
      <end>30</end>
      <status>unmodified</status>
      <modifiedWord/>
      <trackRevisions>false</trackRevisions>
    </reviewItem>
    <reviewItem>
      <errorID>7792bec6-488c-4f74-8e4a-ab4ec0822597</errorID>
      <errorWord>招标公告公告</errorWord>
      <group>L1_Word</group>
      <groupName>字词问题</groupName>
      <ability>L2_Typo</ability>
      <abilityName>字词错误</abilityName>
      <candidateList>
        <item>招标公告</item>
      </candidateList>
      <explain/>
      <paraID> AE963EA</paraID>
      <start>42</start>
      <end>48</end>
      <status>unmodified</status>
      <modifiedWord/>
      <trackRevisions>false</trackRevisions>
    </reviewItem>
    <reviewItem>
      <errorID>d8534f26-2ad6-4e79-b1b7-1b64117b7075</errorID>
      <errorWord>会</errorWord>
      <group>L1_Word</group>
      <groupName>字词问题</groupName>
      <ability>L2_Typo</ability>
      <abilityName>字词错误</abilityName>
      <candidateList>
        <item>会在</item>
      </candidateList>
      <explain/>
      <paraID>7FAF034E</paraID>
      <start>13</start>
      <end>14</end>
      <status>unmodified</status>
      <modifiedWord/>
      <trackRevisions>false</trackRevisions>
    </reviewItem>
    <reviewItem>
      <errorID>e59408f6-57ad-4c99-bfb1-276208b504f2</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3272D3A5</paraID>
      <start>0</start>
      <end>4</end>
      <status>unmodified</status>
      <modifiedWord/>
      <trackRevisions>false</trackRevisions>
    </reviewItem>
    <reviewItem>
      <errorID>79f3ec3f-0acc-4edf-9db3-3deb6ec4a6f6</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5B16053A</paraID>
      <start>0</start>
      <end>5</end>
      <status>unmodified</status>
      <modifiedWord/>
      <trackRevisions>false</trackRevisions>
    </reviewItem>
    <reviewItem>
      <errorID>d455e569-edc1-4e2b-86cb-40c9e969ff45</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3C478DB0</paraID>
      <start>0</start>
      <end>6</end>
      <status>unmodified</status>
      <modifiedWord/>
      <trackRevisions>false</trackRevisions>
    </reviewItem>
    <reviewItem>
      <errorID>4767895f-9d9a-4e02-a3bb-1c2189864822</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5E57EC74</paraID>
      <start>0</start>
      <end>7</end>
      <status>unmodified</status>
      <modifiedWord/>
      <trackRevisions>false</trackRevisions>
    </reviewItem>
    <reviewItem>
      <errorID>4a995301-1ec0-4396-8ada-2f9754e5ad63</errorID>
      <errorWord>亿</errorWord>
      <group>L1_Word</group>
      <groupName>字词问题</groupName>
      <ability>L2_Typo</ability>
      <abilityName>字词错误</abilityName>
      <candidateList>
        <item>亿元</item>
      </candidateList>
      <explain/>
      <paraID> E203DFA</paraID>
      <start>3</start>
      <end>4</end>
      <status>unmodified</status>
      <modifiedWord/>
      <trackRevisions>false</trackRevisions>
    </reviewItem>
    <reviewItem>
      <errorID>6139911a-763b-4deb-91e6-90862d04a8cd</errorID>
      <errorWord>:</errorWord>
      <group>L1_Format</group>
      <groupName>格式问题</groupName>
      <ability>L2_HalfPunc_CN</ability>
      <abilityName/>
      <candidateList>
        <item>：</item>
      </candidateList>
      <explain>文本全半角错误。</explain>
      <paraID>4E3F8D71</paraID>
      <start>1</start>
      <end>2</end>
      <status>unmodified</status>
      <modifiedWord/>
      <trackRevisions>false</trackRevisions>
    </reviewItem>
    <reviewItem>
      <errorID>beae119b-3d2c-436e-8eb5-9b2de7858b42</errorID>
      <errorWord>法律、法规</errorWord>
      <group>L1_Word</group>
      <groupName>字词问题</groupName>
      <ability>L2_Typo</ability>
      <abilityName>字词错误</abilityName>
      <candidateList>
        <item>法律法规</item>
      </candidateList>
      <explain/>
      <paraID>18B62570</paraID>
      <start>0</start>
      <end>5</end>
      <status>unmodified</status>
      <modifiedWord/>
      <trackRevisions>false</trackRevisions>
    </reviewItem>
    <reviewItem>
      <errorID>57cd709a-0cf9-48b3-8625-7aa7ddea2346</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6D424EDD</paraID>
      <start>32</start>
      <end>34</end>
      <status>unmodified</status>
      <modifiedWord/>
      <trackRevisions>false</trackRevisions>
    </reviewItem>
    <reviewItem>
      <errorID>16d1bc42-1b51-439b-b221-9285e15d5b7e</errorID>
      <errorWord>提供在</errorWord>
      <group>L1_Word</group>
      <groupName>字词问题</groupName>
      <ability>L2_Typo</ability>
      <abilityName>字词错误</abilityName>
      <candidateList>
        <item>提供</item>
      </candidateList>
      <explain/>
      <paraID>39F08ECE</paraID>
      <start>126</start>
      <end>129</end>
      <status>unmodified</status>
      <modifiedWord/>
      <trackRevisions>false</trackRevisions>
    </reviewItem>
    <reviewItem>
      <errorID>048d5f6b-9677-4b87-ad9f-49cbecbb9e8d</errorID>
      <errorWord>括</errorWord>
      <group>L1_Word</group>
      <groupName>字词问题</groupName>
      <ability>L2_Typo</ability>
      <abilityName>字词错误</abilityName>
      <candidateList>
        <item>括信</item>
      </candidateList>
      <explain/>
      <paraID>2B9B8D00</paraID>
      <start>47</start>
      <end>48</end>
      <status>unmodified</status>
      <modifiedWord/>
      <trackRevisions>false</trackRevisions>
    </reviewItem>
    <reviewItem>
      <errorID>84945705-9f0d-4263-9e5e-2c9cae4dd2b1</errorID>
      <errorWord>在通报</errorWord>
      <group>L1_Word</group>
      <groupName>字词问题</groupName>
      <ability>L2_Typo</ability>
      <abilityName>字词错误</abilityName>
      <candidateList>
        <item>通报</item>
      </candidateList>
      <explain/>
      <paraID>6CF5B7FB</paraID>
      <start>68</start>
      <end>71</end>
      <status>unmodified</status>
      <modifiedWord/>
      <trackRevisions>false</trackRevisions>
    </reviewItem>
    <reviewItem>
      <errorID>9e1d9792-32d1-4ca0-af65-fe903349bbcc</errorID>
      <errorWord>程</errorWord>
      <group>L1_Word</group>
      <groupName>字词问题</groupName>
      <ability>L2_Typo</ability>
      <abilityName>字词错误</abilityName>
      <candidateList>
        <item>程中</item>
      </candidateList>
      <explain/>
      <paraID>6CF5B7FB</paraID>
      <start>72</start>
      <end>73</end>
      <status>unmodified</status>
      <modifiedWord/>
      <trackRevisions>false</trackRevisions>
    </reviewItem>
    <reviewItem>
      <errorID>43a57001-a500-4ec9-a509-5341ad5b2bd1</errorID>
      <errorWord>&lt;</errorWord>
      <group>L1_Format</group>
      <groupName>格式问题</groupName>
      <ability>L2_HalfPunc_CN</ability>
      <abilityName/>
      <candidateList>
        <item>〈</item>
      </candidateList>
      <explain>文本全半角错误。</explain>
      <paraID> 7132E3F</paraID>
      <start>49</start>
      <end>50</end>
      <status>unmodified</status>
      <modifiedWord/>
      <trackRevisions>false</trackRevisions>
    </reviewItem>
    <reviewItem>
      <errorID>42e1d48e-0da4-4de8-bb5a-de3a35a524e0</errorID>
      <errorWord>&lt;</errorWord>
      <group>L1_Format</group>
      <groupName>格式问题</groupName>
      <ability>L2_HalfPunc_CN</ability>
      <abilityName/>
      <candidateList>
        <item>〈</item>
      </candidateList>
      <explain>文本全半角错误。</explain>
      <paraID> DDE3EF4</paraID>
      <start>49</start>
      <end>50</end>
      <status>unmodified</status>
      <modifiedWord/>
      <trackRevisions>false</trackRevisions>
    </reviewItem>
    <reviewItem>
      <errorID>cd64bb38-394d-49b5-8b1a-f15350d81873</errorID>
      <errorWord>&lt;</errorWord>
      <group>L1_Format</group>
      <groupName>格式问题</groupName>
      <ability>L2_HalfPunc_CN</ability>
      <abilityName/>
      <candidateList>
        <item>〈</item>
      </candidateList>
      <explain>文本全半角错误。</explain>
      <paraID>1E81A9E8</paraID>
      <start>34</start>
      <end>35</end>
      <status>unmodified</status>
      <modifiedWord/>
      <trackRevisions>false</trackRevisions>
    </reviewItem>
    <reviewItem>
      <errorID>fdf9ab6c-4bc3-4d7d-9d48-46c2171a8941</errorID>
      <errorWord>，</errorWord>
      <group>L1_Word</group>
      <groupName>字词问题</groupName>
      <ability>L2_Typo</ability>
      <abilityName>字词错误</abilityName>
      <candidateList>
        <item>，并</item>
      </candidateList>
      <explain/>
      <paraID>4B53EF23</paraID>
      <start>68</start>
      <end>69</end>
      <status>unmodified</status>
      <modifiedWord/>
      <trackRevisions>false</trackRevisions>
    </reviewItem>
    <reviewItem>
      <errorID>8af8f7da-ccf1-4f32-9859-99c0b46ed052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4F2EFEF0</paraID>
      <start>15</start>
      <end>18</end>
      <status>unmodified</status>
      <modifiedWord/>
      <trackRevisions>false</trackRevisions>
    </reviewItem>
    <reviewItem>
      <errorID>e1a367b5-e104-46a2-960f-52cc61135348</errorID>
      <errorWord>法律、法规</errorWord>
      <group>L1_Word</group>
      <groupName>字词问题</groupName>
      <ability>L2_Typo</ability>
      <abilityName>字词错误</abilityName>
      <candidateList>
        <item>法律法规</item>
      </candidateList>
      <explain/>
      <paraID>4F2EFEF0</paraID>
      <start>30</start>
      <end>35</end>
      <status>unmodified</status>
      <modifiedWord/>
      <trackRevisions>false</trackRevisions>
    </reviewItem>
    <reviewItem>
      <errorID>3e9b461d-4c59-4585-8cc3-10a796dfeded</errorID>
      <errorWord>依</errorWord>
      <group>L1_Word</group>
      <groupName>字词问题</groupName>
      <ability>L2_Typo</ability>
      <abilityName>字词错误</abilityName>
      <candidateList>
        <item>依据</item>
      </candidateList>
      <explain/>
      <paraID>588D911B</paraID>
      <start>4</start>
      <end>5</end>
      <status>unmodified</status>
      <modifiedWord/>
      <trackRevisions>false</trackRevisions>
    </reviewItem>
    <reviewItem>
      <errorID>27c1fb79-7825-453b-a542-21501751e094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740E338B</paraID>
      <start>0</start>
      <end>2</end>
      <status>unmodified</status>
      <modifiedWord/>
      <trackRevisions>false</trackRevisions>
    </reviewItem>
    <reviewItem>
      <errorID>ed70878a-2f3e-4620-a315-56a2c6fe3889</errorID>
      <errorWord>日书面通知</errorWord>
      <group>L1_Word</group>
      <groupName>字词问题</groupName>
      <ability>L2_Typo</ability>
      <abilityName>字词错误</abilityName>
      <candidateList>
        <item>日内书面通知</item>
      </candidateList>
      <explain/>
      <paraID>7EC767AB</paraID>
      <start>79</start>
      <end>84</end>
      <status>unmodified</status>
      <modifiedWord/>
      <trackRevisions>false</trackRevisions>
    </reviewItem>
    <reviewItem>
      <errorID>cc0ac1de-f86d-4862-88a6-094fc7c7c4fd</errorID>
      <errorWord>第50条</errorWord>
      <group>L1_Knowledge</group>
      <groupName>知识性问题</groupName>
      <ability>L2_Knowledge</ability>
      <abilityName>其他知识</abilityName>
      <candidateList>
        <item>第五十条</item>
      </candidateList>
      <explain/>
      <paraID>6367F54D</paraID>
      <start>17</start>
      <end>21</end>
      <status>unmodified</status>
      <modifiedWord/>
      <trackRevisions>false</trackRevisions>
    </reviewItem>
    <reviewItem>
      <errorID>1870ddbd-9d2f-42da-b40c-6dc4779a0a71</errorID>
      <errorWord>：）</errorWord>
      <group>L1_Punc</group>
      <groupName>标点问题</groupName>
      <ability>L2_Punc_CN</ability>
      <abilityName/>
      <candidateList>
        <item>）</item>
      </candidateList>
      <explain/>
      <paraID>572250FE</paraID>
      <start>14</start>
      <end>16</end>
      <status>unmodified</status>
      <modifiedWord/>
      <trackRevisions>false</trackRevisions>
    </reviewItem>
    <reviewItem>
      <errorID>db501018-1d40-46b0-932b-658a499d60d9</errorID>
      <errorWord>法律、法规</errorWord>
      <group>L1_Word</group>
      <groupName>字词问题</groupName>
      <ability>L2_Typo</ability>
      <abilityName>字词错误</abilityName>
      <candidateList>
        <item>法律法规</item>
      </candidateList>
      <explain/>
      <paraID>67CA668A</paraID>
      <start>43</start>
      <end>48</end>
      <status>unmodified</status>
      <modifiedWord/>
      <trackRevisions>false</trackRevisions>
    </reviewItem>
    <reviewItem>
      <errorID>e1fed1e3-82fe-4c1e-ab9f-28bb77734866</errorID>
      <errorWord>本</errorWord>
      <group>L1_Word</group>
      <groupName>字词问题</groupName>
      <ability>L2_Typo</ability>
      <abilityName>字词错误</abilityName>
      <candidateList>
        <item>本次</item>
      </candidateList>
      <explain/>
      <paraID>68823D3B</paraID>
      <start>3</start>
      <end>4</end>
      <status>unmodified</status>
      <modifiedWord/>
      <trackRevisions>false</trackRevisions>
    </reviewItem>
    <reviewItem>
      <errorID>0f51c7fe-e21f-42fe-b90f-15d939e28142</errorID>
      <errorWord>:</errorWord>
      <group>L1_Format</group>
      <groupName>格式问题</groupName>
      <ability>L2_HalfPunc_CN</ability>
      <abilityName/>
      <candidateList>
        <item>：</item>
      </candidateList>
      <explain>文本全半角错误。</explain>
      <paraID> BAFD654</paraID>
      <start>5</start>
      <end>6</end>
      <status>unmodified</status>
      <modifiedWord/>
      <trackRevisions>false</trackRevisions>
    </reviewItem>
    <reviewItem>
      <errorID>4775fb17-f607-4bd8-9a4a-f99c747930f6</errorID>
      <errorWord>:</errorWord>
      <group>L1_Format</group>
      <groupName>格式问题</groupName>
      <ability>L2_HalfPunc_CN</ability>
      <abilityName/>
      <candidateList>
        <item>：</item>
      </candidateList>
      <explain>文本全半角错误。</explain>
      <paraID>2B336FBC</paraID>
      <start>14</start>
      <end>15</end>
      <status>unmodified</status>
      <modifiedWord/>
      <trackRevisions>false</trackRevisions>
    </reviewItem>
    <reviewItem>
      <errorID>4d092c6a-a738-4ad1-85a1-f7e884aa9d1f</errorID>
      <errorWord>:</errorWord>
      <group>L1_Format</group>
      <groupName>格式问题</groupName>
      <ability>L2_HalfPunc_CN</ability>
      <abilityName/>
      <candidateList>
        <item>：</item>
      </candidateList>
      <explain>文本全半角错误。</explain>
      <paraID>79310535</paraID>
      <start>1</start>
      <end>2</end>
      <status>unmodified</status>
      <modifiedWord/>
      <trackRevisions>false</trackRevisions>
    </reviewItem>
    <reviewItem>
      <errorID>45e909c1-ce99-4c03-a79d-a9b690b17a8b</errorID>
      <errorWord>股东大会</errorWord>
      <group>L1_Word</group>
      <groupName>字词问题</groupName>
      <ability>L2_Typo</ability>
      <abilityName>字词错误</abilityName>
      <candidateList>
        <item>股东会</item>
      </candidateList>
      <explain/>
      <paraID>1974AD32</paraID>
      <start>113</start>
      <end>117</end>
      <status>unmodified</status>
      <modifiedWord/>
      <trackRevisions>false</trackRevisions>
    </reviewItem>
    <reviewItem>
      <errorID>3e88b623-b029-4f87-99c4-03aaa842bdd7</errorID>
      <errorWord>：）</errorWord>
      <group>L1_Punc</group>
      <groupName>标点问题</groupName>
      <ability>L2_Punc_CN</ability>
      <abilityName/>
      <candidateList>
        <item>）</item>
      </candidateList>
      <explain/>
      <paraID>4F80407F</paraID>
      <start>16</start>
      <end>18</end>
      <status>unmodified</status>
      <modifiedWord/>
      <trackRevisions>false</trackRevisions>
    </reviewItem>
    <reviewItem>
      <errorID>cfac3a17-bcdb-4c72-839e-66f066209b51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B048211</paraID>
      <start>36</start>
      <end>39</end>
      <status>unmodified</status>
      <modifiedWord/>
      <trackRevisions>false</trackRevisions>
    </reviewItem>
    <reviewItem>
      <errorID>00b889df-b884-4c93-8d02-d22f9bd7bd06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250FEFC7</paraID>
      <start>37</start>
      <end>40</end>
      <status>unmodified</status>
      <modifiedWord/>
      <trackRevisions>false</trackRevisions>
    </reviewItem>
    <reviewItem>
      <errorID>ce83859b-ef61-48e1-96de-d8cb9ac88594</errorID>
      <errorWord>者</errorWord>
      <group>L1_Word</group>
      <groupName>字词问题</groupName>
      <ability>L2_Typo</ability>
      <abilityName>字词错误</abilityName>
      <candidateList>
        <item>者加</item>
      </candidateList>
      <explain/>
      <paraID>4E0B6C04</paraID>
      <start>29</start>
      <end>30</end>
      <status>unmodified</status>
      <modifiedWord/>
      <trackRevisions>false</trackRevisions>
    </reviewItem>
    <reviewItem>
      <errorID>ce6111c2-abd3-4deb-ab89-de3bd2dd94c2</errorID>
      <errorWord>[2011]300号</errorWord>
      <group>L1_Knowledge</group>
      <groupName>知识性问题</groupName>
      <ability>L2_Knowledge</ability>
      <abilityName>其他知识</abilityName>
      <candidateList>
        <item>〔2011〕300号</item>
      </candidateList>
      <explain>发文字号格式错误。</explain>
      <paraID> 6E2EFAA</paraID>
      <start>35</start>
      <end>45</end>
      <status>unmodified</status>
      <modifiedWord/>
      <trackRevisions>false</trackRevisions>
    </reviewItem>
    <reviewItem>
      <errorID>e822f05d-8483-4187-a477-273fa7fef105</errorID>
      <errorWord>须</errorWord>
      <group>L1_Word</group>
      <groupName>字词问题</groupName>
      <ability>L2_Typo</ability>
      <abilityName>字词错误</abilityName>
      <candidateList>
        <item>需</item>
      </candidateList>
      <explain>存在发音相同字词的误用。</explain>
      <paraID> 6E2EFAA</paraID>
      <start>82</start>
      <end>83</end>
      <status>unmodified</status>
      <modifiedWord/>
      <trackRevisions>false</trackRevisions>
    </reviewItem>
    <reviewItem>
      <errorID>e16f312a-b932-4940-910c-fb406edeea08</errorID>
      <errorWord>〔2017〕 141号</errorWord>
      <group>L1_Knowledge</group>
      <groupName>知识性问题</groupName>
      <ability>L2_Knowledge</ability>
      <abilityName>其他知识</abilityName>
      <candidateList>
        <item>〔2017〕141号</item>
      </candidateList>
      <explain>发文字号格式错误。</explain>
      <paraID>1B3EFEB8</paraID>
      <start>49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f58f0-7a04-4a2a-9421-c8a0c32f3e6a}">
  <ds:schemaRefs/>
</ds:datastoreItem>
</file>

<file path=docProps/app.xml><?xml version="1.0" encoding="utf-8"?>
<Properties xmlns="http://schemas.openxmlformats.org/officeDocument/2006/extended-properties" xmlns:vt="http://schemas.openxmlformats.org/officeDocument/2006/docPropsVTypes">
  <Template>Normal.dotm</Template>
  <Pages>153</Pages>
  <Words>3331</Words>
  <Characters>3881</Characters>
  <Lines>1468</Lines>
  <Paragraphs>413</Paragraphs>
  <TotalTime>7</TotalTime>
  <ScaleCrop>false</ScaleCrop>
  <LinksUpToDate>false</LinksUpToDate>
  <CharactersWithSpaces>3960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2024-12-04T08:36:00Z</dcterms:created>
  <dc:creator>HP</dc:creator>
  <cp:lastModifiedBy>钟</cp:lastModifiedBy>
  <cp:lastPrinted>2026-05-12T09:56:00Z</cp:lastPrinted>
  <dcterms:modified xsi:type="dcterms:W3CDTF">2026-05-22T07:36:38Z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eyJoZGlkIjoiYTc3ZjdiNWZlMjM5OGVhNTg2NjRhZjg3NGRiNTg4NTMiLCJ1c2VySWQiOiIzMDgzNDkxMjAifQ==</vt:lpwstr>
  </property>
  <property fmtid="{D5CDD505-2E9C-101B-9397-08002B2CF9AE}" pid="3" name="KSOProductBuildVer">
    <vt:lpwstr>2052-12.1.0.26375</vt:lpwstr>
  </property>
  <property fmtid="{D5CDD505-2E9C-101B-9397-08002B2CF9AE}" pid="4" name="ICV">
    <vt:lpwstr>2DAEA511C4934ABDBA652D6C0E79A179_13</vt:lpwstr>
  </property>
</Properties>
</file>